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25 Sep 2021</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24T11:43:00Z"/>
        </w:rPr>
      </w:pPr>
      <w:del w:id="2" w:author="Master Repository Process" w:date="2021-09-24T11:43:00Z">
        <w:r>
          <w:lastRenderedPageBreak/>
          <w:delText>Western Australia</w:delText>
        </w:r>
      </w:del>
    </w:p>
    <w:p>
      <w:pPr>
        <w:pStyle w:val="PrincipalActReg"/>
      </w:pPr>
      <w:r>
        <w:t>Disability Services Act 1993</w:t>
      </w:r>
    </w:p>
    <w:p>
      <w:pPr>
        <w:pStyle w:val="NameofActReg"/>
      </w:pPr>
      <w:r>
        <w:t>Disability Services Regulations 2004</w:t>
      </w:r>
    </w:p>
    <w:p>
      <w:pPr>
        <w:pStyle w:val="Heading2"/>
        <w:pageBreakBefore w:val="0"/>
      </w:pPr>
      <w:bookmarkStart w:id="3" w:name="_Toc83204610"/>
      <w:bookmarkStart w:id="4" w:name="_Toc83205333"/>
      <w:bookmarkStart w:id="5" w:name="_Toc83212522"/>
      <w:bookmarkStart w:id="6" w:name="_Toc462824001"/>
      <w:bookmarkStart w:id="7" w:name="_Toc462824855"/>
      <w:bookmarkStart w:id="8" w:name="_Toc472608255"/>
      <w:bookmarkStart w:id="9" w:name="_Toc475545966"/>
      <w:bookmarkStart w:id="10" w:name="_Toc485297057"/>
      <w:bookmarkStart w:id="11" w:name="_Toc485297910"/>
      <w:bookmarkStart w:id="12" w:name="_Toc485297981"/>
      <w:bookmarkStart w:id="13" w:name="_Toc485385417"/>
      <w:bookmarkStart w:id="14" w:name="_Toc485385955"/>
      <w:bookmarkStart w:id="15" w:name="_Toc486405562"/>
      <w:bookmarkStart w:id="16" w:name="_Toc486405632"/>
      <w:bookmarkStart w:id="17" w:name="_Toc486405726"/>
      <w:bookmarkStart w:id="18" w:name="_Toc486589062"/>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Gazette 30 Jun 2014 p. 2394.]</w:t>
      </w:r>
    </w:p>
    <w:p>
      <w:pPr>
        <w:pStyle w:val="Heading5"/>
      </w:pPr>
      <w:bookmarkStart w:id="20" w:name="_Toc83212523"/>
      <w:bookmarkStart w:id="21" w:name="_Toc486589063"/>
      <w:r>
        <w:rPr>
          <w:rStyle w:val="CharSectno"/>
        </w:rPr>
        <w:t>1</w:t>
      </w:r>
      <w:r>
        <w:t>.</w:t>
      </w:r>
      <w:r>
        <w:tab/>
        <w:t>Citation</w:t>
      </w:r>
      <w:bookmarkEnd w:id="20"/>
      <w:bookmarkEnd w:id="21"/>
    </w:p>
    <w:p>
      <w:pPr>
        <w:pStyle w:val="Subsection"/>
      </w:pPr>
      <w:r>
        <w:tab/>
      </w:r>
      <w:r>
        <w:tab/>
      </w:r>
      <w:r>
        <w:rPr>
          <w:spacing w:val="-2"/>
        </w:rPr>
        <w:t>These</w:t>
      </w:r>
      <w:r>
        <w:t xml:space="preserve"> are the </w:t>
      </w:r>
      <w:r>
        <w:rPr>
          <w:i/>
        </w:rPr>
        <w:t>Disability Services Regulations 2004</w:t>
      </w:r>
      <w:del w:id="22" w:author="Master Repository Process" w:date="2021-09-24T11:43:00Z">
        <w:r>
          <w:rPr>
            <w:iCs/>
            <w:vertAlign w:val="superscript"/>
          </w:rPr>
          <w:delText> 1</w:delText>
        </w:r>
      </w:del>
      <w:r>
        <w:t>.</w:t>
      </w:r>
    </w:p>
    <w:p>
      <w:pPr>
        <w:pStyle w:val="Heading5"/>
        <w:rPr>
          <w:spacing w:val="-2"/>
        </w:rPr>
      </w:pPr>
      <w:bookmarkStart w:id="23" w:name="_Toc83212524"/>
      <w:bookmarkStart w:id="24" w:name="_Toc486589064"/>
      <w:r>
        <w:rPr>
          <w:rStyle w:val="CharSectno"/>
        </w:rPr>
        <w:t>2</w:t>
      </w:r>
      <w:r>
        <w:rPr>
          <w:spacing w:val="-2"/>
        </w:rPr>
        <w:t>.</w:t>
      </w:r>
      <w:r>
        <w:rPr>
          <w:spacing w:val="-2"/>
        </w:rPr>
        <w:tab/>
        <w:t>Commencement</w:t>
      </w:r>
      <w:bookmarkEnd w:id="23"/>
      <w:bookmarkEnd w:id="24"/>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del w:id="25" w:author="Master Repository Process" w:date="2021-09-24T11:43:00Z">
        <w:r>
          <w:rPr>
            <w:spacing w:val="-2"/>
            <w:vertAlign w:val="superscript"/>
          </w:rPr>
          <w:delText> 1</w:delText>
        </w:r>
      </w:del>
      <w:r>
        <w:rPr>
          <w:spacing w:val="-2"/>
        </w:rPr>
        <w:t>.</w:t>
      </w:r>
    </w:p>
    <w:p>
      <w:pPr>
        <w:pStyle w:val="Heading5"/>
      </w:pPr>
      <w:bookmarkStart w:id="26" w:name="_Toc83212525"/>
      <w:bookmarkStart w:id="27" w:name="_Toc486589065"/>
      <w:r>
        <w:rPr>
          <w:rStyle w:val="CharSectno"/>
        </w:rPr>
        <w:t>3</w:t>
      </w:r>
      <w:r>
        <w:t>.</w:t>
      </w:r>
      <w:r>
        <w:tab/>
        <w:t>Nominations for Board membership (s. 7)</w:t>
      </w:r>
      <w:bookmarkEnd w:id="26"/>
      <w:bookmarkEnd w:id="27"/>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8" w:name="_Toc83212526"/>
      <w:bookmarkStart w:id="29" w:name="_Toc486589066"/>
      <w:r>
        <w:rPr>
          <w:rStyle w:val="CharSectno"/>
        </w:rPr>
        <w:t>4A</w:t>
      </w:r>
      <w:r>
        <w:t>.</w:t>
      </w:r>
      <w:r>
        <w:tab/>
        <w:t>Disability Service Standards (s. 12)</w:t>
      </w:r>
      <w:bookmarkEnd w:id="28"/>
      <w:bookmarkEnd w:id="29"/>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Gazette 30 Jun 2014 p. 2394.]</w:t>
      </w:r>
    </w:p>
    <w:p>
      <w:pPr>
        <w:pStyle w:val="Heading5"/>
      </w:pPr>
      <w:bookmarkStart w:id="30" w:name="_Toc83212527"/>
      <w:bookmarkStart w:id="31" w:name="_Toc486589067"/>
      <w:r>
        <w:rPr>
          <w:rStyle w:val="CharSectno"/>
        </w:rPr>
        <w:t>4</w:t>
      </w:r>
      <w:r>
        <w:t>.</w:t>
      </w:r>
      <w:r>
        <w:tab/>
        <w:t>Nominations for Council membership (s. 22)</w:t>
      </w:r>
      <w:bookmarkEnd w:id="30"/>
      <w:bookmarkEnd w:id="3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32" w:name="_Toc83212528"/>
      <w:bookmarkStart w:id="33" w:name="_Toc486589068"/>
      <w:r>
        <w:rPr>
          <w:rStyle w:val="CharSectno"/>
        </w:rPr>
        <w:t>5</w:t>
      </w:r>
      <w:r>
        <w:t>.</w:t>
      </w:r>
      <w:r>
        <w:tab/>
        <w:t>Procedure for public consultation by Council (s. 23)</w:t>
      </w:r>
      <w:bookmarkEnd w:id="32"/>
      <w:bookmarkEnd w:id="33"/>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Gazette 11 Jun 2013 p. 2162 and 2164.]</w:t>
      </w:r>
    </w:p>
    <w:p>
      <w:pPr>
        <w:pStyle w:val="Heading5"/>
      </w:pPr>
      <w:bookmarkStart w:id="34" w:name="_Toc83212529"/>
      <w:bookmarkStart w:id="35" w:name="_Toc486589069"/>
      <w:r>
        <w:rPr>
          <w:rStyle w:val="CharSectno"/>
        </w:rPr>
        <w:t>6</w:t>
      </w:r>
      <w:r>
        <w:t>.</w:t>
      </w:r>
      <w:r>
        <w:tab/>
        <w:t>Public authorities to which Part 5 does not apply (s. 27)</w:t>
      </w:r>
      <w:bookmarkEnd w:id="34"/>
      <w:bookmarkEnd w:id="35"/>
    </w:p>
    <w:p>
      <w:pPr>
        <w:pStyle w:val="Subsection"/>
      </w:pPr>
      <w:r>
        <w:tab/>
      </w:r>
      <w:r>
        <w:tab/>
        <w:t>Part 5 of the Act does not apply to any public authority except to a public authority specified in Schedule 1.</w:t>
      </w:r>
    </w:p>
    <w:p>
      <w:pPr>
        <w:pStyle w:val="Heading5"/>
      </w:pPr>
      <w:bookmarkStart w:id="36" w:name="_Toc83212530"/>
      <w:bookmarkStart w:id="37" w:name="_Toc486589070"/>
      <w:r>
        <w:rPr>
          <w:rStyle w:val="CharSectno"/>
        </w:rPr>
        <w:t>7</w:t>
      </w:r>
      <w:r>
        <w:t>.</w:t>
      </w:r>
      <w:r>
        <w:tab/>
        <w:t>Standards for disability access and inclusion plans (s. 28)</w:t>
      </w:r>
      <w:bookmarkEnd w:id="36"/>
      <w:bookmarkEnd w:id="37"/>
    </w:p>
    <w:p>
      <w:pPr>
        <w:pStyle w:val="Subsection"/>
      </w:pPr>
      <w:r>
        <w:tab/>
      </w:r>
      <w:r>
        <w:tab/>
        <w:t>For the purposes of section 28(5) of the Act, the standards that a disability access and inclusion plan must meet are those specified in Schedule 2.</w:t>
      </w:r>
    </w:p>
    <w:p>
      <w:pPr>
        <w:pStyle w:val="Heading5"/>
      </w:pPr>
      <w:bookmarkStart w:id="38" w:name="_Toc83212531"/>
      <w:bookmarkStart w:id="39" w:name="_Toc486589071"/>
      <w:r>
        <w:rPr>
          <w:rStyle w:val="CharSectno"/>
        </w:rPr>
        <w:t>8</w:t>
      </w:r>
      <w:r>
        <w:t>.</w:t>
      </w:r>
      <w:r>
        <w:tab/>
        <w:t>Information in reports about disability access and inclusion plans (s. 29)</w:t>
      </w:r>
      <w:bookmarkEnd w:id="38"/>
      <w:bookmarkEnd w:id="3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40" w:name="_Toc83212532"/>
      <w:bookmarkStart w:id="41" w:name="_Toc486589072"/>
      <w:r>
        <w:rPr>
          <w:rStyle w:val="CharSectno"/>
        </w:rPr>
        <w:t>9</w:t>
      </w:r>
      <w:r>
        <w:t>.</w:t>
      </w:r>
      <w:r>
        <w:tab/>
        <w:t>Publication of disability access and inclusion plans (s. 29A)</w:t>
      </w:r>
      <w:bookmarkEnd w:id="40"/>
      <w:bookmarkEnd w:id="41"/>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2" w:name="_Toc83212533"/>
      <w:bookmarkStart w:id="43" w:name="_Toc486589073"/>
      <w:r>
        <w:rPr>
          <w:rStyle w:val="CharSectno"/>
        </w:rPr>
        <w:t>10</w:t>
      </w:r>
      <w:r>
        <w:t>.</w:t>
      </w:r>
      <w:r>
        <w:tab/>
        <w:t>Procedure for public consultation by authorities (s. 28)</w:t>
      </w:r>
      <w:bookmarkEnd w:id="42"/>
      <w:bookmarkEnd w:id="43"/>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Gazette 11 Jun 2013 p. 2162-3.]</w:t>
      </w:r>
    </w:p>
    <w:p>
      <w:pPr>
        <w:pStyle w:val="Heading2"/>
      </w:pPr>
      <w:bookmarkStart w:id="44" w:name="_Toc83204622"/>
      <w:bookmarkStart w:id="45" w:name="_Toc83205345"/>
      <w:bookmarkStart w:id="46" w:name="_Toc83212534"/>
      <w:bookmarkStart w:id="47" w:name="_Toc462824013"/>
      <w:bookmarkStart w:id="48" w:name="_Toc462824867"/>
      <w:bookmarkStart w:id="49" w:name="_Toc472608267"/>
      <w:bookmarkStart w:id="50" w:name="_Toc475545978"/>
      <w:bookmarkStart w:id="51" w:name="_Toc485297069"/>
      <w:bookmarkStart w:id="52" w:name="_Toc485297922"/>
      <w:bookmarkStart w:id="53" w:name="_Toc485297993"/>
      <w:bookmarkStart w:id="54" w:name="_Toc485385429"/>
      <w:bookmarkStart w:id="55" w:name="_Toc485385967"/>
      <w:bookmarkStart w:id="56" w:name="_Toc486405574"/>
      <w:bookmarkStart w:id="57" w:name="_Toc486405644"/>
      <w:bookmarkStart w:id="58" w:name="_Toc486405738"/>
      <w:bookmarkStart w:id="59" w:name="_Toc486589074"/>
      <w:r>
        <w:rPr>
          <w:rStyle w:val="CharPartNo"/>
        </w:rPr>
        <w:t>Part 2</w:t>
      </w:r>
      <w:r>
        <w:rPr>
          <w:b w:val="0"/>
        </w:rPr>
        <w:t> </w:t>
      </w:r>
      <w:r>
        <w:t>—</w:t>
      </w:r>
      <w:r>
        <w:rPr>
          <w:b w:val="0"/>
        </w:rPr>
        <w:t> </w:t>
      </w:r>
      <w:r>
        <w:rPr>
          <w:rStyle w:val="CharPartText"/>
        </w:rPr>
        <w:t>Trial of disability services model</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Gazette 30 Jun 2014 p. 2395.]</w:t>
      </w:r>
    </w:p>
    <w:p>
      <w:pPr>
        <w:pStyle w:val="Heading3"/>
      </w:pPr>
      <w:bookmarkStart w:id="60" w:name="_Toc83204623"/>
      <w:bookmarkStart w:id="61" w:name="_Toc83205346"/>
      <w:bookmarkStart w:id="62" w:name="_Toc83212535"/>
      <w:bookmarkStart w:id="63" w:name="_Toc462824014"/>
      <w:bookmarkStart w:id="64" w:name="_Toc462824868"/>
      <w:bookmarkStart w:id="65" w:name="_Toc472608268"/>
      <w:bookmarkStart w:id="66" w:name="_Toc475545979"/>
      <w:bookmarkStart w:id="67" w:name="_Toc485297070"/>
      <w:bookmarkStart w:id="68" w:name="_Toc485297923"/>
      <w:bookmarkStart w:id="69" w:name="_Toc485297994"/>
      <w:bookmarkStart w:id="70" w:name="_Toc485385430"/>
      <w:bookmarkStart w:id="71" w:name="_Toc485385968"/>
      <w:bookmarkStart w:id="72" w:name="_Toc486405575"/>
      <w:bookmarkStart w:id="73" w:name="_Toc486405645"/>
      <w:bookmarkStart w:id="74" w:name="_Toc486405739"/>
      <w:bookmarkStart w:id="75" w:name="_Toc486589075"/>
      <w:r>
        <w:rPr>
          <w:rStyle w:val="CharDivNo"/>
        </w:rPr>
        <w:t>Division 1</w:t>
      </w:r>
      <w:r>
        <w:t> — </w:t>
      </w:r>
      <w:r>
        <w:rPr>
          <w:rStyle w:val="CharDivText"/>
        </w:rPr>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Gazette 30 Jun 2014 p. 2395.]</w:t>
      </w:r>
    </w:p>
    <w:p>
      <w:pPr>
        <w:pStyle w:val="Heading5"/>
      </w:pPr>
      <w:bookmarkStart w:id="76" w:name="_Toc83212536"/>
      <w:bookmarkStart w:id="77" w:name="_Toc486589076"/>
      <w:r>
        <w:rPr>
          <w:rStyle w:val="CharSectno"/>
        </w:rPr>
        <w:t>11</w:t>
      </w:r>
      <w:r>
        <w:t>.</w:t>
      </w:r>
      <w:r>
        <w:tab/>
        <w:t>Terms used</w:t>
      </w:r>
      <w:bookmarkEnd w:id="76"/>
      <w:bookmarkEnd w:id="77"/>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Perth Hills area</w:t>
      </w:r>
      <w:r>
        <w:t xml:space="preserve"> means the area constituted as at 1 July 2017 by the local government districts of Kalamunda, Mundaring and Swan;</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Gazette 30 Jun 2014 p. 2395; amended: Gazette 14 Jun 2016 p. 1821; 30 Dec 2016 p. 5970; 16 Jun 2017 p. 2931; 30 Jun 2017 p. 3560.]</w:t>
      </w:r>
    </w:p>
    <w:p>
      <w:pPr>
        <w:pStyle w:val="Heading5"/>
      </w:pPr>
      <w:bookmarkStart w:id="78" w:name="_Toc83212537"/>
      <w:bookmarkStart w:id="79" w:name="_Toc486589077"/>
      <w:r>
        <w:rPr>
          <w:rStyle w:val="CharSectno"/>
        </w:rPr>
        <w:t>12</w:t>
      </w:r>
      <w:r>
        <w:t>.</w:t>
      </w:r>
      <w:r>
        <w:tab/>
        <w:t>Trial areas and periods (s. 26G)</w:t>
      </w:r>
      <w:bookmarkEnd w:id="78"/>
      <w:bookmarkEnd w:id="79"/>
    </w:p>
    <w:p>
      <w:pPr>
        <w:pStyle w:val="Subsection"/>
      </w:pPr>
      <w:r>
        <w:tab/>
        <w:t>(1)</w:t>
      </w:r>
      <w:r>
        <w:tab/>
        <w:t>For the purposes of section 26G(1) of the Act, the Lower South West area, the Cockburn</w:t>
      </w:r>
      <w:r>
        <w:noBreakHyphen/>
        <w:t>Kwinana area, the Ranges area, the 2017 expansion area, the Kimberley</w:t>
      </w:r>
      <w:r>
        <w:noBreakHyphen/>
        <w:t>Pilbara area, the Mandurah</w:t>
      </w:r>
      <w:r>
        <w:noBreakHyphen/>
        <w:t>Rockingham area and the Perth Hills area are prescribed.</w:t>
      </w:r>
    </w:p>
    <w:p>
      <w:pPr>
        <w:pStyle w:val="Subsection"/>
      </w:pPr>
      <w:r>
        <w:tab/>
        <w:t>(2)</w:t>
      </w:r>
      <w:r>
        <w:tab/>
        <w:t>For the purposes of section 26G(3) of the Act, the trial period for the Lower South West area begins on 1 July 2014 and ends on 30 June 2018.</w:t>
      </w:r>
    </w:p>
    <w:p>
      <w:pPr>
        <w:pStyle w:val="Subsection"/>
      </w:pPr>
      <w:r>
        <w:tab/>
        <w:t>(3)</w:t>
      </w:r>
      <w:r>
        <w:tab/>
        <w:t>For the purposes of section 26G(3) of the Act, the trial period for the Cockburn</w:t>
      </w:r>
      <w:r>
        <w:noBreakHyphen/>
        <w:t>Kwinana area begins on 1 July 2015 and ends on 30 June 2018.</w:t>
      </w:r>
    </w:p>
    <w:p>
      <w:pPr>
        <w:pStyle w:val="Subsection"/>
      </w:pPr>
      <w:r>
        <w:tab/>
        <w:t>(4)</w:t>
      </w:r>
      <w:r>
        <w:tab/>
        <w:t>For the purposes of section 26G(3) of the Act, the trial period for the Ranges area begins on 1 October 2016 and ends on 30 June 2018.</w:t>
      </w:r>
    </w:p>
    <w:p>
      <w:pPr>
        <w:pStyle w:val="Subsection"/>
      </w:pPr>
      <w:r>
        <w:tab/>
        <w:t>(5)</w:t>
      </w:r>
      <w:r>
        <w:tab/>
        <w:t>For the purposes of section 26G(3) of the Act, the trial period for the 2017 expansion area begins on 1 January 2017 and ends on 30 June 2018.</w:t>
      </w:r>
    </w:p>
    <w:p>
      <w:pPr>
        <w:pStyle w:val="Subsection"/>
        <w:keepNext/>
      </w:pPr>
      <w:r>
        <w:tab/>
        <w:t>(6)</w:t>
      </w:r>
      <w:r>
        <w:tab/>
        <w:t>For the purposes of section 26G(3) of the Act, the trial period for the Kimberley</w:t>
      </w:r>
      <w:r>
        <w:noBreakHyphen/>
        <w:t>Pilbara area, the Mandurah</w:t>
      </w:r>
      <w:r>
        <w:noBreakHyphen/>
        <w:t>Rockingham area and the Perth Hills area begins on 1 July 2017 and ends on 30 June 2018.</w:t>
      </w:r>
    </w:p>
    <w:p>
      <w:pPr>
        <w:pStyle w:val="Footnotesection"/>
      </w:pPr>
      <w:r>
        <w:tab/>
        <w:t>[Regulation 12 inserted: Gazette 30 Jun 2014 p. 2396; amended: Gazette 14 Jun 2016 p. 1821; 30 Dec 2016 p. 5971; 16 Jun 2017 p. 2932; 30 Jun 2017 p. 3560.]</w:t>
      </w:r>
    </w:p>
    <w:p>
      <w:pPr>
        <w:pStyle w:val="Heading5"/>
      </w:pPr>
      <w:bookmarkStart w:id="80" w:name="_Toc83212538"/>
      <w:bookmarkStart w:id="81" w:name="_Toc486589078"/>
      <w:r>
        <w:rPr>
          <w:rStyle w:val="CharSectno"/>
        </w:rPr>
        <w:t>13</w:t>
      </w:r>
      <w:r>
        <w:t>.</w:t>
      </w:r>
      <w:r>
        <w:tab/>
        <w:t>Disclosure of information (s. 52)</w:t>
      </w:r>
      <w:bookmarkEnd w:id="80"/>
      <w:bookmarkEnd w:id="81"/>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Gazette 30 Jun 2014 p. 2396.]</w:t>
      </w:r>
    </w:p>
    <w:p>
      <w:pPr>
        <w:pStyle w:val="Heading3"/>
      </w:pPr>
      <w:bookmarkStart w:id="82" w:name="_Toc83204627"/>
      <w:bookmarkStart w:id="83" w:name="_Toc83205350"/>
      <w:bookmarkStart w:id="84" w:name="_Toc83212539"/>
      <w:bookmarkStart w:id="85" w:name="_Toc462824018"/>
      <w:bookmarkStart w:id="86" w:name="_Toc462824872"/>
      <w:bookmarkStart w:id="87" w:name="_Toc472608272"/>
      <w:bookmarkStart w:id="88" w:name="_Toc475545983"/>
      <w:bookmarkStart w:id="89" w:name="_Toc485297074"/>
      <w:bookmarkStart w:id="90" w:name="_Toc485297927"/>
      <w:bookmarkStart w:id="91" w:name="_Toc485297998"/>
      <w:bookmarkStart w:id="92" w:name="_Toc485385434"/>
      <w:bookmarkStart w:id="93" w:name="_Toc485385972"/>
      <w:bookmarkStart w:id="94" w:name="_Toc486405579"/>
      <w:bookmarkStart w:id="95" w:name="_Toc486405649"/>
      <w:bookmarkStart w:id="96" w:name="_Toc486405743"/>
      <w:bookmarkStart w:id="97" w:name="_Toc486589079"/>
      <w:r>
        <w:rPr>
          <w:rStyle w:val="CharDivNo"/>
        </w:rPr>
        <w:t>Division 2</w:t>
      </w:r>
      <w:r>
        <w:t> — </w:t>
      </w:r>
      <w:r>
        <w:rPr>
          <w:rStyle w:val="CharDivText"/>
        </w:rPr>
        <w:t>Becoming a participant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Footnoteheading"/>
      </w:pPr>
      <w:r>
        <w:tab/>
        <w:t>[Heading inserted: Gazette 30 Jun 2014 p. 2396.]</w:t>
      </w:r>
    </w:p>
    <w:p>
      <w:pPr>
        <w:pStyle w:val="Heading4"/>
      </w:pPr>
      <w:bookmarkStart w:id="98" w:name="_Toc83204628"/>
      <w:bookmarkStart w:id="99" w:name="_Toc83205351"/>
      <w:bookmarkStart w:id="100" w:name="_Toc83212540"/>
      <w:bookmarkStart w:id="101" w:name="_Toc462824019"/>
      <w:bookmarkStart w:id="102" w:name="_Toc462824873"/>
      <w:bookmarkStart w:id="103" w:name="_Toc472608273"/>
      <w:bookmarkStart w:id="104" w:name="_Toc475545984"/>
      <w:bookmarkStart w:id="105" w:name="_Toc485297075"/>
      <w:bookmarkStart w:id="106" w:name="_Toc485297928"/>
      <w:bookmarkStart w:id="107" w:name="_Toc485297999"/>
      <w:bookmarkStart w:id="108" w:name="_Toc485385435"/>
      <w:bookmarkStart w:id="109" w:name="_Toc485385973"/>
      <w:bookmarkStart w:id="110" w:name="_Toc486405580"/>
      <w:bookmarkStart w:id="111" w:name="_Toc486405650"/>
      <w:bookmarkStart w:id="112" w:name="_Toc486405744"/>
      <w:bookmarkStart w:id="113" w:name="_Toc486589080"/>
      <w:r>
        <w:t>Subdivision 1 — 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Gazette 30 Jun 2014 p. 2396.]</w:t>
      </w:r>
    </w:p>
    <w:p>
      <w:pPr>
        <w:pStyle w:val="Heading5"/>
      </w:pPr>
      <w:bookmarkStart w:id="114" w:name="_Toc83212541"/>
      <w:bookmarkStart w:id="115" w:name="_Toc486589081"/>
      <w:r>
        <w:rPr>
          <w:rStyle w:val="CharSectno"/>
        </w:rPr>
        <w:t>14</w:t>
      </w:r>
      <w:r>
        <w:t>.</w:t>
      </w:r>
      <w:r>
        <w:tab/>
        <w:t>References in regulation headings to comparable Commonwealth rules</w:t>
      </w:r>
      <w:bookmarkEnd w:id="114"/>
      <w:bookmarkEnd w:id="115"/>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Gazette 30 Jun 2014 p. 2396; amended: Gazette 14 Jun 2016 p. 1821.]</w:t>
      </w:r>
    </w:p>
    <w:p>
      <w:pPr>
        <w:pStyle w:val="Heading4"/>
      </w:pPr>
      <w:bookmarkStart w:id="116" w:name="_Toc83204630"/>
      <w:bookmarkStart w:id="117" w:name="_Toc83205353"/>
      <w:bookmarkStart w:id="118" w:name="_Toc83212542"/>
      <w:bookmarkStart w:id="119" w:name="_Toc462824021"/>
      <w:bookmarkStart w:id="120" w:name="_Toc462824875"/>
      <w:bookmarkStart w:id="121" w:name="_Toc472608275"/>
      <w:bookmarkStart w:id="122" w:name="_Toc475545986"/>
      <w:bookmarkStart w:id="123" w:name="_Toc485297077"/>
      <w:bookmarkStart w:id="124" w:name="_Toc485297930"/>
      <w:bookmarkStart w:id="125" w:name="_Toc485298001"/>
      <w:bookmarkStart w:id="126" w:name="_Toc485385437"/>
      <w:bookmarkStart w:id="127" w:name="_Toc485385975"/>
      <w:bookmarkStart w:id="128" w:name="_Toc486405582"/>
      <w:bookmarkStart w:id="129" w:name="_Toc486405652"/>
      <w:bookmarkStart w:id="130" w:name="_Toc486405746"/>
      <w:bookmarkStart w:id="131" w:name="_Toc486589082"/>
      <w:r>
        <w:t>Subdivision 2 — Residence requirements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keepNext/>
      </w:pPr>
      <w:r>
        <w:tab/>
        <w:t>[Heading inserted: Gazette 30 Jun 2014 p. 2397.]</w:t>
      </w:r>
    </w:p>
    <w:p>
      <w:pPr>
        <w:pStyle w:val="Heading5"/>
      </w:pPr>
      <w:bookmarkStart w:id="132" w:name="_Toc83212543"/>
      <w:bookmarkStart w:id="133" w:name="_Toc486589083"/>
      <w:r>
        <w:rPr>
          <w:rStyle w:val="CharSectno"/>
        </w:rPr>
        <w:t>15</w:t>
      </w:r>
      <w:r>
        <w:t>.</w:t>
      </w:r>
      <w:r>
        <w:tab/>
        <w:t>Qualifying residence requirement to be met (additional residence requirement NDIS rule 4.1(c))</w:t>
      </w:r>
      <w:bookmarkEnd w:id="132"/>
      <w:bookmarkEnd w:id="133"/>
    </w:p>
    <w:p>
      <w:pPr>
        <w:pStyle w:val="Subsection"/>
      </w:pPr>
      <w:r>
        <w:tab/>
      </w:r>
      <w:r>
        <w:tab/>
        <w:t>For the purposes of section 26H(1)(d) of the Act, a person must meet the qualifying residence requirement set out in regulation 16.</w:t>
      </w:r>
    </w:p>
    <w:p>
      <w:pPr>
        <w:pStyle w:val="Footnotesection"/>
      </w:pPr>
      <w:r>
        <w:tab/>
        <w:t>[Regulation 15 inserted: Gazette 30 Jun 2014 p. 2397; amended: Gazette 14 Jun 2016 p. 1823.]</w:t>
      </w:r>
    </w:p>
    <w:p>
      <w:pPr>
        <w:pStyle w:val="Heading5"/>
      </w:pPr>
      <w:bookmarkStart w:id="134" w:name="_Toc83212544"/>
      <w:bookmarkStart w:id="135" w:name="_Toc486589084"/>
      <w:r>
        <w:rPr>
          <w:rStyle w:val="CharSectno"/>
        </w:rPr>
        <w:t>16</w:t>
      </w:r>
      <w:r>
        <w:t>.</w:t>
      </w:r>
      <w:r>
        <w:tab/>
        <w:t xml:space="preserve">Qualifying residence requirement (additional residence requirement NDIS rules 4.6 </w:t>
      </w:r>
      <w:r>
        <w:noBreakHyphen/>
        <w:t xml:space="preserve"> 4.8)</w:t>
      </w:r>
      <w:bookmarkEnd w:id="134"/>
      <w:bookmarkEnd w:id="135"/>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 or</w:t>
      </w:r>
    </w:p>
    <w:p>
      <w:pPr>
        <w:pStyle w:val="Indenta"/>
      </w:pPr>
      <w:r>
        <w:tab/>
        <w:t>(e)</w:t>
      </w:r>
      <w:r>
        <w:tab/>
        <w:t>on 1 July 2017 the person resides in the Kimberley</w:t>
      </w:r>
      <w:r>
        <w:noBreakHyphen/>
        <w:t>Pilbara area, the Mandurah</w:t>
      </w:r>
      <w:r>
        <w:noBreakHyphen/>
        <w:t>Rockingham area or the Perth Hills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pPr>
      <w:r>
        <w:tab/>
        <w:t>(v)</w:t>
      </w:r>
      <w:r>
        <w:tab/>
        <w:t>the person starts to reside in the Kimberley</w:t>
      </w:r>
      <w:r>
        <w:noBreakHyphen/>
        <w:t>Pilbara area, the Mandurah</w:t>
      </w:r>
      <w:r>
        <w:noBreakHyphen/>
        <w:t>Rockingham area or the Perth Hills area at any time after 1 July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or in the Kimberley</w:t>
      </w:r>
      <w:r>
        <w:noBreakHyphen/>
        <w:t>Pilbara area, the Mandurah</w:t>
      </w:r>
      <w:r>
        <w:noBreakHyphen/>
        <w:t>Rockingham area or the Perth Hills area after 1 July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Gazette 30 Jun 2014 p. 2397-9; amended: Gazette 14 Jun 2016 p. 1821</w:t>
      </w:r>
      <w:r>
        <w:noBreakHyphen/>
        <w:t>2 and 1823; 30 Dec 2016 p. 5971</w:t>
      </w:r>
      <w:r>
        <w:noBreakHyphen/>
        <w:t>2; 16 Jun 2017 p. 2932</w:t>
      </w:r>
      <w:r>
        <w:noBreakHyphen/>
        <w:t>3; 30 Jun 2017 p. 3560.]</w:t>
      </w:r>
    </w:p>
    <w:p>
      <w:pPr>
        <w:pStyle w:val="Heading5"/>
        <w:keepNext w:val="0"/>
        <w:keepLines w:val="0"/>
        <w:pageBreakBefore/>
        <w:spacing w:before="0"/>
      </w:pPr>
      <w:bookmarkStart w:id="136" w:name="_Toc83212545"/>
      <w:bookmarkStart w:id="137" w:name="_Toc486589085"/>
      <w:r>
        <w:rPr>
          <w:rStyle w:val="CharSectno"/>
        </w:rPr>
        <w:t>17</w:t>
      </w:r>
      <w:r>
        <w:t>.</w:t>
      </w:r>
      <w:r>
        <w:tab/>
        <w:t>Ongoing residence requirement to be met (additional residence requirement NDIS rule 4.1(c))</w:t>
      </w:r>
      <w:bookmarkEnd w:id="136"/>
      <w:bookmarkEnd w:id="137"/>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Gazette 30 Jun 2014 p. 2400; amended: Gazette 14 Jun 2016 p. 1823.]</w:t>
      </w:r>
    </w:p>
    <w:p>
      <w:pPr>
        <w:pStyle w:val="Heading5"/>
      </w:pPr>
      <w:bookmarkStart w:id="138" w:name="_Toc83212546"/>
      <w:bookmarkStart w:id="139" w:name="_Toc486589086"/>
      <w:r>
        <w:rPr>
          <w:rStyle w:val="CharSectno"/>
        </w:rPr>
        <w:t>18</w:t>
      </w:r>
      <w:r>
        <w:t>.</w:t>
      </w:r>
      <w:r>
        <w:tab/>
        <w:t xml:space="preserve">Ongoing residence requirement (additional residence requirement NDIS rules 4.9 </w:t>
      </w:r>
      <w:r>
        <w:noBreakHyphen/>
        <w:t xml:space="preserve"> 4.11)</w:t>
      </w:r>
      <w:bookmarkEnd w:id="138"/>
      <w:bookmarkEnd w:id="139"/>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Gazette 30 Jun 2014 p. 2400; amended: Gazette 14 Jun 2016 p. 1823.]</w:t>
      </w:r>
    </w:p>
    <w:p>
      <w:pPr>
        <w:pStyle w:val="Heading4"/>
      </w:pPr>
      <w:bookmarkStart w:id="140" w:name="_Toc83204635"/>
      <w:bookmarkStart w:id="141" w:name="_Toc83205358"/>
      <w:bookmarkStart w:id="142" w:name="_Toc83212547"/>
      <w:bookmarkStart w:id="143" w:name="_Toc462824026"/>
      <w:bookmarkStart w:id="144" w:name="_Toc462824880"/>
      <w:bookmarkStart w:id="145" w:name="_Toc472608280"/>
      <w:bookmarkStart w:id="146" w:name="_Toc475545991"/>
      <w:bookmarkStart w:id="147" w:name="_Toc485297082"/>
      <w:bookmarkStart w:id="148" w:name="_Toc485297935"/>
      <w:bookmarkStart w:id="149" w:name="_Toc485298006"/>
      <w:bookmarkStart w:id="150" w:name="_Toc485385442"/>
      <w:bookmarkStart w:id="151" w:name="_Toc485385980"/>
      <w:bookmarkStart w:id="152" w:name="_Toc486405587"/>
      <w:bookmarkStart w:id="153" w:name="_Toc486405657"/>
      <w:bookmarkStart w:id="154" w:name="_Toc486405751"/>
      <w:bookmarkStart w:id="155" w:name="_Toc486589087"/>
      <w:r>
        <w:t>Subdivision 3 — Disability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Gazette 30 Jun 2014 p. 2400.]</w:t>
      </w:r>
    </w:p>
    <w:p>
      <w:pPr>
        <w:pStyle w:val="Heading5"/>
      </w:pPr>
      <w:bookmarkStart w:id="156" w:name="_Toc83212548"/>
      <w:bookmarkStart w:id="157" w:name="_Toc486589088"/>
      <w:r>
        <w:rPr>
          <w:rStyle w:val="CharSectno"/>
        </w:rPr>
        <w:t>19</w:t>
      </w:r>
      <w:r>
        <w:t>.</w:t>
      </w:r>
      <w:r>
        <w:tab/>
        <w:t xml:space="preserve">Disability requirement — permanent impairment (NDIS rules 5.4 </w:t>
      </w:r>
      <w:r>
        <w:noBreakHyphen/>
        <w:t xml:space="preserve"> 5.7)</w:t>
      </w:r>
      <w:bookmarkEnd w:id="156"/>
      <w:bookmarkEnd w:id="157"/>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Gazette 30 Jun 2014 p. 2400-1; amended: Gazette 14 Jun 2016 p. 1822.]</w:t>
      </w:r>
    </w:p>
    <w:p>
      <w:pPr>
        <w:pStyle w:val="Heading5"/>
      </w:pPr>
      <w:bookmarkStart w:id="158" w:name="_Toc83212549"/>
      <w:bookmarkStart w:id="159" w:name="_Toc486589089"/>
      <w:r>
        <w:rPr>
          <w:rStyle w:val="CharSectno"/>
        </w:rPr>
        <w:t>20</w:t>
      </w:r>
      <w:r>
        <w:t>.</w:t>
      </w:r>
      <w:r>
        <w:tab/>
        <w:t>Disability requirement — substantially reduced functional capacity (NDIS rule 5.8)</w:t>
      </w:r>
      <w:bookmarkEnd w:id="158"/>
      <w:bookmarkEnd w:id="159"/>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Gazette 30 Jun 2014 p. 2401-2; amended: Gazette 14 Jun 2016 p. 1822.]</w:t>
      </w:r>
    </w:p>
    <w:p>
      <w:pPr>
        <w:pStyle w:val="Heading4"/>
      </w:pPr>
      <w:bookmarkStart w:id="160" w:name="_Toc83204638"/>
      <w:bookmarkStart w:id="161" w:name="_Toc83205361"/>
      <w:bookmarkStart w:id="162" w:name="_Toc83212550"/>
      <w:bookmarkStart w:id="163" w:name="_Toc462824029"/>
      <w:bookmarkStart w:id="164" w:name="_Toc462824883"/>
      <w:bookmarkStart w:id="165" w:name="_Toc472608283"/>
      <w:bookmarkStart w:id="166" w:name="_Toc475545994"/>
      <w:bookmarkStart w:id="167" w:name="_Toc485297085"/>
      <w:bookmarkStart w:id="168" w:name="_Toc485297938"/>
      <w:bookmarkStart w:id="169" w:name="_Toc485298009"/>
      <w:bookmarkStart w:id="170" w:name="_Toc485385445"/>
      <w:bookmarkStart w:id="171" w:name="_Toc485385983"/>
      <w:bookmarkStart w:id="172" w:name="_Toc486405590"/>
      <w:bookmarkStart w:id="173" w:name="_Toc486405660"/>
      <w:bookmarkStart w:id="174" w:name="_Toc486405754"/>
      <w:bookmarkStart w:id="175" w:name="_Toc486589090"/>
      <w:r>
        <w:t>Subdivision 4 — Early intervention requirements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Gazette 30 Jun 2014 p. 2402.]</w:t>
      </w:r>
    </w:p>
    <w:p>
      <w:pPr>
        <w:pStyle w:val="Heading5"/>
      </w:pPr>
      <w:bookmarkStart w:id="176" w:name="_Toc83212551"/>
      <w:bookmarkStart w:id="177" w:name="_Toc486589091"/>
      <w:r>
        <w:rPr>
          <w:rStyle w:val="CharSectno"/>
        </w:rPr>
        <w:t>21</w:t>
      </w:r>
      <w:r>
        <w:t>.</w:t>
      </w:r>
      <w:r>
        <w:tab/>
        <w:t xml:space="preserve">Early intervention requirement — permanent impairment (NDIS rules 6.4 </w:t>
      </w:r>
      <w:r>
        <w:noBreakHyphen/>
        <w:t xml:space="preserve"> 6.7)</w:t>
      </w:r>
      <w:bookmarkEnd w:id="176"/>
      <w:bookmarkEnd w:id="177"/>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Gazette 30 Jun 2014 p. 2402-3; amended: Gazette 14 Jun 2016 p. 1823.]</w:t>
      </w:r>
    </w:p>
    <w:p>
      <w:pPr>
        <w:pStyle w:val="Heading5"/>
      </w:pPr>
      <w:bookmarkStart w:id="178" w:name="_Toc83212552"/>
      <w:bookmarkStart w:id="179" w:name="_Toc486589092"/>
      <w:r>
        <w:rPr>
          <w:rStyle w:val="CharSectno"/>
        </w:rPr>
        <w:t>22</w:t>
      </w:r>
      <w:r>
        <w:t>.</w:t>
      </w:r>
      <w:r>
        <w:tab/>
        <w:t>Early intervention requirement — supports to benefit person (NDIS rules 6.9 and 6.10)</w:t>
      </w:r>
      <w:bookmarkEnd w:id="178"/>
      <w:bookmarkEnd w:id="179"/>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Gazette 30 Jun 2014 p. 2403-4; amended: Gazette 14 Jun 2016 p. 1823.]</w:t>
      </w:r>
    </w:p>
    <w:p>
      <w:pPr>
        <w:pStyle w:val="Heading4"/>
      </w:pPr>
      <w:bookmarkStart w:id="180" w:name="_Toc83204641"/>
      <w:bookmarkStart w:id="181" w:name="_Toc83205364"/>
      <w:bookmarkStart w:id="182" w:name="_Toc83212553"/>
      <w:bookmarkStart w:id="183" w:name="_Toc462824032"/>
      <w:bookmarkStart w:id="184" w:name="_Toc462824886"/>
      <w:bookmarkStart w:id="185" w:name="_Toc472608286"/>
      <w:bookmarkStart w:id="186" w:name="_Toc475545997"/>
      <w:bookmarkStart w:id="187" w:name="_Toc485297088"/>
      <w:bookmarkStart w:id="188" w:name="_Toc485297941"/>
      <w:bookmarkStart w:id="189" w:name="_Toc485298012"/>
      <w:bookmarkStart w:id="190" w:name="_Toc485385448"/>
      <w:bookmarkStart w:id="191" w:name="_Toc485385986"/>
      <w:bookmarkStart w:id="192" w:name="_Toc486405593"/>
      <w:bookmarkStart w:id="193" w:name="_Toc486405663"/>
      <w:bookmarkStart w:id="194" w:name="_Toc486405757"/>
      <w:bookmarkStart w:id="195" w:name="_Toc486589093"/>
      <w:r>
        <w:t>Subdivision 5 — Assessment tools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Gazette 30 Jun 2014 p. 2404.]</w:t>
      </w:r>
    </w:p>
    <w:p>
      <w:pPr>
        <w:pStyle w:val="Heading5"/>
      </w:pPr>
      <w:bookmarkStart w:id="196" w:name="_Toc83212554"/>
      <w:bookmarkStart w:id="197" w:name="_Toc486589094"/>
      <w:r>
        <w:rPr>
          <w:rStyle w:val="CharSectno"/>
        </w:rPr>
        <w:t>23</w:t>
      </w:r>
      <w:r>
        <w:t>.</w:t>
      </w:r>
      <w:r>
        <w:tab/>
        <w:t>Assessment tools may be used (NDIS rule 7.1)</w:t>
      </w:r>
      <w:bookmarkEnd w:id="196"/>
      <w:bookmarkEnd w:id="197"/>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Gazette 30 Jun 2014 p. 2404.]</w:t>
      </w:r>
    </w:p>
    <w:p>
      <w:pPr>
        <w:pStyle w:val="Heading3"/>
      </w:pPr>
      <w:bookmarkStart w:id="198" w:name="_Toc83204643"/>
      <w:bookmarkStart w:id="199" w:name="_Toc83205366"/>
      <w:bookmarkStart w:id="200" w:name="_Toc83212555"/>
      <w:bookmarkStart w:id="201" w:name="_Toc462824034"/>
      <w:bookmarkStart w:id="202" w:name="_Toc462824888"/>
      <w:bookmarkStart w:id="203" w:name="_Toc472608288"/>
      <w:bookmarkStart w:id="204" w:name="_Toc475545999"/>
      <w:bookmarkStart w:id="205" w:name="_Toc485297090"/>
      <w:bookmarkStart w:id="206" w:name="_Toc485297943"/>
      <w:bookmarkStart w:id="207" w:name="_Toc485298014"/>
      <w:bookmarkStart w:id="208" w:name="_Toc485385450"/>
      <w:bookmarkStart w:id="209" w:name="_Toc485385988"/>
      <w:bookmarkStart w:id="210" w:name="_Toc486405595"/>
      <w:bookmarkStart w:id="211" w:name="_Toc486405665"/>
      <w:bookmarkStart w:id="212" w:name="_Toc486405759"/>
      <w:bookmarkStart w:id="213" w:name="_Toc486589095"/>
      <w:r>
        <w:rPr>
          <w:rStyle w:val="CharDivNo"/>
        </w:rPr>
        <w:t>Division 3</w:t>
      </w:r>
      <w:r>
        <w:t> — </w:t>
      </w:r>
      <w:r>
        <w:rPr>
          <w:rStyle w:val="CharDivText"/>
        </w:rPr>
        <w:t>Supports for participants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keepNext/>
      </w:pPr>
      <w:r>
        <w:tab/>
        <w:t>[Heading inserted: Gazette 30 Jun 2014 p. 2404.]</w:t>
      </w:r>
    </w:p>
    <w:p>
      <w:pPr>
        <w:pStyle w:val="Heading4"/>
      </w:pPr>
      <w:bookmarkStart w:id="214" w:name="_Toc83204644"/>
      <w:bookmarkStart w:id="215" w:name="_Toc83205367"/>
      <w:bookmarkStart w:id="216" w:name="_Toc83212556"/>
      <w:bookmarkStart w:id="217" w:name="_Toc462824035"/>
      <w:bookmarkStart w:id="218" w:name="_Toc462824889"/>
      <w:bookmarkStart w:id="219" w:name="_Toc472608289"/>
      <w:bookmarkStart w:id="220" w:name="_Toc475546000"/>
      <w:bookmarkStart w:id="221" w:name="_Toc485297091"/>
      <w:bookmarkStart w:id="222" w:name="_Toc485297944"/>
      <w:bookmarkStart w:id="223" w:name="_Toc485298015"/>
      <w:bookmarkStart w:id="224" w:name="_Toc485385451"/>
      <w:bookmarkStart w:id="225" w:name="_Toc485385989"/>
      <w:bookmarkStart w:id="226" w:name="_Toc486405596"/>
      <w:bookmarkStart w:id="227" w:name="_Toc486405666"/>
      <w:bookmarkStart w:id="228" w:name="_Toc486405760"/>
      <w:bookmarkStart w:id="229" w:name="_Toc486589096"/>
      <w:r>
        <w:t>Subdivision 1 — 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keepNext/>
      </w:pPr>
      <w:r>
        <w:tab/>
        <w:t>[Heading inserted: Gazette 30 Jun 2014 p. 2404.]</w:t>
      </w:r>
    </w:p>
    <w:p>
      <w:pPr>
        <w:pStyle w:val="Heading5"/>
      </w:pPr>
      <w:bookmarkStart w:id="230" w:name="_Toc83212557"/>
      <w:bookmarkStart w:id="231" w:name="_Toc486589097"/>
      <w:r>
        <w:rPr>
          <w:rStyle w:val="CharSectno"/>
        </w:rPr>
        <w:t>24</w:t>
      </w:r>
      <w:r>
        <w:t>.</w:t>
      </w:r>
      <w:r>
        <w:tab/>
        <w:t>References in regulation headings to comparable Commonwealth rules</w:t>
      </w:r>
      <w:bookmarkEnd w:id="230"/>
      <w:bookmarkEnd w:id="23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Gazette 30 Jun 2014 p. 2404.]</w:t>
      </w:r>
    </w:p>
    <w:p>
      <w:pPr>
        <w:pStyle w:val="Heading4"/>
      </w:pPr>
      <w:bookmarkStart w:id="232" w:name="_Toc83204646"/>
      <w:bookmarkStart w:id="233" w:name="_Toc83205369"/>
      <w:bookmarkStart w:id="234" w:name="_Toc83212558"/>
      <w:bookmarkStart w:id="235" w:name="_Toc462824037"/>
      <w:bookmarkStart w:id="236" w:name="_Toc462824891"/>
      <w:bookmarkStart w:id="237" w:name="_Toc472608291"/>
      <w:bookmarkStart w:id="238" w:name="_Toc475546002"/>
      <w:bookmarkStart w:id="239" w:name="_Toc485297093"/>
      <w:bookmarkStart w:id="240" w:name="_Toc485297946"/>
      <w:bookmarkStart w:id="241" w:name="_Toc485298017"/>
      <w:bookmarkStart w:id="242" w:name="_Toc485385453"/>
      <w:bookmarkStart w:id="243" w:name="_Toc485385991"/>
      <w:bookmarkStart w:id="244" w:name="_Toc486405598"/>
      <w:bookmarkStart w:id="245" w:name="_Toc486405668"/>
      <w:bookmarkStart w:id="246" w:name="_Toc486405762"/>
      <w:bookmarkStart w:id="247" w:name="_Toc486589098"/>
      <w:r>
        <w:t>Subdivision 2 — Assessing proposed supports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Gazette 30 Jun 2014 p. 2405.]</w:t>
      </w:r>
    </w:p>
    <w:p>
      <w:pPr>
        <w:pStyle w:val="Heading5"/>
      </w:pPr>
      <w:bookmarkStart w:id="248" w:name="_Toc83212559"/>
      <w:bookmarkStart w:id="249" w:name="_Toc486589099"/>
      <w:r>
        <w:rPr>
          <w:rStyle w:val="CharSectno"/>
        </w:rPr>
        <w:t>25</w:t>
      </w:r>
      <w:r>
        <w:t>.</w:t>
      </w:r>
      <w:r>
        <w:tab/>
        <w:t>Value for money (NDIS rule 3.1)</w:t>
      </w:r>
      <w:bookmarkEnd w:id="248"/>
      <w:bookmarkEnd w:id="249"/>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Gazette 30 Jun 2014 p. 2405-6.]</w:t>
      </w:r>
    </w:p>
    <w:p>
      <w:pPr>
        <w:pStyle w:val="Heading5"/>
      </w:pPr>
      <w:bookmarkStart w:id="250" w:name="_Toc83212560"/>
      <w:bookmarkStart w:id="251" w:name="_Toc486589100"/>
      <w:r>
        <w:rPr>
          <w:rStyle w:val="CharSectno"/>
        </w:rPr>
        <w:t>26</w:t>
      </w:r>
      <w:r>
        <w:t>.</w:t>
      </w:r>
      <w:r>
        <w:tab/>
        <w:t>Effective and beneficial and current good practice (NDIS rules 3.2 and 3.3)</w:t>
      </w:r>
      <w:bookmarkEnd w:id="250"/>
      <w:bookmarkEnd w:id="251"/>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Gazette 30 Jun 2014 p. 2406.]</w:t>
      </w:r>
    </w:p>
    <w:p>
      <w:pPr>
        <w:pStyle w:val="Heading5"/>
      </w:pPr>
      <w:bookmarkStart w:id="252" w:name="_Toc83212561"/>
      <w:bookmarkStart w:id="253" w:name="_Toc486589101"/>
      <w:r>
        <w:rPr>
          <w:rStyle w:val="CharSectno"/>
        </w:rPr>
        <w:t>27</w:t>
      </w:r>
      <w:r>
        <w:t>.</w:t>
      </w:r>
      <w:r>
        <w:tab/>
        <w:t>Reasonable family, carer and other support (NDIS rule 3.4)</w:t>
      </w:r>
      <w:bookmarkEnd w:id="252"/>
      <w:bookmarkEnd w:id="253"/>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Gazette 30 Jun 2014 p. 2406-8.]</w:t>
      </w:r>
    </w:p>
    <w:p>
      <w:pPr>
        <w:pStyle w:val="Heading4"/>
      </w:pPr>
      <w:bookmarkStart w:id="254" w:name="_Toc83204650"/>
      <w:bookmarkStart w:id="255" w:name="_Toc83205373"/>
      <w:bookmarkStart w:id="256" w:name="_Toc83212562"/>
      <w:bookmarkStart w:id="257" w:name="_Toc462824041"/>
      <w:bookmarkStart w:id="258" w:name="_Toc462824895"/>
      <w:bookmarkStart w:id="259" w:name="_Toc472608295"/>
      <w:bookmarkStart w:id="260" w:name="_Toc475546006"/>
      <w:bookmarkStart w:id="261" w:name="_Toc485297097"/>
      <w:bookmarkStart w:id="262" w:name="_Toc485297950"/>
      <w:bookmarkStart w:id="263" w:name="_Toc485298021"/>
      <w:bookmarkStart w:id="264" w:name="_Toc485385457"/>
      <w:bookmarkStart w:id="265" w:name="_Toc485385995"/>
      <w:bookmarkStart w:id="266" w:name="_Toc486405602"/>
      <w:bookmarkStart w:id="267" w:name="_Toc486405672"/>
      <w:bookmarkStart w:id="268" w:name="_Toc486405766"/>
      <w:bookmarkStart w:id="269" w:name="_Toc486589102"/>
      <w:r>
        <w:t>Subdivision 3 — Criteria for supports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Gazette 30 Jun 2014 p. 2408.]</w:t>
      </w:r>
    </w:p>
    <w:p>
      <w:pPr>
        <w:pStyle w:val="Heading5"/>
      </w:pPr>
      <w:bookmarkStart w:id="270" w:name="_Toc83212563"/>
      <w:bookmarkStart w:id="271" w:name="_Toc486589103"/>
      <w:r>
        <w:rPr>
          <w:rStyle w:val="CharSectno"/>
        </w:rPr>
        <w:t>28</w:t>
      </w:r>
      <w:r>
        <w:t>.</w:t>
      </w:r>
      <w:r>
        <w:tab/>
        <w:t xml:space="preserve">General criteria for supports (NDIS rules 5.1 </w:t>
      </w:r>
      <w:r>
        <w:noBreakHyphen/>
        <w:t xml:space="preserve"> 5.3)</w:t>
      </w:r>
      <w:bookmarkEnd w:id="270"/>
      <w:bookmarkEnd w:id="271"/>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Gazette 30 Jun 2014 p. 2408-9.]</w:t>
      </w:r>
    </w:p>
    <w:p>
      <w:pPr>
        <w:pStyle w:val="Heading3"/>
      </w:pPr>
      <w:bookmarkStart w:id="272" w:name="_Toc83204652"/>
      <w:bookmarkStart w:id="273" w:name="_Toc83205375"/>
      <w:bookmarkStart w:id="274" w:name="_Toc83212564"/>
      <w:bookmarkStart w:id="275" w:name="_Toc462824043"/>
      <w:bookmarkStart w:id="276" w:name="_Toc462824897"/>
      <w:bookmarkStart w:id="277" w:name="_Toc472608297"/>
      <w:bookmarkStart w:id="278" w:name="_Toc475546008"/>
      <w:bookmarkStart w:id="279" w:name="_Toc485297099"/>
      <w:bookmarkStart w:id="280" w:name="_Toc485297952"/>
      <w:bookmarkStart w:id="281" w:name="_Toc485298023"/>
      <w:bookmarkStart w:id="282" w:name="_Toc485385459"/>
      <w:bookmarkStart w:id="283" w:name="_Toc485385997"/>
      <w:bookmarkStart w:id="284" w:name="_Toc486405604"/>
      <w:bookmarkStart w:id="285" w:name="_Toc486405674"/>
      <w:bookmarkStart w:id="286" w:name="_Toc486405768"/>
      <w:bookmarkStart w:id="287" w:name="_Toc486589104"/>
      <w:r>
        <w:rPr>
          <w:rStyle w:val="CharDivNo"/>
        </w:rPr>
        <w:t>Division 4</w:t>
      </w:r>
      <w:r>
        <w:t> — </w:t>
      </w:r>
      <w:r>
        <w:rPr>
          <w:rStyle w:val="CharDivText"/>
        </w:rPr>
        <w:t>Supports for participants — accounting for compensation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Gazette 30 Jun 2014 p. 2409.]</w:t>
      </w:r>
    </w:p>
    <w:p>
      <w:pPr>
        <w:pStyle w:val="Heading4"/>
      </w:pPr>
      <w:bookmarkStart w:id="288" w:name="_Toc83204653"/>
      <w:bookmarkStart w:id="289" w:name="_Toc83205376"/>
      <w:bookmarkStart w:id="290" w:name="_Toc83212565"/>
      <w:bookmarkStart w:id="291" w:name="_Toc462824044"/>
      <w:bookmarkStart w:id="292" w:name="_Toc462824898"/>
      <w:bookmarkStart w:id="293" w:name="_Toc472608298"/>
      <w:bookmarkStart w:id="294" w:name="_Toc475546009"/>
      <w:bookmarkStart w:id="295" w:name="_Toc485297100"/>
      <w:bookmarkStart w:id="296" w:name="_Toc485297953"/>
      <w:bookmarkStart w:id="297" w:name="_Toc485298024"/>
      <w:bookmarkStart w:id="298" w:name="_Toc485385460"/>
      <w:bookmarkStart w:id="299" w:name="_Toc485385998"/>
      <w:bookmarkStart w:id="300" w:name="_Toc486405605"/>
      <w:bookmarkStart w:id="301" w:name="_Toc486405675"/>
      <w:bookmarkStart w:id="302" w:name="_Toc486405769"/>
      <w:bookmarkStart w:id="303" w:name="_Toc486589105"/>
      <w:r>
        <w:t>Subdivision 1 — General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Gazette 30 Jun 2014 p. 2409.]</w:t>
      </w:r>
    </w:p>
    <w:p>
      <w:pPr>
        <w:pStyle w:val="Heading5"/>
      </w:pPr>
      <w:bookmarkStart w:id="304" w:name="_Toc83212566"/>
      <w:bookmarkStart w:id="305" w:name="_Toc486589106"/>
      <w:r>
        <w:rPr>
          <w:rStyle w:val="CharSectno"/>
        </w:rPr>
        <w:t>29</w:t>
      </w:r>
      <w:r>
        <w:t>.</w:t>
      </w:r>
      <w:r>
        <w:tab/>
        <w:t>Terms used</w:t>
      </w:r>
      <w:bookmarkEnd w:id="304"/>
      <w:bookmarkEnd w:id="305"/>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Gazette 30 Jun 2014 p. 2409-10.]</w:t>
      </w:r>
    </w:p>
    <w:p>
      <w:pPr>
        <w:pStyle w:val="Heading5"/>
      </w:pPr>
      <w:bookmarkStart w:id="306" w:name="_Toc83212567"/>
      <w:bookmarkStart w:id="307" w:name="_Toc486589107"/>
      <w:r>
        <w:rPr>
          <w:rStyle w:val="CharSectno"/>
        </w:rPr>
        <w:t>30</w:t>
      </w:r>
      <w:r>
        <w:t>.</w:t>
      </w:r>
      <w:r>
        <w:tab/>
        <w:t>References in regulation headings to comparable Commonwealth rules</w:t>
      </w:r>
      <w:bookmarkEnd w:id="306"/>
      <w:bookmarkEnd w:id="30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Gazette 30 Jun 2014 p. 2410.]</w:t>
      </w:r>
    </w:p>
    <w:p>
      <w:pPr>
        <w:pStyle w:val="Heading4"/>
      </w:pPr>
      <w:bookmarkStart w:id="308" w:name="_Toc83204656"/>
      <w:bookmarkStart w:id="309" w:name="_Toc83205379"/>
      <w:bookmarkStart w:id="310" w:name="_Toc83212568"/>
      <w:bookmarkStart w:id="311" w:name="_Toc462824047"/>
      <w:bookmarkStart w:id="312" w:name="_Toc462824901"/>
      <w:bookmarkStart w:id="313" w:name="_Toc472608301"/>
      <w:bookmarkStart w:id="314" w:name="_Toc475546012"/>
      <w:bookmarkStart w:id="315" w:name="_Toc485297103"/>
      <w:bookmarkStart w:id="316" w:name="_Toc485297956"/>
      <w:bookmarkStart w:id="317" w:name="_Toc485298027"/>
      <w:bookmarkStart w:id="318" w:name="_Toc485385463"/>
      <w:bookmarkStart w:id="319" w:name="_Toc485386001"/>
      <w:bookmarkStart w:id="320" w:name="_Toc486405608"/>
      <w:bookmarkStart w:id="321" w:name="_Toc486405678"/>
      <w:bookmarkStart w:id="322" w:name="_Toc486405772"/>
      <w:bookmarkStart w:id="323" w:name="_Toc486589108"/>
      <w:r>
        <w:t>Subdivision 2 — Compensation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Gazette 30 Jun 2014 p. 2410.]</w:t>
      </w:r>
    </w:p>
    <w:p>
      <w:pPr>
        <w:pStyle w:val="Heading5"/>
      </w:pPr>
      <w:bookmarkStart w:id="324" w:name="_Toc83212569"/>
      <w:bookmarkStart w:id="325" w:name="_Toc486589109"/>
      <w:r>
        <w:rPr>
          <w:rStyle w:val="CharSectno"/>
        </w:rPr>
        <w:t>31</w:t>
      </w:r>
      <w:r>
        <w:t>.</w:t>
      </w:r>
      <w:r>
        <w:tab/>
        <w:t>Application of Division (NDIS rules 3.1 and 3.2)</w:t>
      </w:r>
      <w:bookmarkEnd w:id="324"/>
      <w:bookmarkEnd w:id="325"/>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Gazette 30 Jun 2014 p. 2410-12.]</w:t>
      </w:r>
    </w:p>
    <w:p>
      <w:pPr>
        <w:pStyle w:val="Heading5"/>
        <w:spacing w:before="260"/>
      </w:pPr>
      <w:bookmarkStart w:id="326" w:name="_Toc83212570"/>
      <w:bookmarkStart w:id="327" w:name="_Toc486589110"/>
      <w:r>
        <w:rPr>
          <w:rStyle w:val="CharSectno"/>
        </w:rPr>
        <w:t>32</w:t>
      </w:r>
      <w:r>
        <w:t>.</w:t>
      </w:r>
      <w:r>
        <w:tab/>
        <w:t>Periodic payments (NDIS rule 3.3)</w:t>
      </w:r>
      <w:bookmarkEnd w:id="326"/>
      <w:bookmarkEnd w:id="327"/>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Gazette 30 Jun 2014 p. 2412-13.]</w:t>
      </w:r>
    </w:p>
    <w:p>
      <w:pPr>
        <w:pStyle w:val="Heading4"/>
      </w:pPr>
      <w:bookmarkStart w:id="328" w:name="_Toc83204659"/>
      <w:bookmarkStart w:id="329" w:name="_Toc83205382"/>
      <w:bookmarkStart w:id="330" w:name="_Toc83212571"/>
      <w:bookmarkStart w:id="331" w:name="_Toc462824050"/>
      <w:bookmarkStart w:id="332" w:name="_Toc462824904"/>
      <w:bookmarkStart w:id="333" w:name="_Toc472608304"/>
      <w:bookmarkStart w:id="334" w:name="_Toc475546015"/>
      <w:bookmarkStart w:id="335" w:name="_Toc485297106"/>
      <w:bookmarkStart w:id="336" w:name="_Toc485297959"/>
      <w:bookmarkStart w:id="337" w:name="_Toc485298030"/>
      <w:bookmarkStart w:id="338" w:name="_Toc485385466"/>
      <w:bookmarkStart w:id="339" w:name="_Toc485386004"/>
      <w:bookmarkStart w:id="340" w:name="_Toc486405611"/>
      <w:bookmarkStart w:id="341" w:name="_Toc486405681"/>
      <w:bookmarkStart w:id="342" w:name="_Toc486405775"/>
      <w:bookmarkStart w:id="343" w:name="_Toc486589111"/>
      <w:r>
        <w:t>Subdivision 3 — Compensation, or foregone compensation, to be taken into account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Gazette 30 Jun 2014 p. 2413.]</w:t>
      </w:r>
    </w:p>
    <w:p>
      <w:pPr>
        <w:pStyle w:val="Heading5"/>
      </w:pPr>
      <w:bookmarkStart w:id="344" w:name="_Toc83212572"/>
      <w:bookmarkStart w:id="345" w:name="_Toc486589112"/>
      <w:r>
        <w:rPr>
          <w:rStyle w:val="CharSectno"/>
        </w:rPr>
        <w:t>33</w:t>
      </w:r>
      <w:r>
        <w:t>.</w:t>
      </w:r>
      <w:r>
        <w:tab/>
        <w:t>Funding to be reduced by compensation reduction amount (NDIS rules 3.5 and 3.6)</w:t>
      </w:r>
      <w:bookmarkEnd w:id="344"/>
      <w:bookmarkEnd w:id="345"/>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Gazette 30 Jun 2014 p. 2413.]</w:t>
      </w:r>
    </w:p>
    <w:p>
      <w:pPr>
        <w:pStyle w:val="Heading5"/>
      </w:pPr>
      <w:bookmarkStart w:id="346" w:name="_Toc83212573"/>
      <w:bookmarkStart w:id="347" w:name="_Toc486589113"/>
      <w:r>
        <w:rPr>
          <w:rStyle w:val="CharSectno"/>
        </w:rPr>
        <w:t>34</w:t>
      </w:r>
      <w:r>
        <w:t>.</w:t>
      </w:r>
      <w:r>
        <w:tab/>
        <w:t>Reduction may be amortised (NDIS rule 3.7)</w:t>
      </w:r>
      <w:bookmarkEnd w:id="346"/>
      <w:bookmarkEnd w:id="347"/>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Gazette 30 Jun 2014 p. 2413-14.]</w:t>
      </w:r>
    </w:p>
    <w:p>
      <w:pPr>
        <w:pStyle w:val="Heading5"/>
      </w:pPr>
      <w:bookmarkStart w:id="348" w:name="_Toc83212574"/>
      <w:bookmarkStart w:id="349" w:name="_Toc486589114"/>
      <w:r>
        <w:rPr>
          <w:rStyle w:val="CharSectno"/>
        </w:rPr>
        <w:t>35</w:t>
      </w:r>
      <w:r>
        <w:t>.</w:t>
      </w:r>
      <w:r>
        <w:tab/>
        <w:t>Commission may advise person as to likely compensation reduction amount (NDIS rule 3.8)</w:t>
      </w:r>
      <w:bookmarkEnd w:id="348"/>
      <w:bookmarkEnd w:id="349"/>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Gazette 30 Jun 2014 p. 2414.]</w:t>
      </w:r>
    </w:p>
    <w:p>
      <w:pPr>
        <w:pStyle w:val="Heading5"/>
      </w:pPr>
      <w:bookmarkStart w:id="350" w:name="_Toc83212575"/>
      <w:bookmarkStart w:id="351" w:name="_Toc486589115"/>
      <w:r>
        <w:rPr>
          <w:rStyle w:val="CharSectno"/>
        </w:rPr>
        <w:t>36</w:t>
      </w:r>
      <w:r>
        <w:t>.</w:t>
      </w:r>
      <w:r>
        <w:tab/>
        <w:t>Special circumstances (NDIS rule 3.10)</w:t>
      </w:r>
      <w:bookmarkEnd w:id="350"/>
      <w:bookmarkEnd w:id="351"/>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Gazette 30 Jun 2014 p. 2414.]</w:t>
      </w:r>
    </w:p>
    <w:p>
      <w:pPr>
        <w:pStyle w:val="Heading4"/>
      </w:pPr>
      <w:bookmarkStart w:id="352" w:name="_Toc83204664"/>
      <w:bookmarkStart w:id="353" w:name="_Toc83205387"/>
      <w:bookmarkStart w:id="354" w:name="_Toc83212576"/>
      <w:bookmarkStart w:id="355" w:name="_Toc462824055"/>
      <w:bookmarkStart w:id="356" w:name="_Toc462824909"/>
      <w:bookmarkStart w:id="357" w:name="_Toc472608309"/>
      <w:bookmarkStart w:id="358" w:name="_Toc475546020"/>
      <w:bookmarkStart w:id="359" w:name="_Toc485297111"/>
      <w:bookmarkStart w:id="360" w:name="_Toc485297964"/>
      <w:bookmarkStart w:id="361" w:name="_Toc485298035"/>
      <w:bookmarkStart w:id="362" w:name="_Toc485385471"/>
      <w:bookmarkStart w:id="363" w:name="_Toc485386009"/>
      <w:bookmarkStart w:id="364" w:name="_Toc486405616"/>
      <w:bookmarkStart w:id="365" w:name="_Toc486405686"/>
      <w:bookmarkStart w:id="366" w:name="_Toc486405780"/>
      <w:bookmarkStart w:id="367" w:name="_Toc486589116"/>
      <w:r>
        <w:t>Subdivision 4 — Compensation reduction amount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pPr>
      <w:r>
        <w:tab/>
        <w:t>[Heading inserted: Gazette 30 Jun 2014 p. 2415.]</w:t>
      </w:r>
    </w:p>
    <w:p>
      <w:pPr>
        <w:pStyle w:val="Heading5"/>
      </w:pPr>
      <w:bookmarkStart w:id="368" w:name="_Toc83212577"/>
      <w:bookmarkStart w:id="369" w:name="_Toc486589117"/>
      <w:r>
        <w:rPr>
          <w:rStyle w:val="CharSectno"/>
        </w:rPr>
        <w:t>37</w:t>
      </w:r>
      <w:r>
        <w:t>.</w:t>
      </w:r>
      <w:r>
        <w:tab/>
        <w:t>Compensation reduction amount — support component objectively identified (NDIS rules 3.11 and 3.12)</w:t>
      </w:r>
      <w:bookmarkEnd w:id="368"/>
      <w:bookmarkEnd w:id="369"/>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Gazette 30 Jun 2014 p. 2415.]</w:t>
      </w:r>
    </w:p>
    <w:p>
      <w:pPr>
        <w:pStyle w:val="Heading5"/>
      </w:pPr>
      <w:bookmarkStart w:id="370" w:name="_Toc83212578"/>
      <w:bookmarkStart w:id="371" w:name="_Toc486589118"/>
      <w:r>
        <w:rPr>
          <w:rStyle w:val="CharSectno"/>
        </w:rPr>
        <w:t>38</w:t>
      </w:r>
      <w:r>
        <w:t>.</w:t>
      </w:r>
      <w:r>
        <w:tab/>
        <w:t xml:space="preserve">Compensation reduction amount — other circumstances (NDIS rules 3.13 </w:t>
      </w:r>
      <w:r>
        <w:noBreakHyphen/>
        <w:t xml:space="preserve"> 3.16)</w:t>
      </w:r>
      <w:bookmarkEnd w:id="370"/>
      <w:bookmarkEnd w:id="371"/>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Gazette 30 Jun 2014 p. 2415-18.]</w:t>
      </w:r>
    </w:p>
    <w:p>
      <w:pPr>
        <w:pStyle w:val="Heading5"/>
        <w:keepLines w:val="0"/>
      </w:pPr>
      <w:bookmarkStart w:id="372" w:name="_Toc83212579"/>
      <w:bookmarkStart w:id="373" w:name="_Toc486589119"/>
      <w:r>
        <w:rPr>
          <w:rStyle w:val="CharSectno"/>
        </w:rPr>
        <w:t>39</w:t>
      </w:r>
      <w:r>
        <w:t>.</w:t>
      </w:r>
      <w:r>
        <w:tab/>
        <w:t>Compensation reduction amount — participant in a Commonwealth, State or Territory statutory insurance scheme (NDIS rules 3.17 and 3.18)</w:t>
      </w:r>
      <w:bookmarkEnd w:id="372"/>
      <w:bookmarkEnd w:id="373"/>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Gazette 30 Jun 2014 p. 2418.]</w:t>
      </w:r>
    </w:p>
    <w:p>
      <w:pPr>
        <w:pStyle w:val="Heading5"/>
      </w:pPr>
      <w:bookmarkStart w:id="374" w:name="_Toc83212580"/>
      <w:bookmarkStart w:id="375" w:name="_Toc486589120"/>
      <w:r>
        <w:rPr>
          <w:rStyle w:val="CharSectno"/>
        </w:rPr>
        <w:t>40</w:t>
      </w:r>
      <w:r>
        <w:t>.</w:t>
      </w:r>
      <w:r>
        <w:tab/>
        <w:t xml:space="preserve">Compensation reduction amount — agreement to give up compensation (NDIS rules 3.19 </w:t>
      </w:r>
      <w:r>
        <w:noBreakHyphen/>
        <w:t xml:space="preserve"> 3.21)</w:t>
      </w:r>
      <w:bookmarkEnd w:id="374"/>
      <w:bookmarkEnd w:id="375"/>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Gazette 30 Jun 2014 p. 2419-20.]</w:t>
      </w:r>
    </w:p>
    <w:p>
      <w:pPr>
        <w:pStyle w:val="Heading2"/>
        <w:rPr>
          <w:rStyle w:val="CharPartText"/>
        </w:rPr>
      </w:pPr>
      <w:bookmarkStart w:id="376" w:name="_Toc83204669"/>
      <w:bookmarkStart w:id="377" w:name="_Toc83205392"/>
      <w:bookmarkStart w:id="378" w:name="_Toc83212581"/>
      <w:bookmarkStart w:id="379" w:name="_Toc462824060"/>
      <w:bookmarkStart w:id="380" w:name="_Toc462824914"/>
      <w:bookmarkStart w:id="381" w:name="_Toc472608314"/>
      <w:bookmarkStart w:id="382" w:name="_Toc475546025"/>
      <w:bookmarkStart w:id="383" w:name="_Toc485297116"/>
      <w:bookmarkStart w:id="384" w:name="_Toc485297969"/>
      <w:bookmarkStart w:id="385" w:name="_Toc485298040"/>
      <w:bookmarkStart w:id="386" w:name="_Toc485385476"/>
      <w:bookmarkStart w:id="387" w:name="_Toc485386014"/>
      <w:bookmarkStart w:id="388" w:name="_Toc486405621"/>
      <w:bookmarkStart w:id="389" w:name="_Toc486405691"/>
      <w:bookmarkStart w:id="390" w:name="_Toc486405785"/>
      <w:bookmarkStart w:id="391" w:name="_Toc486589121"/>
      <w:r>
        <w:rPr>
          <w:rStyle w:val="CharPartNo"/>
        </w:rPr>
        <w:t>Part 3</w:t>
      </w:r>
      <w:r>
        <w:rPr>
          <w:rStyle w:val="CharDivNo"/>
        </w:rPr>
        <w:t> </w:t>
      </w:r>
      <w:r>
        <w:t>—</w:t>
      </w:r>
      <w:r>
        <w:rPr>
          <w:rStyle w:val="CharDivText"/>
        </w:rPr>
        <w:t> </w:t>
      </w:r>
      <w:r>
        <w:rPr>
          <w:rStyle w:val="CharPartText"/>
        </w:rPr>
        <w:t>Complaints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Gazette 17 Jul 2015 p. 2915.]</w:t>
      </w:r>
    </w:p>
    <w:p>
      <w:pPr>
        <w:pStyle w:val="Heading5"/>
        <w:rPr>
          <w:ins w:id="392" w:author="Master Repository Process" w:date="2021-09-24T11:43:00Z"/>
        </w:rPr>
      </w:pPr>
      <w:bookmarkStart w:id="393" w:name="_Toc83212582"/>
      <w:ins w:id="394" w:author="Master Repository Process" w:date="2021-09-24T11:43:00Z">
        <w:r>
          <w:rPr>
            <w:rStyle w:val="CharSectno"/>
          </w:rPr>
          <w:t>40A</w:t>
        </w:r>
        <w:r>
          <w:t>.</w:t>
        </w:r>
        <w:r>
          <w:tab/>
          <w:t xml:space="preserve">Services excluded from definitions of </w:t>
        </w:r>
        <w:r>
          <w:rPr>
            <w:i/>
          </w:rPr>
          <w:t>disability service</w:t>
        </w:r>
        <w:r>
          <w:t xml:space="preserve"> and </w:t>
        </w:r>
        <w:r>
          <w:rPr>
            <w:i/>
          </w:rPr>
          <w:t>resident service</w:t>
        </w:r>
        <w:r>
          <w:t xml:space="preserve"> (s. 30)</w:t>
        </w:r>
        <w:bookmarkEnd w:id="393"/>
      </w:ins>
    </w:p>
    <w:p>
      <w:pPr>
        <w:pStyle w:val="Subsection"/>
        <w:rPr>
          <w:ins w:id="395" w:author="Master Repository Process" w:date="2021-09-24T11:43:00Z"/>
        </w:rPr>
      </w:pPr>
      <w:ins w:id="396" w:author="Master Repository Process" w:date="2021-09-24T11:43:00Z">
        <w:r>
          <w:tab/>
        </w:r>
        <w:r>
          <w:tab/>
          <w:t xml:space="preserve">The following services are excluded from the definitions of </w:t>
        </w:r>
        <w:r>
          <w:rPr>
            <w:b/>
            <w:i/>
          </w:rPr>
          <w:t>disability service</w:t>
        </w:r>
        <w:r>
          <w:t xml:space="preserve"> and </w:t>
        </w:r>
        <w:r>
          <w:rPr>
            <w:b/>
            <w:i/>
          </w:rPr>
          <w:t>resident service</w:t>
        </w:r>
        <w:r>
          <w:t xml:space="preserve"> in section 30 of the Act — </w:t>
        </w:r>
      </w:ins>
    </w:p>
    <w:p>
      <w:pPr>
        <w:pStyle w:val="Indenta"/>
        <w:rPr>
          <w:ins w:id="397" w:author="Master Repository Process" w:date="2021-09-24T11:43:00Z"/>
        </w:rPr>
      </w:pPr>
      <w:ins w:id="398" w:author="Master Repository Process" w:date="2021-09-24T11:43:00Z">
        <w:r>
          <w:tab/>
          <w:t>(a)</w:t>
        </w:r>
        <w:r>
          <w:tab/>
          <w:t xml:space="preserve">a service provided under the National Disability Insurance Scheme by an NDIS provider (as those terms are defined in the </w:t>
        </w:r>
        <w:r>
          <w:rPr>
            <w:i/>
          </w:rPr>
          <w:t>National Disability Insurance Scheme Act 2013</w:t>
        </w:r>
        <w:r>
          <w:t xml:space="preserve"> (Commonwealth) section 9);</w:t>
        </w:r>
      </w:ins>
    </w:p>
    <w:p>
      <w:pPr>
        <w:pStyle w:val="Indenta"/>
        <w:rPr>
          <w:ins w:id="399" w:author="Master Repository Process" w:date="2021-09-24T11:43:00Z"/>
        </w:rPr>
      </w:pPr>
      <w:ins w:id="400" w:author="Master Repository Process" w:date="2021-09-24T11:43:00Z">
        <w:r>
          <w:tab/>
          <w:t>(b)</w:t>
        </w:r>
        <w:r>
          <w:tab/>
          <w:t xml:space="preserve">a service provided by a person or entity who falls within paragraph (b) of the definition of NDIS provider in the </w:t>
        </w:r>
        <w:r>
          <w:rPr>
            <w:i/>
          </w:rPr>
          <w:t>National Disability Insurance Scheme Act 2013</w:t>
        </w:r>
        <w:r>
          <w:t xml:space="preserve"> (Commonwealth) section 9, to a person receiving continuity of support under the programs mentioned in the </w:t>
        </w:r>
        <w:r>
          <w:rPr>
            <w:i/>
          </w:rPr>
          <w:t>National Disability Insurance Scheme (NDIS Provider Definition) Rule 2018</w:t>
        </w:r>
        <w:r>
          <w:t xml:space="preserve"> (Commonwealth) section 5.</w:t>
        </w:r>
      </w:ins>
    </w:p>
    <w:p>
      <w:pPr>
        <w:pStyle w:val="Footnotesection"/>
        <w:rPr>
          <w:ins w:id="401" w:author="Master Repository Process" w:date="2021-09-24T11:43:00Z"/>
        </w:rPr>
      </w:pPr>
      <w:ins w:id="402" w:author="Master Repository Process" w:date="2021-09-24T11:43:00Z">
        <w:r>
          <w:tab/>
          <w:t>[Regulation 40A inserted: SL 2021/165 r. 4.]</w:t>
        </w:r>
      </w:ins>
    </w:p>
    <w:p>
      <w:pPr>
        <w:pStyle w:val="Heading5"/>
      </w:pPr>
      <w:bookmarkStart w:id="403" w:name="_Toc83212583"/>
      <w:bookmarkStart w:id="404" w:name="_Toc486589122"/>
      <w:r>
        <w:rPr>
          <w:rStyle w:val="CharSectno"/>
        </w:rPr>
        <w:t>41</w:t>
      </w:r>
      <w:r>
        <w:t>.</w:t>
      </w:r>
      <w:r>
        <w:tab/>
        <w:t>Return of complaints received (s. 48A)</w:t>
      </w:r>
      <w:bookmarkEnd w:id="403"/>
      <w:bookmarkEnd w:id="404"/>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keepNext/>
      </w:pPr>
      <w:r>
        <w:tab/>
        <w:t>(3)</w:t>
      </w:r>
      <w:r>
        <w:tab/>
        <w:t>For the purposes of section 48A(2) of the Act, the form set out in Schedule 4 Division 2 is prescribed as the form of the return given under subregulation (2).</w:t>
      </w:r>
    </w:p>
    <w:p>
      <w:pPr>
        <w:pStyle w:val="Footnotesection"/>
      </w:pPr>
      <w:r>
        <w:tab/>
        <w:t>[Regulation 41 inserted: Gazette 17 Jul 2015 p. 2915</w:t>
      </w:r>
      <w:r>
        <w:noBreakHyphen/>
        <w:t>16.]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5" w:name="_Toc83204671"/>
      <w:bookmarkStart w:id="406" w:name="_Toc83205395"/>
      <w:bookmarkStart w:id="407" w:name="_Toc83212584"/>
      <w:bookmarkStart w:id="408" w:name="_Toc462824062"/>
      <w:bookmarkStart w:id="409" w:name="_Toc462824916"/>
      <w:bookmarkStart w:id="410" w:name="_Toc472608316"/>
      <w:bookmarkStart w:id="411" w:name="_Toc475546027"/>
      <w:bookmarkStart w:id="412" w:name="_Toc485297118"/>
      <w:bookmarkStart w:id="413" w:name="_Toc485297971"/>
      <w:bookmarkStart w:id="414" w:name="_Toc485298042"/>
      <w:bookmarkStart w:id="415" w:name="_Toc485385478"/>
      <w:bookmarkStart w:id="416" w:name="_Toc485386016"/>
      <w:bookmarkStart w:id="417" w:name="_Toc486405623"/>
      <w:bookmarkStart w:id="418" w:name="_Toc486405693"/>
      <w:bookmarkStart w:id="419" w:name="_Toc486405787"/>
      <w:bookmarkStart w:id="420" w:name="_Toc486589123"/>
      <w:r>
        <w:rPr>
          <w:rStyle w:val="CharSchNo"/>
        </w:rPr>
        <w:t>Schedule 1</w:t>
      </w:r>
      <w:r>
        <w:t> — </w:t>
      </w:r>
      <w:r>
        <w:rPr>
          <w:rStyle w:val="CharSchText"/>
        </w:rPr>
        <w:t>Public authorities to which Part 5 applies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ShoulderClause"/>
      </w:pPr>
      <w:r>
        <w:t>[r. 6]</w:t>
      </w:r>
    </w:p>
    <w:p>
      <w:pPr>
        <w:pStyle w:val="yFootnoteheading"/>
      </w:pPr>
      <w:r>
        <w:tab/>
        <w:t>[Heading inserted: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Curtin University of Technology Act 1966</w:t>
      </w:r>
      <w:r>
        <w:t>.</w:t>
      </w:r>
    </w:p>
    <w:p>
      <w:pPr>
        <w:pStyle w:val="yNumberedItem"/>
      </w:pPr>
      <w:r>
        <w:t>6.</w:t>
      </w:r>
      <w:r>
        <w:tab/>
        <w:t xml:space="preserve">Edith Cowan University established under the </w:t>
      </w:r>
      <w:r>
        <w:rPr>
          <w:i/>
        </w:rPr>
        <w:t>Edith Cowan University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r>
        <w:rPr>
          <w:i/>
        </w:rPr>
        <w:t>Forest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Western Australia established under the </w:t>
      </w:r>
      <w:r>
        <w:rPr>
          <w:i/>
        </w:rPr>
        <w:t>Heritage of Western Australia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Western Australia established under the </w:t>
      </w:r>
      <w:r>
        <w:rPr>
          <w:i/>
        </w:rPr>
        <w:t>Legal Aid Commission Act 1976</w:t>
      </w:r>
      <w:r>
        <w:t>.</w:t>
      </w:r>
    </w:p>
    <w:p>
      <w:pPr>
        <w:pStyle w:val="yNumberedItem"/>
      </w:pPr>
      <w:r>
        <w:t>16.</w:t>
      </w:r>
      <w:r>
        <w:tab/>
        <w:t xml:space="preserve">Murdoch University established under the </w:t>
      </w:r>
      <w:r>
        <w:rPr>
          <w:i/>
        </w:rPr>
        <w:t>Murdoch University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Western Australia established under the </w:t>
      </w:r>
      <w:r>
        <w:rPr>
          <w:i/>
        </w:rPr>
        <w:t>University of Western Australia Act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Gazette 11 Jun 2013 p. 2163</w:t>
      </w:r>
      <w:r>
        <w:noBreakHyphen/>
        <w:t>4; amended: Gazette 27 Dec 2013 p. 6472; 24 Jun 2016 p. 2311; 26 Aug 2016 p. 3653.]</w:t>
      </w:r>
    </w:p>
    <w:p>
      <w:pPr>
        <w:pStyle w:val="yScheduleHeading"/>
      </w:pPr>
      <w:bookmarkStart w:id="421" w:name="_Toc83204672"/>
      <w:bookmarkStart w:id="422" w:name="_Toc83205396"/>
      <w:bookmarkStart w:id="423" w:name="_Toc83212585"/>
      <w:bookmarkStart w:id="424" w:name="_Toc462824063"/>
      <w:bookmarkStart w:id="425" w:name="_Toc462824917"/>
      <w:bookmarkStart w:id="426" w:name="_Toc472608317"/>
      <w:bookmarkStart w:id="427" w:name="_Toc475546028"/>
      <w:bookmarkStart w:id="428" w:name="_Toc485297119"/>
      <w:bookmarkStart w:id="429" w:name="_Toc485297972"/>
      <w:bookmarkStart w:id="430" w:name="_Toc485298043"/>
      <w:bookmarkStart w:id="431" w:name="_Toc485385479"/>
      <w:bookmarkStart w:id="432" w:name="_Toc485386017"/>
      <w:bookmarkStart w:id="433" w:name="_Toc486405624"/>
      <w:bookmarkStart w:id="434" w:name="_Toc486405694"/>
      <w:bookmarkStart w:id="435" w:name="_Toc486405788"/>
      <w:bookmarkStart w:id="436" w:name="_Toc486589124"/>
      <w:r>
        <w:rPr>
          <w:rStyle w:val="CharSchNo"/>
        </w:rPr>
        <w:t>Schedule 2</w:t>
      </w:r>
      <w:r>
        <w:t> — </w:t>
      </w:r>
      <w:r>
        <w:rPr>
          <w:rStyle w:val="CharSchText"/>
        </w:rPr>
        <w:t>Standards for disability access and inclusion plans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Gazette 11 Jun 2013 p. 2164-5; 11 Jun 2013 p. 2164.]</w:t>
      </w:r>
    </w:p>
    <w:p>
      <w:pPr>
        <w:pStyle w:val="yScheduleHeading"/>
      </w:pPr>
      <w:bookmarkStart w:id="437" w:name="_Toc83204673"/>
      <w:bookmarkStart w:id="438" w:name="_Toc83205397"/>
      <w:bookmarkStart w:id="439" w:name="_Toc83212586"/>
      <w:bookmarkStart w:id="440" w:name="_Toc462824064"/>
      <w:bookmarkStart w:id="441" w:name="_Toc462824918"/>
      <w:bookmarkStart w:id="442" w:name="_Toc472608318"/>
      <w:bookmarkStart w:id="443" w:name="_Toc475546029"/>
      <w:bookmarkStart w:id="444" w:name="_Toc485297120"/>
      <w:bookmarkStart w:id="445" w:name="_Toc485297973"/>
      <w:bookmarkStart w:id="446" w:name="_Toc485298044"/>
      <w:bookmarkStart w:id="447" w:name="_Toc485385480"/>
      <w:bookmarkStart w:id="448" w:name="_Toc485386018"/>
      <w:bookmarkStart w:id="449" w:name="_Toc486405625"/>
      <w:bookmarkStart w:id="450" w:name="_Toc486405695"/>
      <w:bookmarkStart w:id="451" w:name="_Toc486405789"/>
      <w:bookmarkStart w:id="452" w:name="_Toc486589125"/>
      <w:r>
        <w:rPr>
          <w:rStyle w:val="CharSchNo"/>
        </w:rPr>
        <w:t>Schedule 3</w:t>
      </w:r>
      <w:r>
        <w:t> — </w:t>
      </w:r>
      <w:r>
        <w:rPr>
          <w:rStyle w:val="CharSchText"/>
        </w:rPr>
        <w:t>Desired outcomes of disability access and inclusion plans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Gazette 11 Jun 2013 p. 2164</w:t>
      </w:r>
      <w:r>
        <w:noBreakHyphen/>
        <w:t>5.]</w:t>
      </w:r>
    </w:p>
    <w:p>
      <w:pPr>
        <w:pStyle w:val="yScheduleHeading"/>
      </w:pPr>
      <w:bookmarkStart w:id="453" w:name="_Toc83204674"/>
      <w:bookmarkStart w:id="454" w:name="_Toc83205398"/>
      <w:bookmarkStart w:id="455" w:name="_Toc83212587"/>
      <w:bookmarkStart w:id="456" w:name="_Toc462824065"/>
      <w:bookmarkStart w:id="457" w:name="_Toc462824919"/>
      <w:bookmarkStart w:id="458" w:name="_Toc472608319"/>
      <w:bookmarkStart w:id="459" w:name="_Toc475546030"/>
      <w:bookmarkStart w:id="460" w:name="_Toc485297121"/>
      <w:bookmarkStart w:id="461" w:name="_Toc485297974"/>
      <w:bookmarkStart w:id="462" w:name="_Toc485298045"/>
      <w:bookmarkStart w:id="463" w:name="_Toc485385481"/>
      <w:bookmarkStart w:id="464" w:name="_Toc485386019"/>
      <w:bookmarkStart w:id="465" w:name="_Toc486405626"/>
      <w:bookmarkStart w:id="466" w:name="_Toc486405696"/>
      <w:bookmarkStart w:id="467" w:name="_Toc486405790"/>
      <w:bookmarkStart w:id="468" w:name="_Toc486589126"/>
      <w:r>
        <w:rPr>
          <w:rStyle w:val="CharSchNo"/>
        </w:rPr>
        <w:t>Schedule 4</w:t>
      </w:r>
      <w:r>
        <w:t> — </w:t>
      </w:r>
      <w:r>
        <w:rPr>
          <w:rStyle w:val="CharSchText"/>
        </w:rPr>
        <w:t>Prescribed service providers and complaint returns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[r. 41(2) and (3)]</w:t>
      </w:r>
    </w:p>
    <w:p>
      <w:pPr>
        <w:pStyle w:val="yFootnoteheading"/>
      </w:pPr>
      <w:r>
        <w:tab/>
        <w:t>[Heading inserted: Gazette 17 Jul 2015 p. 2916.]</w:t>
      </w:r>
    </w:p>
    <w:p>
      <w:pPr>
        <w:pStyle w:val="yHeading3"/>
      </w:pPr>
      <w:bookmarkStart w:id="469" w:name="_Toc83204675"/>
      <w:bookmarkStart w:id="470" w:name="_Toc83205399"/>
      <w:bookmarkStart w:id="471" w:name="_Toc83212588"/>
      <w:bookmarkStart w:id="472" w:name="_Toc462824066"/>
      <w:bookmarkStart w:id="473" w:name="_Toc462824920"/>
      <w:bookmarkStart w:id="474" w:name="_Toc472608320"/>
      <w:bookmarkStart w:id="475" w:name="_Toc475546031"/>
      <w:bookmarkStart w:id="476" w:name="_Toc485297122"/>
      <w:bookmarkStart w:id="477" w:name="_Toc485297975"/>
      <w:bookmarkStart w:id="478" w:name="_Toc485298046"/>
      <w:bookmarkStart w:id="479" w:name="_Toc485385482"/>
      <w:bookmarkStart w:id="480" w:name="_Toc485386020"/>
      <w:bookmarkStart w:id="481" w:name="_Toc486405627"/>
      <w:bookmarkStart w:id="482" w:name="_Toc486405697"/>
      <w:bookmarkStart w:id="483" w:name="_Toc486405791"/>
      <w:bookmarkStart w:id="484" w:name="_Toc486589127"/>
      <w:r>
        <w:rPr>
          <w:rStyle w:val="CharSDivNo"/>
        </w:rPr>
        <w:t>Division 1</w:t>
      </w:r>
      <w:r>
        <w:t> — </w:t>
      </w:r>
      <w:r>
        <w:rPr>
          <w:rStyle w:val="CharSDivText"/>
        </w:rPr>
        <w:t>Service providers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Footnoteheading"/>
        <w:spacing w:after="120"/>
      </w:pPr>
      <w:r>
        <w:tab/>
        <w:t>[Heading inserted: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Gazette 17 Jul 2015 p. 2916</w:t>
      </w:r>
      <w:r>
        <w:noBreakHyphen/>
        <w:t>17.]</w:t>
      </w:r>
    </w:p>
    <w:p>
      <w:pPr>
        <w:pStyle w:val="yHeading3"/>
      </w:pPr>
      <w:bookmarkStart w:id="485" w:name="_Toc83204676"/>
      <w:bookmarkStart w:id="486" w:name="_Toc83205400"/>
      <w:bookmarkStart w:id="487" w:name="_Toc83212589"/>
      <w:bookmarkStart w:id="488" w:name="_Toc462824067"/>
      <w:bookmarkStart w:id="489" w:name="_Toc462824921"/>
      <w:bookmarkStart w:id="490" w:name="_Toc472608321"/>
      <w:bookmarkStart w:id="491" w:name="_Toc475546032"/>
      <w:bookmarkStart w:id="492" w:name="_Toc485297123"/>
      <w:bookmarkStart w:id="493" w:name="_Toc485297976"/>
      <w:bookmarkStart w:id="494" w:name="_Toc485298047"/>
      <w:bookmarkStart w:id="495" w:name="_Toc485385483"/>
      <w:bookmarkStart w:id="496" w:name="_Toc485386021"/>
      <w:bookmarkStart w:id="497" w:name="_Toc486405628"/>
      <w:bookmarkStart w:id="498" w:name="_Toc486405698"/>
      <w:bookmarkStart w:id="499" w:name="_Toc486405792"/>
      <w:bookmarkStart w:id="500" w:name="_Toc486589128"/>
      <w:r>
        <w:rPr>
          <w:rStyle w:val="CharSDivNo"/>
        </w:rPr>
        <w:t>Division 2</w:t>
      </w:r>
      <w:r>
        <w:t> — </w:t>
      </w:r>
      <w:r>
        <w:rPr>
          <w:rStyle w:val="CharSDivText"/>
        </w:rPr>
        <w:t>Form of complaint return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Footnoteheading"/>
        <w:spacing w:after="120"/>
      </w:pPr>
      <w:r>
        <w:tab/>
        <w:t>[Heading inserted: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 xml:space="preserve">DSC </w:t>
            </w:r>
            <w:r>
              <w:rPr>
                <w:sz w:val="20"/>
              </w:rPr>
              <w:noBreakHyphen/>
              <w:t xml:space="preserve"> WA NDIS trial sites (WA NDIS)</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(WA NDIS),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ins w:id="501" w:author="Master Repository Process" w:date="2021-09-24T11:43:00Z"/>
                <w:sz w:val="20"/>
              </w:rPr>
            </w:pPr>
            <w:ins w:id="502" w:author="Master Repository Process" w:date="2021-09-24T11:43:00Z">
              <w:r>
                <w:rPr>
                  <w:sz w:val="20"/>
                </w:rPr>
                <w:t>4</w:t>
              </w:r>
              <w:r>
                <w:rPr>
                  <w:sz w:val="20"/>
                </w:rPr>
                <w:tab/>
                <w:t>Group homes (usually &lt;7 places) [NMDS code: 1.04]</w:t>
              </w:r>
            </w:ins>
          </w:p>
          <w:p>
            <w:pPr>
              <w:pStyle w:val="yTableNAm"/>
              <w:tabs>
                <w:tab w:val="clear" w:pos="567"/>
              </w:tabs>
              <w:ind w:left="318" w:hanging="318"/>
              <w:rPr>
                <w:ins w:id="503" w:author="Master Repository Process" w:date="2021-09-24T11:43:00Z"/>
                <w:sz w:val="20"/>
              </w:rPr>
            </w:pPr>
            <w:ins w:id="504" w:author="Master Repository Process" w:date="2021-09-24T11:43:00Z">
              <w:r>
                <w:rPr>
                  <w:sz w:val="20"/>
                </w:rPr>
                <w:t>5</w:t>
              </w:r>
              <w:r>
                <w:rPr>
                  <w:sz w:val="20"/>
                </w:rPr>
                <w:tab/>
                <w:t>Attendant care/personal care [NMDS code: 1.05]</w:t>
              </w:r>
            </w:ins>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del w:id="505" w:author="Master Repository Process" w:date="2021-09-24T11:43:00Z"/>
                <w:sz w:val="20"/>
              </w:rPr>
            </w:pPr>
            <w:del w:id="506" w:author="Master Repository Process" w:date="2021-09-24T11:43:00Z">
              <w:r>
                <w:rPr>
                  <w:sz w:val="20"/>
                </w:rPr>
                <w:delText>4</w:delText>
              </w:r>
              <w:r>
                <w:rPr>
                  <w:sz w:val="20"/>
                </w:rPr>
                <w:tab/>
                <w:delText>Group homes (usually &lt;7 places) [NMDS code: 1.04]</w:delText>
              </w:r>
            </w:del>
          </w:p>
          <w:p>
            <w:pPr>
              <w:pStyle w:val="yTableNAm"/>
              <w:tabs>
                <w:tab w:val="clear" w:pos="567"/>
              </w:tabs>
              <w:ind w:left="318" w:hanging="318"/>
              <w:rPr>
                <w:del w:id="507" w:author="Master Repository Process" w:date="2021-09-24T11:43:00Z"/>
                <w:sz w:val="20"/>
              </w:rPr>
            </w:pPr>
            <w:del w:id="508" w:author="Master Repository Process" w:date="2021-09-24T11:43:00Z">
              <w:r>
                <w:rPr>
                  <w:sz w:val="20"/>
                </w:rPr>
                <w:delText>5</w:delText>
              </w:r>
              <w:r>
                <w:rPr>
                  <w:sz w:val="20"/>
                </w:rPr>
                <w:tab/>
                <w:delText>Attendant care/personal care [NMDS code: 1.05]</w:delText>
              </w:r>
            </w:del>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ins w:id="509" w:author="Master Repository Process" w:date="2021-09-24T11:43:00Z"/>
                <w:sz w:val="20"/>
              </w:rPr>
            </w:pPr>
            <w:ins w:id="510" w:author="Master Repository Process" w:date="2021-09-24T11:43:00Z">
              <w:r>
                <w:rPr>
                  <w:sz w:val="20"/>
                </w:rPr>
                <w:t>11</w:t>
              </w:r>
              <w:r>
                <w:rPr>
                  <w:sz w:val="20"/>
                </w:rPr>
                <w:tab/>
                <w:t>Concerns about restrictive practices</w:t>
              </w:r>
            </w:ins>
          </w:p>
          <w:p>
            <w:pPr>
              <w:pStyle w:val="yTableNAm"/>
              <w:tabs>
                <w:tab w:val="clear" w:pos="567"/>
              </w:tabs>
              <w:ind w:left="318" w:hanging="318"/>
              <w:rPr>
                <w:ins w:id="511" w:author="Master Repository Process" w:date="2021-09-24T11:43:00Z"/>
                <w:sz w:val="20"/>
              </w:rPr>
            </w:pPr>
            <w:ins w:id="512" w:author="Master Repository Process" w:date="2021-09-24T11:43:00Z">
              <w:r>
                <w:rPr>
                  <w:sz w:val="20"/>
                </w:rPr>
                <w:t>12</w:t>
              </w:r>
              <w:r>
                <w:rPr>
                  <w:sz w:val="20"/>
                </w:rPr>
                <w:tab/>
                <w:t>Dissatisfied with quality of services provided</w:t>
              </w:r>
            </w:ins>
          </w:p>
          <w:p>
            <w:pPr>
              <w:pStyle w:val="yTableNAm"/>
              <w:tabs>
                <w:tab w:val="clear" w:pos="567"/>
              </w:tabs>
              <w:ind w:left="318" w:hanging="318"/>
              <w:rPr>
                <w:ins w:id="513" w:author="Master Repository Process" w:date="2021-09-24T11:43:00Z"/>
                <w:sz w:val="20"/>
              </w:rPr>
            </w:pPr>
            <w:ins w:id="514" w:author="Master Repository Process" w:date="2021-09-24T11:43:00Z">
              <w:r>
                <w:rPr>
                  <w:sz w:val="20"/>
                </w:rPr>
                <w:t>13</w:t>
              </w:r>
              <w:r>
                <w:rPr>
                  <w:sz w:val="20"/>
                </w:rPr>
                <w:tab/>
                <w:t>Insufficient service/care provided</w:t>
              </w:r>
            </w:ins>
          </w:p>
          <w:p>
            <w:pPr>
              <w:pStyle w:val="yTableNAm"/>
              <w:tabs>
                <w:tab w:val="clear" w:pos="567"/>
              </w:tabs>
              <w:ind w:left="318" w:hanging="318"/>
              <w:rPr>
                <w:ins w:id="515" w:author="Master Repository Process" w:date="2021-09-24T11:43:00Z"/>
                <w:sz w:val="20"/>
              </w:rPr>
            </w:pPr>
            <w:ins w:id="516" w:author="Master Repository Process" w:date="2021-09-24T11:43:00Z">
              <w:r>
                <w:rPr>
                  <w:sz w:val="20"/>
                </w:rPr>
                <w:t>14</w:t>
              </w:r>
              <w:r>
                <w:rPr>
                  <w:sz w:val="20"/>
                </w:rPr>
                <w:tab/>
                <w:t>Concerns that the provider does not encourage people to develop or maintain skills</w:t>
              </w:r>
            </w:ins>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del w:id="517" w:author="Master Repository Process" w:date="2021-09-24T11:43:00Z"/>
                <w:sz w:val="20"/>
              </w:rPr>
            </w:pPr>
            <w:del w:id="518" w:author="Master Repository Process" w:date="2021-09-24T11:43:00Z">
              <w:r>
                <w:rPr>
                  <w:sz w:val="20"/>
                </w:rPr>
                <w:delText>11</w:delText>
              </w:r>
              <w:r>
                <w:rPr>
                  <w:sz w:val="20"/>
                </w:rPr>
                <w:tab/>
                <w:delText>Concerns about restrictive practices</w:delText>
              </w:r>
            </w:del>
          </w:p>
          <w:p>
            <w:pPr>
              <w:pStyle w:val="yTableNAm"/>
              <w:tabs>
                <w:tab w:val="clear" w:pos="567"/>
              </w:tabs>
              <w:ind w:left="318" w:hanging="318"/>
              <w:rPr>
                <w:del w:id="519" w:author="Master Repository Process" w:date="2021-09-24T11:43:00Z"/>
                <w:sz w:val="20"/>
              </w:rPr>
            </w:pPr>
            <w:del w:id="520" w:author="Master Repository Process" w:date="2021-09-24T11:43:00Z">
              <w:r>
                <w:rPr>
                  <w:sz w:val="20"/>
                </w:rPr>
                <w:delText>12</w:delText>
              </w:r>
              <w:r>
                <w:rPr>
                  <w:sz w:val="20"/>
                </w:rPr>
                <w:tab/>
                <w:delText>Dissatisfied with quality of services provided</w:delText>
              </w:r>
            </w:del>
          </w:p>
          <w:p>
            <w:pPr>
              <w:pStyle w:val="yTableNAm"/>
              <w:tabs>
                <w:tab w:val="clear" w:pos="567"/>
              </w:tabs>
              <w:ind w:left="318" w:hanging="318"/>
              <w:rPr>
                <w:del w:id="521" w:author="Master Repository Process" w:date="2021-09-24T11:43:00Z"/>
                <w:sz w:val="20"/>
              </w:rPr>
            </w:pPr>
            <w:del w:id="522" w:author="Master Repository Process" w:date="2021-09-24T11:43:00Z">
              <w:r>
                <w:rPr>
                  <w:sz w:val="20"/>
                </w:rPr>
                <w:delText>13</w:delText>
              </w:r>
              <w:r>
                <w:rPr>
                  <w:sz w:val="20"/>
                </w:rPr>
                <w:tab/>
                <w:delText>Insufficient service/care provided</w:delText>
              </w:r>
            </w:del>
          </w:p>
          <w:p>
            <w:pPr>
              <w:pStyle w:val="yTableNAm"/>
              <w:tabs>
                <w:tab w:val="clear" w:pos="567"/>
              </w:tabs>
              <w:ind w:left="318" w:hanging="318"/>
              <w:rPr>
                <w:del w:id="523" w:author="Master Repository Process" w:date="2021-09-24T11:43:00Z"/>
                <w:sz w:val="20"/>
              </w:rPr>
            </w:pPr>
            <w:del w:id="524" w:author="Master Repository Process" w:date="2021-09-24T11:43:00Z">
              <w:r>
                <w:rPr>
                  <w:sz w:val="20"/>
                </w:rPr>
                <w:delText>14</w:delText>
              </w:r>
              <w:r>
                <w:rPr>
                  <w:sz w:val="20"/>
                </w:rPr>
                <w:tab/>
                <w:delText>Concerns that the provider does not encourage people to develop or maintain skills</w:delText>
              </w:r>
            </w:del>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del w:id="525" w:author="Master Repository Process" w:date="2021-09-24T11:43:00Z"/>
                <w:sz w:val="20"/>
              </w:rPr>
            </w:pPr>
            <w:r>
              <w:rPr>
                <w:sz w:val="20"/>
              </w:rPr>
              <w:t>1</w:t>
            </w:r>
            <w:r>
              <w:rPr>
                <w:sz w:val="20"/>
              </w:rPr>
              <w:tab/>
              <w:t>Acknowledgment of person’s views or issues (e.g. the person felt listened to, valued, respected)</w:t>
            </w:r>
          </w:p>
          <w:p>
            <w:pPr>
              <w:pStyle w:val="yTableNAm"/>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del w:id="526" w:author="Master Repository Process" w:date="2021-09-24T11:43:00Z"/>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Gazette 17 Jul 2015 p. 2917</w:t>
      </w:r>
      <w:r>
        <w:noBreakHyphen/>
        <w:t>32; amended: Gazette 16 Jun 2017 p. 2933.]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528" w:name="_Toc462824068"/>
      <w:bookmarkStart w:id="529" w:name="_Toc462824922"/>
      <w:bookmarkStart w:id="530" w:name="_Toc472608322"/>
      <w:bookmarkStart w:id="531" w:name="_Toc475546033"/>
    </w:p>
    <w:p>
      <w:pPr>
        <w:pStyle w:val="nHeading2"/>
      </w:pPr>
      <w:bookmarkStart w:id="532" w:name="_Toc83205401"/>
      <w:bookmarkStart w:id="533" w:name="_Toc83212590"/>
      <w:bookmarkStart w:id="534" w:name="_Toc485297124"/>
      <w:bookmarkStart w:id="535" w:name="_Toc485297977"/>
      <w:bookmarkStart w:id="536" w:name="_Toc485298048"/>
      <w:bookmarkStart w:id="537" w:name="_Toc485385484"/>
      <w:bookmarkStart w:id="538" w:name="_Toc485386022"/>
      <w:bookmarkStart w:id="539" w:name="_Toc486405629"/>
      <w:bookmarkStart w:id="540" w:name="_Toc486405699"/>
      <w:bookmarkStart w:id="541" w:name="_Toc486405793"/>
      <w:bookmarkStart w:id="542" w:name="_Toc486589129"/>
      <w:bookmarkStart w:id="543" w:name="_Toc83204679"/>
      <w:r>
        <w:t>Notes</w:t>
      </w:r>
      <w:bookmarkEnd w:id="532"/>
      <w:bookmarkEnd w:id="533"/>
      <w:bookmarkEnd w:id="528"/>
      <w:bookmarkEnd w:id="529"/>
      <w:bookmarkEnd w:id="530"/>
      <w:bookmarkEnd w:id="531"/>
      <w:bookmarkEnd w:id="534"/>
      <w:bookmarkEnd w:id="535"/>
      <w:bookmarkEnd w:id="536"/>
      <w:bookmarkEnd w:id="537"/>
      <w:bookmarkEnd w:id="538"/>
      <w:bookmarkEnd w:id="539"/>
      <w:bookmarkEnd w:id="540"/>
      <w:bookmarkEnd w:id="541"/>
      <w:bookmarkEnd w:id="542"/>
    </w:p>
    <w:p>
      <w:pPr>
        <w:pStyle w:val="nStatement"/>
      </w:pPr>
      <w:del w:id="544" w:author="Master Repository Process" w:date="2021-09-24T11:43:00Z">
        <w:r>
          <w:rPr>
            <w:vertAlign w:val="superscript"/>
          </w:rPr>
          <w:delText>1</w:delText>
        </w:r>
        <w:r>
          <w:tab/>
        </w:r>
      </w:del>
      <w:r>
        <w:t xml:space="preserve">This is a compilation of the </w:t>
      </w:r>
      <w:r>
        <w:rPr>
          <w:i/>
          <w:noProof/>
        </w:rPr>
        <w:t>Disability Services Regulations</w:t>
      </w:r>
      <w:del w:id="545" w:author="Master Repository Process" w:date="2021-09-24T11:43:00Z">
        <w:r>
          <w:rPr>
            <w:i/>
            <w:noProof/>
          </w:rPr>
          <w:delText xml:space="preserve"> </w:delText>
        </w:r>
      </w:del>
      <w:ins w:id="546" w:author="Master Repository Process" w:date="2021-09-24T11:43:00Z">
        <w:r>
          <w:rPr>
            <w:i/>
            <w:noProof/>
          </w:rPr>
          <w:t> </w:t>
        </w:r>
      </w:ins>
      <w:r>
        <w:rPr>
          <w:i/>
          <w:noProof/>
        </w:rPr>
        <w:t>2004</w:t>
      </w:r>
      <w:r>
        <w:t xml:space="preserve"> and includes </w:t>
      </w:r>
      <w:del w:id="547" w:author="Master Repository Process" w:date="2021-09-24T11:43:00Z">
        <w:r>
          <w:delText xml:space="preserve">the </w:delText>
        </w:r>
      </w:del>
      <w:r>
        <w:t xml:space="preserve">amendments made by </w:t>
      </w:r>
      <w:del w:id="548" w:author="Master Repository Process" w:date="2021-09-24T11:43:00Z">
        <w:r>
          <w:delText xml:space="preserve">the </w:delText>
        </w:r>
      </w:del>
      <w:r>
        <w:t>other written laws</w:t>
      </w:r>
      <w:del w:id="549" w:author="Master Repository Process" w:date="2021-09-24T11:43:00Z">
        <w:r>
          <w:delText xml:space="preserve"> referred to in the following table.  The table also contains</w:delText>
        </w:r>
      </w:del>
      <w:ins w:id="550" w:author="Master Repository Process" w:date="2021-09-24T11:43:00Z">
        <w:r>
          <w:t>. For provisions that have come into operation, and for</w:t>
        </w:r>
      </w:ins>
      <w:r>
        <w:t xml:space="preserve"> information about any </w:t>
      </w:r>
      <w:del w:id="551" w:author="Master Repository Process" w:date="2021-09-24T11:43:00Z">
        <w:r>
          <w:delText>reprint</w:delText>
        </w:r>
      </w:del>
      <w:ins w:id="552" w:author="Master Repository Process" w:date="2021-09-24T11:43:00Z">
        <w:r>
          <w:t>reprints, see the compilation table. For provisions that have not yet come into operation see the uncommenced provisions table</w:t>
        </w:r>
      </w:ins>
      <w:r>
        <w:t>.</w:t>
      </w:r>
    </w:p>
    <w:p>
      <w:pPr>
        <w:pStyle w:val="nHeading3"/>
      </w:pPr>
      <w:bookmarkStart w:id="553" w:name="_Toc83212591"/>
      <w:bookmarkStart w:id="554" w:name="_Toc486589130"/>
      <w:r>
        <w:t>Compilation table</w:t>
      </w:r>
      <w:bookmarkEnd w:id="553"/>
      <w:bookmarkEnd w:id="55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55" w:author="Master Repository Process" w:date="2021-09-24T11:43:00Z">
              <w:r>
                <w:rPr>
                  <w:b/>
                </w:rPr>
                <w:delText>Gazettal</w:delText>
              </w:r>
            </w:del>
            <w:ins w:id="556" w:author="Master Repository Process" w:date="2021-09-24T11:4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bCs/>
                <w:snapToGrid w:val="0"/>
                <w:spacing w:val="-2"/>
              </w:rPr>
            </w:pPr>
            <w:r>
              <w:rPr>
                <w:bCs/>
                <w:snapToGrid w:val="0"/>
                <w:spacing w:val="-2"/>
              </w:rPr>
              <w:t>r. 1 and 2: 30 Dec 2016 (see r. 2(a));</w:t>
            </w:r>
            <w:r>
              <w:rPr>
                <w:bCs/>
                <w:snapToGrid w:val="0"/>
                <w:spacing w:val="-2"/>
              </w:rPr>
              <w:br/>
              <w:t>Regulations other than r. 1 and 2: 1 Jan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Disability Services Regulations 2004</w:t>
            </w:r>
            <w:r>
              <w:rPr>
                <w:b/>
                <w:bCs/>
                <w:snapToGrid w:val="0"/>
                <w:spacing w:val="-2"/>
              </w:rPr>
              <w:t xml:space="preserve"> as at 10 Feb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2017</w:t>
            </w:r>
          </w:p>
        </w:tc>
        <w:tc>
          <w:tcPr>
            <w:tcW w:w="1276" w:type="dxa"/>
            <w:shd w:val="clear" w:color="auto" w:fill="auto"/>
          </w:tcPr>
          <w:p>
            <w:pPr>
              <w:pStyle w:val="nTable"/>
              <w:keepNext/>
              <w:spacing w:before="60" w:after="60"/>
            </w:pPr>
            <w:r>
              <w:t>16 Jun 2017 p. 2931</w:t>
            </w:r>
            <w:r>
              <w:noBreakHyphen/>
              <w:t>3</w:t>
            </w:r>
          </w:p>
        </w:tc>
        <w:tc>
          <w:tcPr>
            <w:tcW w:w="2693" w:type="dxa"/>
            <w:shd w:val="clear" w:color="auto" w:fill="auto"/>
          </w:tcPr>
          <w:p>
            <w:pPr>
              <w:pStyle w:val="nTable"/>
              <w:keepNext/>
              <w:spacing w:before="60" w:after="60"/>
              <w:rPr>
                <w:bCs/>
                <w:snapToGrid w:val="0"/>
                <w:spacing w:val="-2"/>
              </w:rPr>
            </w:pPr>
            <w:r>
              <w:rPr>
                <w:bCs/>
                <w:snapToGrid w:val="0"/>
                <w:spacing w:val="-2"/>
              </w:rPr>
              <w:t>r. 1 and 2: 16 Jun 2017 (see r. 2(a));</w:t>
            </w:r>
            <w:r>
              <w:rPr>
                <w:bCs/>
                <w:snapToGrid w:val="0"/>
                <w:spacing w:val="-2"/>
              </w:rPr>
              <w:br/>
              <w:t>Regulations other than r. 1 and 2: 1 Jul 2017 (see r. 2(b))</w:t>
            </w:r>
          </w:p>
        </w:tc>
      </w:tr>
      <w:tr>
        <w:tc>
          <w:tcPr>
            <w:tcW w:w="3119" w:type="dxa"/>
            <w:tcBorders>
              <w:top w:val="nil"/>
              <w:bottom w:val="nil"/>
            </w:tcBorders>
            <w:shd w:val="clear" w:color="auto" w:fill="auto"/>
          </w:tcPr>
          <w:p>
            <w:pPr>
              <w:pStyle w:val="nTable"/>
              <w:keepNext/>
              <w:spacing w:before="60" w:after="60"/>
              <w:rPr>
                <w:i/>
              </w:rPr>
            </w:pPr>
            <w:r>
              <w:rPr>
                <w:i/>
              </w:rPr>
              <w:t>Disability Services Amendment Regulations (No. 2) 2017</w:t>
            </w:r>
          </w:p>
        </w:tc>
        <w:tc>
          <w:tcPr>
            <w:tcW w:w="1276" w:type="dxa"/>
            <w:tcBorders>
              <w:top w:val="nil"/>
              <w:bottom w:val="nil"/>
            </w:tcBorders>
            <w:shd w:val="clear" w:color="auto" w:fill="auto"/>
          </w:tcPr>
          <w:p>
            <w:pPr>
              <w:pStyle w:val="nTable"/>
              <w:keepNext/>
              <w:spacing w:before="60" w:after="60"/>
            </w:pPr>
            <w:r>
              <w:t>30 Jun 2017 p. 3559</w:t>
            </w:r>
            <w:r>
              <w:noBreakHyphen/>
              <w:t>60</w:t>
            </w:r>
          </w:p>
        </w:tc>
        <w:tc>
          <w:tcPr>
            <w:tcW w:w="2693" w:type="dxa"/>
            <w:tcBorders>
              <w:top w:val="nil"/>
              <w:bottom w:val="nil"/>
            </w:tcBorders>
            <w:shd w:val="clear" w:color="auto" w:fill="auto"/>
          </w:tcPr>
          <w:p>
            <w:pPr>
              <w:pStyle w:val="nTable"/>
              <w:keepNext/>
              <w:spacing w:before="60" w:after="60"/>
              <w:rPr>
                <w:bCs/>
                <w:snapToGrid w:val="0"/>
                <w:spacing w:val="-2"/>
              </w:rPr>
            </w:pPr>
            <w:r>
              <w:rPr>
                <w:bCs/>
                <w:snapToGrid w:val="0"/>
                <w:spacing w:val="-2"/>
              </w:rPr>
              <w:t>r. 1 and 2: 30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rPr>
          <w:ins w:id="557" w:author="Master Repository Process" w:date="2021-09-24T11:43:00Z"/>
        </w:trPr>
        <w:tc>
          <w:tcPr>
            <w:tcW w:w="3119" w:type="dxa"/>
            <w:tcBorders>
              <w:bottom w:val="single" w:sz="8" w:space="0" w:color="auto"/>
            </w:tcBorders>
            <w:shd w:val="clear" w:color="auto" w:fill="auto"/>
          </w:tcPr>
          <w:p>
            <w:pPr>
              <w:pStyle w:val="nTable"/>
              <w:keepNext/>
              <w:spacing w:before="60" w:after="60"/>
              <w:rPr>
                <w:ins w:id="558" w:author="Master Repository Process" w:date="2021-09-24T11:43:00Z"/>
              </w:rPr>
            </w:pPr>
            <w:ins w:id="559" w:author="Master Repository Process" w:date="2021-09-24T11:43:00Z">
              <w:r>
                <w:rPr>
                  <w:i/>
                </w:rPr>
                <w:t>Disability Services Amendment Regulations 2021</w:t>
              </w:r>
              <w:r>
                <w:t xml:space="preserve"> (other than r. 5 and 6)</w:t>
              </w:r>
            </w:ins>
          </w:p>
        </w:tc>
        <w:tc>
          <w:tcPr>
            <w:tcW w:w="1276" w:type="dxa"/>
            <w:tcBorders>
              <w:bottom w:val="single" w:sz="8" w:space="0" w:color="auto"/>
            </w:tcBorders>
            <w:shd w:val="clear" w:color="auto" w:fill="auto"/>
          </w:tcPr>
          <w:p>
            <w:pPr>
              <w:pStyle w:val="nTable"/>
              <w:keepNext/>
              <w:spacing w:before="60" w:after="60"/>
              <w:rPr>
                <w:ins w:id="560" w:author="Master Repository Process" w:date="2021-09-24T11:43:00Z"/>
              </w:rPr>
            </w:pPr>
            <w:ins w:id="561" w:author="Master Repository Process" w:date="2021-09-24T11:43:00Z">
              <w:r>
                <w:t>SL 2021/165 24 Sep 2021</w:t>
              </w:r>
            </w:ins>
          </w:p>
        </w:tc>
        <w:tc>
          <w:tcPr>
            <w:tcW w:w="2693" w:type="dxa"/>
            <w:tcBorders>
              <w:bottom w:val="single" w:sz="8" w:space="0" w:color="auto"/>
            </w:tcBorders>
            <w:shd w:val="clear" w:color="auto" w:fill="auto"/>
          </w:tcPr>
          <w:p>
            <w:pPr>
              <w:pStyle w:val="nTable"/>
              <w:keepNext/>
              <w:spacing w:before="60" w:after="60"/>
              <w:rPr>
                <w:ins w:id="562" w:author="Master Repository Process" w:date="2021-09-24T11:43:00Z"/>
                <w:bCs/>
                <w:snapToGrid w:val="0"/>
                <w:spacing w:val="-2"/>
              </w:rPr>
            </w:pPr>
            <w:ins w:id="563" w:author="Master Repository Process" w:date="2021-09-24T11:43:00Z">
              <w:r>
                <w:rPr>
                  <w:bCs/>
                  <w:snapToGrid w:val="0"/>
                  <w:spacing w:val="-2"/>
                </w:rPr>
                <w:t>r. 1 and 2: 24 Sep 2021 (see r. 2(a));</w:t>
              </w:r>
              <w:r>
                <w:rPr>
                  <w:bCs/>
                  <w:snapToGrid w:val="0"/>
                  <w:spacing w:val="-2"/>
                </w:rPr>
                <w:br/>
                <w:t>Regulations other than r. 1, 2, 5 and 6: 25 Sep 2021 (see r. 2(c))</w:t>
              </w:r>
            </w:ins>
          </w:p>
        </w:tc>
      </w:tr>
    </w:tbl>
    <w:p>
      <w:pPr>
        <w:pStyle w:val="nHeading3"/>
        <w:rPr>
          <w:ins w:id="564" w:author="Master Repository Process" w:date="2021-09-24T11:43:00Z"/>
        </w:rPr>
      </w:pPr>
      <w:bookmarkStart w:id="565" w:name="_Toc83212592"/>
      <w:ins w:id="566" w:author="Master Repository Process" w:date="2021-09-24T11:43:00Z">
        <w:r>
          <w:t>Uncommenced provisions table</w:t>
        </w:r>
        <w:bookmarkEnd w:id="565"/>
      </w:ins>
    </w:p>
    <w:p>
      <w:pPr>
        <w:pStyle w:val="nStatement"/>
        <w:keepNext/>
        <w:spacing w:after="240"/>
        <w:rPr>
          <w:ins w:id="567" w:author="Master Repository Process" w:date="2021-09-24T11:43:00Z"/>
        </w:rPr>
      </w:pPr>
      <w:ins w:id="568" w:author="Master Repository Process" w:date="2021-09-24T11: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9" w:author="Master Repository Process" w:date="2021-09-24T11:43:00Z"/>
        </w:trPr>
        <w:tc>
          <w:tcPr>
            <w:tcW w:w="3118" w:type="dxa"/>
          </w:tcPr>
          <w:p>
            <w:pPr>
              <w:pStyle w:val="nTable"/>
              <w:spacing w:after="40"/>
              <w:rPr>
                <w:ins w:id="570" w:author="Master Repository Process" w:date="2021-09-24T11:43:00Z"/>
                <w:b/>
              </w:rPr>
            </w:pPr>
            <w:ins w:id="571" w:author="Master Repository Process" w:date="2021-09-24T11:43:00Z">
              <w:r>
                <w:rPr>
                  <w:b/>
                </w:rPr>
                <w:t>Citation</w:t>
              </w:r>
            </w:ins>
          </w:p>
        </w:tc>
        <w:tc>
          <w:tcPr>
            <w:tcW w:w="1276" w:type="dxa"/>
          </w:tcPr>
          <w:p>
            <w:pPr>
              <w:pStyle w:val="nTable"/>
              <w:spacing w:after="40"/>
              <w:rPr>
                <w:ins w:id="572" w:author="Master Repository Process" w:date="2021-09-24T11:43:00Z"/>
                <w:b/>
              </w:rPr>
            </w:pPr>
            <w:ins w:id="573" w:author="Master Repository Process" w:date="2021-09-24T11:43:00Z">
              <w:r>
                <w:rPr>
                  <w:b/>
                </w:rPr>
                <w:t>Published</w:t>
              </w:r>
            </w:ins>
          </w:p>
        </w:tc>
        <w:tc>
          <w:tcPr>
            <w:tcW w:w="2693" w:type="dxa"/>
          </w:tcPr>
          <w:p>
            <w:pPr>
              <w:pStyle w:val="nTable"/>
              <w:spacing w:after="40"/>
              <w:rPr>
                <w:ins w:id="574" w:author="Master Repository Process" w:date="2021-09-24T11:43:00Z"/>
                <w:b/>
              </w:rPr>
            </w:pPr>
            <w:ins w:id="575" w:author="Master Repository Process" w:date="2021-09-24T11:43:00Z">
              <w:r>
                <w:rPr>
                  <w:b/>
                </w:rPr>
                <w:t>Commencement</w:t>
              </w:r>
            </w:ins>
          </w:p>
        </w:tc>
      </w:tr>
      <w:tr>
        <w:trPr>
          <w:ins w:id="576" w:author="Master Repository Process" w:date="2021-09-24T11:43:00Z"/>
        </w:trPr>
        <w:tc>
          <w:tcPr>
            <w:tcW w:w="3118" w:type="dxa"/>
          </w:tcPr>
          <w:p>
            <w:pPr>
              <w:pStyle w:val="nTable"/>
              <w:spacing w:after="40"/>
              <w:rPr>
                <w:ins w:id="577" w:author="Master Repository Process" w:date="2021-09-24T11:43:00Z"/>
              </w:rPr>
            </w:pPr>
            <w:ins w:id="578" w:author="Master Repository Process" w:date="2021-09-24T11:43:00Z">
              <w:r>
                <w:rPr>
                  <w:i/>
                </w:rPr>
                <w:t>Disability Services Amendment Regulations 2021</w:t>
              </w:r>
              <w:r>
                <w:t xml:space="preserve"> r. 5 and 6</w:t>
              </w:r>
            </w:ins>
          </w:p>
        </w:tc>
        <w:tc>
          <w:tcPr>
            <w:tcW w:w="1276" w:type="dxa"/>
          </w:tcPr>
          <w:p>
            <w:pPr>
              <w:pStyle w:val="nTable"/>
              <w:spacing w:after="40"/>
              <w:rPr>
                <w:ins w:id="579" w:author="Master Repository Process" w:date="2021-09-24T11:43:00Z"/>
              </w:rPr>
            </w:pPr>
            <w:ins w:id="580" w:author="Master Repository Process" w:date="2021-09-24T11:43:00Z">
              <w:r>
                <w:t>SL 2021/165 24 Sep 2021</w:t>
              </w:r>
            </w:ins>
          </w:p>
        </w:tc>
        <w:tc>
          <w:tcPr>
            <w:tcW w:w="2693" w:type="dxa"/>
          </w:tcPr>
          <w:p>
            <w:pPr>
              <w:pStyle w:val="nTable"/>
              <w:spacing w:after="40"/>
              <w:rPr>
                <w:ins w:id="581" w:author="Master Repository Process" w:date="2021-09-24T11:43:00Z"/>
              </w:rPr>
            </w:pPr>
            <w:ins w:id="582" w:author="Master Repository Process" w:date="2021-09-24T11:43:00Z">
              <w:r>
                <w:t>1 Oct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543"/>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4" w:name="Coversheet"/>
    <w:bookmarkEnd w:id="5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61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 w:name="WAFER_2021092211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114610_GUID" w:val="d462cf06-d629-40bf-8c28-90118d51e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BB70EB-BB90-43A6-B3D6-711F53DC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FB3C-EFED-4376-9AAF-BD4F3244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11624</Words>
  <Characters>61726</Characters>
  <Application>Microsoft Office Word</Application>
  <DocSecurity>0</DocSecurity>
  <Lines>1928</Lines>
  <Paragraphs>1063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02-c0-01 - 02-d0-00</dc:title>
  <dc:subject/>
  <dc:creator/>
  <cp:keywords/>
  <dc:description/>
  <cp:lastModifiedBy>Master Repository Process</cp:lastModifiedBy>
  <cp:revision>2</cp:revision>
  <cp:lastPrinted>2017-02-22T09:01:00Z</cp:lastPrinted>
  <dcterms:created xsi:type="dcterms:W3CDTF">2021-09-24T03:43:00Z</dcterms:created>
  <dcterms:modified xsi:type="dcterms:W3CDTF">2021-09-24T03:43:00Z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CommencementDate">
    <vt:lpwstr>20210925</vt:lpwstr>
  </property>
  <property fmtid="{D5CDD505-2E9C-101B-9397-08002B2CF9AE}" pid="8" name="FromSuffix">
    <vt:lpwstr>02-c0-01</vt:lpwstr>
  </property>
  <property fmtid="{D5CDD505-2E9C-101B-9397-08002B2CF9AE}" pid="9" name="FromAsAtDate">
    <vt:lpwstr>01 Jul 2017</vt:lpwstr>
  </property>
  <property fmtid="{D5CDD505-2E9C-101B-9397-08002B2CF9AE}" pid="10" name="ToSuffix">
    <vt:lpwstr>02-d0-00</vt:lpwstr>
  </property>
  <property fmtid="{D5CDD505-2E9C-101B-9397-08002B2CF9AE}" pid="11" name="ToAsAtDate">
    <vt:lpwstr>25 Sep 2021</vt:lpwstr>
  </property>
</Properties>
</file>