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2021</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05 Nov 2021</w:t>
      </w:r>
      <w:r>
        <w:fldChar w:fldCharType="end"/>
      </w:r>
      <w:r>
        <w:t xml:space="preserve">, </w:t>
      </w:r>
      <w:r>
        <w:fldChar w:fldCharType="begin"/>
      </w:r>
      <w:r>
        <w:instrText xml:space="preserve"> DocProperty ToSuffix</w:instrText>
      </w:r>
      <w:r>
        <w:fldChar w:fldCharType="separate"/>
      </w:r>
      <w:r>
        <w:t>04-m0-00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1" w:name="_Toc86841667"/>
      <w:bookmarkStart w:id="2" w:name="_Toc77164171"/>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86841668"/>
      <w:bookmarkStart w:id="5" w:name="_Toc77164172"/>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bCs/>
        </w:rPr>
        <w:t>2A.</w:t>
      </w:r>
      <w:r>
        <w:rPr>
          <w:vertAlign w:val="superscript"/>
        </w:rPr>
        <w:t>1M</w:t>
      </w:r>
      <w:r>
        <w:tab/>
      </w:r>
      <w:bookmarkStart w:id="6" w:name="_Hlk76984438"/>
      <w:r>
        <w:t>Modification, to insert regulation 2A, to have effect under the Commonwealth Places (Mirror Taxes Administration) Act 1999 s. 7, see Commonwealth Places (Mirror Taxes Administration) Regulations 2007 r. 52 and endnote 1M</w:t>
      </w:r>
      <w:bookmarkEnd w:id="6"/>
      <w:r>
        <w:t>.]</w:t>
      </w:r>
    </w:p>
    <w:p>
      <w:pPr>
        <w:pStyle w:val="Ednotesection"/>
      </w:pPr>
      <w:r>
        <w:t>[</w:t>
      </w:r>
      <w:r>
        <w:rPr>
          <w:b/>
          <w:bCs/>
        </w:rPr>
        <w:t>2A.</w:t>
      </w:r>
      <w:r>
        <w:rPr>
          <w:vertAlign w:val="superscript"/>
        </w:rPr>
        <w:t>1MC</w:t>
      </w:r>
      <w:r>
        <w:tab/>
      </w:r>
      <w:bookmarkStart w:id="7" w:name="_Hlk76984468"/>
      <w:r>
        <w:t>Modification, to insert regulation 2A, to have effect under the Commonwealth Places (Mirror Taxes) Act 1998 (Commonwealth) s. 8, see Commonwealth Places (Mirror Taxes) (Modification of Applied Laws (WA)) Notice 2007 cl. 62 and endnote 1MC</w:t>
      </w:r>
      <w:bookmarkEnd w:id="7"/>
      <w:r>
        <w:t>.]</w:t>
      </w:r>
    </w:p>
    <w:p>
      <w:pPr>
        <w:pStyle w:val="Heading5"/>
      </w:pPr>
      <w:bookmarkStart w:id="8" w:name="_Toc86841669"/>
      <w:bookmarkStart w:id="9" w:name="_Toc77164173"/>
      <w:r>
        <w:rPr>
          <w:rStyle w:val="CharSectno"/>
        </w:rPr>
        <w:t>2B</w:t>
      </w:r>
      <w:r>
        <w:t>.</w:t>
      </w:r>
      <w:r>
        <w:tab/>
        <w:t>Term used: tax information</w:t>
      </w:r>
      <w:bookmarkEnd w:id="8"/>
      <w:bookmarkEnd w:id="9"/>
    </w:p>
    <w:p>
      <w:pPr>
        <w:pStyle w:val="Subsection"/>
      </w:pPr>
      <w:r>
        <w:tab/>
      </w:r>
      <w:r>
        <w:tab/>
        <w:t>In these regulations —</w:t>
      </w:r>
    </w:p>
    <w:p>
      <w:pPr>
        <w:pStyle w:val="Defstart"/>
      </w:pPr>
      <w:r>
        <w:tab/>
      </w:r>
      <w:r>
        <w:rPr>
          <w:rStyle w:val="CharDefText"/>
        </w:rPr>
        <w:t>tax information</w:t>
      </w:r>
      <w:r>
        <w:t xml:space="preserve"> means information or material that was disclosed to or obtained by the Commissioner under a taxation Act.</w:t>
      </w:r>
    </w:p>
    <w:p>
      <w:pPr>
        <w:pStyle w:val="Footnotesection"/>
        <w:rPr>
          <w:b/>
          <w:i w:val="0"/>
        </w:rPr>
      </w:pPr>
      <w:r>
        <w:tab/>
        <w:t>[Regulation 2B inserted: SL 2021/116 r. 4.]</w:t>
      </w:r>
    </w:p>
    <w:p>
      <w:pPr>
        <w:pStyle w:val="Heading5"/>
      </w:pPr>
      <w:bookmarkStart w:id="10" w:name="_Toc86841670"/>
      <w:bookmarkStart w:id="11" w:name="_Toc77164174"/>
      <w:r>
        <w:rPr>
          <w:rStyle w:val="CharSectno"/>
        </w:rPr>
        <w:t>3A</w:t>
      </w:r>
      <w:r>
        <w:t>.</w:t>
      </w:r>
      <w:r>
        <w:tab/>
        <w:t>Rates of interest under compromise assessments (section 20A)</w:t>
      </w:r>
      <w:bookmarkEnd w:id="10"/>
      <w:bookmarkEnd w:id="11"/>
    </w:p>
    <w:p>
      <w:pPr>
        <w:pStyle w:val="Subsection"/>
        <w:keepNext/>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0.2% per annum;</w:t>
      </w:r>
    </w:p>
    <w:p>
      <w:pPr>
        <w:pStyle w:val="Indenta"/>
        <w:keepNext/>
      </w:pPr>
      <w:r>
        <w:tab/>
        <w:t>(b)</w:t>
      </w:r>
      <w:r>
        <w:tab/>
        <w:t>if the agreement provides for the payment of interest by a taxpayer — 8.2% per annum.</w:t>
      </w:r>
    </w:p>
    <w:p>
      <w:pPr>
        <w:pStyle w:val="Footnotesection"/>
        <w:rPr>
          <w:b/>
          <w:i w:val="0"/>
        </w:rPr>
      </w:pPr>
      <w:r>
        <w:tab/>
        <w:t>[Regulation 3A inserted: Gazette 11 Dec 2015 p. 4962; amended: Gazette 28 Jun  2019 p. 2493; SL 2020/71 r. 6.]</w:t>
      </w:r>
    </w:p>
    <w:p>
      <w:pPr>
        <w:pStyle w:val="Heading5"/>
        <w:spacing w:before="200"/>
      </w:pPr>
      <w:bookmarkStart w:id="12" w:name="_Toc86841671"/>
      <w:bookmarkStart w:id="13" w:name="_Toc77164175"/>
      <w:r>
        <w:rPr>
          <w:rStyle w:val="CharSectno"/>
        </w:rPr>
        <w:t>3</w:t>
      </w:r>
      <w:r>
        <w:t>.</w:t>
      </w:r>
      <w:r>
        <w:tab/>
        <w:t>Rate of interest for refunds and credits resulting from objections (section 39)</w:t>
      </w:r>
      <w:bookmarkEnd w:id="12"/>
      <w:bookmarkEnd w:id="13"/>
    </w:p>
    <w:p>
      <w:pPr>
        <w:pStyle w:val="Subsection"/>
        <w:spacing w:before="140"/>
      </w:pPr>
      <w:r>
        <w:tab/>
      </w:r>
      <w:r>
        <w:tab/>
        <w:t>The rate of interest payable for the purposes of section 39(2) of the Act is 0.2% per annum.</w:t>
      </w:r>
    </w:p>
    <w:p>
      <w:pPr>
        <w:pStyle w:val="Footnotesection"/>
      </w:pPr>
      <w:r>
        <w:tab/>
        <w:t>[Regulation 3 amended: Gazette 17 May 2013 p. 1985; 17 Dec 2013 p. 6240; 26 Jun 2015 p. 2279; 11 Dec 2015 p. 4962; 28 Jun  2019 p. 2493; SL 2020/71 r. 6.]</w:t>
      </w:r>
    </w:p>
    <w:p>
      <w:pPr>
        <w:pStyle w:val="Heading5"/>
        <w:spacing w:before="200"/>
      </w:pPr>
      <w:bookmarkStart w:id="14" w:name="_Toc86841672"/>
      <w:bookmarkStart w:id="15" w:name="_Toc77164176"/>
      <w:r>
        <w:rPr>
          <w:rStyle w:val="CharSectno"/>
        </w:rPr>
        <w:t>4</w:t>
      </w:r>
      <w:r>
        <w:t>.</w:t>
      </w:r>
      <w:r>
        <w:tab/>
        <w:t>Rate of interest for overpaid amounts (section 43)</w:t>
      </w:r>
      <w:bookmarkEnd w:id="14"/>
      <w:bookmarkEnd w:id="15"/>
    </w:p>
    <w:p>
      <w:pPr>
        <w:pStyle w:val="Subsection"/>
      </w:pPr>
      <w:r>
        <w:tab/>
      </w:r>
      <w:r>
        <w:tab/>
        <w:t>The rate of interest payable for the purposes of section 43(3) of the Act is 0.2% per annum.</w:t>
      </w:r>
    </w:p>
    <w:p>
      <w:pPr>
        <w:pStyle w:val="Footnotesection"/>
        <w:ind w:left="890" w:hanging="890"/>
      </w:pPr>
      <w:r>
        <w:tab/>
        <w:t>[Regulation 4 amended: Gazette 17 May 2013 p. 1985; 17 Dec 2013 p. 6241; 26 Jun 2015 p. 2279; 11 Dec 2015 p. 4963; 28 Jun  2019 p. 2493; SL 2020/71 r. 6.]</w:t>
      </w:r>
    </w:p>
    <w:p>
      <w:pPr>
        <w:pStyle w:val="Heading5"/>
      </w:pPr>
      <w:bookmarkStart w:id="16" w:name="_Toc86841673"/>
      <w:bookmarkStart w:id="17" w:name="_Toc77164177"/>
      <w:r>
        <w:rPr>
          <w:rStyle w:val="CharSectno"/>
        </w:rPr>
        <w:t>5</w:t>
      </w:r>
      <w:r>
        <w:t>.</w:t>
      </w:r>
      <w:r>
        <w:tab/>
        <w:t>Rate of interest for outstanding amounts (section 47)</w:t>
      </w:r>
      <w:bookmarkEnd w:id="16"/>
      <w:bookmarkEnd w:id="17"/>
    </w:p>
    <w:p>
      <w:pPr>
        <w:pStyle w:val="Subsection"/>
      </w:pPr>
      <w:r>
        <w:tab/>
      </w:r>
      <w:r>
        <w:tab/>
        <w:t>The rate of interest payable for the purposes of section 47(3) of the Act is 8.2%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pPr>
        <w:pStyle w:val="Heading5"/>
      </w:pPr>
      <w:bookmarkStart w:id="18" w:name="_Toc86841674"/>
      <w:bookmarkStart w:id="19" w:name="_Toc77164178"/>
      <w:r>
        <w:rPr>
          <w:rStyle w:val="CharSectno"/>
        </w:rPr>
        <w:t>5A</w:t>
      </w:r>
      <w:r>
        <w:t>.</w:t>
      </w:r>
      <w:r>
        <w:tab/>
        <w:t>Special tax return arrangements: corrections and alterations (section 50(1)(f))</w:t>
      </w:r>
      <w:bookmarkEnd w:id="18"/>
      <w:bookmarkEnd w:id="1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20" w:name="_Toc86841675"/>
      <w:bookmarkStart w:id="21" w:name="_Toc77164179"/>
      <w:r>
        <w:rPr>
          <w:rStyle w:val="CharSectno"/>
        </w:rPr>
        <w:t>5B</w:t>
      </w:r>
      <w:r>
        <w:t>.</w:t>
      </w:r>
      <w:r>
        <w:tab/>
        <w:t>Rate of interest for refunds following interim assessments (section 54(2A))</w:t>
      </w:r>
      <w:bookmarkEnd w:id="20"/>
      <w:bookmarkEnd w:id="21"/>
    </w:p>
    <w:p>
      <w:pPr>
        <w:pStyle w:val="Subsection"/>
      </w:pPr>
      <w:r>
        <w:tab/>
      </w:r>
      <w:r>
        <w:tab/>
        <w:t>The rate of interest payable for the purposes of section 54(2A) of the Act is 0.2% per annum.</w:t>
      </w:r>
    </w:p>
    <w:p>
      <w:pPr>
        <w:pStyle w:val="Footnotesection"/>
      </w:pPr>
      <w:r>
        <w:tab/>
        <w:t>[Regulation 5B inserted: Gazette 17 Dec 2013 p. 6241; amended: Gazette 26 Jun 2015 p. 2280; 11 Dec 2015 p. 4963; 28 Jun  2019 p. 2493; SL 2020/71 r. 6.]</w:t>
      </w:r>
    </w:p>
    <w:p>
      <w:pPr>
        <w:pStyle w:val="Heading5"/>
      </w:pPr>
      <w:bookmarkStart w:id="22" w:name="_Toc86841676"/>
      <w:bookmarkStart w:id="23" w:name="_Toc77164180"/>
      <w:r>
        <w:rPr>
          <w:rStyle w:val="CharSectno"/>
        </w:rPr>
        <w:t>5C</w:t>
      </w:r>
      <w:r>
        <w:t>.</w:t>
      </w:r>
      <w:r>
        <w:tab/>
        <w:t xml:space="preserve">Rate of interest for refunds and credits resulting from </w:t>
      </w:r>
      <w:r>
        <w:rPr>
          <w:i/>
        </w:rPr>
        <w:t>Valuation of Land Act 1978</w:t>
      </w:r>
      <w:r>
        <w:t xml:space="preserve"> proceedings (section 54A)</w:t>
      </w:r>
      <w:bookmarkEnd w:id="22"/>
      <w:bookmarkEnd w:id="23"/>
    </w:p>
    <w:p>
      <w:pPr>
        <w:pStyle w:val="Subsection"/>
      </w:pPr>
      <w:r>
        <w:tab/>
      </w:r>
      <w:r>
        <w:tab/>
        <w:t>The rate of interest payable for the purposes of section 54A(2) of the Act is 0.2% per annum.</w:t>
      </w:r>
    </w:p>
    <w:p>
      <w:pPr>
        <w:pStyle w:val="Footnotesection"/>
      </w:pPr>
      <w:r>
        <w:tab/>
        <w:t>[Regulation 5C inserted: Gazette 13 Aug 2019 p. 3042; SL 2020/206 r. 13.]</w:t>
      </w:r>
    </w:p>
    <w:p>
      <w:pPr>
        <w:pStyle w:val="Heading5"/>
      </w:pPr>
      <w:bookmarkStart w:id="24" w:name="_Toc86841677"/>
      <w:bookmarkStart w:id="25" w:name="_Toc77164181"/>
      <w:r>
        <w:rPr>
          <w:rStyle w:val="CharSectno"/>
        </w:rPr>
        <w:t>6A</w:t>
      </w:r>
      <w:r>
        <w:t>.</w:t>
      </w:r>
      <w:r>
        <w:tab/>
        <w:t>Amount for writing off unused credit (section 55A(1)(a))</w:t>
      </w:r>
      <w:bookmarkEnd w:id="24"/>
      <w:bookmarkEnd w:id="25"/>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26" w:name="_Toc86841678"/>
      <w:bookmarkStart w:id="27" w:name="_Toc77164182"/>
      <w:r>
        <w:rPr>
          <w:rStyle w:val="CharSectno"/>
        </w:rPr>
        <w:t>6</w:t>
      </w:r>
      <w:r>
        <w:t>.</w:t>
      </w:r>
      <w:r>
        <w:tab/>
        <w:t>Limit for waiving payment of tax (section 56)</w:t>
      </w:r>
      <w:bookmarkEnd w:id="26"/>
      <w:bookmarkEnd w:id="27"/>
    </w:p>
    <w:p>
      <w:pPr>
        <w:pStyle w:val="Subsection"/>
      </w:pPr>
      <w:r>
        <w:tab/>
      </w:r>
      <w:r>
        <w:tab/>
        <w:t>The limit for waiving payment of tax for the purposes of section 56(1) of the Act is $20.</w:t>
      </w:r>
    </w:p>
    <w:p>
      <w:pPr>
        <w:pStyle w:val="Heading5"/>
      </w:pPr>
      <w:bookmarkStart w:id="28" w:name="_Toc86841679"/>
      <w:bookmarkStart w:id="29" w:name="_Toc77164183"/>
      <w:r>
        <w:rPr>
          <w:rStyle w:val="CharSectno"/>
        </w:rPr>
        <w:t>7</w:t>
      </w:r>
      <w:r>
        <w:t>.</w:t>
      </w:r>
      <w:r>
        <w:tab/>
        <w:t>Statutory administrator of a taxpayer’s assets (section 64)</w:t>
      </w:r>
      <w:bookmarkEnd w:id="28"/>
      <w:bookmarkEnd w:id="29"/>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0" w:name="_Toc86841680"/>
      <w:bookmarkStart w:id="31" w:name="_Toc77164184"/>
      <w:r>
        <w:rPr>
          <w:rStyle w:val="CharSectno"/>
        </w:rPr>
        <w:t>8</w:t>
      </w:r>
      <w:r>
        <w:t>.</w:t>
      </w:r>
      <w:r>
        <w:tab/>
        <w:t>Fee for certificate (section 80)</w:t>
      </w:r>
      <w:bookmarkEnd w:id="30"/>
      <w:bookmarkEnd w:id="31"/>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32" w:name="_Toc86841681"/>
      <w:bookmarkStart w:id="33" w:name="_Toc77164185"/>
      <w:r>
        <w:rPr>
          <w:rStyle w:val="CharSectno"/>
        </w:rPr>
        <w:t>9</w:t>
      </w:r>
      <w:r>
        <w:t>.</w:t>
      </w:r>
      <w:r>
        <w:tab/>
        <w:t>Where tax records to be kept (section 89)</w:t>
      </w:r>
      <w:bookmarkEnd w:id="32"/>
      <w:bookmarkEnd w:id="33"/>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34" w:name="_Toc86841682"/>
      <w:bookmarkStart w:id="35" w:name="_Toc77164186"/>
      <w:r>
        <w:rPr>
          <w:rStyle w:val="CharSectno"/>
        </w:rPr>
        <w:t>10</w:t>
      </w:r>
      <w:r>
        <w:t>.</w:t>
      </w:r>
      <w:r>
        <w:tab/>
        <w:t>Exemption from requirement to keep tax records (section 91)</w:t>
      </w:r>
      <w:bookmarkEnd w:id="34"/>
      <w:bookmarkEnd w:id="3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36" w:name="_Toc86841683"/>
      <w:bookmarkStart w:id="37" w:name="_Toc77164187"/>
      <w:r>
        <w:rPr>
          <w:rStyle w:val="CharSectno"/>
        </w:rPr>
        <w:t>11</w:t>
      </w:r>
      <w:r>
        <w:t>.</w:t>
      </w:r>
      <w:r>
        <w:tab/>
        <w:t>Expenses of witnesses (section 95)</w:t>
      </w:r>
      <w:bookmarkEnd w:id="36"/>
      <w:bookmarkEnd w:id="37"/>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38" w:name="_Toc86841684"/>
      <w:bookmarkStart w:id="39" w:name="_Toc77164188"/>
      <w:r>
        <w:rPr>
          <w:rStyle w:val="CharSectno"/>
        </w:rPr>
        <w:t>12</w:t>
      </w:r>
      <w:r>
        <w:t>.</w:t>
      </w:r>
      <w:r>
        <w:tab/>
        <w:t>Law enforcement agency authorised to receive confidential information (section 114)</w:t>
      </w:r>
      <w:bookmarkEnd w:id="38"/>
      <w:bookmarkEnd w:id="39"/>
    </w:p>
    <w:p>
      <w:pPr>
        <w:pStyle w:val="Subsection"/>
      </w:pPr>
      <w:r>
        <w:tab/>
      </w:r>
      <w:r>
        <w:tab/>
        <w:t>For the purposes of section 114(3)(a)(iv) of the Act, the Australian Crime Commission is authorised to receive confidential information.</w:t>
      </w:r>
    </w:p>
    <w:p>
      <w:pPr>
        <w:pStyle w:val="Heading5"/>
        <w:spacing w:before="180"/>
      </w:pPr>
      <w:bookmarkStart w:id="40" w:name="_Toc86841685"/>
      <w:bookmarkStart w:id="41" w:name="_Toc77164189"/>
      <w:r>
        <w:rPr>
          <w:rStyle w:val="CharSectno"/>
        </w:rPr>
        <w:t>13A</w:t>
      </w:r>
      <w:r>
        <w:t>.</w:t>
      </w:r>
      <w:r>
        <w:tab/>
        <w:t>Disclosure of information about vehicle licensing (section 114(3)(g))</w:t>
      </w:r>
      <w:bookmarkEnd w:id="40"/>
      <w:bookmarkEnd w:id="4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42" w:name="_Toc86841686"/>
      <w:bookmarkStart w:id="43" w:name="_Toc77164190"/>
      <w:r>
        <w:rPr>
          <w:rStyle w:val="CharSectno"/>
        </w:rPr>
        <w:t>13B</w:t>
      </w:r>
      <w:r>
        <w:t>.</w:t>
      </w:r>
      <w:r>
        <w:tab/>
        <w:t>Disclosure of information about petroleum matters (section 114(3)(g))</w:t>
      </w:r>
      <w:bookmarkEnd w:id="42"/>
      <w:bookmarkEnd w:id="43"/>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44" w:name="_Toc86841687"/>
      <w:bookmarkStart w:id="45" w:name="_Toc77164191"/>
      <w:r>
        <w:rPr>
          <w:rStyle w:val="CharSectno"/>
        </w:rPr>
        <w:t>13C</w:t>
      </w:r>
      <w:r>
        <w:t>.</w:t>
      </w:r>
      <w:r>
        <w:tab/>
        <w:t>Disclosure of information about land transfers (section 114(3)(g))</w:t>
      </w:r>
      <w:bookmarkEnd w:id="44"/>
      <w:bookmarkEnd w:id="45"/>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46" w:name="_Toc86841688"/>
      <w:bookmarkStart w:id="47" w:name="_Toc77164192"/>
      <w:r>
        <w:rPr>
          <w:rStyle w:val="CharSectno"/>
        </w:rPr>
        <w:t>13D</w:t>
      </w:r>
      <w:r>
        <w:t>.</w:t>
      </w:r>
      <w:r>
        <w:tab/>
        <w:t>Disclosure of information about a person’s taxation affairs (section 114(3)(g))</w:t>
      </w:r>
      <w:bookmarkEnd w:id="46"/>
      <w:bookmarkEnd w:id="47"/>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tax information that relates to the person to the Minister for the purpose of enabling the Minister to respond to the member.</w:t>
      </w:r>
    </w:p>
    <w:p>
      <w:pPr>
        <w:pStyle w:val="Footnotesection"/>
      </w:pPr>
      <w:r>
        <w:tab/>
        <w:t>[Regulation 13D inserted: Gazette 9 Sep 2011 p. 3685-6; amended: SL 2021/116 r. 5.]</w:t>
      </w:r>
    </w:p>
    <w:p>
      <w:pPr>
        <w:pStyle w:val="Heading5"/>
      </w:pPr>
      <w:bookmarkStart w:id="48" w:name="_Toc86841689"/>
      <w:bookmarkStart w:id="49" w:name="_Toc77164193"/>
      <w:r>
        <w:rPr>
          <w:rStyle w:val="CharSectno"/>
        </w:rPr>
        <w:t>13E</w:t>
      </w:r>
      <w:r>
        <w:t>.</w:t>
      </w:r>
      <w:r>
        <w:tab/>
        <w:t>Disclosure of information to interstate official: first home owner grant (section 114(3)(g))</w:t>
      </w:r>
      <w:bookmarkEnd w:id="48"/>
      <w:bookmarkEnd w:id="49"/>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50" w:name="_Toc86841690"/>
      <w:bookmarkStart w:id="51" w:name="_Toc77164194"/>
      <w:r>
        <w:rPr>
          <w:rStyle w:val="CharSectno"/>
        </w:rPr>
        <w:t>13F</w:t>
      </w:r>
      <w:r>
        <w:t>.</w:t>
      </w:r>
      <w:r>
        <w:tab/>
        <w:t>Disclosure of information to Australian Border Force Commissioner (s. 114(3)(g))</w:t>
      </w:r>
      <w:bookmarkEnd w:id="50"/>
      <w:bookmarkEnd w:id="51"/>
    </w:p>
    <w:p>
      <w:pPr>
        <w:pStyle w:val="Subsection"/>
      </w:pPr>
      <w:r>
        <w:tab/>
      </w:r>
      <w:r>
        <w:tab/>
        <w:t xml:space="preserve">For the purposes of section 114(3)(g) of the Act, the Commissioner may disclose tax information to the Australian Border Force Commissioner (as defined in the </w:t>
      </w:r>
      <w:r>
        <w:rPr>
          <w:i/>
        </w:rPr>
        <w:t>Australian Border Force Act 2015</w:t>
      </w:r>
      <w:r>
        <w:t xml:space="preserve"> (Commonwealth) section 4(1)).</w:t>
      </w:r>
    </w:p>
    <w:p>
      <w:pPr>
        <w:pStyle w:val="Footnotesection"/>
      </w:pPr>
      <w:r>
        <w:tab/>
        <w:t>[Regulation 13F inserted: SL 2021/116 r. 6.]</w:t>
      </w:r>
    </w:p>
    <w:p>
      <w:pPr>
        <w:pStyle w:val="Heading5"/>
      </w:pPr>
      <w:bookmarkStart w:id="52" w:name="_Toc86841691"/>
      <w:bookmarkStart w:id="53" w:name="_Toc77164195"/>
      <w:r>
        <w:rPr>
          <w:rStyle w:val="CharSectno"/>
        </w:rPr>
        <w:t>13G</w:t>
      </w:r>
      <w:r>
        <w:t>.</w:t>
      </w:r>
      <w:r>
        <w:tab/>
        <w:t>Disclosure of information about employers of apprentices (section 114(3)(g))</w:t>
      </w:r>
      <w:bookmarkEnd w:id="52"/>
      <w:bookmarkEnd w:id="53"/>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54" w:name="_Toc86841692"/>
      <w:bookmarkStart w:id="55" w:name="_Toc77164196"/>
      <w:r>
        <w:rPr>
          <w:rStyle w:val="CharSectno"/>
        </w:rPr>
        <w:t>13H</w:t>
      </w:r>
      <w:r>
        <w:t>.</w:t>
      </w:r>
      <w:r>
        <w:tab/>
        <w:t>Disclosure of information about charities and not</w:t>
      </w:r>
      <w:r>
        <w:noBreakHyphen/>
        <w:t>for</w:t>
      </w:r>
      <w:r>
        <w:noBreakHyphen/>
        <w:t>profits (section 114(3)(g))</w:t>
      </w:r>
      <w:bookmarkEnd w:id="54"/>
      <w:bookmarkEnd w:id="55"/>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disclose tax information to the ACNC Commissioner for a purpose related to the administration of a taxation Act or the</w:t>
      </w:r>
      <w:r>
        <w:rPr>
          <w:i/>
        </w:rPr>
        <w:t xml:space="preserve"> Australian Charities and Not</w:t>
      </w:r>
      <w:r>
        <w:rPr>
          <w:i/>
        </w:rPr>
        <w:noBreakHyphen/>
        <w:t>for</w:t>
      </w:r>
      <w:r>
        <w:rPr>
          <w:i/>
        </w:rPr>
        <w:noBreakHyphen/>
        <w:t>profits Commission Act 2012</w:t>
      </w:r>
      <w:r>
        <w:t xml:space="preserve"> (Commonwealth).</w:t>
      </w:r>
    </w:p>
    <w:p>
      <w:pPr>
        <w:pStyle w:val="Footnotesection"/>
      </w:pPr>
      <w:r>
        <w:tab/>
        <w:t>[Regulation 13H inserted: Gazette 6 Mar 2018 p. 710; amended: SL 2021/116 r. 7.]</w:t>
      </w:r>
    </w:p>
    <w:p>
      <w:pPr>
        <w:pStyle w:val="Heading5"/>
      </w:pPr>
      <w:bookmarkStart w:id="56" w:name="_Toc86841693"/>
      <w:bookmarkStart w:id="57" w:name="_Toc77164197"/>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56"/>
      <w:bookmarkEnd w:id="57"/>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58" w:name="_Toc86841694"/>
      <w:bookmarkStart w:id="59" w:name="_Toc77164198"/>
      <w:r>
        <w:rPr>
          <w:rStyle w:val="CharSectno"/>
        </w:rPr>
        <w:t>13J</w:t>
      </w:r>
      <w:r>
        <w:t>.</w:t>
      </w:r>
      <w:r>
        <w:tab/>
        <w:t>Disclosure of information to WorkCover WA (s. 114(3)(g))</w:t>
      </w:r>
      <w:bookmarkEnd w:id="58"/>
      <w:bookmarkEnd w:id="59"/>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keepNext/>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60" w:name="_Toc86841695"/>
      <w:bookmarkStart w:id="61" w:name="_Toc77164199"/>
      <w:r>
        <w:rPr>
          <w:rStyle w:val="CharSectno"/>
        </w:rPr>
        <w:t>13K</w:t>
      </w:r>
      <w:r>
        <w:t>.</w:t>
      </w:r>
      <w:r>
        <w:tab/>
        <w:t>Disclosure of information to Corruption and Crime Commissioner (s. 114(3)(g))</w:t>
      </w:r>
      <w:bookmarkEnd w:id="60"/>
      <w:bookmarkEnd w:id="61"/>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62" w:name="_Toc86841696"/>
      <w:bookmarkStart w:id="63" w:name="_Toc77164200"/>
      <w:r>
        <w:rPr>
          <w:rStyle w:val="CharSectno"/>
        </w:rPr>
        <w:t>13L</w:t>
      </w:r>
      <w:r>
        <w:t>.</w:t>
      </w:r>
      <w:r>
        <w:tab/>
        <w:t>Disclosure of information to public sector agencies for purpose of COVID</w:t>
      </w:r>
      <w:r>
        <w:noBreakHyphen/>
        <w:t>19 relief measures (section 114(3)(g))</w:t>
      </w:r>
      <w:bookmarkEnd w:id="62"/>
      <w:bookmarkEnd w:id="63"/>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keepNext/>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 amended: SL 2021/116 r. 8.]</w:t>
      </w:r>
    </w:p>
    <w:p>
      <w:pPr>
        <w:pStyle w:val="Heading5"/>
      </w:pPr>
      <w:bookmarkStart w:id="64" w:name="_Toc86841697"/>
      <w:bookmarkStart w:id="65" w:name="_Toc77164201"/>
      <w:r>
        <w:rPr>
          <w:rStyle w:val="CharSectno"/>
        </w:rPr>
        <w:t>13M</w:t>
      </w:r>
      <w:r>
        <w:t>.</w:t>
      </w:r>
      <w:r>
        <w:tab/>
        <w:t>Disclosure of information to Australian Building and Construction Commissioner (s. 114(3)(g))</w:t>
      </w:r>
      <w:bookmarkEnd w:id="64"/>
      <w:bookmarkEnd w:id="65"/>
    </w:p>
    <w:p>
      <w:pPr>
        <w:pStyle w:val="Subsection"/>
      </w:pPr>
      <w:r>
        <w:tab/>
        <w:t>(1)</w:t>
      </w:r>
      <w:r>
        <w:tab/>
        <w:t xml:space="preserve">In this regulation — </w:t>
      </w:r>
    </w:p>
    <w:p>
      <w:pPr>
        <w:pStyle w:val="Defstart"/>
      </w:pPr>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p>
    <w:p>
      <w:pPr>
        <w:pStyle w:val="Subsection"/>
      </w:pPr>
      <w:r>
        <w:tab/>
        <w:t>(2)</w:t>
      </w:r>
      <w:r>
        <w:tab/>
        <w:t xml:space="preserve">For the purposes of section 114(3)(g) of the Act, the Commissioner may disclose tax information to the Australian Building and Construction Commissioner for a purpose related to the Australian Building and Construction Commissioner carrying out their functions under the </w:t>
      </w:r>
      <w:r>
        <w:rPr>
          <w:i/>
        </w:rPr>
        <w:t>Building and Construction Industry (Improving Productivity) Act 2016</w:t>
      </w:r>
      <w:r>
        <w:t xml:space="preserve"> (Commonwealth).</w:t>
      </w:r>
    </w:p>
    <w:p>
      <w:pPr>
        <w:pStyle w:val="Footnotesection"/>
      </w:pPr>
      <w:r>
        <w:tab/>
        <w:t>[Regulation 13M inserted: SL 2021/116 r. 9.]</w:t>
      </w:r>
    </w:p>
    <w:p>
      <w:pPr>
        <w:pStyle w:val="Heading5"/>
      </w:pPr>
      <w:bookmarkStart w:id="66" w:name="_Toc86841698"/>
      <w:bookmarkStart w:id="67" w:name="_Toc77164202"/>
      <w:r>
        <w:rPr>
          <w:rStyle w:val="CharSectno"/>
        </w:rPr>
        <w:t>13N</w:t>
      </w:r>
      <w:r>
        <w:t>.</w:t>
      </w:r>
      <w:r>
        <w:tab/>
        <w:t>Disclosure of information to Building Commissioner (s. 114(3)(g))</w:t>
      </w:r>
      <w:bookmarkEnd w:id="66"/>
      <w:bookmarkEnd w:id="67"/>
    </w:p>
    <w:p>
      <w:pPr>
        <w:pStyle w:val="Subsection"/>
      </w:pPr>
      <w:r>
        <w:tab/>
        <w:t>(1)</w:t>
      </w:r>
      <w:r>
        <w:tab/>
        <w:t>In this regulation —</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Subsection"/>
      </w:pPr>
      <w:r>
        <w:tab/>
        <w:t>(2)</w:t>
      </w:r>
      <w:r>
        <w:tab/>
        <w:t xml:space="preserve">For the purposes of section 114(3)(g) of the Act, the Commissioner may disclose tax information to the Building Commissioner for a purpose related to the Building Commissioner carrying out their functions under the </w:t>
      </w:r>
      <w:r>
        <w:rPr>
          <w:i/>
        </w:rPr>
        <w:t>Building Services (Complaint Resolution and Administration) Act 2011</w:t>
      </w:r>
      <w:r>
        <w:t>.</w:t>
      </w:r>
    </w:p>
    <w:p>
      <w:pPr>
        <w:pStyle w:val="Footnotesection"/>
      </w:pPr>
      <w:r>
        <w:tab/>
        <w:t>[Regulation 13N inserted: SL 2021/116 r. 9.]</w:t>
      </w:r>
    </w:p>
    <w:p>
      <w:pPr>
        <w:pStyle w:val="Heading5"/>
      </w:pPr>
      <w:bookmarkStart w:id="68" w:name="_Toc86841699"/>
      <w:bookmarkStart w:id="69" w:name="_Toc77164203"/>
      <w:r>
        <w:rPr>
          <w:rStyle w:val="CharSectno"/>
        </w:rPr>
        <w:t>13O</w:t>
      </w:r>
      <w:r>
        <w:t>.</w:t>
      </w:r>
      <w:r>
        <w:tab/>
        <w:t>Disclosure of information to Commissioner for Consumer Protection (s. 114(3)(g))</w:t>
      </w:r>
      <w:bookmarkEnd w:id="68"/>
      <w:bookmarkEnd w:id="69"/>
    </w:p>
    <w:p>
      <w:pPr>
        <w:pStyle w:val="Subsection"/>
      </w:pPr>
      <w:r>
        <w:tab/>
        <w:t>(1)</w:t>
      </w:r>
      <w:r>
        <w:tab/>
        <w:t>In this regulation —</w:t>
      </w:r>
    </w:p>
    <w:p>
      <w:pPr>
        <w:pStyle w:val="Defstart"/>
        <w:rPr>
          <w:rStyle w:val="DraftersNotes"/>
        </w:rPr>
      </w:pPr>
      <w:r>
        <w:tab/>
      </w:r>
      <w:r>
        <w:rPr>
          <w:rStyle w:val="CharDefText"/>
        </w:rPr>
        <w:t>Commissioner for Consumer Protection</w:t>
      </w:r>
      <w:r>
        <w:t xml:space="preserve"> means the person designated as the Commissioner under the </w:t>
      </w:r>
      <w:r>
        <w:rPr>
          <w:i/>
        </w:rPr>
        <w:t>Fair Trading Act 2010</w:t>
      </w:r>
      <w:r>
        <w:t xml:space="preserve"> section 55.</w:t>
      </w:r>
    </w:p>
    <w:p>
      <w:pPr>
        <w:pStyle w:val="Subsection"/>
      </w:pPr>
      <w:r>
        <w:tab/>
        <w:t>(2)</w:t>
      </w:r>
      <w:r>
        <w:tab/>
        <w:t xml:space="preserve">For the purposes of section 114(3)(g) of the Act, the Commissioner may disclose tax information to the Commissioner for Consumer Protection for a purpose related to the Commissioner for Consumer Protection carrying out their functions under the </w:t>
      </w:r>
      <w:r>
        <w:rPr>
          <w:i/>
        </w:rPr>
        <w:t>Motor Vehicle Dealers Act 1973</w:t>
      </w:r>
      <w:r>
        <w:t xml:space="preserve">. </w:t>
      </w:r>
    </w:p>
    <w:p>
      <w:pPr>
        <w:pStyle w:val="Footnotesection"/>
      </w:pPr>
      <w:r>
        <w:tab/>
        <w:t>[Regulation 13O inserted: SL 2021/116 r. 9.]</w:t>
      </w:r>
    </w:p>
    <w:p>
      <w:pPr>
        <w:pStyle w:val="Heading5"/>
      </w:pPr>
      <w:bookmarkStart w:id="70" w:name="_Toc86841700"/>
      <w:bookmarkStart w:id="71" w:name="_Toc77164204"/>
      <w:r>
        <w:rPr>
          <w:rStyle w:val="CharSectno"/>
        </w:rPr>
        <w:t>13P</w:t>
      </w:r>
      <w:r>
        <w:t>.</w:t>
      </w:r>
      <w:r>
        <w:tab/>
        <w:t>Disclosure of information to industrial inspectors (s. 114(3)(g))</w:t>
      </w:r>
      <w:bookmarkEnd w:id="70"/>
      <w:bookmarkEnd w:id="71"/>
    </w:p>
    <w:p>
      <w:pPr>
        <w:pStyle w:val="Subsection"/>
      </w:pPr>
      <w:r>
        <w:tab/>
        <w:t>(1)</w:t>
      </w:r>
      <w:r>
        <w:tab/>
        <w:t>In this regulation —</w:t>
      </w:r>
    </w:p>
    <w:p>
      <w:pPr>
        <w:pStyle w:val="Defstart"/>
      </w:pPr>
      <w:r>
        <w:tab/>
      </w:r>
      <w:r>
        <w:rPr>
          <w:rStyle w:val="CharDefText"/>
        </w:rPr>
        <w:t>industrial inspector</w:t>
      </w:r>
      <w:r>
        <w:t xml:space="preserve"> means a person designated as an industrial inspector under the </w:t>
      </w:r>
      <w:r>
        <w:rPr>
          <w:i/>
        </w:rPr>
        <w:t xml:space="preserve">Industrial Relations Act 1979 </w:t>
      </w:r>
      <w:r>
        <w:t>section 98(1).</w:t>
      </w:r>
    </w:p>
    <w:p>
      <w:pPr>
        <w:pStyle w:val="Subsection"/>
      </w:pPr>
      <w:r>
        <w:tab/>
        <w:t>(2)</w:t>
      </w:r>
      <w:r>
        <w:tab/>
        <w:t xml:space="preserve">For the purposes of section 114(3)(g) of the Act, the Commissioner may disclose tax information to an industrial inspector for a purpose related to the industrial inspector carrying out their functions under any of the following Acts — </w:t>
      </w:r>
    </w:p>
    <w:p>
      <w:pPr>
        <w:pStyle w:val="Indenta"/>
      </w:pPr>
      <w:r>
        <w:tab/>
        <w:t>(a)</w:t>
      </w:r>
      <w:r>
        <w:tab/>
        <w:t xml:space="preserve">the </w:t>
      </w:r>
      <w:r>
        <w:rPr>
          <w:i/>
        </w:rPr>
        <w:t>Children and Community Services Act 2004;</w:t>
      </w:r>
    </w:p>
    <w:p>
      <w:pPr>
        <w:pStyle w:val="Indenta"/>
      </w:pPr>
      <w:r>
        <w:tab/>
        <w:t>(b)</w:t>
      </w:r>
      <w:r>
        <w:tab/>
        <w:t>the Industrial Relations Act 1979;</w:t>
      </w:r>
    </w:p>
    <w:p>
      <w:pPr>
        <w:pStyle w:val="Indenta"/>
      </w:pPr>
      <w:r>
        <w:tab/>
        <w:t>(c)</w:t>
      </w:r>
      <w:r>
        <w:tab/>
        <w:t>the Long Service Leave Act 1958;</w:t>
      </w:r>
    </w:p>
    <w:p>
      <w:pPr>
        <w:pStyle w:val="Indenta"/>
        <w:keepNext/>
      </w:pPr>
      <w:r>
        <w:tab/>
        <w:t>(d)</w:t>
      </w:r>
      <w:r>
        <w:tab/>
        <w:t>the Minimum Conditions of Employment Act 1993.</w:t>
      </w:r>
    </w:p>
    <w:p>
      <w:pPr>
        <w:pStyle w:val="Footnotesection"/>
      </w:pPr>
      <w:r>
        <w:tab/>
        <w:t>[Regulation 13P inserted: SL 2021/116 r. 9.]</w:t>
      </w:r>
    </w:p>
    <w:p>
      <w:pPr>
        <w:pStyle w:val="Heading5"/>
        <w:rPr>
          <w:ins w:id="72" w:author="Master Repository Process" w:date="2021-11-04T15:42:00Z"/>
        </w:rPr>
      </w:pPr>
      <w:bookmarkStart w:id="73" w:name="_Toc86841701"/>
      <w:ins w:id="74" w:author="Master Repository Process" w:date="2021-11-04T15:42:00Z">
        <w:r>
          <w:rPr>
            <w:rStyle w:val="CharSectno"/>
          </w:rPr>
          <w:t>13Q</w:t>
        </w:r>
        <w:r>
          <w:t>.</w:t>
        </w:r>
        <w:r>
          <w:tab/>
          <w:t>Disclosure of information about State agency suppliers (s. 114(3)(g))</w:t>
        </w:r>
        <w:bookmarkEnd w:id="73"/>
      </w:ins>
    </w:p>
    <w:p>
      <w:pPr>
        <w:pStyle w:val="Subsection"/>
        <w:keepNext/>
        <w:rPr>
          <w:ins w:id="75" w:author="Master Repository Process" w:date="2021-11-04T15:42:00Z"/>
        </w:rPr>
      </w:pPr>
      <w:ins w:id="76" w:author="Master Repository Process" w:date="2021-11-04T15:42:00Z">
        <w:r>
          <w:tab/>
          <w:t>(1)</w:t>
        </w:r>
        <w:r>
          <w:tab/>
          <w:t>In this regulation —</w:t>
        </w:r>
      </w:ins>
    </w:p>
    <w:p>
      <w:pPr>
        <w:pStyle w:val="Defstart"/>
        <w:rPr>
          <w:ins w:id="77" w:author="Master Repository Process" w:date="2021-11-04T15:42:00Z"/>
        </w:rPr>
      </w:pPr>
      <w:ins w:id="78" w:author="Master Repository Process" w:date="2021-11-04T15:42:00Z">
        <w:r>
          <w:tab/>
        </w:r>
        <w:r>
          <w:rPr>
            <w:rStyle w:val="CharDefText"/>
          </w:rPr>
          <w:t>Department CEO</w:t>
        </w:r>
        <w:r>
          <w:t xml:space="preserve"> has the meaning given in the </w:t>
        </w:r>
        <w:r>
          <w:rPr>
            <w:i/>
          </w:rPr>
          <w:t>Procurement Act 2020</w:t>
        </w:r>
        <w:r>
          <w:t xml:space="preserve"> section 4(1);</w:t>
        </w:r>
      </w:ins>
    </w:p>
    <w:p>
      <w:pPr>
        <w:pStyle w:val="Defstart"/>
        <w:rPr>
          <w:ins w:id="79" w:author="Master Repository Process" w:date="2021-11-04T15:42:00Z"/>
        </w:rPr>
      </w:pPr>
      <w:ins w:id="80" w:author="Master Repository Process" w:date="2021-11-04T15:42:00Z">
        <w:r>
          <w:tab/>
        </w:r>
        <w:r>
          <w:rPr>
            <w:rStyle w:val="CharDefText"/>
          </w:rPr>
          <w:t>senior officer</w:t>
        </w:r>
        <w:r>
          <w:t xml:space="preserve">, of a supplier, has the meaning given in the </w:t>
        </w:r>
        <w:r>
          <w:rPr>
            <w:i/>
          </w:rPr>
          <w:t>Procurement (Debarment of Suppliers) Regulations 2021</w:t>
        </w:r>
        <w:r>
          <w:t xml:space="preserve"> regulation 3(1);</w:t>
        </w:r>
      </w:ins>
    </w:p>
    <w:p>
      <w:pPr>
        <w:pStyle w:val="Defstart"/>
        <w:rPr>
          <w:ins w:id="81" w:author="Master Repository Process" w:date="2021-11-04T15:42:00Z"/>
        </w:rPr>
      </w:pPr>
      <w:ins w:id="82" w:author="Master Repository Process" w:date="2021-11-04T15:42:00Z">
        <w:r>
          <w:tab/>
        </w:r>
        <w:r>
          <w:rPr>
            <w:rStyle w:val="CharDefText"/>
          </w:rPr>
          <w:t>supplier</w:t>
        </w:r>
        <w:r>
          <w:t xml:space="preserve"> has the meaning given in the </w:t>
        </w:r>
        <w:r>
          <w:rPr>
            <w:i/>
          </w:rPr>
          <w:t>Procurement Act 2020</w:t>
        </w:r>
        <w:r>
          <w:t xml:space="preserve"> section 4(1).</w:t>
        </w:r>
      </w:ins>
    </w:p>
    <w:p>
      <w:pPr>
        <w:pStyle w:val="Subsection"/>
        <w:rPr>
          <w:ins w:id="83" w:author="Master Repository Process" w:date="2021-11-04T15:42:00Z"/>
        </w:rPr>
      </w:pPr>
      <w:ins w:id="84" w:author="Master Repository Process" w:date="2021-11-04T15:42:00Z">
        <w:r>
          <w:tab/>
          <w:t>(2)</w:t>
        </w:r>
        <w:r>
          <w:tab/>
          <w:t xml:space="preserve">For the purposes of section 114(3)(g) of the Act, the Commissioner may disclose tax information about a supplier or senior officer of a supplier to the Department CEO for a purpose related to the Department CEO carrying out their functions under the </w:t>
        </w:r>
        <w:r>
          <w:rPr>
            <w:i/>
          </w:rPr>
          <w:t>Procurement Act 2020</w:t>
        </w:r>
        <w:r>
          <w:t xml:space="preserve"> section 14(1).</w:t>
        </w:r>
      </w:ins>
    </w:p>
    <w:p>
      <w:pPr>
        <w:pStyle w:val="Footnotesection"/>
        <w:rPr>
          <w:ins w:id="85" w:author="Master Repository Process" w:date="2021-11-04T15:42:00Z"/>
        </w:rPr>
      </w:pPr>
      <w:ins w:id="86" w:author="Master Repository Process" w:date="2021-11-04T15:42:00Z">
        <w:r>
          <w:tab/>
          <w:t>[Regulation 13Q inserted: SL 2021/183 r. 4.]</w:t>
        </w:r>
      </w:ins>
    </w:p>
    <w:p>
      <w:pPr>
        <w:pStyle w:val="Heading5"/>
        <w:spacing w:before="180"/>
      </w:pPr>
      <w:bookmarkStart w:id="87" w:name="_Toc86841702"/>
      <w:bookmarkStart w:id="88" w:name="_Toc77164205"/>
      <w:r>
        <w:rPr>
          <w:rStyle w:val="CharSectno"/>
        </w:rPr>
        <w:t>13</w:t>
      </w:r>
      <w:r>
        <w:t>.</w:t>
      </w:r>
      <w:r>
        <w:tab/>
        <w:t>Disclosure of information about pastoral lessees (section 114(3)(g))</w:t>
      </w:r>
      <w:bookmarkEnd w:id="87"/>
      <w:bookmarkEnd w:id="88"/>
    </w:p>
    <w:p>
      <w:pPr>
        <w:pStyle w:val="Subsection"/>
        <w:keepNext/>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keepNext/>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89" w:name="_Toc86841703"/>
      <w:bookmarkStart w:id="90" w:name="_Toc77164206"/>
      <w:r>
        <w:rPr>
          <w:rStyle w:val="CharSectno"/>
        </w:rPr>
        <w:t>14A</w:t>
      </w:r>
      <w:r>
        <w:t>.</w:t>
      </w:r>
      <w:r>
        <w:tab/>
        <w:t>Disclosure of information about legal practitioners and settlement agents (s. 114(3)(g))</w:t>
      </w:r>
      <w:bookmarkEnd w:id="89"/>
      <w:bookmarkEnd w:id="90"/>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keepNex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keepNext/>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91" w:name="_Toc86841704"/>
      <w:bookmarkStart w:id="92" w:name="_Toc77164207"/>
      <w:r>
        <w:rPr>
          <w:rStyle w:val="CharSectno"/>
        </w:rPr>
        <w:t>14</w:t>
      </w:r>
      <w:r>
        <w:t>.</w:t>
      </w:r>
      <w:r>
        <w:tab/>
        <w:t>Service on Commissioner (section 115)</w:t>
      </w:r>
      <w:bookmarkEnd w:id="91"/>
      <w:bookmarkEnd w:id="92"/>
    </w:p>
    <w:p>
      <w:pPr>
        <w:pStyle w:val="Ednotesubsection"/>
        <w:keepNext/>
      </w:pPr>
      <w:r>
        <w:tab/>
        <w:t>[(1)</w:t>
      </w:r>
      <w:r>
        <w:tab/>
        <w:t>deleted]</w:t>
      </w:r>
    </w:p>
    <w:p>
      <w:pPr>
        <w:pStyle w:val="Subsection"/>
        <w:keepNext/>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keepNext/>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93" w:name="_Toc86841705"/>
      <w:bookmarkStart w:id="94" w:name="_Toc77164208"/>
      <w:r>
        <w:rPr>
          <w:rStyle w:val="CharSectno"/>
        </w:rPr>
        <w:t>14AA</w:t>
      </w:r>
      <w:r>
        <w:t>.</w:t>
      </w:r>
      <w:r>
        <w:tab/>
        <w:t>When documents not served personally are taken to be served (section 117(4))</w:t>
      </w:r>
      <w:bookmarkEnd w:id="93"/>
      <w:bookmarkEnd w:id="94"/>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95" w:name="_Toc86841706"/>
      <w:bookmarkStart w:id="96" w:name="_Toc77164209"/>
      <w:r>
        <w:rPr>
          <w:rStyle w:val="CharSectno"/>
        </w:rPr>
        <w:t>15</w:t>
      </w:r>
      <w:r>
        <w:t>.</w:t>
      </w:r>
      <w:r>
        <w:tab/>
        <w:t>Prescription of Commissioner as State taxation officer</w:t>
      </w:r>
      <w:bookmarkEnd w:id="95"/>
      <w:bookmarkEnd w:id="96"/>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7" w:name="_Toc86763240"/>
      <w:bookmarkStart w:id="98" w:name="_Toc86763579"/>
      <w:bookmarkStart w:id="99" w:name="_Toc86841617"/>
      <w:bookmarkStart w:id="100" w:name="_Toc86841707"/>
      <w:bookmarkStart w:id="101" w:name="_Toc75943134"/>
      <w:bookmarkStart w:id="102" w:name="_Toc75944633"/>
      <w:bookmarkStart w:id="103" w:name="_Toc75947288"/>
      <w:bookmarkStart w:id="104" w:name="_Toc77164210"/>
      <w:r>
        <w:t>Notes</w:t>
      </w:r>
      <w:bookmarkEnd w:id="97"/>
      <w:bookmarkEnd w:id="98"/>
      <w:bookmarkEnd w:id="99"/>
      <w:bookmarkEnd w:id="100"/>
      <w:bookmarkEnd w:id="101"/>
      <w:bookmarkEnd w:id="102"/>
      <w:bookmarkEnd w:id="103"/>
      <w:bookmarkEnd w:id="104"/>
    </w:p>
    <w:p>
      <w:pPr>
        <w:pStyle w:val="nStatement"/>
      </w:pPr>
      <w:r>
        <w:t xml:space="preserve">This is a compilation of the </w:t>
      </w:r>
      <w:r>
        <w:rPr>
          <w:i/>
          <w:noProof/>
        </w:rPr>
        <w:t>Taxation Administration Regulations 2003</w:t>
      </w:r>
      <w:r>
        <w:t xml:space="preserve"> and includes amendments made by other written laws. For provisions that have come into operation, and for information about any reprints, see the compilation table. </w:t>
      </w:r>
    </w:p>
    <w:p>
      <w:pPr>
        <w:pStyle w:val="nHeading3"/>
      </w:pPr>
      <w:bookmarkStart w:id="105" w:name="_Toc86841708"/>
      <w:bookmarkStart w:id="106" w:name="_Toc77164211"/>
      <w:r>
        <w:t>Compilation table</w:t>
      </w:r>
      <w:bookmarkEnd w:id="105"/>
      <w:bookmarkEnd w:id="1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c>
          <w:tcPr>
            <w:tcW w:w="3119" w:type="dxa"/>
            <w:tcBorders>
              <w:top w:val="nil"/>
              <w:bottom w:val="nil"/>
            </w:tcBorders>
          </w:tcPr>
          <w:p>
            <w:pPr>
              <w:pStyle w:val="nTable"/>
              <w:spacing w:after="40"/>
              <w:rPr>
                <w:i/>
              </w:rPr>
            </w:pPr>
            <w:r>
              <w:rPr>
                <w:i/>
              </w:rPr>
              <w:t>Finance Regulations Amendment Regulations 2020</w:t>
            </w:r>
            <w:r>
              <w:t xml:space="preserve"> Pt. 5</w:t>
            </w:r>
          </w:p>
        </w:tc>
        <w:tc>
          <w:tcPr>
            <w:tcW w:w="1276" w:type="dxa"/>
            <w:tcBorders>
              <w:top w:val="nil"/>
              <w:bottom w:val="nil"/>
            </w:tcBorders>
          </w:tcPr>
          <w:p>
            <w:pPr>
              <w:pStyle w:val="nTable"/>
              <w:keepNext/>
              <w:spacing w:after="40"/>
            </w:pPr>
            <w:r>
              <w:t>SL 2020/206 23 Oct 2020</w:t>
            </w:r>
          </w:p>
        </w:tc>
        <w:tc>
          <w:tcPr>
            <w:tcW w:w="2693" w:type="dxa"/>
            <w:tcBorders>
              <w:top w:val="nil"/>
              <w:bottom w:val="nil"/>
            </w:tcBorders>
          </w:tcPr>
          <w:p>
            <w:pPr>
              <w:pStyle w:val="nTable"/>
              <w:keepNext/>
              <w:spacing w:after="40"/>
            </w:pPr>
            <w:r>
              <w:t>24 Oct 2020 (see r. 2(b))</w:t>
            </w:r>
          </w:p>
        </w:tc>
      </w:tr>
      <w:tr>
        <w:tc>
          <w:tcPr>
            <w:tcW w:w="3119" w:type="dxa"/>
            <w:tcBorders>
              <w:top w:val="nil"/>
              <w:bottom w:val="nil"/>
            </w:tcBorders>
          </w:tcPr>
          <w:p>
            <w:pPr>
              <w:pStyle w:val="nTable"/>
              <w:spacing w:after="40"/>
              <w:rPr>
                <w:i/>
              </w:rPr>
            </w:pPr>
            <w:r>
              <w:rPr>
                <w:i/>
              </w:rPr>
              <w:t>Taxation Administration Amendment Regulations 2021</w:t>
            </w:r>
          </w:p>
        </w:tc>
        <w:tc>
          <w:tcPr>
            <w:tcW w:w="1276" w:type="dxa"/>
            <w:tcBorders>
              <w:top w:val="nil"/>
              <w:bottom w:val="nil"/>
            </w:tcBorders>
          </w:tcPr>
          <w:p>
            <w:pPr>
              <w:pStyle w:val="nTable"/>
              <w:keepNext/>
              <w:spacing w:after="40"/>
            </w:pPr>
            <w:r>
              <w:t>SL 2021/116 2 Jul 2021</w:t>
            </w:r>
          </w:p>
        </w:tc>
        <w:tc>
          <w:tcPr>
            <w:tcW w:w="2693" w:type="dxa"/>
            <w:tcBorders>
              <w:top w:val="nil"/>
              <w:bottom w:val="nil"/>
            </w:tcBorders>
          </w:tcPr>
          <w:p>
            <w:pPr>
              <w:pStyle w:val="nTable"/>
              <w:keepNext/>
              <w:spacing w:after="40"/>
            </w:pPr>
            <w:r>
              <w:t>r. 1 and 2: 2 Jul 2021 (see r. 2(a));</w:t>
            </w:r>
            <w:r>
              <w:br/>
              <w:t>Regulations other than r. 1 and 2: 3 Jul 2021 (see r. 2(b))</w:t>
            </w:r>
          </w:p>
        </w:tc>
      </w:tr>
      <w:tr>
        <w:trPr>
          <w:ins w:id="107" w:author="Master Repository Process" w:date="2021-11-04T15:42:00Z"/>
        </w:trPr>
        <w:tc>
          <w:tcPr>
            <w:tcW w:w="3119" w:type="dxa"/>
            <w:tcBorders>
              <w:top w:val="nil"/>
              <w:bottom w:val="single" w:sz="8" w:space="0" w:color="auto"/>
            </w:tcBorders>
          </w:tcPr>
          <w:p>
            <w:pPr>
              <w:pStyle w:val="nTable"/>
              <w:spacing w:after="40"/>
              <w:rPr>
                <w:ins w:id="108" w:author="Master Repository Process" w:date="2021-11-04T15:42:00Z"/>
                <w:i/>
              </w:rPr>
            </w:pPr>
            <w:ins w:id="109" w:author="Master Repository Process" w:date="2021-11-04T15:42:00Z">
              <w:r>
                <w:rPr>
                  <w:i/>
                </w:rPr>
                <w:t>Taxation Administration Amendment Regulations (No. 2) 2021</w:t>
              </w:r>
            </w:ins>
          </w:p>
        </w:tc>
        <w:tc>
          <w:tcPr>
            <w:tcW w:w="1276" w:type="dxa"/>
            <w:tcBorders>
              <w:top w:val="nil"/>
              <w:bottom w:val="single" w:sz="8" w:space="0" w:color="auto"/>
            </w:tcBorders>
          </w:tcPr>
          <w:p>
            <w:pPr>
              <w:pStyle w:val="nTable"/>
              <w:keepNext/>
              <w:spacing w:after="40"/>
              <w:rPr>
                <w:ins w:id="110" w:author="Master Repository Process" w:date="2021-11-04T15:42:00Z"/>
              </w:rPr>
            </w:pPr>
            <w:ins w:id="111" w:author="Master Repository Process" w:date="2021-11-04T15:42:00Z">
              <w:r>
                <w:t>SL 2021/183 5 Nov 2021</w:t>
              </w:r>
            </w:ins>
          </w:p>
        </w:tc>
        <w:tc>
          <w:tcPr>
            <w:tcW w:w="2693" w:type="dxa"/>
            <w:tcBorders>
              <w:top w:val="nil"/>
              <w:bottom w:val="single" w:sz="8" w:space="0" w:color="auto"/>
            </w:tcBorders>
          </w:tcPr>
          <w:p>
            <w:pPr>
              <w:pStyle w:val="nTable"/>
              <w:keepNext/>
              <w:spacing w:after="40"/>
              <w:rPr>
                <w:ins w:id="112" w:author="Master Repository Process" w:date="2021-11-04T15:42:00Z"/>
              </w:rPr>
            </w:pPr>
            <w:ins w:id="113" w:author="Master Repository Process" w:date="2021-11-04T15:42:00Z">
              <w:r>
                <w:t>5 Nov 2021 (see r. 2 and SL 2021/187 r. 2(a))</w:t>
              </w:r>
            </w:ins>
          </w:p>
        </w:tc>
      </w:tr>
    </w:tbl>
    <w:p>
      <w:pPr>
        <w:pStyle w:val="nHeading3"/>
      </w:pPr>
      <w:bookmarkStart w:id="114" w:name="_Toc86841709"/>
      <w:bookmarkStart w:id="115" w:name="_Toc77164212"/>
      <w:r>
        <w:t>Other notes</w:t>
      </w:r>
      <w:bookmarkEnd w:id="114"/>
      <w:bookmarkEnd w:id="115"/>
    </w:p>
    <w:p>
      <w:pPr>
        <w:pStyle w:val="nNote"/>
        <w:keepNext/>
        <w:keepLines/>
      </w:pPr>
      <w:bookmarkStart w:id="116"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2</w:t>
      </w:r>
      <w:r>
        <w:t xml:space="preserve">. </w:t>
      </w:r>
    </w:p>
    <w:p>
      <w:pPr>
        <w:pStyle w:val="nNote"/>
        <w:keepNext/>
        <w:keepLines/>
      </w:pPr>
      <w:r>
        <w:tab/>
        <w:t>If a modification is to:</w:t>
      </w:r>
    </w:p>
    <w:p>
      <w:pPr>
        <w:pStyle w:val="nNote"/>
        <w:keepNext/>
        <w:keepLines/>
        <w:numPr>
          <w:ilvl w:val="0"/>
          <w:numId w:val="15"/>
        </w:numPr>
        <w:spacing w:before="0"/>
        <w:ind w:left="714" w:hanging="357"/>
      </w:pPr>
      <w:r>
        <w:t>replace or insert a numbered provision, the new provision is identified by the superscript 1M appearing after the provision number;</w:t>
      </w:r>
    </w:p>
    <w:p>
      <w:pPr>
        <w:pStyle w:val="nNote"/>
        <w:numPr>
          <w:ilvl w:val="0"/>
          <w:numId w:val="15"/>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2</w:t>
      </w:r>
      <w:r>
        <w:t xml:space="preserve">. </w:t>
      </w:r>
    </w:p>
    <w:p>
      <w:pPr>
        <w:pStyle w:val="nNote"/>
        <w:keepNext/>
      </w:pPr>
      <w:r>
        <w:tab/>
        <w:t>If a modification is to:</w:t>
      </w:r>
    </w:p>
    <w:p>
      <w:pPr>
        <w:pStyle w:val="nNote"/>
        <w:keepNext/>
        <w:keepLines/>
        <w:numPr>
          <w:ilvl w:val="0"/>
          <w:numId w:val="15"/>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5"/>
        </w:numPr>
        <w:spacing w:before="0"/>
        <w:ind w:left="714" w:hanging="357"/>
      </w:pPr>
      <w:r>
        <w:t>amend a numbered provision, the amended provision is identified by the superscript 1MC appearing after the provision number.</w:t>
      </w:r>
    </w:p>
    <w:bookmarkEnd w:id="116"/>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2163140"/>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 w:name="WAFER_20210630105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5558_GUID" w:val="8d7a5490-3940-42ce-9654-b343ea101c39"/>
    <w:docVar w:name="WAFER_20211102163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140_GUID" w:val="4cc90840-f75d-49e2-a768-aad15af6e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BB27CC-B3CD-4E96-A90E-025C59E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5274</Words>
  <Characters>26476</Characters>
  <Application>Microsoft Office Word</Application>
  <DocSecurity>0</DocSecurity>
  <Lines>827</Lines>
  <Paragraphs>434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04-l0-01 - 04-m0-00</dc:title>
  <dc:subject/>
  <dc:creator/>
  <cp:keywords/>
  <dc:description/>
  <cp:lastModifiedBy>Master Repository Process</cp:lastModifiedBy>
  <cp:revision>2</cp:revision>
  <cp:lastPrinted>2021-11-03T06:16:00Z</cp:lastPrinted>
  <dcterms:created xsi:type="dcterms:W3CDTF">2021-11-04T07:41:00Z</dcterms:created>
  <dcterms:modified xsi:type="dcterms:W3CDTF">2021-11-04T07:42:00Z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20211105</vt:lpwstr>
  </property>
  <property fmtid="{D5CDD505-2E9C-101B-9397-08002B2CF9AE}" pid="8" name="FromSuffix">
    <vt:lpwstr>04-l0-01</vt:lpwstr>
  </property>
  <property fmtid="{D5CDD505-2E9C-101B-9397-08002B2CF9AE}" pid="9" name="FromAsAtDate">
    <vt:lpwstr>03 Jul 2021</vt:lpwstr>
  </property>
  <property fmtid="{D5CDD505-2E9C-101B-9397-08002B2CF9AE}" pid="10" name="ToSuffix">
    <vt:lpwstr>04-m0-00</vt:lpwstr>
  </property>
  <property fmtid="{D5CDD505-2E9C-101B-9397-08002B2CF9AE}" pid="11" name="ToAsAtDate">
    <vt:lpwstr>05 Nov 2021</vt:lpwstr>
  </property>
</Properties>
</file>