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2017</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1" w:name="_GoBack"/>
      <w:bookmarkEnd w:id="1"/>
      <w:r>
        <w:rPr>
          <w:snapToGrid w:val="0"/>
        </w:rPr>
        <w:t>n Act to confer a Constitution on Western Australia, and to grant a Civil list to Her Majesty.</w:t>
      </w:r>
      <w:del w:id="2" w:author="Master Repository Process" w:date="2021-11-25T09:31:00Z">
        <w:r>
          <w:rPr>
            <w:b w:val="0"/>
            <w:bCs/>
            <w:snapToGrid w:val="0"/>
            <w:vertAlign w:val="superscript"/>
          </w:rPr>
          <w:delText>1</w:delText>
        </w:r>
      </w:del>
    </w:p>
    <w:p>
      <w:pPr>
        <w:pStyle w:val="Preamble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p>
    <w:p>
      <w:pPr>
        <w:pStyle w:val="Preamble2"/>
        <w:rPr>
          <w:snapToGrid w:val="0"/>
        </w:rPr>
      </w:pPr>
      <w:r>
        <w:rPr>
          <w:snapToGrid w:val="0"/>
        </w:rPr>
        <w:t>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Original State of the Commonwealth of Australia in 1901 and thereafter has been the Parliament of the State;</w:t>
      </w:r>
    </w:p>
    <w:p>
      <w:pPr>
        <w:pStyle w:val="Preamble2"/>
        <w:rPr>
          <w:snapToGrid w:val="0"/>
        </w:rPr>
      </w:pPr>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Footnotepreamble"/>
      </w:pPr>
      <w:r>
        <w:tab/>
        <w:t>[Preamble amended: No. 22 of 2015 s. 4.]</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Heading2"/>
      </w:pPr>
      <w:bookmarkStart w:id="3" w:name="_Toc88038460"/>
      <w:bookmarkStart w:id="4" w:name="_Toc88040232"/>
      <w:bookmarkStart w:id="5" w:name="_Toc88046676"/>
      <w:bookmarkStart w:id="6" w:name="_Toc88662609"/>
      <w:bookmarkStart w:id="7" w:name="_Toc378085791"/>
      <w:bookmarkStart w:id="8" w:name="_Toc415585420"/>
      <w:bookmarkStart w:id="9" w:name="_Toc415585479"/>
      <w:bookmarkStart w:id="10" w:name="_Toc430349002"/>
      <w:bookmarkStart w:id="11" w:name="_Toc430349674"/>
      <w:bookmarkStart w:id="12" w:name="_Toc473879978"/>
      <w:bookmarkStart w:id="13" w:name="_Toc496782622"/>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pPr>
      <w:r>
        <w:tab/>
        <w:t>[Heading inserted: No. 47 of 2011 s. 20(2).]</w:t>
      </w:r>
    </w:p>
    <w:p>
      <w:pPr>
        <w:pStyle w:val="Heading5"/>
      </w:pPr>
      <w:bookmarkStart w:id="14" w:name="_Toc88662610"/>
      <w:bookmarkStart w:id="15" w:name="_Toc378085792"/>
      <w:bookmarkStart w:id="16" w:name="_Toc496782623"/>
      <w:r>
        <w:rPr>
          <w:rStyle w:val="CharSectno"/>
        </w:rPr>
        <w:t>1</w:t>
      </w:r>
      <w:r>
        <w:t>.</w:t>
      </w:r>
      <w:r>
        <w:tab/>
        <w:t>Short title</w:t>
      </w:r>
      <w:bookmarkEnd w:id="14"/>
      <w:bookmarkEnd w:id="15"/>
      <w:bookmarkEnd w:id="16"/>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 No. 47 of 2011 s. 20(2).]</w:t>
      </w:r>
    </w:p>
    <w:p>
      <w:pPr>
        <w:pStyle w:val="Heading2"/>
      </w:pPr>
      <w:bookmarkStart w:id="17" w:name="_Toc88038462"/>
      <w:bookmarkStart w:id="18" w:name="_Toc88040234"/>
      <w:bookmarkStart w:id="19" w:name="_Toc88046678"/>
      <w:bookmarkStart w:id="20" w:name="_Toc88662611"/>
      <w:bookmarkStart w:id="21" w:name="_Toc378085793"/>
      <w:bookmarkStart w:id="22" w:name="_Toc415585422"/>
      <w:bookmarkStart w:id="23" w:name="_Toc415585481"/>
      <w:bookmarkStart w:id="24" w:name="_Toc430349004"/>
      <w:bookmarkStart w:id="25" w:name="_Toc430349676"/>
      <w:bookmarkStart w:id="26" w:name="_Toc473879980"/>
      <w:bookmarkStart w:id="27" w:name="_Toc496782624"/>
      <w:r>
        <w:rPr>
          <w:rStyle w:val="CharPartNo"/>
        </w:rPr>
        <w:t>Part I</w:t>
      </w:r>
      <w:r>
        <w:rPr>
          <w:rStyle w:val="CharDivNo"/>
        </w:rPr>
        <w:t> </w:t>
      </w:r>
      <w:r>
        <w:t>—</w:t>
      </w:r>
      <w:r>
        <w:rPr>
          <w:rStyle w:val="CharDivText"/>
        </w:rPr>
        <w:t> </w:t>
      </w:r>
      <w:r>
        <w:rPr>
          <w:rStyle w:val="CharPartText"/>
        </w:rPr>
        <w:t>Parliamentary</w:t>
      </w:r>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88662612"/>
      <w:bookmarkStart w:id="29" w:name="_Toc378085794"/>
      <w:bookmarkStart w:id="30" w:name="_Toc496782625"/>
      <w:r>
        <w:rPr>
          <w:rStyle w:val="CharSectno"/>
        </w:rPr>
        <w:t>2</w:t>
      </w:r>
      <w:r>
        <w:rPr>
          <w:snapToGrid w:val="0"/>
        </w:rPr>
        <w:t>.</w:t>
      </w:r>
      <w:r>
        <w:rPr>
          <w:snapToGrid w:val="0"/>
        </w:rPr>
        <w:tab/>
        <w:t>Legislature to be constituted in Western Australia</w:t>
      </w:r>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No. 59 of 1978 s. 4.]</w:t>
      </w:r>
    </w:p>
    <w:p>
      <w:pPr>
        <w:pStyle w:val="Heading5"/>
        <w:spacing w:before="180"/>
        <w:rPr>
          <w:snapToGrid w:val="0"/>
        </w:rPr>
      </w:pPr>
      <w:bookmarkStart w:id="31" w:name="_Toc88662613"/>
      <w:bookmarkStart w:id="32" w:name="_Toc378085795"/>
      <w:bookmarkStart w:id="33" w:name="_Toc496782626"/>
      <w:r>
        <w:rPr>
          <w:rStyle w:val="CharSectno"/>
        </w:rPr>
        <w:t>3</w:t>
      </w:r>
      <w:r>
        <w:rPr>
          <w:snapToGrid w:val="0"/>
        </w:rPr>
        <w:t>.</w:t>
      </w:r>
      <w:r>
        <w:rPr>
          <w:snapToGrid w:val="0"/>
        </w:rPr>
        <w:tab/>
        <w:t>Governor may fix place and time of sessions, prorogue Houses and dissolve Assembly</w:t>
      </w:r>
      <w:bookmarkEnd w:id="31"/>
      <w:bookmarkEnd w:id="32"/>
      <w:bookmarkEnd w:id="33"/>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34" w:name="_Toc88662614"/>
      <w:bookmarkStart w:id="35" w:name="_Toc378085796"/>
      <w:bookmarkStart w:id="36" w:name="_Toc496782627"/>
      <w:r>
        <w:rPr>
          <w:rStyle w:val="CharSectno"/>
        </w:rPr>
        <w:t>4</w:t>
      </w:r>
      <w:r>
        <w:rPr>
          <w:snapToGrid w:val="0"/>
        </w:rPr>
        <w:t>.</w:t>
      </w:r>
      <w:r>
        <w:rPr>
          <w:snapToGrid w:val="0"/>
        </w:rPr>
        <w:tab/>
        <w:t>A session every year</w:t>
      </w:r>
      <w:bookmarkEnd w:id="34"/>
      <w:bookmarkEnd w:id="35"/>
      <w:bookmarkEnd w:id="36"/>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37" w:name="_Toc88662615"/>
      <w:bookmarkStart w:id="38" w:name="_Toc378085797"/>
      <w:bookmarkStart w:id="39" w:name="_Toc496782628"/>
      <w:r>
        <w:rPr>
          <w:rStyle w:val="CharSectno"/>
        </w:rPr>
        <w:t>5</w:t>
      </w:r>
      <w:r>
        <w:rPr>
          <w:snapToGrid w:val="0"/>
        </w:rPr>
        <w:t>.</w:t>
      </w:r>
      <w:r>
        <w:rPr>
          <w:snapToGrid w:val="0"/>
        </w:rPr>
        <w:tab/>
        <w:t>First calling together of Legislature</w:t>
      </w:r>
      <w:bookmarkEnd w:id="37"/>
      <w:bookmarkEnd w:id="38"/>
      <w:bookmarkEnd w:id="39"/>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40" w:name="_Toc378085798"/>
      <w:bookmarkStart w:id="41" w:name="_Toc496782629"/>
      <w:bookmarkStart w:id="42" w:name="_Toc88662616"/>
      <w:r>
        <w:rPr>
          <w:rStyle w:val="CharSectno"/>
        </w:rPr>
        <w:t>6</w:t>
      </w:r>
      <w:r>
        <w:rPr>
          <w:snapToGrid w:val="0"/>
        </w:rPr>
        <w:t>.</w:t>
      </w:r>
      <w:r>
        <w:rPr>
          <w:snapToGrid w:val="0"/>
        </w:rPr>
        <w:tab/>
        <w:t>Appointment of members of Council</w:t>
      </w:r>
      <w:bookmarkEnd w:id="40"/>
      <w:bookmarkEnd w:id="41"/>
      <w:del w:id="43" w:author="Master Repository Process" w:date="2021-11-25T09:31:00Z">
        <w:r>
          <w:rPr>
            <w:snapToGrid w:val="0"/>
            <w:vertAlign w:val="superscript"/>
          </w:rPr>
          <w:delText xml:space="preserve"> </w:delText>
        </w:r>
      </w:del>
      <w:ins w:id="44" w:author="Master Repository Process" w:date="2021-11-25T09:31:00Z">
        <w:r>
          <w:rPr>
            <w:b w:val="0"/>
            <w:vertAlign w:val="superscript"/>
          </w:rPr>
          <w:t> 3</w:t>
        </w:r>
      </w:ins>
      <w:bookmarkEnd w:id="42"/>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del w:id="45" w:author="Master Repository Process" w:date="2021-11-25T09:31:00Z">
        <w:r>
          <w:rPr>
            <w:vertAlign w:val="superscript"/>
          </w:rPr>
          <w:delText> 3</w:delText>
        </w:r>
      </w:del>
      <w:r>
        <w:t xml:space="preserve"> amended: No. 78 of 1984 s. 5.]</w:t>
      </w:r>
    </w:p>
    <w:p>
      <w:pPr>
        <w:pStyle w:val="Heading5"/>
        <w:rPr>
          <w:snapToGrid w:val="0"/>
        </w:rPr>
      </w:pPr>
      <w:bookmarkStart w:id="46" w:name="_Toc88662617"/>
      <w:bookmarkStart w:id="47" w:name="_Toc378085799"/>
      <w:bookmarkStart w:id="48" w:name="_Toc496782630"/>
      <w:r>
        <w:rPr>
          <w:rStyle w:val="CharSectno"/>
        </w:rPr>
        <w:t>7</w:t>
      </w:r>
      <w:r>
        <w:rPr>
          <w:snapToGrid w:val="0"/>
        </w:rPr>
        <w:t>.</w:t>
      </w:r>
      <w:r>
        <w:rPr>
          <w:snapToGrid w:val="0"/>
        </w:rPr>
        <w:tab/>
        <w:t>Tenure of seats in Council</w:t>
      </w:r>
      <w:bookmarkEnd w:id="46"/>
      <w:bookmarkEnd w:id="47"/>
      <w:bookmarkEnd w:id="48"/>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9" w:name="_Toc88662618"/>
      <w:bookmarkStart w:id="50" w:name="_Toc378085800"/>
      <w:bookmarkStart w:id="51" w:name="_Toc496782631"/>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49"/>
      <w:bookmarkEnd w:id="50"/>
      <w:bookmarkEnd w:id="51"/>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52" w:name="_Toc88662619"/>
      <w:bookmarkStart w:id="53" w:name="_Toc378085801"/>
      <w:bookmarkStart w:id="54" w:name="_Toc496782632"/>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52"/>
      <w:bookmarkEnd w:id="53"/>
      <w:bookmarkEnd w:id="54"/>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57 Vict., No. 14 s. 2.] </w:t>
      </w:r>
    </w:p>
    <w:p>
      <w:pPr>
        <w:pStyle w:val="Heading5"/>
        <w:rPr>
          <w:snapToGrid w:val="0"/>
        </w:rPr>
      </w:pPr>
      <w:bookmarkStart w:id="55" w:name="_Toc88662620"/>
      <w:bookmarkStart w:id="56" w:name="_Toc378085802"/>
      <w:bookmarkStart w:id="57" w:name="_Toc496782633"/>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55"/>
      <w:bookmarkEnd w:id="56"/>
      <w:bookmarkEnd w:id="57"/>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8" w:name="_Toc88662621"/>
      <w:bookmarkStart w:id="59" w:name="_Toc378085803"/>
      <w:bookmarkStart w:id="60" w:name="_Toc496782634"/>
      <w:r>
        <w:rPr>
          <w:rStyle w:val="CharSectno"/>
        </w:rPr>
        <w:t>13</w:t>
      </w:r>
      <w:r>
        <w:rPr>
          <w:snapToGrid w:val="0"/>
        </w:rPr>
        <w:t>.</w:t>
      </w:r>
      <w:r>
        <w:rPr>
          <w:snapToGrid w:val="0"/>
        </w:rPr>
        <w:tab/>
        <w:t>Assembly may proceed to business although full number of members not elected at general election</w:t>
      </w:r>
      <w:bookmarkEnd w:id="58"/>
      <w:bookmarkEnd w:id="59"/>
      <w:bookmarkEnd w:id="60"/>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No. 36 of 2000 s. 22.]</w:t>
      </w:r>
    </w:p>
    <w:p>
      <w:pPr>
        <w:pStyle w:val="Ednotesection"/>
      </w:pPr>
      <w:r>
        <w:t>[</w:t>
      </w:r>
      <w:r>
        <w:rPr>
          <w:b/>
        </w:rPr>
        <w:t>14.</w:t>
      </w:r>
      <w:r>
        <w:rPr>
          <w:b/>
        </w:rPr>
        <w:tab/>
      </w:r>
      <w:r>
        <w:t xml:space="preserve">Deleted: 63 Vict., No. 19 s. 2.] </w:t>
      </w:r>
    </w:p>
    <w:p>
      <w:pPr>
        <w:pStyle w:val="Heading5"/>
        <w:rPr>
          <w:snapToGrid w:val="0"/>
        </w:rPr>
      </w:pPr>
      <w:bookmarkStart w:id="61" w:name="_Toc88662622"/>
      <w:bookmarkStart w:id="62" w:name="_Toc378085804"/>
      <w:bookmarkStart w:id="63" w:name="_Toc496782635"/>
      <w:r>
        <w:rPr>
          <w:rStyle w:val="CharSectno"/>
        </w:rPr>
        <w:t>15</w:t>
      </w:r>
      <w:r>
        <w:rPr>
          <w:snapToGrid w:val="0"/>
        </w:rPr>
        <w:t>.</w:t>
      </w:r>
      <w:r>
        <w:rPr>
          <w:snapToGrid w:val="0"/>
        </w:rPr>
        <w:tab/>
        <w:t>Election of Speaker</w:t>
      </w:r>
      <w:bookmarkEnd w:id="61"/>
      <w:bookmarkEnd w:id="62"/>
      <w:bookmarkEnd w:id="63"/>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No. 78 of 1984 s. 6.] </w:t>
      </w:r>
    </w:p>
    <w:p>
      <w:pPr>
        <w:pStyle w:val="Ednotesection"/>
      </w:pPr>
      <w:r>
        <w:t>[</w:t>
      </w:r>
      <w:r>
        <w:rPr>
          <w:b/>
        </w:rPr>
        <w:t>18</w:t>
      </w:r>
      <w:r>
        <w:rPr>
          <w:b/>
        </w:rPr>
        <w:noBreakHyphen/>
        <w:t>21</w:t>
      </w:r>
      <w:r>
        <w:rPr>
          <w:b/>
          <w:bCs/>
        </w:rPr>
        <w:t>.</w:t>
      </w:r>
      <w:r>
        <w:tab/>
        <w:t xml:space="preserve">Deleted: 63 Vict., No. 19 s. 2.] </w:t>
      </w:r>
    </w:p>
    <w:p>
      <w:pPr>
        <w:pStyle w:val="Heading5"/>
        <w:rPr>
          <w:snapToGrid w:val="0"/>
        </w:rPr>
      </w:pPr>
      <w:bookmarkStart w:id="64" w:name="_Toc88662623"/>
      <w:bookmarkStart w:id="65" w:name="_Toc378085805"/>
      <w:bookmarkStart w:id="66" w:name="_Toc496782636"/>
      <w:r>
        <w:rPr>
          <w:rStyle w:val="CharSectno"/>
        </w:rPr>
        <w:t>22</w:t>
      </w:r>
      <w:r>
        <w:rPr>
          <w:snapToGrid w:val="0"/>
        </w:rPr>
        <w:t>.</w:t>
      </w:r>
      <w:r>
        <w:rPr>
          <w:snapToGrid w:val="0"/>
        </w:rPr>
        <w:tab/>
        <w:t>Oath or affirmation of allegiance</w:t>
      </w:r>
      <w:bookmarkEnd w:id="64"/>
      <w:bookmarkEnd w:id="65"/>
      <w:bookmarkEnd w:id="66"/>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No. 15 of 1980 s. 2; amended: No. 24 of 2005 s. 6.]</w:t>
      </w:r>
    </w:p>
    <w:p>
      <w:pPr>
        <w:pStyle w:val="Ednotesection"/>
      </w:pPr>
      <w:r>
        <w:t>[</w:t>
      </w:r>
      <w:r>
        <w:rPr>
          <w:b/>
        </w:rPr>
        <w:t>23</w:t>
      </w:r>
      <w:r>
        <w:rPr>
          <w:b/>
        </w:rPr>
        <w:noBreakHyphen/>
        <w:t>30</w:t>
      </w:r>
      <w:r>
        <w:rPr>
          <w:b/>
          <w:bCs/>
        </w:rPr>
        <w:t>.</w:t>
      </w:r>
      <w:r>
        <w:tab/>
        <w:t>Deleted: 63 Vict., No. 19 s. 2.]</w:t>
      </w:r>
    </w:p>
    <w:p>
      <w:pPr>
        <w:pStyle w:val="Ednotesection"/>
      </w:pPr>
      <w:r>
        <w:t>[</w:t>
      </w:r>
      <w:r>
        <w:rPr>
          <w:b/>
        </w:rPr>
        <w:t>31</w:t>
      </w:r>
      <w:r>
        <w:rPr>
          <w:b/>
          <w:bCs/>
        </w:rPr>
        <w:t>.</w:t>
      </w:r>
      <w:r>
        <w:tab/>
        <w:t xml:space="preserve">Deleted: 57 Vict., No. 14 s. 2.] </w:t>
      </w:r>
    </w:p>
    <w:p>
      <w:pPr>
        <w:pStyle w:val="Ednotesection"/>
      </w:pPr>
      <w:r>
        <w:t>[</w:t>
      </w:r>
      <w:r>
        <w:rPr>
          <w:b/>
        </w:rPr>
        <w:t>32, 33</w:t>
      </w:r>
      <w:r>
        <w:rPr>
          <w:b/>
          <w:bCs/>
        </w:rPr>
        <w:t>.</w:t>
      </w:r>
      <w:r>
        <w:rPr>
          <w:b/>
          <w:bCs/>
        </w:rPr>
        <w:tab/>
      </w:r>
      <w:r>
        <w:t xml:space="preserve">Deleted: 63 Vict., No. 19 s. 2.] </w:t>
      </w:r>
    </w:p>
    <w:p>
      <w:pPr>
        <w:pStyle w:val="Heading5"/>
        <w:rPr>
          <w:snapToGrid w:val="0"/>
        </w:rPr>
      </w:pPr>
      <w:bookmarkStart w:id="67" w:name="_Toc88662624"/>
      <w:bookmarkStart w:id="68" w:name="_Toc378085806"/>
      <w:bookmarkStart w:id="69" w:name="_Toc496782637"/>
      <w:r>
        <w:rPr>
          <w:rStyle w:val="CharSectno"/>
        </w:rPr>
        <w:t>34</w:t>
      </w:r>
      <w:r>
        <w:rPr>
          <w:snapToGrid w:val="0"/>
        </w:rPr>
        <w:t>.</w:t>
      </w:r>
      <w:r>
        <w:rPr>
          <w:snapToGrid w:val="0"/>
        </w:rPr>
        <w:tab/>
        <w:t>Standing Rules and Orders</w:t>
      </w:r>
      <w:bookmarkEnd w:id="67"/>
      <w:bookmarkEnd w:id="68"/>
      <w:bookmarkEnd w:id="69"/>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No. 51 of 1987 s. 3.]</w:t>
      </w:r>
    </w:p>
    <w:p>
      <w:pPr>
        <w:pStyle w:val="Heading5"/>
        <w:rPr>
          <w:snapToGrid w:val="0"/>
        </w:rPr>
      </w:pPr>
      <w:bookmarkStart w:id="70" w:name="_Toc88662625"/>
      <w:bookmarkStart w:id="71" w:name="_Toc378085807"/>
      <w:bookmarkStart w:id="72" w:name="_Toc496782638"/>
      <w:r>
        <w:rPr>
          <w:rStyle w:val="CharSectno"/>
        </w:rPr>
        <w:t>35</w:t>
      </w:r>
      <w:r>
        <w:rPr>
          <w:snapToGrid w:val="0"/>
        </w:rPr>
        <w:t>.</w:t>
      </w:r>
      <w:r>
        <w:rPr>
          <w:snapToGrid w:val="0"/>
        </w:rPr>
        <w:tab/>
        <w:t>Salaries of President, Speaker, and officers</w:t>
      </w:r>
      <w:bookmarkEnd w:id="70"/>
      <w:bookmarkEnd w:id="71"/>
      <w:bookmarkEnd w:id="72"/>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73" w:name="_Toc88662626"/>
      <w:bookmarkStart w:id="74" w:name="_Toc378085808"/>
      <w:bookmarkStart w:id="75" w:name="_Toc496782639"/>
      <w:r>
        <w:rPr>
          <w:rStyle w:val="CharSectno"/>
        </w:rPr>
        <w:t>36</w:t>
      </w:r>
      <w:r>
        <w:rPr>
          <w:snapToGrid w:val="0"/>
        </w:rPr>
        <w:t>.</w:t>
      </w:r>
      <w:r>
        <w:rPr>
          <w:snapToGrid w:val="0"/>
        </w:rPr>
        <w:tab/>
        <w:t>Privileges of both Houses</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No. 41 of 2004 s. 4.]</w:t>
      </w:r>
    </w:p>
    <w:p>
      <w:pPr>
        <w:pStyle w:val="Heading2"/>
      </w:pPr>
      <w:bookmarkStart w:id="76" w:name="_Toc88038478"/>
      <w:bookmarkStart w:id="77" w:name="_Toc88040250"/>
      <w:bookmarkStart w:id="78" w:name="_Toc88046694"/>
      <w:bookmarkStart w:id="79" w:name="_Toc88662627"/>
      <w:bookmarkStart w:id="80" w:name="_Toc378085809"/>
      <w:bookmarkStart w:id="81" w:name="_Toc415585438"/>
      <w:bookmarkStart w:id="82" w:name="_Toc415585497"/>
      <w:bookmarkStart w:id="83" w:name="_Toc430349020"/>
      <w:bookmarkStart w:id="84" w:name="_Toc430349692"/>
      <w:bookmarkStart w:id="85" w:name="_Toc473879996"/>
      <w:bookmarkStart w:id="86" w:name="_Toc496782640"/>
      <w:r>
        <w:rPr>
          <w:rStyle w:val="CharPartNo"/>
        </w:rPr>
        <w:t>Part II</w:t>
      </w:r>
      <w:r>
        <w:rPr>
          <w:rStyle w:val="CharDivNo"/>
        </w:rPr>
        <w:t> </w:t>
      </w:r>
      <w:r>
        <w:t>—</w:t>
      </w:r>
      <w:r>
        <w:rPr>
          <w:rStyle w:val="CharDivText"/>
        </w:rPr>
        <w:t> </w:t>
      </w:r>
      <w:r>
        <w:rPr>
          <w:rStyle w:val="CharPartText"/>
        </w:rPr>
        <w:t>Electoral</w:t>
      </w:r>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Ednotesection"/>
      </w:pPr>
      <w:r>
        <w:t>[</w:t>
      </w:r>
      <w:r>
        <w:rPr>
          <w:b/>
        </w:rPr>
        <w:t>37</w:t>
      </w:r>
      <w:r>
        <w:rPr>
          <w:b/>
          <w:bCs/>
        </w:rPr>
        <w:t>.</w:t>
      </w:r>
      <w:r>
        <w:tab/>
        <w:t xml:space="preserve">Deleted: 57 Vict., No. 14 s. 2.] </w:t>
      </w:r>
    </w:p>
    <w:p>
      <w:pPr>
        <w:pStyle w:val="Heading5"/>
        <w:rPr>
          <w:b w:val="0"/>
          <w:bCs/>
          <w:snapToGrid w:val="0"/>
        </w:rPr>
      </w:pPr>
      <w:bookmarkStart w:id="87" w:name="_Toc88662628"/>
      <w:bookmarkStart w:id="88" w:name="_Toc378085810"/>
      <w:bookmarkStart w:id="89" w:name="_Toc496782641"/>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87"/>
      <w:bookmarkEnd w:id="88"/>
      <w:bookmarkEnd w:id="89"/>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57 Vict., No. 14 s. 2.] </w:t>
      </w:r>
    </w:p>
    <w:p>
      <w:pPr>
        <w:pStyle w:val="Ednotesection"/>
      </w:pPr>
      <w:r>
        <w:t>[</w:t>
      </w:r>
      <w:r>
        <w:rPr>
          <w:b/>
        </w:rPr>
        <w:t>40.</w:t>
      </w:r>
      <w:r>
        <w:rPr>
          <w:b/>
        </w:rPr>
        <w:tab/>
      </w:r>
      <w:r>
        <w:t xml:space="preserve">Deleted: 63 Vict., No. 19 s. 2.] </w:t>
      </w:r>
    </w:p>
    <w:p>
      <w:pPr>
        <w:pStyle w:val="Heading5"/>
        <w:rPr>
          <w:b w:val="0"/>
          <w:bCs/>
          <w:snapToGrid w:val="0"/>
        </w:rPr>
      </w:pPr>
      <w:bookmarkStart w:id="90" w:name="_Toc88662629"/>
      <w:bookmarkStart w:id="91" w:name="_Toc378085811"/>
      <w:bookmarkStart w:id="92" w:name="_Toc496782642"/>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90"/>
      <w:bookmarkEnd w:id="91"/>
      <w:bookmarkEnd w:id="92"/>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93" w:name="_Toc88038481"/>
      <w:bookmarkStart w:id="94" w:name="_Toc88040253"/>
      <w:bookmarkStart w:id="95" w:name="_Toc88046697"/>
      <w:bookmarkStart w:id="96" w:name="_Toc88662630"/>
      <w:bookmarkStart w:id="97" w:name="_Toc378085812"/>
      <w:bookmarkStart w:id="98" w:name="_Toc415585441"/>
      <w:bookmarkStart w:id="99" w:name="_Toc415585500"/>
      <w:bookmarkStart w:id="100" w:name="_Toc430349023"/>
      <w:bookmarkStart w:id="101" w:name="_Toc430349695"/>
      <w:bookmarkStart w:id="102" w:name="_Toc473879999"/>
      <w:bookmarkStart w:id="103" w:name="_Toc496782643"/>
      <w:r>
        <w:rPr>
          <w:rStyle w:val="CharPartNo"/>
        </w:rPr>
        <w:t>Part III</w:t>
      </w:r>
      <w:r>
        <w:rPr>
          <w:rStyle w:val="CharDivNo"/>
        </w:rPr>
        <w:t> </w:t>
      </w:r>
      <w:r>
        <w:t>—</w:t>
      </w:r>
      <w:r>
        <w:rPr>
          <w:rStyle w:val="CharDivText"/>
        </w:rPr>
        <w:t> </w:t>
      </w:r>
      <w:r>
        <w:rPr>
          <w:rStyle w:val="CharPartText"/>
        </w:rPr>
        <w:t>Elective Council</w:t>
      </w:r>
      <w:bookmarkEnd w:id="93"/>
      <w:bookmarkEnd w:id="94"/>
      <w:bookmarkEnd w:id="95"/>
      <w:bookmarkEnd w:id="96"/>
      <w:bookmarkEnd w:id="97"/>
      <w:bookmarkEnd w:id="98"/>
      <w:bookmarkEnd w:id="99"/>
      <w:bookmarkEnd w:id="100"/>
      <w:bookmarkEnd w:id="101"/>
      <w:bookmarkEnd w:id="102"/>
      <w:bookmarkEnd w:id="103"/>
    </w:p>
    <w:p>
      <w:pPr>
        <w:pStyle w:val="Ednotesection"/>
      </w:pPr>
      <w:bookmarkStart w:id="104" w:name="_Toc378085813"/>
      <w:r>
        <w:t>[</w:t>
      </w:r>
      <w:r>
        <w:rPr>
          <w:b/>
        </w:rPr>
        <w:t>42</w:t>
      </w:r>
      <w:r>
        <w:rPr>
          <w:b/>
          <w:bCs/>
        </w:rPr>
        <w:t>.</w:t>
      </w:r>
      <w:r>
        <w:tab/>
        <w:t>Deleted: No. 22 of 2015 s. 5.]</w:t>
      </w:r>
    </w:p>
    <w:p>
      <w:pPr>
        <w:pStyle w:val="Heading5"/>
        <w:rPr>
          <w:snapToGrid w:val="0"/>
        </w:rPr>
      </w:pPr>
      <w:bookmarkStart w:id="105" w:name="_Toc88662631"/>
      <w:bookmarkStart w:id="106" w:name="_Toc378085814"/>
      <w:bookmarkStart w:id="107" w:name="_Toc496782644"/>
      <w:bookmarkEnd w:id="104"/>
      <w:r>
        <w:rPr>
          <w:rStyle w:val="CharSectno"/>
        </w:rPr>
        <w:t>43</w:t>
      </w:r>
      <w:r>
        <w:rPr>
          <w:snapToGrid w:val="0"/>
        </w:rPr>
        <w:t>.</w:t>
      </w:r>
      <w:r>
        <w:rPr>
          <w:snapToGrid w:val="0"/>
        </w:rPr>
        <w:tab/>
        <w:t>Certain sections to lapse</w:t>
      </w:r>
      <w:bookmarkEnd w:id="105"/>
      <w:bookmarkEnd w:id="106"/>
      <w:bookmarkEnd w:id="107"/>
      <w:r>
        <w:rPr>
          <w:snapToGrid w:val="0"/>
        </w:rPr>
        <w:t xml:space="preserve"> </w:t>
      </w:r>
    </w:p>
    <w:p>
      <w:pPr>
        <w:pStyle w:val="Subsection"/>
        <w:rPr>
          <w:snapToGrid w:val="0"/>
        </w:rPr>
      </w:pPr>
      <w:r>
        <w:rPr>
          <w:snapToGrid w:val="0"/>
        </w:rPr>
        <w:tab/>
      </w:r>
      <w:r>
        <w:rPr>
          <w:snapToGrid w:val="0"/>
        </w:rPr>
        <w:tab/>
        <w:t>On the coming into operation of this Part</w:t>
      </w:r>
      <w:r>
        <w:rPr>
          <w:snapToGrid w:val="0"/>
          <w:vertAlign w:val="superscript"/>
        </w:rPr>
        <w:t> </w:t>
      </w:r>
      <w:del w:id="108" w:author="Master Repository Process" w:date="2021-11-25T09:31:00Z">
        <w:r>
          <w:rPr>
            <w:snapToGrid w:val="0"/>
            <w:vertAlign w:val="superscript"/>
          </w:rPr>
          <w:delText>16</w:delText>
        </w:r>
      </w:del>
      <w:ins w:id="109" w:author="Master Repository Process" w:date="2021-11-25T09:31:00Z">
        <w:r>
          <w:rPr>
            <w:snapToGrid w:val="0"/>
            <w:vertAlign w:val="superscript"/>
          </w:rPr>
          <w:t>6</w:t>
        </w:r>
      </w:ins>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 xml:space="preserve">Deleted: 57 Vict., No. 14 s. 2.] </w:t>
      </w:r>
    </w:p>
    <w:p>
      <w:pPr>
        <w:pStyle w:val="Heading5"/>
        <w:rPr>
          <w:snapToGrid w:val="0"/>
        </w:rPr>
      </w:pPr>
      <w:bookmarkStart w:id="110" w:name="_Toc88662632"/>
      <w:bookmarkStart w:id="111" w:name="_Toc378085815"/>
      <w:bookmarkStart w:id="112" w:name="_Toc496782645"/>
      <w:r>
        <w:rPr>
          <w:rStyle w:val="CharSectno"/>
        </w:rPr>
        <w:t>46</w:t>
      </w:r>
      <w:r>
        <w:rPr>
          <w:snapToGrid w:val="0"/>
        </w:rPr>
        <w:t>.</w:t>
      </w:r>
      <w:r>
        <w:rPr>
          <w:snapToGrid w:val="0"/>
        </w:rPr>
        <w:tab/>
        <w:t>Convoking of elected Council</w:t>
      </w:r>
      <w:bookmarkEnd w:id="110"/>
      <w:bookmarkEnd w:id="111"/>
      <w:bookmarkEnd w:id="112"/>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13" w:name="_Toc88662633"/>
      <w:bookmarkStart w:id="114" w:name="_Toc378085816"/>
      <w:bookmarkStart w:id="115" w:name="_Toc496782646"/>
      <w:r>
        <w:rPr>
          <w:rStyle w:val="CharSectno"/>
        </w:rPr>
        <w:t>47</w:t>
      </w:r>
      <w:r>
        <w:rPr>
          <w:snapToGrid w:val="0"/>
        </w:rPr>
        <w:t>.</w:t>
      </w:r>
      <w:r>
        <w:rPr>
          <w:snapToGrid w:val="0"/>
        </w:rPr>
        <w:tab/>
        <w:t>Council may proceed to business although full number of vacancies not filled at general election</w:t>
      </w:r>
      <w:bookmarkEnd w:id="113"/>
      <w:bookmarkEnd w:id="114"/>
      <w:bookmarkEnd w:id="115"/>
      <w:r>
        <w:rPr>
          <w:snapToGrid w:val="0"/>
        </w:rPr>
        <w:t xml:space="preserve"> </w:t>
      </w:r>
    </w:p>
    <w:p>
      <w:pPr>
        <w:pStyle w:val="Subsection"/>
        <w:rPr>
          <w:snapToGrid w:val="0"/>
        </w:rPr>
      </w:pPr>
      <w:r>
        <w:tab/>
      </w:r>
      <w:ins w:id="116" w:author="Master Repository Process" w:date="2021-11-25T09:31:00Z">
        <w:r>
          <w:t>(1)</w:t>
        </w:r>
      </w:ins>
      <w:r>
        <w:tab/>
        <w:t>Upon</w:t>
      </w:r>
      <w:r>
        <w:rPr>
          <w:snapToGrid w:val="0"/>
        </w:rPr>
        <w:t xml:space="preserve">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Subsection"/>
        <w:rPr>
          <w:ins w:id="117" w:author="Master Repository Process" w:date="2021-11-25T09:31:00Z"/>
        </w:rPr>
      </w:pPr>
      <w:ins w:id="118" w:author="Master Repository Process" w:date="2021-11-25T09:31:00Z">
        <w:r>
          <w:tab/>
          <w:t>(2)</w:t>
        </w:r>
        <w:r>
          <w:tab/>
          <w:t>Subsection (1) does not apply if the general election has wholly failed or has been declared to be absolutely void.</w:t>
        </w:r>
      </w:ins>
    </w:p>
    <w:p>
      <w:pPr>
        <w:pStyle w:val="Footnotesection"/>
      </w:pPr>
      <w:r>
        <w:tab/>
        <w:t>[Section 47 inserted: No. 40 of 1987 s.</w:t>
      </w:r>
      <w:ins w:id="119" w:author="Master Repository Process" w:date="2021-11-25T09:31:00Z">
        <w:r>
          <w:t> 4; amended: No. 20 of 2021 s.</w:t>
        </w:r>
      </w:ins>
      <w:r>
        <w:t> 4.]</w:t>
      </w:r>
    </w:p>
    <w:p>
      <w:pPr>
        <w:pStyle w:val="Ednotesection"/>
      </w:pPr>
      <w:r>
        <w:t>[</w:t>
      </w:r>
      <w:r>
        <w:rPr>
          <w:b/>
        </w:rPr>
        <w:t>48</w:t>
      </w:r>
      <w:r>
        <w:rPr>
          <w:b/>
          <w:bCs/>
        </w:rPr>
        <w:t>.</w:t>
      </w:r>
      <w:r>
        <w:tab/>
        <w:t xml:space="preserve">Deleted: 57 Vict., No. 14 s. 2.] </w:t>
      </w:r>
    </w:p>
    <w:p>
      <w:pPr>
        <w:pStyle w:val="Heading5"/>
        <w:rPr>
          <w:snapToGrid w:val="0"/>
        </w:rPr>
      </w:pPr>
      <w:bookmarkStart w:id="120" w:name="_Toc88662634"/>
      <w:bookmarkStart w:id="121" w:name="_Toc378085817"/>
      <w:bookmarkStart w:id="122" w:name="_Toc496782647"/>
      <w:r>
        <w:rPr>
          <w:rStyle w:val="CharSectno"/>
        </w:rPr>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120"/>
      <w:bookmarkEnd w:id="121"/>
      <w:bookmarkEnd w:id="122"/>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23" w:name="_Toc88038486"/>
      <w:bookmarkStart w:id="124" w:name="_Toc88040258"/>
      <w:bookmarkStart w:id="125" w:name="_Toc88046702"/>
      <w:bookmarkStart w:id="126" w:name="_Toc88662635"/>
      <w:bookmarkStart w:id="127" w:name="_Toc378085818"/>
      <w:bookmarkStart w:id="128" w:name="_Toc415585447"/>
      <w:bookmarkStart w:id="129" w:name="_Toc415585506"/>
      <w:bookmarkStart w:id="130" w:name="_Toc430349028"/>
      <w:bookmarkStart w:id="131" w:name="_Toc430349700"/>
      <w:bookmarkStart w:id="132" w:name="_Toc473880004"/>
      <w:bookmarkStart w:id="133" w:name="_Toc496782648"/>
      <w:r>
        <w:rPr>
          <w:rStyle w:val="CharPartNo"/>
        </w:rPr>
        <w:t>Part IIIA</w:t>
      </w:r>
      <w:r>
        <w:rPr>
          <w:rStyle w:val="CharDivNo"/>
        </w:rPr>
        <w:t> </w:t>
      </w:r>
      <w:r>
        <w:t>—</w:t>
      </w:r>
      <w:r>
        <w:rPr>
          <w:rStyle w:val="CharDivText"/>
        </w:rPr>
        <w:t> </w:t>
      </w:r>
      <w:r>
        <w:rPr>
          <w:rStyle w:val="CharPartText"/>
        </w:rPr>
        <w:t>The Governor</w:t>
      </w:r>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rPr>
          <w:snapToGrid w:val="0"/>
        </w:rPr>
      </w:pPr>
      <w:r>
        <w:rPr>
          <w:snapToGrid w:val="0"/>
        </w:rPr>
        <w:tab/>
        <w:t xml:space="preserve">[Heading inserted: No. 59 of 1978 s. 5.] </w:t>
      </w:r>
    </w:p>
    <w:p>
      <w:pPr>
        <w:pStyle w:val="Heading5"/>
        <w:rPr>
          <w:snapToGrid w:val="0"/>
        </w:rPr>
      </w:pPr>
      <w:bookmarkStart w:id="134" w:name="_Toc88662636"/>
      <w:bookmarkStart w:id="135" w:name="_Toc378085819"/>
      <w:bookmarkStart w:id="136" w:name="_Toc496782649"/>
      <w:r>
        <w:rPr>
          <w:rStyle w:val="CharSectno"/>
        </w:rPr>
        <w:t>50</w:t>
      </w:r>
      <w:r>
        <w:rPr>
          <w:snapToGrid w:val="0"/>
        </w:rPr>
        <w:t>.</w:t>
      </w:r>
      <w:r>
        <w:rPr>
          <w:snapToGrid w:val="0"/>
        </w:rPr>
        <w:tab/>
        <w:t>Office of Governor</w:t>
      </w:r>
      <w:bookmarkEnd w:id="134"/>
      <w:bookmarkEnd w:id="135"/>
      <w:bookmarkEnd w:id="136"/>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No. 59 of 1978 s. 5; amended: the Australia Act 1986 (U.K.) s. 14(2) (see WA Act No. 65 of 1985 and also the Australia Act 1986 (Cwlth.) s. 14(2)).] </w:t>
      </w:r>
    </w:p>
    <w:p>
      <w:pPr>
        <w:pStyle w:val="Heading5"/>
        <w:keepNext w:val="0"/>
        <w:rPr>
          <w:snapToGrid w:val="0"/>
        </w:rPr>
      </w:pPr>
      <w:bookmarkStart w:id="137" w:name="_Toc88662637"/>
      <w:bookmarkStart w:id="138" w:name="_Toc378085820"/>
      <w:bookmarkStart w:id="139" w:name="_Toc496782650"/>
      <w:r>
        <w:rPr>
          <w:rStyle w:val="CharSectno"/>
        </w:rPr>
        <w:t>51</w:t>
      </w:r>
      <w:r>
        <w:rPr>
          <w:snapToGrid w:val="0"/>
        </w:rPr>
        <w:t>.</w:t>
      </w:r>
      <w:r>
        <w:rPr>
          <w:snapToGrid w:val="0"/>
        </w:rPr>
        <w:tab/>
        <w:t>Instructions to Governor</w:t>
      </w:r>
      <w:bookmarkEnd w:id="137"/>
      <w:bookmarkEnd w:id="138"/>
      <w:bookmarkEnd w:id="139"/>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No. 59 of 1978 s. 5; amended: the Australia Act 1986 (U.K.) s. 14(3) (see WA Act No. 65 of 1985 and also the Australia Act 1986 (Cwlth.) s. 14(3)).]</w:t>
      </w:r>
    </w:p>
    <w:p>
      <w:pPr>
        <w:pStyle w:val="Heading2"/>
      </w:pPr>
      <w:bookmarkStart w:id="140" w:name="_Toc88038489"/>
      <w:bookmarkStart w:id="141" w:name="_Toc88040261"/>
      <w:bookmarkStart w:id="142" w:name="_Toc88046705"/>
      <w:bookmarkStart w:id="143" w:name="_Toc88662638"/>
      <w:bookmarkStart w:id="144" w:name="_Toc378085821"/>
      <w:bookmarkStart w:id="145" w:name="_Toc415585450"/>
      <w:bookmarkStart w:id="146" w:name="_Toc415585509"/>
      <w:bookmarkStart w:id="147" w:name="_Toc430349031"/>
      <w:bookmarkStart w:id="148" w:name="_Toc430349703"/>
      <w:bookmarkStart w:id="149" w:name="_Toc473880007"/>
      <w:bookmarkStart w:id="150" w:name="_Toc496782651"/>
      <w:r>
        <w:rPr>
          <w:rStyle w:val="CharPartNo"/>
        </w:rPr>
        <w:t>Part IIIB</w:t>
      </w:r>
      <w:r>
        <w:rPr>
          <w:rStyle w:val="CharDivNo"/>
        </w:rPr>
        <w:t> </w:t>
      </w:r>
      <w:r>
        <w:t>—</w:t>
      </w:r>
      <w:r>
        <w:rPr>
          <w:rStyle w:val="CharDivText"/>
        </w:rPr>
        <w:t> </w:t>
      </w:r>
      <w:r>
        <w:rPr>
          <w:rStyle w:val="CharPartText"/>
        </w:rPr>
        <w:t>Local government</w:t>
      </w:r>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rPr>
          <w:snapToGrid w:val="0"/>
        </w:rPr>
      </w:pPr>
      <w:r>
        <w:rPr>
          <w:snapToGrid w:val="0"/>
        </w:rPr>
        <w:tab/>
        <w:t xml:space="preserve">[Heading inserted: No. 88 of 1979 s. 3.] </w:t>
      </w:r>
    </w:p>
    <w:p>
      <w:pPr>
        <w:pStyle w:val="Heading5"/>
        <w:rPr>
          <w:snapToGrid w:val="0"/>
        </w:rPr>
      </w:pPr>
      <w:bookmarkStart w:id="151" w:name="_Toc88662639"/>
      <w:bookmarkStart w:id="152" w:name="_Toc378085822"/>
      <w:bookmarkStart w:id="153" w:name="_Toc496782652"/>
      <w:r>
        <w:rPr>
          <w:rStyle w:val="CharSectno"/>
        </w:rPr>
        <w:t>52</w:t>
      </w:r>
      <w:r>
        <w:rPr>
          <w:snapToGrid w:val="0"/>
        </w:rPr>
        <w:t>.</w:t>
      </w:r>
      <w:r>
        <w:rPr>
          <w:snapToGrid w:val="0"/>
        </w:rPr>
        <w:tab/>
        <w:t>Elected local governing bodies</w:t>
      </w:r>
      <w:bookmarkEnd w:id="151"/>
      <w:bookmarkEnd w:id="152"/>
      <w:bookmarkEnd w:id="153"/>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No. 88 of 1979 s. 3.]</w:t>
      </w:r>
    </w:p>
    <w:p>
      <w:pPr>
        <w:pStyle w:val="Heading5"/>
        <w:rPr>
          <w:snapToGrid w:val="0"/>
        </w:rPr>
      </w:pPr>
      <w:bookmarkStart w:id="154" w:name="_Toc88662640"/>
      <w:bookmarkStart w:id="155" w:name="_Toc378085823"/>
      <w:bookmarkStart w:id="156" w:name="_Toc496782653"/>
      <w:r>
        <w:rPr>
          <w:rStyle w:val="CharSectno"/>
        </w:rPr>
        <w:t>53</w:t>
      </w:r>
      <w:r>
        <w:rPr>
          <w:snapToGrid w:val="0"/>
        </w:rPr>
        <w:t>.</w:t>
      </w:r>
      <w:r>
        <w:rPr>
          <w:snapToGrid w:val="0"/>
        </w:rPr>
        <w:tab/>
        <w:t>Certain laws not affected</w:t>
      </w:r>
      <w:bookmarkEnd w:id="154"/>
      <w:bookmarkEnd w:id="155"/>
      <w:bookmarkEnd w:id="156"/>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No. 88 of 1979 s. 3.] </w:t>
      </w:r>
    </w:p>
    <w:p>
      <w:pPr>
        <w:pStyle w:val="Heading2"/>
      </w:pPr>
      <w:bookmarkStart w:id="157" w:name="_Toc88038492"/>
      <w:bookmarkStart w:id="158" w:name="_Toc88040264"/>
      <w:bookmarkStart w:id="159" w:name="_Toc88046708"/>
      <w:bookmarkStart w:id="160" w:name="_Toc88662641"/>
      <w:bookmarkStart w:id="161" w:name="_Toc378085824"/>
      <w:bookmarkStart w:id="162" w:name="_Toc415585453"/>
      <w:bookmarkStart w:id="163" w:name="_Toc415585512"/>
      <w:bookmarkStart w:id="164" w:name="_Toc430349034"/>
      <w:bookmarkStart w:id="165" w:name="_Toc430349706"/>
      <w:bookmarkStart w:id="166" w:name="_Toc473880010"/>
      <w:bookmarkStart w:id="167" w:name="_Toc496782654"/>
      <w:r>
        <w:rPr>
          <w:rStyle w:val="CharPartNo"/>
        </w:rPr>
        <w:t>Part IV</w:t>
      </w:r>
      <w:r>
        <w:rPr>
          <w:rStyle w:val="CharDivNo"/>
        </w:rPr>
        <w:t> </w:t>
      </w:r>
      <w:r>
        <w:t>—</w:t>
      </w:r>
      <w:r>
        <w:rPr>
          <w:rStyle w:val="CharDivText"/>
        </w:rPr>
        <w:t> </w:t>
      </w:r>
      <w:r>
        <w:rPr>
          <w:rStyle w:val="CharPartText"/>
        </w:rPr>
        <w:t>Judicial</w:t>
      </w:r>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b w:val="0"/>
          <w:bCs/>
          <w:snapToGrid w:val="0"/>
        </w:rPr>
      </w:pPr>
      <w:bookmarkStart w:id="168" w:name="_Toc88662642"/>
      <w:bookmarkStart w:id="169" w:name="_Toc378085825"/>
      <w:bookmarkStart w:id="170" w:name="_Toc496782655"/>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168"/>
      <w:bookmarkEnd w:id="169"/>
      <w:bookmarkEnd w:id="170"/>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71" w:name="_Toc88662643"/>
      <w:bookmarkStart w:id="172" w:name="_Toc378085826"/>
      <w:bookmarkStart w:id="173" w:name="_Toc496782656"/>
      <w:r>
        <w:rPr>
          <w:rStyle w:val="CharSectno"/>
        </w:rPr>
        <w:t>55</w:t>
      </w:r>
      <w:r>
        <w:rPr>
          <w:snapToGrid w:val="0"/>
        </w:rPr>
        <w:t>.</w:t>
      </w:r>
      <w:r>
        <w:rPr>
          <w:snapToGrid w:val="0"/>
        </w:rPr>
        <w:tab/>
        <w:t>But they may be removed by the Crown on the address of both Houses</w:t>
      </w:r>
      <w:bookmarkEnd w:id="171"/>
      <w:bookmarkEnd w:id="172"/>
      <w:bookmarkEnd w:id="173"/>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No. 35 of 1950 s. 4.] </w:t>
      </w:r>
    </w:p>
    <w:p>
      <w:pPr>
        <w:pStyle w:val="Heading2"/>
      </w:pPr>
      <w:bookmarkStart w:id="174" w:name="_Toc88038495"/>
      <w:bookmarkStart w:id="175" w:name="_Toc88040267"/>
      <w:bookmarkStart w:id="176" w:name="_Toc88046711"/>
      <w:bookmarkStart w:id="177" w:name="_Toc88662644"/>
      <w:bookmarkStart w:id="178" w:name="_Toc378085827"/>
      <w:bookmarkStart w:id="179" w:name="_Toc415585456"/>
      <w:bookmarkStart w:id="180" w:name="_Toc415585515"/>
      <w:bookmarkStart w:id="181" w:name="_Toc430349037"/>
      <w:bookmarkStart w:id="182" w:name="_Toc430349709"/>
      <w:bookmarkStart w:id="183" w:name="_Toc473880013"/>
      <w:bookmarkStart w:id="184" w:name="_Toc496782657"/>
      <w:r>
        <w:rPr>
          <w:rStyle w:val="CharPartNo"/>
        </w:rPr>
        <w:t>Part V</w:t>
      </w:r>
      <w:r>
        <w:rPr>
          <w:rStyle w:val="CharDivNo"/>
        </w:rPr>
        <w:t> </w:t>
      </w:r>
      <w:r>
        <w:t>—</w:t>
      </w:r>
      <w:r>
        <w:rPr>
          <w:rStyle w:val="CharDivText"/>
        </w:rPr>
        <w:t> </w:t>
      </w:r>
      <w:r>
        <w:rPr>
          <w:rStyle w:val="CharPartText"/>
        </w:rPr>
        <w:t>Legal</w:t>
      </w:r>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88662645"/>
      <w:bookmarkStart w:id="186" w:name="_Toc378085828"/>
      <w:bookmarkStart w:id="187" w:name="_Toc496782658"/>
      <w:r>
        <w:rPr>
          <w:rStyle w:val="CharSectno"/>
        </w:rPr>
        <w:t>57</w:t>
      </w:r>
      <w:r>
        <w:rPr>
          <w:snapToGrid w:val="0"/>
        </w:rPr>
        <w:t>.</w:t>
      </w:r>
      <w:r>
        <w:rPr>
          <w:snapToGrid w:val="0"/>
        </w:rPr>
        <w:tab/>
        <w:t>Existing law saved</w:t>
      </w:r>
      <w:bookmarkEnd w:id="185"/>
      <w:bookmarkEnd w:id="186"/>
      <w:bookmarkEnd w:id="187"/>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88" w:name="_Toc88662646"/>
      <w:bookmarkStart w:id="189" w:name="_Toc378085829"/>
      <w:bookmarkStart w:id="190" w:name="_Toc496782659"/>
      <w:r>
        <w:rPr>
          <w:rStyle w:val="CharSectno"/>
        </w:rPr>
        <w:t>58</w:t>
      </w:r>
      <w:r>
        <w:rPr>
          <w:snapToGrid w:val="0"/>
        </w:rPr>
        <w:t>.</w:t>
      </w:r>
      <w:r>
        <w:rPr>
          <w:snapToGrid w:val="0"/>
        </w:rPr>
        <w:tab/>
        <w:t>Courts of justice, commissions, officers, etc.</w:t>
      </w:r>
      <w:bookmarkEnd w:id="188"/>
      <w:bookmarkEnd w:id="189"/>
      <w:bookmarkEnd w:id="190"/>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91" w:name="_Toc88662647"/>
      <w:bookmarkStart w:id="192" w:name="_Toc378085830"/>
      <w:bookmarkStart w:id="193" w:name="_Toc496782660"/>
      <w:r>
        <w:rPr>
          <w:rStyle w:val="CharSectno"/>
        </w:rPr>
        <w:t>59</w:t>
      </w:r>
      <w:r>
        <w:rPr>
          <w:snapToGrid w:val="0"/>
        </w:rPr>
        <w:t>.</w:t>
      </w:r>
      <w:r>
        <w:rPr>
          <w:snapToGrid w:val="0"/>
        </w:rPr>
        <w:tab/>
        <w:t>Custom duties may be imposed not differential</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94" w:name="_Toc88662648"/>
      <w:bookmarkStart w:id="195" w:name="_Toc378085831"/>
      <w:bookmarkStart w:id="196" w:name="_Toc496782661"/>
      <w:r>
        <w:rPr>
          <w:rStyle w:val="CharSectno"/>
        </w:rPr>
        <w:t>60</w:t>
      </w:r>
      <w:r>
        <w:rPr>
          <w:snapToGrid w:val="0"/>
        </w:rPr>
        <w:t>.</w:t>
      </w:r>
      <w:r>
        <w:rPr>
          <w:snapToGrid w:val="0"/>
        </w:rPr>
        <w:tab/>
        <w:t>Duties not to be levied on supplies for Governor or troops nor any duties inconsistent with treaties</w:t>
      </w:r>
      <w:bookmarkEnd w:id="194"/>
      <w:bookmarkEnd w:id="195"/>
      <w:bookmarkEnd w:id="196"/>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97" w:name="_Toc88662649"/>
      <w:bookmarkStart w:id="198" w:name="_Toc378085832"/>
      <w:bookmarkStart w:id="199" w:name="_Toc496782662"/>
      <w:r>
        <w:rPr>
          <w:rStyle w:val="CharSectno"/>
        </w:rPr>
        <w:t>61</w:t>
      </w:r>
      <w:r>
        <w:rPr>
          <w:snapToGrid w:val="0"/>
        </w:rPr>
        <w:t>.</w:t>
      </w:r>
      <w:r>
        <w:rPr>
          <w:snapToGrid w:val="0"/>
        </w:rPr>
        <w:tab/>
        <w:t>Separation of the Colony</w:t>
      </w:r>
      <w:bookmarkEnd w:id="197"/>
      <w:bookmarkEnd w:id="198"/>
      <w:bookmarkEnd w:id="199"/>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00" w:name="_Toc88662650"/>
      <w:bookmarkStart w:id="201" w:name="_Toc378085833"/>
      <w:bookmarkStart w:id="202" w:name="_Toc496782663"/>
      <w:r>
        <w:rPr>
          <w:rStyle w:val="CharSectno"/>
        </w:rPr>
        <w:t>62</w:t>
      </w:r>
      <w:r>
        <w:rPr>
          <w:snapToGrid w:val="0"/>
        </w:rPr>
        <w:t>.</w:t>
      </w:r>
      <w:r>
        <w:rPr>
          <w:snapToGrid w:val="0"/>
        </w:rPr>
        <w:tab/>
        <w:t>After separation, Act to apply to remaining part of Colony</w:t>
      </w:r>
      <w:bookmarkEnd w:id="200"/>
      <w:bookmarkEnd w:id="201"/>
      <w:bookmarkEnd w:id="202"/>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03" w:name="_Toc88038502"/>
      <w:bookmarkStart w:id="204" w:name="_Toc88040274"/>
      <w:bookmarkStart w:id="205" w:name="_Toc88046718"/>
      <w:bookmarkStart w:id="206" w:name="_Toc88662651"/>
      <w:bookmarkStart w:id="207" w:name="_Toc378085834"/>
      <w:bookmarkStart w:id="208" w:name="_Toc415585463"/>
      <w:bookmarkStart w:id="209" w:name="_Toc415585522"/>
      <w:bookmarkStart w:id="210" w:name="_Toc430349044"/>
      <w:bookmarkStart w:id="211" w:name="_Toc430349716"/>
      <w:bookmarkStart w:id="212" w:name="_Toc473880020"/>
      <w:bookmarkStart w:id="213" w:name="_Toc496782664"/>
      <w:r>
        <w:rPr>
          <w:rStyle w:val="CharPartNo"/>
        </w:rPr>
        <w:t>Part VI</w:t>
      </w:r>
      <w:r>
        <w:rPr>
          <w:rStyle w:val="CharDivNo"/>
        </w:rPr>
        <w:t> </w:t>
      </w:r>
      <w:r>
        <w:t>—</w:t>
      </w:r>
      <w:r>
        <w:rPr>
          <w:rStyle w:val="CharDivText"/>
        </w:rPr>
        <w:t> </w:t>
      </w:r>
      <w:r>
        <w:rPr>
          <w:rStyle w:val="CharPartText"/>
        </w:rPr>
        <w:t>Financial</w:t>
      </w:r>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88662652"/>
      <w:bookmarkStart w:id="215" w:name="_Toc378085835"/>
      <w:bookmarkStart w:id="216" w:name="_Toc496782665"/>
      <w:r>
        <w:rPr>
          <w:rStyle w:val="CharSectno"/>
        </w:rPr>
        <w:t>63</w:t>
      </w:r>
      <w:r>
        <w:rPr>
          <w:snapToGrid w:val="0"/>
        </w:rPr>
        <w:t>.</w:t>
      </w:r>
      <w:r>
        <w:rPr>
          <w:snapToGrid w:val="0"/>
        </w:rPr>
        <w:tab/>
        <w:t>Liability of separated portion of Colony for public debt</w:t>
      </w:r>
      <w:bookmarkEnd w:id="214"/>
      <w:bookmarkEnd w:id="215"/>
      <w:bookmarkEnd w:id="216"/>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17" w:name="_Toc88662653"/>
      <w:bookmarkStart w:id="218" w:name="_Toc378085836"/>
      <w:bookmarkStart w:id="219" w:name="_Toc496782666"/>
      <w:r>
        <w:rPr>
          <w:rStyle w:val="CharSectno"/>
        </w:rPr>
        <w:t>64</w:t>
      </w:r>
      <w:r>
        <w:rPr>
          <w:snapToGrid w:val="0"/>
        </w:rPr>
        <w:t>.</w:t>
      </w:r>
      <w:r>
        <w:rPr>
          <w:snapToGrid w:val="0"/>
        </w:rPr>
        <w:tab/>
        <w:t>All duties and revenues to form Consolidated Account</w:t>
      </w:r>
      <w:bookmarkEnd w:id="217"/>
      <w:bookmarkEnd w:id="218"/>
      <w:bookmarkEnd w:id="219"/>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No. 6 of 1993 s. 9 and 11; No. 77 of 2006 s. 4 and 5(1).]</w:t>
      </w:r>
    </w:p>
    <w:p>
      <w:pPr>
        <w:pStyle w:val="Heading5"/>
        <w:rPr>
          <w:snapToGrid w:val="0"/>
        </w:rPr>
      </w:pPr>
      <w:bookmarkStart w:id="220" w:name="_Toc88662654"/>
      <w:bookmarkStart w:id="221" w:name="_Toc378085837"/>
      <w:bookmarkStart w:id="222" w:name="_Toc496782667"/>
      <w:r>
        <w:rPr>
          <w:rStyle w:val="CharSectno"/>
        </w:rPr>
        <w:t>65</w:t>
      </w:r>
      <w:r>
        <w:rPr>
          <w:snapToGrid w:val="0"/>
        </w:rPr>
        <w:t>.</w:t>
      </w:r>
      <w:r>
        <w:rPr>
          <w:snapToGrid w:val="0"/>
        </w:rPr>
        <w:tab/>
        <w:t>Consolidated Account permanently charged with expenses of collection</w:t>
      </w:r>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No. 6 of 1993 s. 11; No. 77 of 2006 s. 4.]</w:t>
      </w:r>
    </w:p>
    <w:p>
      <w:pPr>
        <w:pStyle w:val="Ednotesection"/>
      </w:pPr>
      <w:r>
        <w:t>[</w:t>
      </w:r>
      <w:r>
        <w:rPr>
          <w:b/>
        </w:rPr>
        <w:t>66, 67.</w:t>
      </w:r>
      <w:r>
        <w:rPr>
          <w:b/>
        </w:rPr>
        <w:tab/>
      </w:r>
      <w:r>
        <w:t xml:space="preserve">Deleted: No. 34 of 1921 s. 2.] </w:t>
      </w:r>
    </w:p>
    <w:p>
      <w:pPr>
        <w:pStyle w:val="Heading5"/>
        <w:rPr>
          <w:snapToGrid w:val="0"/>
        </w:rPr>
      </w:pPr>
      <w:bookmarkStart w:id="223" w:name="_Toc88662655"/>
      <w:bookmarkStart w:id="224" w:name="_Toc378085838"/>
      <w:bookmarkStart w:id="225" w:name="_Toc496782668"/>
      <w:r>
        <w:rPr>
          <w:rStyle w:val="CharSectno"/>
        </w:rPr>
        <w:t>68</w:t>
      </w:r>
      <w:r>
        <w:rPr>
          <w:snapToGrid w:val="0"/>
        </w:rPr>
        <w:t>.</w:t>
      </w:r>
      <w:r>
        <w:rPr>
          <w:snapToGrid w:val="0"/>
        </w:rPr>
        <w:tab/>
        <w:t>No part of public revenue to be issued except on warrants from Governor</w:t>
      </w:r>
      <w:bookmarkEnd w:id="223"/>
      <w:bookmarkEnd w:id="224"/>
      <w:bookmarkEnd w:id="225"/>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60 Vict., No. 18 s. 2.] </w:t>
      </w:r>
    </w:p>
    <w:p>
      <w:pPr>
        <w:pStyle w:val="Ednotesection"/>
      </w:pPr>
      <w:r>
        <w:t>[</w:t>
      </w:r>
      <w:r>
        <w:rPr>
          <w:b/>
        </w:rPr>
        <w:t>70.</w:t>
      </w:r>
      <w:r>
        <w:rPr>
          <w:b/>
        </w:rPr>
        <w:tab/>
      </w:r>
      <w:r>
        <w:t xml:space="preserve">Deleted: No. 14 of 1905 s. 65.] </w:t>
      </w:r>
    </w:p>
    <w:p>
      <w:pPr>
        <w:pStyle w:val="Ednotesection"/>
      </w:pPr>
      <w:r>
        <w:t>[</w:t>
      </w:r>
      <w:r>
        <w:rPr>
          <w:b/>
        </w:rPr>
        <w:t>71.</w:t>
      </w:r>
      <w:r>
        <w:rPr>
          <w:b/>
        </w:rPr>
        <w:tab/>
      </w:r>
      <w:r>
        <w:t xml:space="preserve">Deleted: No. 19 of 2010 s. 13(2).] </w:t>
      </w:r>
    </w:p>
    <w:p>
      <w:pPr>
        <w:pStyle w:val="Heading5"/>
        <w:rPr>
          <w:snapToGrid w:val="0"/>
        </w:rPr>
      </w:pPr>
      <w:bookmarkStart w:id="226" w:name="_Toc88662656"/>
      <w:bookmarkStart w:id="227" w:name="_Toc378085839"/>
      <w:bookmarkStart w:id="228" w:name="_Toc496782669"/>
      <w:r>
        <w:rPr>
          <w:rStyle w:val="CharSectno"/>
        </w:rPr>
        <w:t>72</w:t>
      </w:r>
      <w:r>
        <w:rPr>
          <w:snapToGrid w:val="0"/>
        </w:rPr>
        <w:t>.</w:t>
      </w:r>
      <w:r>
        <w:rPr>
          <w:snapToGrid w:val="0"/>
        </w:rPr>
        <w:tab/>
        <w:t>Consolidated Account to be appropriated by Act of the Legislature: certain charges not affected</w:t>
      </w:r>
      <w:bookmarkEnd w:id="226"/>
      <w:bookmarkEnd w:id="227"/>
      <w:bookmarkEnd w:id="228"/>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No. 6 of 1993 s. 11; No. 77 of 2006 s. 4.]</w:t>
      </w:r>
    </w:p>
    <w:p>
      <w:pPr>
        <w:pStyle w:val="Heading2"/>
      </w:pPr>
      <w:bookmarkStart w:id="229" w:name="_Toc88038508"/>
      <w:bookmarkStart w:id="230" w:name="_Toc88040280"/>
      <w:bookmarkStart w:id="231" w:name="_Toc88046724"/>
      <w:bookmarkStart w:id="232" w:name="_Toc88662657"/>
      <w:bookmarkStart w:id="233" w:name="_Toc378085840"/>
      <w:bookmarkStart w:id="234" w:name="_Toc415585469"/>
      <w:bookmarkStart w:id="235" w:name="_Toc415585528"/>
      <w:bookmarkStart w:id="236" w:name="_Toc430349050"/>
      <w:bookmarkStart w:id="237" w:name="_Toc430349722"/>
      <w:bookmarkStart w:id="238" w:name="_Toc473880026"/>
      <w:bookmarkStart w:id="239" w:name="_Toc496782670"/>
      <w:r>
        <w:rPr>
          <w:rStyle w:val="CharPartNo"/>
        </w:rPr>
        <w:t>Part VII</w:t>
      </w:r>
      <w:r>
        <w:rPr>
          <w:rStyle w:val="CharDivNo"/>
        </w:rPr>
        <w:t> </w:t>
      </w:r>
      <w:r>
        <w:t>—</w:t>
      </w:r>
      <w:r>
        <w:rPr>
          <w:rStyle w:val="CharDivText"/>
        </w:rPr>
        <w:t> </w:t>
      </w:r>
      <w:r>
        <w:rPr>
          <w:rStyle w:val="CharPartText"/>
        </w:rPr>
        <w:t>Miscellaneous</w:t>
      </w:r>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88662658"/>
      <w:bookmarkStart w:id="241" w:name="_Toc378085841"/>
      <w:bookmarkStart w:id="242" w:name="_Toc496782671"/>
      <w:r>
        <w:rPr>
          <w:rStyle w:val="CharSectno"/>
        </w:rPr>
        <w:t>73</w:t>
      </w:r>
      <w:r>
        <w:rPr>
          <w:snapToGrid w:val="0"/>
        </w:rPr>
        <w:t>.</w:t>
      </w:r>
      <w:r>
        <w:rPr>
          <w:snapToGrid w:val="0"/>
        </w:rPr>
        <w:tab/>
        <w:t>Legislature as constituted by this Act empowered to alter any of its provisions</w:t>
      </w:r>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No. 59 of 1978 s. 6.]</w:t>
      </w:r>
    </w:p>
    <w:p>
      <w:pPr>
        <w:pStyle w:val="Heading5"/>
        <w:rPr>
          <w:snapToGrid w:val="0"/>
        </w:rPr>
      </w:pPr>
      <w:bookmarkStart w:id="243" w:name="_Toc88662659"/>
      <w:bookmarkStart w:id="244" w:name="_Toc378085842"/>
      <w:bookmarkStart w:id="245" w:name="_Toc496782672"/>
      <w:r>
        <w:rPr>
          <w:rStyle w:val="CharSectno"/>
        </w:rPr>
        <w:t>74</w:t>
      </w:r>
      <w:r>
        <w:rPr>
          <w:snapToGrid w:val="0"/>
        </w:rPr>
        <w:t>.</w:t>
      </w:r>
      <w:r>
        <w:rPr>
          <w:snapToGrid w:val="0"/>
        </w:rPr>
        <w:tab/>
        <w:t>Appointment to offices under the Government of the Colony to be vested in the Governor</w:t>
      </w:r>
      <w:bookmarkEnd w:id="243"/>
      <w:bookmarkEnd w:id="244"/>
      <w:bookmarkEnd w:id="245"/>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pPr>
      <w:bookmarkStart w:id="246" w:name="_Toc88662660"/>
      <w:bookmarkStart w:id="247" w:name="_Toc496101186"/>
      <w:bookmarkStart w:id="248" w:name="_Toc496780586"/>
      <w:bookmarkStart w:id="249" w:name="_Toc496781262"/>
      <w:bookmarkStart w:id="250" w:name="_Toc496782673"/>
      <w:bookmarkStart w:id="251" w:name="_Toc378085843"/>
      <w:r>
        <w:rPr>
          <w:rStyle w:val="CharSectno"/>
        </w:rPr>
        <w:t>74A</w:t>
      </w:r>
      <w:r>
        <w:t>.</w:t>
      </w:r>
      <w:r>
        <w:tab/>
        <w:t>Demise of the Crown</w:t>
      </w:r>
      <w:bookmarkEnd w:id="246"/>
      <w:bookmarkEnd w:id="247"/>
      <w:bookmarkEnd w:id="248"/>
      <w:bookmarkEnd w:id="249"/>
      <w:bookmarkEnd w:id="250"/>
    </w:p>
    <w:p>
      <w:pPr>
        <w:pStyle w:val="Subsection"/>
      </w:pPr>
      <w:r>
        <w:tab/>
      </w:r>
      <w:r>
        <w:tab/>
        <w:t xml:space="preserve">The demise of the Sovereign — </w:t>
      </w:r>
    </w:p>
    <w:p>
      <w:pPr>
        <w:pStyle w:val="Indenta"/>
      </w:pPr>
      <w:r>
        <w:tab/>
        <w:t>(a)</w:t>
      </w:r>
      <w:r>
        <w:tab/>
        <w:t>has the effect of transferring all the functions, duties, powers, authorities, rights, privileges and dignities belonging to the Crown to the Sovereign’s successor; but</w:t>
      </w:r>
    </w:p>
    <w:p>
      <w:pPr>
        <w:pStyle w:val="Indenta"/>
      </w:pPr>
      <w:r>
        <w:tab/>
        <w:t>(b)</w:t>
      </w:r>
      <w:r>
        <w:tab/>
        <w:t>has no other effect in law for any purpose.</w:t>
      </w:r>
    </w:p>
    <w:p>
      <w:pPr>
        <w:pStyle w:val="Footnotesection"/>
      </w:pPr>
      <w:r>
        <w:tab/>
        <w:t>[Section 74A inserted: No. 9 of 2017 s. 4.]</w:t>
      </w:r>
    </w:p>
    <w:p>
      <w:pPr>
        <w:pStyle w:val="Heading5"/>
        <w:rPr>
          <w:snapToGrid w:val="0"/>
        </w:rPr>
      </w:pPr>
      <w:bookmarkStart w:id="252" w:name="_Toc88662661"/>
      <w:bookmarkStart w:id="253" w:name="_Toc496782674"/>
      <w:r>
        <w:rPr>
          <w:rStyle w:val="CharSectno"/>
        </w:rPr>
        <w:t>75</w:t>
      </w:r>
      <w:r>
        <w:rPr>
          <w:snapToGrid w:val="0"/>
        </w:rPr>
        <w:t>.</w:t>
      </w:r>
      <w:r>
        <w:rPr>
          <w:snapToGrid w:val="0"/>
        </w:rPr>
        <w:tab/>
        <w:t>Interpretation</w:t>
      </w:r>
      <w:bookmarkEnd w:id="252"/>
      <w:bookmarkEnd w:id="251"/>
      <w:bookmarkEnd w:id="253"/>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 xml:space="preserve">[Section 75 amended: No. 59 of 1978 s. 7; No. 22 of 2015 s. 6.] </w:t>
      </w:r>
    </w:p>
    <w:p>
      <w:pPr>
        <w:pStyle w:val="Heading5"/>
        <w:rPr>
          <w:snapToGrid w:val="0"/>
        </w:rPr>
      </w:pPr>
      <w:bookmarkStart w:id="254" w:name="_Toc88662662"/>
      <w:bookmarkStart w:id="255" w:name="_Toc378085844"/>
      <w:bookmarkStart w:id="256" w:name="_Toc496782675"/>
      <w:r>
        <w:rPr>
          <w:rStyle w:val="CharSectno"/>
        </w:rPr>
        <w:t>76</w:t>
      </w:r>
      <w:r>
        <w:rPr>
          <w:snapToGrid w:val="0"/>
        </w:rPr>
        <w:t>.</w:t>
      </w:r>
      <w:r>
        <w:rPr>
          <w:snapToGrid w:val="0"/>
        </w:rPr>
        <w:tab/>
        <w:t>Operation of Act</w:t>
      </w:r>
      <w:bookmarkEnd w:id="254"/>
      <w:bookmarkEnd w:id="255"/>
      <w:bookmarkEnd w:id="256"/>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w:t>
      </w:r>
      <w:del w:id="257" w:author="Master Repository Process" w:date="2021-11-25T09:31:00Z">
        <w:r>
          <w:rPr>
            <w:snapToGrid w:val="0"/>
            <w:vertAlign w:val="superscript"/>
          </w:rPr>
          <w:delText>13</w:delText>
        </w:r>
      </w:del>
      <w:ins w:id="258" w:author="Master Repository Process" w:date="2021-11-25T09:31:00Z">
        <w:r>
          <w:rPr>
            <w:snapToGrid w:val="0"/>
            <w:vertAlign w:val="superscript"/>
          </w:rPr>
          <w:t>12</w:t>
        </w:r>
      </w:ins>
      <w:r>
        <w:rPr>
          <w:snapToGrid w:val="0"/>
        </w:rPr>
        <w:t>.</w:t>
      </w:r>
    </w:p>
    <w:p>
      <w:pPr>
        <w:pStyle w:val="Heading5"/>
        <w:rPr>
          <w:snapToGrid w:val="0"/>
        </w:rPr>
      </w:pPr>
      <w:bookmarkStart w:id="259" w:name="_Toc88662663"/>
      <w:bookmarkStart w:id="260" w:name="_Toc378085845"/>
      <w:bookmarkStart w:id="261" w:name="_Toc496782676"/>
      <w:r>
        <w:rPr>
          <w:rStyle w:val="CharSectno"/>
        </w:rPr>
        <w:t>77</w:t>
      </w:r>
      <w:r>
        <w:rPr>
          <w:snapToGrid w:val="0"/>
        </w:rPr>
        <w:t>.</w:t>
      </w:r>
      <w:r>
        <w:rPr>
          <w:snapToGrid w:val="0"/>
        </w:rPr>
        <w:tab/>
        <w:t>Act to be proclaimed</w:t>
      </w:r>
      <w:bookmarkEnd w:id="259"/>
      <w:bookmarkEnd w:id="260"/>
      <w:bookmarkEnd w:id="261"/>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r>
        <w:rPr>
          <w:snapToGrid w:val="0"/>
          <w:vertAlign w:val="superscript"/>
        </w:rPr>
        <w:t> </w:t>
      </w:r>
      <w:del w:id="262" w:author="Master Repository Process" w:date="2021-11-25T09:31:00Z">
        <w:r>
          <w:rPr>
            <w:snapToGrid w:val="0"/>
            <w:vertAlign w:val="superscript"/>
          </w:rPr>
          <w:delText>16</w:delText>
        </w:r>
      </w:del>
      <w:ins w:id="263" w:author="Master Repository Process" w:date="2021-11-25T09:31:00Z">
        <w:r>
          <w:rPr>
            <w:snapToGrid w:val="0"/>
            <w:vertAlign w:val="superscript"/>
          </w:rPr>
          <w:t>6</w:t>
        </w:r>
      </w:ins>
      <w:r>
        <w:rPr>
          <w:snapToGrid w:val="0"/>
        </w:rPr>
        <w:t>, take effect from the date of such proclamation</w:t>
      </w:r>
      <w:del w:id="264" w:author="Master Repository Process" w:date="2021-11-25T09:31:00Z">
        <w:r>
          <w:rPr>
            <w:snapToGrid w:val="0"/>
            <w:vertAlign w:val="superscript"/>
          </w:rPr>
          <w:delText xml:space="preserve"> 1</w:delText>
        </w:r>
      </w:del>
      <w:r>
        <w:rPr>
          <w:snapToGrid w:val="0"/>
        </w:rPr>
        <w:t xml:space="preserve">. </w:t>
      </w:r>
    </w:p>
    <w:p>
      <w:pPr>
        <w:pStyle w:val="Ednotesection"/>
      </w:pPr>
      <w:r>
        <w:t>[</w:t>
      </w:r>
      <w:r>
        <w:rPr>
          <w:b/>
        </w:rPr>
        <w:t>78.</w:t>
      </w:r>
      <w:r>
        <w:tab/>
        <w:t>Deleted: No. 47 of 2011 s. 20(3).]</w:t>
      </w:r>
    </w:p>
    <w:p>
      <w:pPr>
        <w:pStyle w:val="yEdnoteschedule"/>
        <w:spacing w:before="360"/>
      </w:pPr>
      <w:r>
        <w:t>[Schedule A and Schedule B deleted: 60 Vict., No. 18 s. 2.]</w:t>
      </w:r>
    </w:p>
    <w:p>
      <w:pPr>
        <w:pStyle w:val="yEdnoteschedule"/>
      </w:pPr>
      <w:r>
        <w:t>[Schedule C related to section 70 which was deleted: No. 14 of 1905 s. 65.]</w:t>
      </w:r>
    </w:p>
    <w:p>
      <w:pPr>
        <w:pStyle w:val="yEdnoteschedule"/>
      </w:pPr>
      <w:r>
        <w:t>[Schedule D deleted: No. 19 of 2010 s. 13(3).]</w:t>
      </w:r>
    </w:p>
    <w:p>
      <w:p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265" w:name="_Toc88038515"/>
      <w:bookmarkStart w:id="266" w:name="_Toc88040287"/>
      <w:bookmarkStart w:id="267" w:name="_Toc88046731"/>
      <w:bookmarkStart w:id="268" w:name="_Toc88662664"/>
      <w:bookmarkStart w:id="269" w:name="_Toc473880032"/>
      <w:bookmarkStart w:id="270" w:name="_Toc496782677"/>
      <w:bookmarkStart w:id="271" w:name="_Toc378085847"/>
      <w:bookmarkStart w:id="272" w:name="_Toc415585476"/>
      <w:bookmarkStart w:id="273" w:name="_Toc415585535"/>
      <w:bookmarkStart w:id="274" w:name="_Toc430349057"/>
      <w:bookmarkStart w:id="275" w:name="_Toc430349729"/>
      <w:r>
        <w:rPr>
          <w:rStyle w:val="CharSchNo"/>
        </w:rPr>
        <w:t>Schedule E</w:t>
      </w:r>
      <w:r>
        <w:t> — </w:t>
      </w:r>
      <w:r>
        <w:rPr>
          <w:rStyle w:val="CharSchText"/>
        </w:rPr>
        <w:t>Oath and affirmation of office</w:t>
      </w:r>
      <w:bookmarkEnd w:id="265"/>
      <w:bookmarkEnd w:id="266"/>
      <w:bookmarkEnd w:id="267"/>
      <w:bookmarkEnd w:id="268"/>
      <w:bookmarkEnd w:id="269"/>
      <w:bookmarkEnd w:id="270"/>
    </w:p>
    <w:p>
      <w:pPr>
        <w:pStyle w:val="yShoulderClause"/>
      </w:pPr>
      <w:r>
        <w:t>[s. 22]</w:t>
      </w:r>
    </w:p>
    <w:p>
      <w:pPr>
        <w:pStyle w:val="yFootnoteheading"/>
      </w:pPr>
      <w:r>
        <w:tab/>
        <w:t>[Heading inserted: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No. 24 of 2005 s. 7.]</w:t>
      </w:r>
    </w:p>
    <w:p>
      <w:pPr>
        <w:pStyle w:val="CentredBaseLine"/>
        <w:jc w:val="center"/>
        <w:rPr>
          <w:ins w:id="276" w:author="Master Repository Process" w:date="2021-11-25T09:31:00Z"/>
        </w:rPr>
      </w:pPr>
      <w:ins w:id="277" w:author="Master Repository Process" w:date="2021-11-25T09:3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79" w:name="_Toc88040288"/>
      <w:bookmarkStart w:id="280" w:name="_Toc88046732"/>
      <w:bookmarkStart w:id="281" w:name="_Toc88662665"/>
      <w:bookmarkStart w:id="282" w:name="_Toc473880033"/>
      <w:bookmarkStart w:id="283" w:name="_Toc496782678"/>
      <w:bookmarkStart w:id="284" w:name="_Toc88038518"/>
      <w:r>
        <w:t>Notes</w:t>
      </w:r>
      <w:bookmarkEnd w:id="279"/>
      <w:bookmarkEnd w:id="280"/>
      <w:bookmarkEnd w:id="281"/>
      <w:bookmarkEnd w:id="271"/>
      <w:bookmarkEnd w:id="272"/>
      <w:bookmarkEnd w:id="273"/>
      <w:bookmarkEnd w:id="274"/>
      <w:bookmarkEnd w:id="275"/>
      <w:bookmarkEnd w:id="282"/>
      <w:bookmarkEnd w:id="283"/>
    </w:p>
    <w:p>
      <w:pPr>
        <w:pStyle w:val="nStatement"/>
      </w:pPr>
      <w:del w:id="285" w:author="Master Repository Process" w:date="2021-11-25T09:31:00Z">
        <w:r>
          <w:rPr>
            <w:snapToGrid w:val="0"/>
            <w:vertAlign w:val="superscript"/>
          </w:rPr>
          <w:delText>1</w:delText>
        </w:r>
        <w:r>
          <w:rPr>
            <w:snapToGrid w:val="0"/>
          </w:rPr>
          <w:tab/>
        </w:r>
      </w:del>
      <w:r>
        <w:t xml:space="preserve">This is a compilation of the </w:t>
      </w:r>
      <w:r>
        <w:rPr>
          <w:i/>
          <w:noProof/>
        </w:rPr>
        <w:t>Constitution Act 1889</w:t>
      </w:r>
      <w:r>
        <w:t xml:space="preserve"> and includes </w:t>
      </w:r>
      <w:del w:id="286" w:author="Master Repository Process" w:date="2021-11-25T09:31:00Z">
        <w:r>
          <w:rPr>
            <w:snapToGrid w:val="0"/>
          </w:rPr>
          <w:delText xml:space="preserve">the </w:delText>
        </w:r>
      </w:del>
      <w:r>
        <w:t xml:space="preserve">amendments made by </w:t>
      </w:r>
      <w:del w:id="287" w:author="Master Repository Process" w:date="2021-11-25T09:31:00Z">
        <w:r>
          <w:rPr>
            <w:snapToGrid w:val="0"/>
          </w:rPr>
          <w:delText xml:space="preserve">the </w:delText>
        </w:r>
      </w:del>
      <w:r>
        <w:t>other written laws</w:t>
      </w:r>
      <w:del w:id="288" w:author="Master Repository Process" w:date="2021-11-25T09:31:00Z">
        <w:r>
          <w:rPr>
            <w:snapToGrid w:val="0"/>
          </w:rPr>
          <w:delText xml:space="preserve"> referred to in the following table.  The table also contains</w:delText>
        </w:r>
      </w:del>
      <w:ins w:id="289" w:author="Master Repository Process" w:date="2021-11-25T09:31:00Z">
        <w:r>
          <w:t>. For provisions that have come into operation, and for</w:t>
        </w:r>
      </w:ins>
      <w:r>
        <w:t xml:space="preserve"> information about any </w:t>
      </w:r>
      <w:del w:id="290" w:author="Master Repository Process" w:date="2021-11-25T09:31:00Z">
        <w:r>
          <w:rPr>
            <w:snapToGrid w:val="0"/>
          </w:rPr>
          <w:delText>reprint.</w:delText>
        </w:r>
      </w:del>
      <w:ins w:id="291" w:author="Master Repository Process" w:date="2021-11-25T09:31:00Z">
        <w:r>
          <w:t>reprints, see the compilation table.</w:t>
        </w:r>
      </w:ins>
    </w:p>
    <w:p>
      <w:pPr>
        <w:pStyle w:val="nHeading3"/>
      </w:pPr>
      <w:bookmarkStart w:id="292" w:name="_Toc88662666"/>
      <w:bookmarkStart w:id="293" w:name="_Toc378085848"/>
      <w:bookmarkStart w:id="294" w:name="_Toc496782679"/>
      <w:r>
        <w:t>Compilation table</w:t>
      </w:r>
      <w:bookmarkEnd w:id="292"/>
      <w:bookmarkEnd w:id="293"/>
      <w:bookmarkEnd w:id="294"/>
    </w:p>
    <w:tbl>
      <w:tblPr>
        <w:tblW w:w="709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33"/>
        <w:gridCol w:w="1134"/>
        <w:gridCol w:w="1134"/>
        <w:gridCol w:w="2580"/>
        <w:gridCol w:w="7"/>
      </w:tblGrid>
      <w:tr>
        <w:trPr>
          <w:gridAfter w:val="1"/>
          <w:wAfter w:w="7" w:type="dxa"/>
          <w:tblHeader/>
        </w:trPr>
        <w:tc>
          <w:tcPr>
            <w:tcW w:w="2240" w:type="dxa"/>
            <w:gridSpan w:val="2"/>
          </w:tcPr>
          <w:p>
            <w:pPr>
              <w:pStyle w:val="nTable"/>
              <w:spacing w:after="40"/>
              <w:rPr>
                <w:b/>
              </w:rPr>
            </w:pPr>
            <w:r>
              <w:rPr>
                <w:b/>
              </w:rPr>
              <w:t>Short title</w:t>
            </w:r>
          </w:p>
        </w:tc>
        <w:tc>
          <w:tcPr>
            <w:tcW w:w="1134" w:type="dxa"/>
          </w:tcPr>
          <w:p>
            <w:pPr>
              <w:pStyle w:val="nTable"/>
              <w:spacing w:after="40"/>
              <w:rPr>
                <w:b/>
              </w:rPr>
            </w:pPr>
            <w:r>
              <w:rPr>
                <w:b/>
              </w:rPr>
              <w:t>Number and</w:t>
            </w:r>
            <w:del w:id="295" w:author="Master Repository Process" w:date="2021-11-25T09:31:00Z">
              <w:r>
                <w:rPr>
                  <w:b/>
                </w:rPr>
                <w:delText xml:space="preserve"> </w:delText>
              </w:r>
            </w:del>
            <w:ins w:id="296" w:author="Master Repository Process" w:date="2021-11-25T09:31:00Z">
              <w:r>
                <w:rPr>
                  <w:b/>
                </w:rPr>
                <w:t> </w:t>
              </w:r>
            </w:ins>
            <w:r>
              <w:rPr>
                <w:b/>
              </w:rPr>
              <w:t>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vertAlign w:val="superscript"/>
              </w:rPr>
            </w:pPr>
            <w:r>
              <w:rPr>
                <w:i/>
              </w:rPr>
              <w:t>The Constitution Act 1889</w:t>
            </w:r>
            <w:r>
              <w:rPr>
                <w:vertAlign w:val="superscript"/>
              </w:rPr>
              <w:t> </w:t>
            </w:r>
            <w:del w:id="297" w:author="Master Repository Process" w:date="2021-11-25T09:31:00Z">
              <w:r>
                <w:rPr>
                  <w:vertAlign w:val="superscript"/>
                </w:rPr>
                <w:delText>14</w:delText>
              </w:r>
            </w:del>
            <w:ins w:id="298" w:author="Master Repository Process" w:date="2021-11-25T09:31:00Z">
              <w:r>
                <w:rPr>
                  <w:vertAlign w:val="superscript"/>
                </w:rPr>
                <w:t>1</w:t>
              </w:r>
            </w:ins>
          </w:p>
        </w:tc>
        <w:tc>
          <w:tcPr>
            <w:tcW w:w="1134" w:type="dxa"/>
          </w:tcPr>
          <w:p>
            <w:pPr>
              <w:pStyle w:val="nTable"/>
              <w:spacing w:after="40"/>
            </w:pPr>
            <w:r>
              <w:rPr>
                <w:color w:val="000000"/>
              </w:rPr>
              <w:t>1889 (52 Vict. No. 23)</w:t>
            </w:r>
          </w:p>
        </w:tc>
        <w:tc>
          <w:tcPr>
            <w:tcW w:w="1134" w:type="dxa"/>
          </w:tcPr>
          <w:p>
            <w:pPr>
              <w:pStyle w:val="nTable"/>
              <w:spacing w:after="40"/>
            </w:pPr>
            <w:r>
              <w:t>Reserved for Royal Assent 29 Apr 1889.  Assented to 15 Aug 1890</w:t>
            </w:r>
          </w:p>
        </w:tc>
        <w:tc>
          <w:tcPr>
            <w:tcW w:w="2580" w:type="dxa"/>
          </w:tcPr>
          <w:p>
            <w:pPr>
              <w:pStyle w:val="nTable"/>
              <w:spacing w:after="40"/>
            </w:pPr>
            <w:r>
              <w:t xml:space="preserve">Act except for Pt. III: 21 Oct 1890 (see s. 77 and </w:t>
            </w:r>
            <w:r>
              <w:rPr>
                <w:i/>
              </w:rPr>
              <w:t>Gazette</w:t>
            </w:r>
            <w:r>
              <w:t xml:space="preserve"> 23 Oct 1890 p. 790</w:t>
            </w:r>
            <w:r>
              <w:noBreakHyphen/>
              <w:t>1);</w:t>
            </w:r>
            <w:r>
              <w:br/>
              <w:t>Pt. III: 18 Oct 1893 (see s. 42</w:t>
            </w:r>
            <w:r>
              <w:rPr>
                <w:vertAlign w:val="superscript"/>
              </w:rPr>
              <w:t> </w:t>
            </w:r>
            <w:del w:id="299" w:author="Master Repository Process" w:date="2021-11-25T09:31:00Z">
              <w:r>
                <w:rPr>
                  <w:vertAlign w:val="superscript"/>
                </w:rPr>
                <w:delText>16</w:delText>
              </w:r>
            </w:del>
            <w:ins w:id="300" w:author="Master Repository Process" w:date="2021-11-25T09:31:00Z">
              <w:r>
                <w:rPr>
                  <w:vertAlign w:val="superscript"/>
                </w:rPr>
                <w:t>6</w:t>
              </w:r>
            </w:ins>
            <w:r>
              <w:t xml:space="preserve"> and </w:t>
            </w:r>
            <w:r>
              <w:rPr>
                <w:i/>
              </w:rPr>
              <w:t>Gazette</w:t>
            </w:r>
            <w:r>
              <w:t xml:space="preserve"> 18 Jul 1893 p. 727)</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The Constitution Act Amendment Act 1893</w:t>
            </w:r>
            <w:r>
              <w:t xml:space="preserve"> s. 2</w:t>
            </w:r>
          </w:p>
        </w:tc>
        <w:tc>
          <w:tcPr>
            <w:tcW w:w="1134" w:type="dxa"/>
          </w:tcPr>
          <w:p>
            <w:pPr>
              <w:pStyle w:val="nTable"/>
              <w:spacing w:after="40"/>
            </w:pPr>
            <w:r>
              <w:rPr>
                <w:color w:val="000000"/>
              </w:rPr>
              <w:t>1893 (57 Vict. No. 14)</w:t>
            </w:r>
          </w:p>
        </w:tc>
        <w:tc>
          <w:tcPr>
            <w:tcW w:w="1134" w:type="dxa"/>
          </w:tcPr>
          <w:p>
            <w:pPr>
              <w:pStyle w:val="nTable"/>
              <w:spacing w:after="40"/>
            </w:pPr>
            <w:r>
              <w:t>13 Oct 1893</w:t>
            </w:r>
          </w:p>
        </w:tc>
        <w:tc>
          <w:tcPr>
            <w:tcW w:w="2580" w:type="dxa"/>
          </w:tcPr>
          <w:p>
            <w:pPr>
              <w:pStyle w:val="nTable"/>
              <w:spacing w:after="40"/>
            </w:pPr>
            <w:r>
              <w:t>18 Oct 1893 (see s. 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The Constitution Act 1889 Amendment Act 1894</w:t>
            </w:r>
            <w:r>
              <w:t xml:space="preserve"> s. 2</w:t>
            </w:r>
          </w:p>
        </w:tc>
        <w:tc>
          <w:tcPr>
            <w:tcW w:w="1134" w:type="dxa"/>
          </w:tcPr>
          <w:p>
            <w:pPr>
              <w:pStyle w:val="nTable"/>
              <w:keepNext/>
              <w:keepLines/>
              <w:spacing w:after="40"/>
            </w:pPr>
            <w:r>
              <w:rPr>
                <w:color w:val="000000"/>
              </w:rPr>
              <w:t>1894 (58 Vict. No. 15)</w:t>
            </w:r>
          </w:p>
        </w:tc>
        <w:tc>
          <w:tcPr>
            <w:tcW w:w="1134" w:type="dxa"/>
          </w:tcPr>
          <w:p>
            <w:pPr>
              <w:pStyle w:val="nTable"/>
              <w:keepNext/>
              <w:keepLines/>
              <w:spacing w:after="40"/>
            </w:pPr>
            <w:r>
              <w:t>8 Nov 1894</w:t>
            </w:r>
          </w:p>
        </w:tc>
        <w:tc>
          <w:tcPr>
            <w:tcW w:w="2580" w:type="dxa"/>
          </w:tcPr>
          <w:p>
            <w:pPr>
              <w:pStyle w:val="nTable"/>
              <w:keepNext/>
              <w:keepLines/>
              <w:spacing w:after="40"/>
            </w:pPr>
            <w:r>
              <w:t>8 Nov 1894</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Constitution Act Amendment Act 1896 </w:t>
            </w:r>
            <w:r>
              <w:t>s. 2</w:t>
            </w:r>
          </w:p>
        </w:tc>
        <w:tc>
          <w:tcPr>
            <w:tcW w:w="1134" w:type="dxa"/>
          </w:tcPr>
          <w:p>
            <w:pPr>
              <w:pStyle w:val="nTable"/>
              <w:spacing w:after="40"/>
            </w:pPr>
            <w:r>
              <w:rPr>
                <w:color w:val="000000"/>
              </w:rPr>
              <w:t>1896 (60 Vict. No. 18)</w:t>
            </w:r>
          </w:p>
        </w:tc>
        <w:tc>
          <w:tcPr>
            <w:tcW w:w="1134" w:type="dxa"/>
          </w:tcPr>
          <w:p>
            <w:pPr>
              <w:pStyle w:val="nTable"/>
              <w:spacing w:after="40"/>
            </w:pPr>
            <w:r>
              <w:t>8 Oct 1896</w:t>
            </w:r>
          </w:p>
        </w:tc>
        <w:tc>
          <w:tcPr>
            <w:tcW w:w="2580" w:type="dxa"/>
          </w:tcPr>
          <w:p>
            <w:pPr>
              <w:pStyle w:val="nTable"/>
              <w:spacing w:after="40"/>
            </w:pPr>
            <w:r>
              <w:t xml:space="preserve">12 Apr 1897 (see </w:t>
            </w:r>
            <w:r>
              <w:rPr>
                <w:i/>
              </w:rPr>
              <w:t>Gazette</w:t>
            </w:r>
            <w:r>
              <w:t xml:space="preserve"> 12 Apr 1897 p. 683)</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Acts Amendment Act 1899</w:t>
            </w:r>
            <w:r>
              <w:t xml:space="preserve"> s. 2</w:t>
            </w:r>
          </w:p>
        </w:tc>
        <w:tc>
          <w:tcPr>
            <w:tcW w:w="1134" w:type="dxa"/>
          </w:tcPr>
          <w:p>
            <w:pPr>
              <w:pStyle w:val="nTable"/>
              <w:spacing w:after="40"/>
            </w:pPr>
            <w:r>
              <w:rPr>
                <w:color w:val="000000"/>
              </w:rPr>
              <w:t>1899 (63 Vict. No. 19)</w:t>
            </w:r>
          </w:p>
        </w:tc>
        <w:tc>
          <w:tcPr>
            <w:tcW w:w="1134" w:type="dxa"/>
          </w:tcPr>
          <w:p>
            <w:pPr>
              <w:pStyle w:val="nTable"/>
              <w:spacing w:after="40"/>
            </w:pPr>
            <w:r>
              <w:rPr>
                <w:color w:val="000000"/>
              </w:rPr>
              <w:t xml:space="preserve">Reserved for Royal Assent 16 Dec 1899. Assented to </w:t>
            </w:r>
            <w:r>
              <w:t>18 May 1900</w:t>
            </w:r>
          </w:p>
        </w:tc>
        <w:tc>
          <w:tcPr>
            <w:tcW w:w="2580" w:type="dxa"/>
          </w:tcPr>
          <w:p>
            <w:pPr>
              <w:pStyle w:val="nTable"/>
              <w:spacing w:after="40"/>
            </w:pPr>
            <w:r>
              <w:t xml:space="preserve">18 May 1900 (see s. 52 and </w:t>
            </w:r>
            <w:r>
              <w:rPr>
                <w:i/>
              </w:rPr>
              <w:t>Gazette</w:t>
            </w:r>
            <w:r>
              <w:t xml:space="preserve"> 18 May 1900 p. 1686</w:t>
            </w:r>
            <w:r>
              <w:rPr>
                <w:color w:val="000000"/>
              </w:rPr>
              <w:br/>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 Amendment Act 1900</w:t>
            </w:r>
          </w:p>
        </w:tc>
        <w:tc>
          <w:tcPr>
            <w:tcW w:w="1134" w:type="dxa"/>
          </w:tcPr>
          <w:p>
            <w:pPr>
              <w:pStyle w:val="nTable"/>
              <w:spacing w:after="40"/>
            </w:pPr>
            <w:r>
              <w:rPr>
                <w:color w:val="000000"/>
              </w:rPr>
              <w:t xml:space="preserve">1900 (64 Vict. No. 5) </w:t>
            </w:r>
            <w:r>
              <w:t>(as amended by No. 45 of 1963)</w:t>
            </w:r>
          </w:p>
        </w:tc>
        <w:tc>
          <w:tcPr>
            <w:tcW w:w="1134" w:type="dxa"/>
          </w:tcPr>
          <w:p>
            <w:pPr>
              <w:pStyle w:val="nTable"/>
              <w:spacing w:after="40"/>
            </w:pPr>
            <w:r>
              <w:t>5 Dec 1900</w:t>
            </w:r>
          </w:p>
        </w:tc>
        <w:tc>
          <w:tcPr>
            <w:tcW w:w="2580" w:type="dxa"/>
          </w:tcPr>
          <w:p>
            <w:pPr>
              <w:pStyle w:val="nTable"/>
              <w:spacing w:after="40"/>
            </w:pPr>
            <w:r>
              <w:t>5 Dec 1900</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Aborigines Act 1905</w:t>
            </w:r>
            <w:r>
              <w:t xml:space="preserve"> s. 65</w:t>
            </w:r>
          </w:p>
        </w:tc>
        <w:tc>
          <w:tcPr>
            <w:tcW w:w="1134" w:type="dxa"/>
          </w:tcPr>
          <w:p>
            <w:pPr>
              <w:pStyle w:val="nTable"/>
              <w:keepNext/>
              <w:keepLines/>
              <w:spacing w:after="40"/>
            </w:pPr>
            <w:r>
              <w:t xml:space="preserve">14 of 1905 </w:t>
            </w:r>
            <w:r>
              <w:rPr>
                <w:color w:val="000000"/>
              </w:rPr>
              <w:t>(5 Edw. VII No. 14)</w:t>
            </w:r>
          </w:p>
        </w:tc>
        <w:tc>
          <w:tcPr>
            <w:tcW w:w="1134" w:type="dxa"/>
          </w:tcPr>
          <w:p>
            <w:pPr>
              <w:pStyle w:val="nTable"/>
              <w:keepNext/>
              <w:keepLines/>
              <w:spacing w:after="40"/>
            </w:pPr>
            <w:r>
              <w:rPr>
                <w:color w:val="000000"/>
              </w:rPr>
              <w:t xml:space="preserve">Reserved for Royal Assent 23 Dec 1905. Assented to </w:t>
            </w:r>
            <w:r>
              <w:t>4 Apr 1906</w:t>
            </w:r>
            <w:r>
              <w:rPr>
                <w:vertAlign w:val="superscript"/>
              </w:rPr>
              <w:t xml:space="preserve"> </w:t>
            </w:r>
            <w:del w:id="301" w:author="Master Repository Process" w:date="2021-11-25T09:31:00Z">
              <w:r>
                <w:rPr>
                  <w:vertAlign w:val="superscript"/>
                </w:rPr>
                <w:delText>15</w:delText>
              </w:r>
            </w:del>
            <w:ins w:id="302" w:author="Master Repository Process" w:date="2021-11-25T09:31:00Z">
              <w:r>
                <w:rPr>
                  <w:vertAlign w:val="superscript"/>
                </w:rPr>
                <w:t>13</w:t>
              </w:r>
            </w:ins>
          </w:p>
        </w:tc>
        <w:tc>
          <w:tcPr>
            <w:tcW w:w="2580" w:type="dxa"/>
          </w:tcPr>
          <w:p>
            <w:pPr>
              <w:pStyle w:val="nTable"/>
              <w:keepNext/>
              <w:keepLines/>
              <w:spacing w:after="40"/>
            </w:pPr>
            <w:r>
              <w:rPr>
                <w:color w:val="000000"/>
              </w:rPr>
              <w:t xml:space="preserve">1 Apr 1898 (see s. 65) </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t>Constitution Act Amendment Act 1921</w:t>
            </w:r>
          </w:p>
        </w:tc>
        <w:tc>
          <w:tcPr>
            <w:tcW w:w="1134" w:type="dxa"/>
          </w:tcPr>
          <w:p>
            <w:pPr>
              <w:pStyle w:val="nTable"/>
              <w:spacing w:after="40"/>
            </w:pPr>
            <w:r>
              <w:t xml:space="preserve">34 of 1921 </w:t>
            </w:r>
            <w:r>
              <w:rPr>
                <w:color w:val="000000"/>
              </w:rPr>
              <w:t>(12 Geo. V No. 34)</w:t>
            </w:r>
          </w:p>
        </w:tc>
        <w:tc>
          <w:tcPr>
            <w:tcW w:w="1134" w:type="dxa"/>
          </w:tcPr>
          <w:p>
            <w:pPr>
              <w:pStyle w:val="nTable"/>
              <w:spacing w:after="40"/>
            </w:pPr>
            <w:r>
              <w:t>30 Dec 1921</w:t>
            </w:r>
          </w:p>
        </w:tc>
        <w:tc>
          <w:tcPr>
            <w:tcW w:w="2580" w:type="dxa"/>
          </w:tcPr>
          <w:p>
            <w:pPr>
              <w:pStyle w:val="nTable"/>
              <w:spacing w:after="40"/>
            </w:pPr>
            <w:r>
              <w:t>30 Dec 1921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t xml:space="preserve">Ministers’ Titles Act 1925 </w:t>
            </w:r>
            <w:r>
              <w:rPr>
                <w:iCs/>
              </w:rP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80" w:type="dxa"/>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Judges’ Salaries and Pensions Act 1950 </w:t>
            </w:r>
            <w:r>
              <w:t>s. 4</w:t>
            </w:r>
          </w:p>
        </w:tc>
        <w:tc>
          <w:tcPr>
            <w:tcW w:w="1134" w:type="dxa"/>
          </w:tcPr>
          <w:p>
            <w:pPr>
              <w:pStyle w:val="nTable"/>
              <w:spacing w:after="40"/>
            </w:pPr>
            <w:r>
              <w:t xml:space="preserve">35 of 1950 </w:t>
            </w:r>
            <w:r>
              <w:rPr>
                <w:color w:val="000000"/>
              </w:rPr>
              <w:t>(14 and 15 Geo. VI No. 35)</w:t>
            </w:r>
          </w:p>
        </w:tc>
        <w:tc>
          <w:tcPr>
            <w:tcW w:w="1134" w:type="dxa"/>
          </w:tcPr>
          <w:p>
            <w:pPr>
              <w:pStyle w:val="nTable"/>
              <w:spacing w:after="40"/>
            </w:pPr>
            <w:r>
              <w:t>16 Dec 1950</w:t>
            </w:r>
          </w:p>
        </w:tc>
        <w:tc>
          <w:tcPr>
            <w:tcW w:w="2580" w:type="dxa"/>
          </w:tcPr>
          <w:p>
            <w:pPr>
              <w:pStyle w:val="nTable"/>
              <w:spacing w:after="40"/>
            </w:pPr>
            <w:r>
              <w:t>16 Dec 1950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Statute Law Revision Act 1970</w:t>
            </w:r>
            <w:r>
              <w:t xml:space="preserve"> s. 4</w:t>
            </w:r>
          </w:p>
        </w:tc>
        <w:tc>
          <w:tcPr>
            <w:tcW w:w="1134" w:type="dxa"/>
          </w:tcPr>
          <w:p>
            <w:pPr>
              <w:pStyle w:val="nTable"/>
              <w:spacing w:after="40"/>
            </w:pPr>
            <w:r>
              <w:t>10 of 1970</w:t>
            </w:r>
          </w:p>
        </w:tc>
        <w:tc>
          <w:tcPr>
            <w:tcW w:w="1134" w:type="dxa"/>
          </w:tcPr>
          <w:p>
            <w:pPr>
              <w:pStyle w:val="nTable"/>
              <w:spacing w:after="40"/>
            </w:pPr>
            <w:r>
              <w:t>29 Apr 1970</w:t>
            </w:r>
          </w:p>
        </w:tc>
        <w:tc>
          <w:tcPr>
            <w:tcW w:w="2580" w:type="dxa"/>
          </w:tcPr>
          <w:p>
            <w:pPr>
              <w:pStyle w:val="nTable"/>
              <w:spacing w:after="40"/>
            </w:pPr>
            <w:r>
              <w:t>29 Apr 1970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 xml:space="preserve">Acts Amendment (Constitution) Act 1978 </w:t>
            </w:r>
            <w:r>
              <w:t>Pt. I</w:t>
            </w:r>
          </w:p>
        </w:tc>
        <w:tc>
          <w:tcPr>
            <w:tcW w:w="1134" w:type="dxa"/>
          </w:tcPr>
          <w:p>
            <w:pPr>
              <w:pStyle w:val="nTable"/>
              <w:spacing w:after="40"/>
            </w:pPr>
            <w:r>
              <w:t>59 of 1978</w:t>
            </w:r>
          </w:p>
        </w:tc>
        <w:tc>
          <w:tcPr>
            <w:tcW w:w="1134" w:type="dxa"/>
          </w:tcPr>
          <w:p>
            <w:pPr>
              <w:pStyle w:val="nTable"/>
              <w:spacing w:after="40"/>
            </w:pPr>
            <w:r>
              <w:t>Reserved for Royal Assent 20 Sep 1978.</w:t>
            </w:r>
            <w:r>
              <w:br/>
              <w:t>Assented to 15 Nov 1978</w:t>
            </w:r>
          </w:p>
        </w:tc>
        <w:tc>
          <w:tcPr>
            <w:tcW w:w="2580" w:type="dxa"/>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 Amendment Act 1979</w:t>
            </w:r>
          </w:p>
        </w:tc>
        <w:tc>
          <w:tcPr>
            <w:tcW w:w="1134" w:type="dxa"/>
          </w:tcPr>
          <w:p>
            <w:pPr>
              <w:pStyle w:val="nTable"/>
              <w:spacing w:after="40"/>
            </w:pPr>
            <w:r>
              <w:t>88 of 1979</w:t>
            </w:r>
          </w:p>
        </w:tc>
        <w:tc>
          <w:tcPr>
            <w:tcW w:w="1134" w:type="dxa"/>
          </w:tcPr>
          <w:p>
            <w:pPr>
              <w:pStyle w:val="nTable"/>
              <w:spacing w:after="40"/>
            </w:pPr>
            <w:r>
              <w:t>11 Dec 1979</w:t>
            </w:r>
          </w:p>
        </w:tc>
        <w:tc>
          <w:tcPr>
            <w:tcW w:w="2580" w:type="dxa"/>
          </w:tcPr>
          <w:p>
            <w:pPr>
              <w:pStyle w:val="nTable"/>
              <w:spacing w:after="40"/>
            </w:pPr>
            <w:r>
              <w:t>11 Dec 1979</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Amendment Act (No. 3) 1980</w:t>
            </w:r>
          </w:p>
        </w:tc>
        <w:tc>
          <w:tcPr>
            <w:tcW w:w="1134" w:type="dxa"/>
          </w:tcPr>
          <w:p>
            <w:pPr>
              <w:pStyle w:val="nTable"/>
              <w:spacing w:after="40"/>
            </w:pPr>
            <w:r>
              <w:t>15 of 1980</w:t>
            </w:r>
          </w:p>
        </w:tc>
        <w:tc>
          <w:tcPr>
            <w:tcW w:w="1134" w:type="dxa"/>
          </w:tcPr>
          <w:p>
            <w:pPr>
              <w:pStyle w:val="nTable"/>
              <w:spacing w:after="40"/>
            </w:pPr>
            <w:r>
              <w:t>15 Oct 1980</w:t>
            </w:r>
          </w:p>
        </w:tc>
        <w:tc>
          <w:tcPr>
            <w:tcW w:w="2580" w:type="dxa"/>
          </w:tcPr>
          <w:p>
            <w:pPr>
              <w:pStyle w:val="nTable"/>
              <w:spacing w:after="40"/>
            </w:pPr>
            <w:r>
              <w:t>15 Oct 1980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vertAlign w:val="superscript"/>
              </w:rPr>
            </w:pPr>
            <w:r>
              <w:rPr>
                <w:i/>
              </w:rPr>
              <w:t>Acts Amendment and Repeal (Disqualification for Parliament) Act 1984</w:t>
            </w:r>
            <w:r>
              <w:br/>
              <w:t>Pt. IV</w:t>
            </w:r>
            <w:r>
              <w:rPr>
                <w:vertAlign w:val="superscript"/>
              </w:rPr>
              <w:t> </w:t>
            </w:r>
            <w:del w:id="303" w:author="Master Repository Process" w:date="2021-11-25T09:31:00Z">
              <w:r>
                <w:rPr>
                  <w:vertAlign w:val="superscript"/>
                </w:rPr>
                <w:delText>3</w:delText>
              </w:r>
            </w:del>
          </w:p>
        </w:tc>
        <w:tc>
          <w:tcPr>
            <w:tcW w:w="1134" w:type="dxa"/>
          </w:tcPr>
          <w:p>
            <w:pPr>
              <w:pStyle w:val="nTable"/>
              <w:spacing w:after="40"/>
            </w:pPr>
            <w:r>
              <w:t>78 of 1984</w:t>
            </w:r>
          </w:p>
        </w:tc>
        <w:tc>
          <w:tcPr>
            <w:tcW w:w="1134" w:type="dxa"/>
          </w:tcPr>
          <w:p>
            <w:pPr>
              <w:pStyle w:val="nTable"/>
              <w:spacing w:after="40"/>
            </w:pPr>
            <w:r>
              <w:t>14 Nov 1984</w:t>
            </w:r>
          </w:p>
        </w:tc>
        <w:tc>
          <w:tcPr>
            <w:tcW w:w="2580"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Australia Act 1986</w:t>
            </w:r>
            <w:r>
              <w:t xml:space="preserve"> (U.K.)</w:t>
            </w:r>
            <w:r>
              <w:br/>
              <w:t>s. 14</w:t>
            </w:r>
            <w:r>
              <w:br/>
              <w:t xml:space="preserve">(See WA Act No. 65 of 1985 s. 4 and  </w:t>
            </w:r>
            <w:r>
              <w:rPr>
                <w:i/>
              </w:rPr>
              <w:t>Australia Act 1986</w:t>
            </w:r>
            <w:r>
              <w:t xml:space="preserve"> (Cwlth.) s. 14)</w:t>
            </w:r>
          </w:p>
        </w:tc>
        <w:tc>
          <w:tcPr>
            <w:tcW w:w="1134" w:type="dxa"/>
          </w:tcPr>
          <w:p>
            <w:pPr>
              <w:pStyle w:val="nTable"/>
              <w:spacing w:after="40"/>
            </w:pPr>
            <w:r>
              <w:t>1986 c. 2</w:t>
            </w:r>
          </w:p>
        </w:tc>
        <w:tc>
          <w:tcPr>
            <w:tcW w:w="1134" w:type="dxa"/>
          </w:tcPr>
          <w:p>
            <w:pPr>
              <w:pStyle w:val="nTable"/>
              <w:spacing w:after="40"/>
            </w:pPr>
            <w:r>
              <w:t>17 Feb 1986</w:t>
            </w:r>
          </w:p>
        </w:tc>
        <w:tc>
          <w:tcPr>
            <w:tcW w:w="2580" w:type="dxa"/>
          </w:tcPr>
          <w:p>
            <w:pPr>
              <w:pStyle w:val="nTable"/>
              <w:spacing w:after="40"/>
            </w:pPr>
            <w:r>
              <w:t>3 Mar 1986 at 5 a.m. GMT (see </w:t>
            </w:r>
            <w:r>
              <w:rPr>
                <w:i/>
              </w:rPr>
              <w:t>Statutory Instruments 1986</w:t>
            </w:r>
            <w:r>
              <w:t xml:space="preserve"> No. 319 c. 8)</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Acts Amendment (Electoral Reform) Act 1987</w:t>
            </w:r>
            <w:r>
              <w:t xml:space="preserve"> Pt. II</w:t>
            </w:r>
          </w:p>
        </w:tc>
        <w:tc>
          <w:tcPr>
            <w:tcW w:w="1134" w:type="dxa"/>
          </w:tcPr>
          <w:p>
            <w:pPr>
              <w:pStyle w:val="nTable"/>
              <w:spacing w:after="40"/>
            </w:pPr>
            <w:r>
              <w:t>40 of 1987</w:t>
            </w:r>
          </w:p>
        </w:tc>
        <w:tc>
          <w:tcPr>
            <w:tcW w:w="1134" w:type="dxa"/>
          </w:tcPr>
          <w:p>
            <w:pPr>
              <w:pStyle w:val="nTable"/>
              <w:spacing w:after="40"/>
            </w:pPr>
            <w:r>
              <w:t>12 Jul 1987</w:t>
            </w:r>
          </w:p>
        </w:tc>
        <w:tc>
          <w:tcPr>
            <w:tcW w:w="2580"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Amendment Act 1987</w:t>
            </w:r>
          </w:p>
        </w:tc>
        <w:tc>
          <w:tcPr>
            <w:tcW w:w="1134" w:type="dxa"/>
          </w:tcPr>
          <w:p>
            <w:pPr>
              <w:pStyle w:val="nTable"/>
              <w:spacing w:after="40"/>
            </w:pPr>
            <w:r>
              <w:t>51 of 1987</w:t>
            </w:r>
          </w:p>
        </w:tc>
        <w:tc>
          <w:tcPr>
            <w:tcW w:w="1134" w:type="dxa"/>
          </w:tcPr>
          <w:p>
            <w:pPr>
              <w:pStyle w:val="nTable"/>
              <w:spacing w:after="40"/>
            </w:pPr>
            <w:r>
              <w:t>30 Oct 1987</w:t>
            </w:r>
          </w:p>
        </w:tc>
        <w:tc>
          <w:tcPr>
            <w:tcW w:w="2580" w:type="dxa"/>
          </w:tcPr>
          <w:p>
            <w:pPr>
              <w:pStyle w:val="nTable"/>
              <w:spacing w:after="40"/>
            </w:pPr>
            <w:r>
              <w:t>30 Oct 1987 (see s. 2)</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Financial Administration Legislation Amendment Act 1993</w:t>
            </w:r>
            <w:r>
              <w:t xml:space="preserve"> s. 9 and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8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Electoral Amendment Act 2000 </w:t>
            </w:r>
            <w:r>
              <w:t>s. 22</w:t>
            </w:r>
          </w:p>
        </w:tc>
        <w:tc>
          <w:tcPr>
            <w:tcW w:w="1134" w:type="dxa"/>
          </w:tcPr>
          <w:p>
            <w:pPr>
              <w:pStyle w:val="nTable"/>
              <w:spacing w:after="40"/>
            </w:pPr>
            <w:r>
              <w:t>36 of 2000</w:t>
            </w:r>
          </w:p>
        </w:tc>
        <w:tc>
          <w:tcPr>
            <w:tcW w:w="1134" w:type="dxa"/>
          </w:tcPr>
          <w:p>
            <w:pPr>
              <w:pStyle w:val="nTable"/>
              <w:spacing w:after="40"/>
            </w:pPr>
            <w:r>
              <w:t>10 Oct 2000</w:t>
            </w:r>
          </w:p>
        </w:tc>
        <w:tc>
          <w:tcPr>
            <w:tcW w:w="2580" w:type="dxa"/>
          </w:tcPr>
          <w:p>
            <w:pPr>
              <w:pStyle w:val="nTable"/>
              <w:spacing w:after="40"/>
            </w:pPr>
            <w:r>
              <w:t xml:space="preserve">21 Oct 2000 (see s. 2(1) and </w:t>
            </w:r>
            <w:r>
              <w:rPr>
                <w:i/>
              </w:rPr>
              <w:t xml:space="preserve">Gazette </w:t>
            </w:r>
            <w:r>
              <w:t>20 Oct 2000 p. 5899)</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Cs/>
              </w:rPr>
            </w:pPr>
            <w:r>
              <w:rPr>
                <w:i/>
              </w:rPr>
              <w:t>Constitution (Parliamentary Privileges) Amendment Act 2004</w:t>
            </w:r>
            <w:r>
              <w:rPr>
                <w:iCs/>
              </w:rPr>
              <w:t xml:space="preserve"> Pt. 2</w:t>
            </w:r>
          </w:p>
        </w:tc>
        <w:tc>
          <w:tcPr>
            <w:tcW w:w="1134" w:type="dxa"/>
          </w:tcPr>
          <w:p>
            <w:pPr>
              <w:pStyle w:val="nTable"/>
              <w:spacing w:after="40"/>
            </w:pPr>
            <w:r>
              <w:t>41 of 2004</w:t>
            </w:r>
          </w:p>
        </w:tc>
        <w:tc>
          <w:tcPr>
            <w:tcW w:w="1134" w:type="dxa"/>
          </w:tcPr>
          <w:p>
            <w:pPr>
              <w:pStyle w:val="nTable"/>
              <w:spacing w:after="40"/>
            </w:pPr>
            <w:r>
              <w:t>3 Nov 2004</w:t>
            </w:r>
          </w:p>
        </w:tc>
        <w:tc>
          <w:tcPr>
            <w:tcW w:w="2580" w:type="dxa"/>
          </w:tcPr>
          <w:p>
            <w:pPr>
              <w:pStyle w:val="nTable"/>
              <w:spacing w:after="40"/>
            </w:pPr>
            <w:r>
              <w:t>3 Nov 2004 (see s. 2)</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87"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87" w:type="dxa"/>
            <w:gridSpan w:val="2"/>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
                <w:snapToGrid w:val="0"/>
              </w:rPr>
            </w:pPr>
            <w:r>
              <w:rPr>
                <w:i/>
                <w:snapToGrid w:val="0"/>
              </w:rPr>
              <w:t>Constitution Amendment (Recognition of Aboriginal People) Act 2015</w:t>
            </w:r>
          </w:p>
        </w:tc>
        <w:tc>
          <w:tcPr>
            <w:tcW w:w="1134" w:type="dxa"/>
            <w:shd w:val="clear" w:color="auto" w:fill="auto"/>
          </w:tcPr>
          <w:p>
            <w:pPr>
              <w:pStyle w:val="nTable"/>
              <w:spacing w:after="40"/>
              <w:rPr>
                <w:snapToGrid w:val="0"/>
              </w:rPr>
            </w:pPr>
            <w:r>
              <w:rPr>
                <w:snapToGrid w:val="0"/>
              </w:rPr>
              <w:t>22 of 2015</w:t>
            </w:r>
          </w:p>
        </w:tc>
        <w:tc>
          <w:tcPr>
            <w:tcW w:w="1134" w:type="dxa"/>
            <w:shd w:val="clear" w:color="auto" w:fill="auto"/>
          </w:tcPr>
          <w:p>
            <w:pPr>
              <w:pStyle w:val="nTable"/>
              <w:spacing w:after="40"/>
              <w:rPr>
                <w:snapToGrid w:val="0"/>
              </w:rPr>
            </w:pPr>
            <w:r>
              <w:rPr>
                <w:snapToGrid w:val="0"/>
              </w:rPr>
              <w:t>17 Sep 2015</w:t>
            </w:r>
          </w:p>
        </w:tc>
        <w:tc>
          <w:tcPr>
            <w:tcW w:w="2587" w:type="dxa"/>
            <w:gridSpan w:val="2"/>
            <w:shd w:val="clear" w:color="auto" w:fill="auto"/>
          </w:tcPr>
          <w:p>
            <w:pPr>
              <w:pStyle w:val="nTable"/>
              <w:spacing w:after="40"/>
              <w:rPr>
                <w:snapToGrid w:val="0"/>
              </w:rPr>
            </w:pPr>
            <w:r>
              <w:rPr>
                <w:snapToGrid w:val="0"/>
              </w:rPr>
              <w:t>17 Sep 2015 (see s. 2)</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
                <w:snapToGrid w:val="0"/>
              </w:rPr>
            </w:pPr>
            <w:r>
              <w:rPr>
                <w:i/>
                <w:snapToGrid w:val="0"/>
              </w:rPr>
              <w:t>Constitution Amendment (Demise of the Crown) Act 2017</w:t>
            </w:r>
          </w:p>
        </w:tc>
        <w:tc>
          <w:tcPr>
            <w:tcW w:w="1134" w:type="dxa"/>
            <w:shd w:val="clear" w:color="auto" w:fill="auto"/>
          </w:tcPr>
          <w:p>
            <w:pPr>
              <w:pStyle w:val="nTable"/>
              <w:spacing w:after="40"/>
              <w:rPr>
                <w:snapToGrid w:val="0"/>
              </w:rPr>
            </w:pPr>
            <w:r>
              <w:rPr>
                <w:snapToGrid w:val="0"/>
              </w:rPr>
              <w:t>9 of 2017</w:t>
            </w:r>
          </w:p>
        </w:tc>
        <w:tc>
          <w:tcPr>
            <w:tcW w:w="1134" w:type="dxa"/>
            <w:shd w:val="clear" w:color="auto" w:fill="auto"/>
          </w:tcPr>
          <w:p>
            <w:pPr>
              <w:pStyle w:val="nTable"/>
              <w:spacing w:after="40"/>
              <w:rPr>
                <w:snapToGrid w:val="0"/>
              </w:rPr>
            </w:pPr>
            <w:r>
              <w:rPr>
                <w:snapToGrid w:val="0"/>
              </w:rPr>
              <w:t>25 Oct 2017</w:t>
            </w:r>
          </w:p>
        </w:tc>
        <w:tc>
          <w:tcPr>
            <w:tcW w:w="2587" w:type="dxa"/>
            <w:gridSpan w:val="2"/>
            <w:shd w:val="clear" w:color="auto" w:fill="auto"/>
          </w:tcPr>
          <w:p>
            <w:pPr>
              <w:pStyle w:val="nTable"/>
              <w:spacing w:after="40"/>
              <w:rPr>
                <w:snapToGrid w:val="0"/>
              </w:rPr>
            </w:pPr>
            <w:r>
              <w:rPr>
                <w:snapToGrid w:val="0"/>
              </w:rPr>
              <w:t>s. 1 and 2: 25 Oct 2017 (see s. 2(a));</w:t>
            </w:r>
            <w:r>
              <w:rPr>
                <w:snapToGrid w:val="0"/>
              </w:rPr>
              <w:br/>
              <w:t>Act other than s. 1 and 2: 26 Oct 2017 (see s. 2(b))</w:t>
            </w:r>
          </w:p>
        </w:tc>
      </w:tr>
    </w:tbl>
    <w:p>
      <w:pPr>
        <w:rPr>
          <w:del w:id="304" w:author="Master Repository Process" w:date="2021-11-25T09:31:00Z"/>
        </w:rPr>
      </w:pPr>
    </w:p>
    <w:tbl>
      <w:tblPr>
        <w:tblW w:w="7095" w:type="dxa"/>
        <w:tblInd w:w="28" w:type="dxa"/>
        <w:tblLayout w:type="fixed"/>
        <w:tblCellMar>
          <w:left w:w="56" w:type="dxa"/>
          <w:right w:w="56" w:type="dxa"/>
        </w:tblCellMar>
        <w:tblLook w:val="0000" w:firstRow="0" w:lastRow="0" w:firstColumn="0" w:lastColumn="0" w:noHBand="0" w:noVBand="0"/>
      </w:tblPr>
      <w:tblGrid>
        <w:gridCol w:w="2233"/>
        <w:gridCol w:w="1134"/>
        <w:gridCol w:w="1134"/>
        <w:gridCol w:w="2587"/>
      </w:tblGrid>
      <w:tr>
        <w:trPr>
          <w:cantSplit/>
          <w:ins w:id="305" w:author="Master Repository Process" w:date="2021-11-25T09:31:00Z"/>
        </w:trPr>
        <w:tc>
          <w:tcPr>
            <w:tcW w:w="2233" w:type="dxa"/>
            <w:tcBorders>
              <w:bottom w:val="single" w:sz="8" w:space="0" w:color="auto"/>
            </w:tcBorders>
            <w:shd w:val="clear" w:color="auto" w:fill="auto"/>
          </w:tcPr>
          <w:p>
            <w:pPr>
              <w:pStyle w:val="nTable"/>
              <w:spacing w:after="40"/>
              <w:ind w:right="113"/>
              <w:rPr>
                <w:ins w:id="306" w:author="Master Repository Process" w:date="2021-11-25T09:31:00Z"/>
                <w:snapToGrid w:val="0"/>
              </w:rPr>
            </w:pPr>
            <w:del w:id="307" w:author="Master Repository Process" w:date="2021-11-25T09:31:00Z">
              <w:r>
                <w:rPr>
                  <w:snapToGrid w:val="0"/>
                </w:rPr>
                <w:delText>N.B.:</w:delText>
              </w:r>
              <w:r>
                <w:rPr>
                  <w:snapToGrid w:val="0"/>
                </w:rPr>
                <w:tab/>
              </w:r>
            </w:del>
            <w:ins w:id="308" w:author="Master Repository Process" w:date="2021-11-25T09:31:00Z">
              <w:r>
                <w:rPr>
                  <w:i/>
                </w:rPr>
                <w:t>Constitutional and Electoral Legislation Amendment (Electoral Equality) Act 2021</w:t>
              </w:r>
              <w:r>
                <w:t xml:space="preserve"> Pt. 2</w:t>
              </w:r>
            </w:ins>
          </w:p>
        </w:tc>
        <w:tc>
          <w:tcPr>
            <w:tcW w:w="1134" w:type="dxa"/>
            <w:tcBorders>
              <w:bottom w:val="single" w:sz="8" w:space="0" w:color="auto"/>
            </w:tcBorders>
            <w:shd w:val="clear" w:color="auto" w:fill="auto"/>
          </w:tcPr>
          <w:p>
            <w:pPr>
              <w:pStyle w:val="nTable"/>
              <w:spacing w:after="40"/>
              <w:rPr>
                <w:ins w:id="309" w:author="Master Repository Process" w:date="2021-11-25T09:31:00Z"/>
                <w:snapToGrid w:val="0"/>
              </w:rPr>
            </w:pPr>
            <w:ins w:id="310" w:author="Master Repository Process" w:date="2021-11-25T09:31:00Z">
              <w:r>
                <w:rPr>
                  <w:snapToGrid w:val="0"/>
                </w:rPr>
                <w:t>20 of 2021</w:t>
              </w:r>
            </w:ins>
          </w:p>
        </w:tc>
        <w:tc>
          <w:tcPr>
            <w:tcW w:w="1134" w:type="dxa"/>
            <w:tcBorders>
              <w:bottom w:val="single" w:sz="8" w:space="0" w:color="auto"/>
            </w:tcBorders>
            <w:shd w:val="clear" w:color="auto" w:fill="auto"/>
          </w:tcPr>
          <w:p>
            <w:pPr>
              <w:pStyle w:val="nTable"/>
              <w:spacing w:after="40"/>
              <w:rPr>
                <w:ins w:id="311" w:author="Master Repository Process" w:date="2021-11-25T09:31:00Z"/>
                <w:snapToGrid w:val="0"/>
                <w:highlight w:val="yellow"/>
              </w:rPr>
            </w:pPr>
            <w:ins w:id="312" w:author="Master Repository Process" w:date="2021-11-25T09:31:00Z">
              <w:r>
                <w:rPr>
                  <w:snapToGrid w:val="0"/>
                </w:rPr>
                <w:t>24 Nov 2021</w:t>
              </w:r>
            </w:ins>
          </w:p>
        </w:tc>
        <w:tc>
          <w:tcPr>
            <w:tcW w:w="2587" w:type="dxa"/>
            <w:tcBorders>
              <w:bottom w:val="single" w:sz="8" w:space="0" w:color="auto"/>
            </w:tcBorders>
            <w:shd w:val="clear" w:color="auto" w:fill="auto"/>
          </w:tcPr>
          <w:p>
            <w:pPr>
              <w:pStyle w:val="nTable"/>
              <w:spacing w:after="40"/>
              <w:rPr>
                <w:ins w:id="313" w:author="Master Repository Process" w:date="2021-11-25T09:31:00Z"/>
                <w:snapToGrid w:val="0"/>
                <w:highlight w:val="yellow"/>
              </w:rPr>
            </w:pPr>
            <w:ins w:id="314" w:author="Master Repository Process" w:date="2021-11-25T09:31:00Z">
              <w:r>
                <w:rPr>
                  <w:snapToGrid w:val="0"/>
                </w:rPr>
                <w:t>25 Nov 2021 (see s. 2(b))</w:t>
              </w:r>
            </w:ins>
          </w:p>
        </w:tc>
      </w:tr>
    </w:tbl>
    <w:p>
      <w:pPr>
        <w:pStyle w:val="nHeading3"/>
        <w:rPr>
          <w:ins w:id="315" w:author="Master Repository Process" w:date="2021-11-25T09:31:00Z"/>
        </w:rPr>
      </w:pPr>
      <w:bookmarkStart w:id="316" w:name="_Toc88662667"/>
      <w:ins w:id="317" w:author="Master Repository Process" w:date="2021-11-25T09:31:00Z">
        <w:r>
          <w:t>Other notes</w:t>
        </w:r>
        <w:bookmarkEnd w:id="316"/>
      </w:ins>
    </w:p>
    <w:p>
      <w:pPr>
        <w:pStyle w:val="nNote"/>
        <w:keepNext/>
        <w:rPr>
          <w:snapToGrid w:val="0"/>
        </w:rPr>
      </w:pPr>
      <w:ins w:id="318" w:author="Master Repository Process" w:date="2021-11-25T09:31:00Z">
        <w:r>
          <w:rPr>
            <w:snapToGrid w:val="0"/>
            <w:vertAlign w:val="superscript"/>
          </w:rPr>
          <w:t>1</w:t>
        </w:r>
        <w:r>
          <w:rPr>
            <w:snapToGrid w:val="0"/>
          </w:rPr>
          <w:tab/>
          <w:t xml:space="preserve">Now known as the </w:t>
        </w:r>
        <w:r>
          <w:rPr>
            <w:i/>
            <w:iCs/>
            <w:snapToGrid w:val="0"/>
          </w:rPr>
          <w:t>Constitution Act 1889</w:t>
        </w:r>
        <w:r>
          <w:rPr>
            <w:snapToGrid w:val="0"/>
          </w:rPr>
          <w:t xml:space="preserve">; short title amended (see note under s. 1). </w:t>
        </w:r>
      </w:ins>
      <w:r>
        <w:rPr>
          <w:snapToGrid w:val="0"/>
        </w:rPr>
        <w:t xml:space="preserve">The </w:t>
      </w:r>
      <w:r>
        <w:rPr>
          <w:i/>
          <w:snapToGrid w:val="0"/>
        </w:rPr>
        <w:t>Constitution Act 1889</w:t>
      </w:r>
      <w:r>
        <w:rPr>
          <w:snapToGrid w:val="0"/>
        </w:rPr>
        <w:t xml:space="preserve"> was or is affected by —</w:t>
      </w:r>
    </w:p>
    <w:p>
      <w:pPr>
        <w:pStyle w:val="nNote"/>
        <w:ind w:left="720" w:hanging="720"/>
        <w:rPr>
          <w:snapToGrid w:val="0"/>
        </w:rPr>
      </w:pPr>
      <w:del w:id="319" w:author="Master Repository Process" w:date="2021-11-25T09:31:00Z">
        <w:r>
          <w:rPr>
            <w:snapToGrid w:val="0"/>
          </w:rPr>
          <w:tab/>
        </w:r>
      </w:del>
      <w:r>
        <w:rPr>
          <w:snapToGrid w:val="0"/>
        </w:rPr>
        <w:tab/>
        <w:t>An Act to augment Ministerial Salaries. 55 Vict. No. 23 (1892).</w:t>
      </w:r>
      <w:r>
        <w:rPr>
          <w:snapToGrid w:val="0"/>
        </w:rPr>
        <w:br/>
        <w:t>(Repealed by 60 Vict. No. 18.)</w:t>
      </w:r>
    </w:p>
    <w:p>
      <w:pPr>
        <w:pStyle w:val="nNote"/>
        <w:ind w:left="720" w:hanging="720"/>
        <w:rPr>
          <w:snapToGrid w:val="0"/>
        </w:rPr>
      </w:pPr>
      <w:del w:id="320" w:author="Master Repository Process" w:date="2021-11-25T09:31:00Z">
        <w:r>
          <w:rPr>
            <w:i/>
            <w:snapToGrid w:val="0"/>
          </w:rPr>
          <w:tab/>
        </w:r>
      </w:del>
      <w:r>
        <w:rPr>
          <w:i/>
          <w:snapToGrid w:val="0"/>
        </w:rPr>
        <w:tab/>
        <w:t>The Officers of Parliament Act 1893</w:t>
      </w:r>
      <w:r>
        <w:rPr>
          <w:snapToGrid w:val="0"/>
        </w:rPr>
        <w:t>. (56 Vict. No. 17).</w:t>
      </w:r>
      <w:r>
        <w:rPr>
          <w:snapToGrid w:val="0"/>
        </w:rPr>
        <w:br/>
        <w:t>(Repealed by 63 Vict. No. 19.)</w:t>
      </w:r>
    </w:p>
    <w:p>
      <w:pPr>
        <w:pStyle w:val="nNote"/>
        <w:ind w:left="720" w:hanging="720"/>
        <w:rPr>
          <w:snapToGrid w:val="0"/>
        </w:rPr>
      </w:pPr>
      <w:del w:id="321" w:author="Master Repository Process" w:date="2021-11-25T09:31:00Z">
        <w:r>
          <w:rPr>
            <w:i/>
            <w:snapToGrid w:val="0"/>
          </w:rPr>
          <w:tab/>
        </w:r>
      </w:del>
      <w:r>
        <w:rPr>
          <w:i/>
          <w:snapToGrid w:val="0"/>
        </w:rPr>
        <w:tab/>
        <w:t>Constitution Acts Amendment Act 1933</w:t>
      </w:r>
      <w:r>
        <w:rPr>
          <w:snapToGrid w:val="0"/>
        </w:rPr>
        <w:t>.  (No. 25 of 1933).</w:t>
      </w:r>
      <w:r>
        <w:rPr>
          <w:snapToGrid w:val="0"/>
        </w:rPr>
        <w:br/>
        <w:t>(Amended by Act No. 46 of 1963 s. 10.  Repealed by Act No. 57 of 1965.)</w:t>
      </w:r>
    </w:p>
    <w:p>
      <w:pPr>
        <w:pStyle w:val="nNote"/>
        <w:ind w:left="720" w:hanging="720"/>
        <w:rPr>
          <w:snapToGrid w:val="0"/>
        </w:rPr>
      </w:pPr>
      <w:del w:id="322" w:author="Master Repository Process" w:date="2021-11-25T09:31:00Z">
        <w:r>
          <w:rPr>
            <w:i/>
            <w:snapToGrid w:val="0"/>
          </w:rPr>
          <w:tab/>
        </w:r>
      </w:del>
      <w:r>
        <w:rPr>
          <w:i/>
          <w:snapToGrid w:val="0"/>
        </w:rPr>
        <w:tab/>
        <w:t>Constitution Acts Amendment (Temporary) Act 1934</w:t>
      </w:r>
      <w:r>
        <w:rPr>
          <w:snapToGrid w:val="0"/>
        </w:rPr>
        <w:t>. (No. 3 of 1934).</w:t>
      </w:r>
      <w:r>
        <w:rPr>
          <w:snapToGrid w:val="0"/>
        </w:rPr>
        <w:br/>
        <w:t>(Expired on 31 December 1934 (see s. 4).  Repealed by Act No. 57 of 1965.)</w:t>
      </w:r>
    </w:p>
    <w:p>
      <w:pPr>
        <w:pStyle w:val="nNote"/>
        <w:rPr>
          <w:snapToGrid w:val="0"/>
        </w:rPr>
      </w:pPr>
      <w:r>
        <w:rPr>
          <w:i/>
          <w:snapToGrid w:val="0"/>
        </w:rPr>
        <w:tab/>
      </w:r>
      <w:r>
        <w:rPr>
          <w:i/>
          <w:snapToGrid w:val="0"/>
        </w:rPr>
        <w:tab/>
        <w:t>Judges’ Retirement Act 1937</w:t>
      </w:r>
      <w:r>
        <w:rPr>
          <w:snapToGrid w:val="0"/>
        </w:rPr>
        <w:t>. (No. 8 of 1937).</w:t>
      </w:r>
    </w:p>
    <w:p>
      <w:pPr>
        <w:pStyle w:val="nNote"/>
        <w:ind w:left="720" w:hanging="720"/>
        <w:rPr>
          <w:snapToGrid w:val="0"/>
        </w:rPr>
      </w:pPr>
      <w:del w:id="323" w:author="Master Repository Process" w:date="2021-11-25T09:31:00Z">
        <w:r>
          <w:rPr>
            <w:i/>
            <w:snapToGrid w:val="0"/>
          </w:rPr>
          <w:tab/>
        </w:r>
      </w:del>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Note"/>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pPr>
        <w:pStyle w:val="nNote"/>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w:t>
      </w:r>
      <w:ins w:id="324" w:author="Master Repository Process" w:date="2021-11-25T09:31:00Z">
        <w:r>
          <w:rPr>
            <w:snapToGrid w:val="0"/>
          </w:rPr>
          <w:t xml:space="preserve"> </w:t>
        </w:r>
      </w:ins>
      <w:r>
        <w:rPr>
          <w:snapToGrid w:val="0"/>
        </w:rPr>
        <w:t>See s. 43.</w:t>
      </w:r>
    </w:p>
    <w:p>
      <w:pPr>
        <w:pStyle w:val="nNote"/>
        <w:spacing w:before="100"/>
        <w:rPr>
          <w:snapToGrid w:val="0"/>
        </w:rPr>
      </w:pPr>
      <w:r>
        <w:rPr>
          <w:snapToGrid w:val="0"/>
          <w:vertAlign w:val="superscript"/>
        </w:rPr>
        <w:t>4</w:t>
      </w:r>
      <w:r>
        <w:rPr>
          <w:snapToGrid w:val="0"/>
        </w:rPr>
        <w:tab/>
        <w:t>This provision ceased to operate on 18 October 1893.  See s. 43.</w:t>
      </w:r>
    </w:p>
    <w:p>
      <w:pPr>
        <w:pStyle w:val="nNote"/>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Note"/>
        <w:spacing w:before="100"/>
        <w:rPr>
          <w:snapToGrid w:val="0"/>
        </w:rPr>
      </w:pPr>
      <w:del w:id="325" w:author="Master Repository Process" w:date="2021-11-25T09:31:00Z">
        <w:r>
          <w:rPr>
            <w:snapToGrid w:val="0"/>
            <w:vertAlign w:val="superscript"/>
          </w:rPr>
          <w:delText>6</w:delText>
        </w:r>
        <w:r>
          <w:rPr>
            <w:snapToGrid w:val="0"/>
          </w:rPr>
          <w:tab/>
        </w:r>
      </w:del>
      <w:ins w:id="326" w:author="Master Repository Process" w:date="2021-11-25T09:31:00Z">
        <w:r>
          <w:rPr>
            <w:snapToGrid w:val="0"/>
            <w:vertAlign w:val="superscript"/>
          </w:rPr>
          <w:t>6</w:t>
        </w:r>
        <w:r>
          <w:rPr>
            <w:snapToGrid w:val="0"/>
          </w:rPr>
          <w:tab/>
        </w:r>
        <w:r>
          <w:rPr>
            <w:color w:val="000000"/>
          </w:rPr>
          <w:t xml:space="preserve">Repealed section 42 provided for the postponement of the commencement of Part III.  Under that section, </w:t>
        </w:r>
      </w:ins>
      <w:r>
        <w:rPr>
          <w:snapToGrid w:val="0"/>
        </w:rPr>
        <w:t xml:space="preserve">Part III commenced 18 Oct 1893 (see </w:t>
      </w:r>
      <w:r>
        <w:rPr>
          <w:i/>
          <w:snapToGrid w:val="0"/>
        </w:rPr>
        <w:t>Gazette</w:t>
      </w:r>
      <w:r>
        <w:rPr>
          <w:snapToGrid w:val="0"/>
        </w:rPr>
        <w:t xml:space="preserve"> 18 July 1893 p. 727).</w:t>
      </w:r>
    </w:p>
    <w:p>
      <w:pPr>
        <w:pStyle w:val="nNote"/>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Note"/>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Note"/>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Note"/>
        <w:spacing w:before="100"/>
        <w:rPr>
          <w:snapToGrid w:val="0"/>
        </w:rPr>
      </w:pPr>
      <w:r>
        <w:rPr>
          <w:snapToGrid w:val="0"/>
          <w:vertAlign w:val="superscript"/>
        </w:rPr>
        <w:t>10</w:t>
      </w:r>
      <w:r>
        <w:rPr>
          <w:snapToGrid w:val="0"/>
        </w:rPr>
        <w:tab/>
      </w:r>
      <w:r>
        <w:rPr>
          <w:i/>
          <w:snapToGrid w:val="0"/>
        </w:rPr>
        <w:t>Australia Act 1986</w:t>
      </w:r>
      <w:r>
        <w:rPr>
          <w:snapToGrid w:val="0"/>
        </w:rPr>
        <w:t xml:space="preserve"> (U.K.) s. 9(2) and </w:t>
      </w:r>
      <w:r>
        <w:rPr>
          <w:i/>
          <w:snapToGrid w:val="0"/>
        </w:rPr>
        <w:t>Australia Act 1986</w:t>
      </w:r>
      <w:r>
        <w:rPr>
          <w:snapToGrid w:val="0"/>
        </w:rPr>
        <w:t xml:space="preserve"> (Cwlth) s. 9(2) (set out in the Schedules to the </w:t>
      </w:r>
      <w:r>
        <w:rPr>
          <w:i/>
          <w:snapToGrid w:val="0"/>
        </w:rPr>
        <w:t>Australia Acts (Request) Act 1985</w:t>
      </w:r>
      <w:r>
        <w:rPr>
          <w:snapToGrid w:val="0"/>
        </w:rPr>
        <w:t xml:space="preserve"> (WA)) read as follows:</w:t>
      </w:r>
    </w:p>
    <w:p>
      <w:pPr>
        <w:pStyle w:val="BlankOpen"/>
        <w:rPr>
          <w:snapToGrid w:val="0"/>
        </w:rPr>
      </w:pPr>
      <w:del w:id="327" w:author="Master Repository Process" w:date="2021-11-25T09:31:00Z">
        <w:r>
          <w:rPr>
            <w:snapToGrid w:val="0"/>
          </w:rPr>
          <w:delText>“</w:delText>
        </w:r>
      </w:del>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BlankClose"/>
        <w:rPr>
          <w:snapToGrid w:val="0"/>
        </w:rPr>
      </w:pPr>
      <w:del w:id="328" w:author="Master Repository Process" w:date="2021-11-25T09:31:00Z">
        <w:r>
          <w:rPr>
            <w:snapToGrid w:val="0"/>
            <w:sz w:val="20"/>
          </w:rPr>
          <w:delText>”.</w:delText>
        </w:r>
      </w:del>
    </w:p>
    <w:p>
      <w:pPr>
        <w:pStyle w:val="nNote"/>
        <w:spacing w:before="100"/>
      </w:pPr>
      <w:r>
        <w:rPr>
          <w:snapToGrid w:val="0"/>
          <w:vertAlign w:val="superscript"/>
        </w:rPr>
        <w:t>11</w:t>
      </w:r>
      <w:r>
        <w:rPr>
          <w:snapToGrid w:val="0"/>
        </w:rPr>
        <w:tab/>
        <w:t>Sections 69 and 70 and Schedules B and C have been repealed.</w:t>
      </w:r>
    </w:p>
    <w:p>
      <w:pPr>
        <w:pStyle w:val="nSubsection"/>
        <w:spacing w:before="100"/>
        <w:rPr>
          <w:del w:id="329" w:author="Master Repository Process" w:date="2021-11-25T09:31:00Z"/>
          <w:snapToGrid w:val="0"/>
        </w:rPr>
      </w:pPr>
      <w:del w:id="330" w:author="Master Repository Process" w:date="2021-11-25T09:31:00Z">
        <w:r>
          <w:rPr>
            <w:snapToGrid w:val="0"/>
            <w:vertAlign w:val="superscript"/>
          </w:rPr>
          <w:delText>12</w:delText>
        </w:r>
        <w:r>
          <w:rPr>
            <w:snapToGrid w:val="0"/>
          </w:rPr>
          <w:tab/>
          <w:delText xml:space="preserve">The reference to the “Aborigines Protection Board” was used only in s. 70 which has been repealed.  The </w:delText>
        </w:r>
        <w:r>
          <w:rPr>
            <w:i/>
            <w:iCs/>
          </w:rPr>
          <w:delText>Aborigines Protection Act 1886</w:delText>
        </w:r>
        <w:r>
          <w:delText xml:space="preserve"> was repealed by the </w:delText>
        </w:r>
        <w:r>
          <w:rPr>
            <w:i/>
            <w:iCs/>
          </w:rPr>
          <w:delText>Statute Law Revision Act 1964.</w:delText>
        </w:r>
      </w:del>
    </w:p>
    <w:p>
      <w:pPr>
        <w:pStyle w:val="nNote"/>
        <w:spacing w:before="100"/>
        <w:rPr>
          <w:snapToGrid w:val="0"/>
        </w:rPr>
      </w:pPr>
      <w:del w:id="331" w:author="Master Repository Process" w:date="2021-11-25T09:31:00Z">
        <w:r>
          <w:rPr>
            <w:snapToGrid w:val="0"/>
            <w:vertAlign w:val="superscript"/>
          </w:rPr>
          <w:delText>13</w:delText>
        </w:r>
      </w:del>
      <w:ins w:id="332" w:author="Master Repository Process" w:date="2021-11-25T09:31:00Z">
        <w:r>
          <w:rPr>
            <w:snapToGrid w:val="0"/>
            <w:vertAlign w:val="superscript"/>
          </w:rPr>
          <w:t>12</w:t>
        </w:r>
      </w:ins>
      <w:r>
        <w:rPr>
          <w:snapToGrid w:val="0"/>
        </w:rPr>
        <w:tab/>
        <w:t xml:space="preserve">See </w:t>
      </w:r>
      <w:r>
        <w:rPr>
          <w:i/>
          <w:snapToGrid w:val="0"/>
        </w:rPr>
        <w:t>Western Australia Constitution Act 1890</w:t>
      </w:r>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r>
        <w:rPr>
          <w:i/>
          <w:snapToGrid w:val="0"/>
        </w:rPr>
        <w:t>Australia Act 1986</w:t>
      </w:r>
      <w:r>
        <w:rPr>
          <w:snapToGrid w:val="0"/>
        </w:rPr>
        <w:t xml:space="preserve"> (U.K.) s. 7</w:t>
      </w:r>
      <w:r>
        <w:rPr>
          <w:snapToGrid w:val="0"/>
        </w:rPr>
        <w:noBreakHyphen/>
        <w:t>9.  Paragraph (a) of the proviso reads as follows:</w:t>
      </w:r>
    </w:p>
    <w:p>
      <w:pPr>
        <w:pStyle w:val="BlankOpen"/>
        <w:rPr>
          <w:snapToGrid w:val="0"/>
        </w:rPr>
      </w:pPr>
      <w:del w:id="333" w:author="Master Repository Process" w:date="2021-11-25T09:31:00Z">
        <w:r>
          <w:rPr>
            <w:snapToGrid w:val="0"/>
            <w:sz w:val="20"/>
          </w:rPr>
          <w:delText>“</w:delText>
        </w:r>
      </w:del>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BlankClose"/>
        <w:rPr>
          <w:snapToGrid w:val="0"/>
        </w:rPr>
      </w:pPr>
      <w:del w:id="334" w:author="Master Repository Process" w:date="2021-11-25T09:31:00Z">
        <w:r>
          <w:rPr>
            <w:snapToGrid w:val="0"/>
          </w:rPr>
          <w:delText>”.</w:delText>
        </w:r>
      </w:del>
    </w:p>
    <w:p>
      <w:pPr>
        <w:pStyle w:val="nNote"/>
        <w:rPr>
          <w:snapToGrid w:val="0"/>
        </w:rPr>
      </w:pPr>
      <w:r>
        <w:rPr>
          <w:snapToGrid w:val="0"/>
        </w:rPr>
        <w:tab/>
        <w:t xml:space="preserve">[Note the proviso was amended by the </w:t>
      </w:r>
      <w:r>
        <w:rPr>
          <w:i/>
          <w:snapToGrid w:val="0"/>
        </w:rPr>
        <w:t>Australian States Constitution Act 1907</w:t>
      </w:r>
      <w:r>
        <w:rPr>
          <w:snapToGrid w:val="0"/>
        </w:rPr>
        <w:t xml:space="preserve"> (U.K.) (7 Ed. VII c. 7).]</w:t>
      </w:r>
    </w:p>
    <w:p>
      <w:pPr>
        <w:pStyle w:val="nSubsection"/>
        <w:rPr>
          <w:del w:id="335" w:author="Master Repository Process" w:date="2021-11-25T09:31:00Z"/>
          <w:snapToGrid w:val="0"/>
        </w:rPr>
      </w:pPr>
      <w:del w:id="336" w:author="Master Repository Process" w:date="2021-11-25T09:31:00Z">
        <w:r>
          <w:rPr>
            <w:snapToGrid w:val="0"/>
            <w:vertAlign w:val="superscript"/>
          </w:rPr>
          <w:delText>14</w:delText>
        </w:r>
        <w:r>
          <w:rPr>
            <w:snapToGrid w:val="0"/>
            <w:vertAlign w:val="superscript"/>
          </w:rPr>
          <w:tab/>
        </w:r>
        <w:r>
          <w:rPr>
            <w:snapToGrid w:val="0"/>
          </w:rPr>
          <w:delText xml:space="preserve">Now known as the </w:delText>
        </w:r>
        <w:r>
          <w:rPr>
            <w:i/>
            <w:iCs/>
            <w:snapToGrid w:val="0"/>
          </w:rPr>
          <w:delText>Constitution Act 1889</w:delText>
        </w:r>
        <w:r>
          <w:rPr>
            <w:snapToGrid w:val="0"/>
          </w:rPr>
          <w:delText>; short title amended (see note under s. 1).</w:delText>
        </w:r>
      </w:del>
    </w:p>
    <w:p>
      <w:pPr>
        <w:pStyle w:val="nNote"/>
        <w:rPr>
          <w:color w:val="000000"/>
        </w:rPr>
      </w:pPr>
      <w:del w:id="337" w:author="Master Repository Process" w:date="2021-11-25T09:31:00Z">
        <w:r>
          <w:rPr>
            <w:snapToGrid w:val="0"/>
            <w:vertAlign w:val="superscript"/>
          </w:rPr>
          <w:delText>15</w:delText>
        </w:r>
      </w:del>
      <w:ins w:id="338" w:author="Master Repository Process" w:date="2021-11-25T09:31:00Z">
        <w:r>
          <w:rPr>
            <w:snapToGrid w:val="0"/>
            <w:vertAlign w:val="superscript"/>
          </w:rPr>
          <w:t>13</w:t>
        </w:r>
      </w:ins>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Pr>
        <w:pStyle w:val="nSubsection"/>
        <w:rPr>
          <w:del w:id="339" w:author="Master Repository Process" w:date="2021-11-25T09:31:00Z"/>
          <w:snapToGrid w:val="0"/>
        </w:rPr>
      </w:pPr>
      <w:del w:id="340" w:author="Master Repository Process" w:date="2021-11-25T09:31:00Z">
        <w:r>
          <w:rPr>
            <w:color w:val="000000"/>
            <w:vertAlign w:val="superscript"/>
          </w:rPr>
          <w:delText>16</w:delText>
        </w:r>
        <w:r>
          <w:rPr>
            <w:color w:val="000000"/>
          </w:rPr>
          <w:tab/>
          <w:delText>Repealed section 42 provided for the postponement of the commencement of Part III.  Under that section, Part III came into operation on 18 Oct 1893 (see </w:delText>
        </w:r>
        <w:r>
          <w:rPr>
            <w:i/>
            <w:color w:val="000000"/>
          </w:rPr>
          <w:delText>Gazette</w:delText>
        </w:r>
        <w:r>
          <w:rPr>
            <w:color w:val="000000"/>
          </w:rPr>
          <w:delText xml:space="preserve"> 18 Jul 1893 p. 727).</w:delText>
        </w:r>
      </w:del>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84"/>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F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746A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283F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E6D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2CF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0422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 w:name="WAFER_20211117104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04225_GUID" w:val="617f0b91-2470-4f2e-97b8-79c224a3f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7118</Words>
  <Characters>33246</Characters>
  <Application>Microsoft Office Word</Application>
  <DocSecurity>0</DocSecurity>
  <Lines>949</Lines>
  <Paragraphs>443</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06-f0-01 - 06-g0-00</dc:title>
  <dc:subject/>
  <dc:creator/>
  <cp:keywords/>
  <dc:description/>
  <cp:lastModifiedBy>Master Repository Process</cp:lastModifiedBy>
  <cp:revision>2</cp:revision>
  <cp:lastPrinted>2007-07-19T01:08:00Z</cp:lastPrinted>
  <dcterms:created xsi:type="dcterms:W3CDTF">2021-11-25T01:31:00Z</dcterms:created>
  <dcterms:modified xsi:type="dcterms:W3CDTF">2021-11-25T01:31:00Z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CommencementDate">
    <vt:lpwstr>20211125</vt:lpwstr>
  </property>
  <property fmtid="{D5CDD505-2E9C-101B-9397-08002B2CF9AE}" pid="8" name="FromSuffix">
    <vt:lpwstr>06-f0-01</vt:lpwstr>
  </property>
  <property fmtid="{D5CDD505-2E9C-101B-9397-08002B2CF9AE}" pid="9" name="FromAsAtDate">
    <vt:lpwstr>26 Oct 2017</vt:lpwstr>
  </property>
  <property fmtid="{D5CDD505-2E9C-101B-9397-08002B2CF9AE}" pid="10" name="ToSuffix">
    <vt:lpwstr>06-g0-00</vt:lpwstr>
  </property>
  <property fmtid="{D5CDD505-2E9C-101B-9397-08002B2CF9AE}" pid="11" name="ToAsAtDate">
    <vt:lpwstr>25 Nov 2021</vt:lpwstr>
  </property>
</Properties>
</file>