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23 Dec 2021</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1" w:name="_GoBack"/>
      <w:bookmarkEnd w:id="1"/>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2" w:name="_Toc90977948"/>
      <w:bookmarkStart w:id="3" w:name="_Toc90978968"/>
      <w:bookmarkStart w:id="4" w:name="_Toc91053714"/>
      <w:bookmarkStart w:id="5" w:name="_Toc86314403"/>
      <w:bookmarkStart w:id="6" w:name="_Toc86314661"/>
      <w:bookmarkStart w:id="7" w:name="_Toc8632415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spacing w:before="240"/>
        <w:rPr>
          <w:snapToGrid w:val="0"/>
        </w:rPr>
      </w:pPr>
      <w:bookmarkStart w:id="8" w:name="_Toc91053715"/>
      <w:bookmarkStart w:id="9" w:name="_Toc86324158"/>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w:t>
      </w:r>
    </w:p>
    <w:p>
      <w:pPr>
        <w:pStyle w:val="Heading5"/>
        <w:spacing w:before="240"/>
        <w:rPr>
          <w:snapToGrid w:val="0"/>
        </w:rPr>
      </w:pPr>
      <w:bookmarkStart w:id="10" w:name="_Toc91053716"/>
      <w:bookmarkStart w:id="11" w:name="_Toc8632415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p>
    <w:p>
      <w:pPr>
        <w:pStyle w:val="Heading5"/>
        <w:spacing w:before="240"/>
        <w:rPr>
          <w:snapToGrid w:val="0"/>
        </w:rPr>
      </w:pPr>
      <w:bookmarkStart w:id="12" w:name="_Toc91053717"/>
      <w:bookmarkStart w:id="13" w:name="_Toc8632416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tab/>
      </w:r>
      <w:r>
        <w:rPr>
          <w:rStyle w:val="CharDefText"/>
        </w:rPr>
        <w:t>authorised person</w:t>
      </w:r>
      <w:r>
        <w:t xml:space="preserve"> means — </w:t>
      </w:r>
    </w:p>
    <w:p>
      <w:pPr>
        <w:pStyle w:val="Defpara"/>
      </w:pPr>
      <w:r>
        <w:tab/>
        <w:t>(a)</w:t>
      </w:r>
      <w:r>
        <w:tab/>
        <w:t xml:space="preserve">a person appointed under the </w:t>
      </w:r>
      <w:r>
        <w:rPr>
          <w:i/>
        </w:rPr>
        <w:t>Local Government Act 1995</w:t>
      </w:r>
      <w:r>
        <w:t xml:space="preserve"> section 9.10(2) to be an authorised person for the purposes of this Act;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keepNext/>
      </w:pPr>
      <w:r>
        <w:tab/>
      </w:r>
      <w:r>
        <w:rPr>
          <w:rStyle w:val="CharDefText"/>
        </w:rPr>
        <w:t>microchip database company</w:t>
      </w:r>
      <w:r>
        <w:t xml:space="preserve"> means — </w:t>
      </w:r>
    </w:p>
    <w:p>
      <w:pPr>
        <w:pStyle w:val="Defpara"/>
        <w:keepNext/>
      </w:pPr>
      <w:r>
        <w:tab/>
        <w:t>(a)</w:t>
      </w:r>
      <w:r>
        <w:tab/>
        <w:t xml:space="preserve">a person or body — </w:t>
      </w:r>
    </w:p>
    <w:p>
      <w:pPr>
        <w:pStyle w:val="Defsubpara"/>
        <w:keepLines w:val="0"/>
        <w:widowControl w:val="0"/>
      </w:pPr>
      <w:r>
        <w:tab/>
        <w:t>(i)</w:t>
      </w:r>
      <w:r>
        <w:tab/>
        <w:t>that keeps a microchip database; and</w:t>
      </w:r>
    </w:p>
    <w:p>
      <w:pPr>
        <w:pStyle w:val="Defsubpara"/>
        <w:keepNext/>
      </w:pPr>
      <w:r>
        <w:tab/>
        <w:t>(ii)</w:t>
      </w:r>
      <w:r>
        <w:tab/>
        <w:t>that is prescribed as a microchip database company for the purposes of this definition;</w:t>
      </w:r>
    </w:p>
    <w:p>
      <w:pPr>
        <w:pStyle w:val="Defpara"/>
        <w:keepNext/>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Next/>
        <w:keepLines/>
        <w:spacing w:before="60"/>
      </w:pPr>
      <w:r>
        <w:tab/>
        <w:t>(d)</w:t>
      </w:r>
      <w:r>
        <w:tab/>
        <w:t>a person who has the dog in his possession or under his control,</w:t>
      </w:r>
    </w:p>
    <w:p>
      <w:pPr>
        <w:pStyle w:val="Defstart"/>
        <w:keepNex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No. 23 of 1987 s. 4; No. 14 of 1996 s. 4; No. 24 of 1996 s. 4; No. 81 of 1996 s. 153(1); No. 31 of 1997 s. 141; No. 10 of 1998 s. 29(1); No. 38 of 2005 s. 15; No. 60 of 2006 s. 132; No. 18 of 2013 s. 4; No. 19 of 2016 s. 130; No. 16 of 2019 s. 106.]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14" w:name="_Toc91053718"/>
      <w:bookmarkStart w:id="15" w:name="_Toc86324161"/>
      <w:r>
        <w:rPr>
          <w:rStyle w:val="CharSectno"/>
        </w:rPr>
        <w:t>6</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16" w:name="_Toc91053719"/>
      <w:bookmarkStart w:id="17" w:name="_Toc86324162"/>
      <w:r>
        <w:rPr>
          <w:rStyle w:val="CharSectno"/>
        </w:rPr>
        <w:t>7</w:t>
      </w:r>
      <w:r>
        <w:rPr>
          <w:snapToGrid w:val="0"/>
        </w:rPr>
        <w:t>.</w:t>
      </w:r>
      <w:r>
        <w:rPr>
          <w:snapToGrid w:val="0"/>
        </w:rPr>
        <w:tab/>
        <w:t>Dogs to be registered</w:t>
      </w:r>
      <w:bookmarkEnd w:id="16"/>
      <w:bookmarkEnd w:id="17"/>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if the dog is ordinarily kept or permitted to live in or at premises in Western Australia,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No. 57 of 1977 s. 2; No. 23 of 1987 s. 7; No. 24 of 1996 s. 16; No. 55 of 2004 s. 252 and 268; No. 18 of 2013 s. 6.] </w:t>
      </w:r>
    </w:p>
    <w:p>
      <w:pPr>
        <w:pStyle w:val="Heading5"/>
      </w:pPr>
      <w:bookmarkStart w:id="18" w:name="_Toc91053720"/>
      <w:bookmarkStart w:id="19" w:name="_Toc86324163"/>
      <w:r>
        <w:rPr>
          <w:rStyle w:val="CharSectno"/>
        </w:rPr>
        <w:t>8</w:t>
      </w:r>
      <w:r>
        <w:t>.</w:t>
      </w:r>
      <w:r>
        <w:tab/>
        <w:t>Assistance dogs</w:t>
      </w:r>
      <w:bookmarkEnd w:id="18"/>
      <w:bookmarkEnd w:id="19"/>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20" w:name="_Toc90977955"/>
      <w:bookmarkStart w:id="21" w:name="_Toc90978975"/>
      <w:bookmarkStart w:id="22" w:name="_Toc91053721"/>
      <w:bookmarkStart w:id="23" w:name="_Toc86314410"/>
      <w:bookmarkStart w:id="24" w:name="_Toc86314668"/>
      <w:bookmarkStart w:id="25" w:name="_Toc86324164"/>
      <w:r>
        <w:rPr>
          <w:rStyle w:val="CharPartNo"/>
        </w:rPr>
        <w:t>Part II</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r>
        <w:rPr>
          <w:rStyle w:val="CharPartText"/>
        </w:rPr>
        <w:t xml:space="preserve"> </w:t>
      </w:r>
    </w:p>
    <w:p>
      <w:pPr>
        <w:pStyle w:val="Heading5"/>
        <w:spacing w:before="240"/>
        <w:rPr>
          <w:snapToGrid w:val="0"/>
        </w:rPr>
      </w:pPr>
      <w:bookmarkStart w:id="26" w:name="_Toc91053722"/>
      <w:bookmarkStart w:id="27" w:name="_Toc86324165"/>
      <w:r>
        <w:rPr>
          <w:rStyle w:val="CharSectno"/>
        </w:rPr>
        <w:t>9</w:t>
      </w:r>
      <w:r>
        <w:rPr>
          <w:snapToGrid w:val="0"/>
        </w:rPr>
        <w:t>.</w:t>
      </w:r>
      <w:r>
        <w:rPr>
          <w:snapToGrid w:val="0"/>
        </w:rPr>
        <w:tab/>
        <w:t>Administrative responsibility</w:t>
      </w:r>
      <w:bookmarkEnd w:id="26"/>
      <w:bookmarkEnd w:id="27"/>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28" w:name="_Toc91053723"/>
      <w:bookmarkStart w:id="29" w:name="_Toc86324166"/>
      <w:r>
        <w:rPr>
          <w:rStyle w:val="CharSectno"/>
        </w:rPr>
        <w:t>10</w:t>
      </w:r>
      <w:r>
        <w:rPr>
          <w:snapToGrid w:val="0"/>
        </w:rPr>
        <w:t>.</w:t>
      </w:r>
      <w:r>
        <w:rPr>
          <w:snapToGrid w:val="0"/>
        </w:rPr>
        <w:tab/>
        <w:t>Dogs not kept in district</w:t>
      </w:r>
      <w:bookmarkEnd w:id="28"/>
      <w:bookmarkEnd w:id="2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30" w:name="_Toc91053724"/>
      <w:bookmarkStart w:id="31" w:name="_Toc86324167"/>
      <w:r>
        <w:rPr>
          <w:rStyle w:val="CharSectno"/>
        </w:rPr>
        <w:t>10AA</w:t>
      </w:r>
      <w:r>
        <w:t>.</w:t>
      </w:r>
      <w:r>
        <w:tab/>
        <w:t xml:space="preserve">Delegation of </w:t>
      </w:r>
      <w:r>
        <w:rPr>
          <w:snapToGrid w:val="0"/>
        </w:rPr>
        <w:t>local</w:t>
      </w:r>
      <w:r>
        <w:t xml:space="preserve"> government powers and duties</w:t>
      </w:r>
      <w:bookmarkEnd w:id="30"/>
      <w:bookmarkEnd w:id="31"/>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32" w:name="_Toc91053725"/>
      <w:bookmarkStart w:id="33" w:name="_Toc86324168"/>
      <w:r>
        <w:rPr>
          <w:rStyle w:val="CharSectno"/>
        </w:rPr>
        <w:t>10AB</w:t>
      </w:r>
      <w:r>
        <w:t>.</w:t>
      </w:r>
      <w:r>
        <w:tab/>
        <w:t>Register of, and review of, delegations</w:t>
      </w:r>
      <w:bookmarkEnd w:id="32"/>
      <w:bookmarkEnd w:id="33"/>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34" w:name="_Toc91053726"/>
      <w:bookmarkStart w:id="35" w:name="_Toc86324169"/>
      <w:r>
        <w:rPr>
          <w:rStyle w:val="CharSectno"/>
        </w:rPr>
        <w:t>10A</w:t>
      </w:r>
      <w:r>
        <w:rPr>
          <w:snapToGrid w:val="0"/>
        </w:rPr>
        <w:t>.</w:t>
      </w:r>
      <w:r>
        <w:rPr>
          <w:snapToGrid w:val="0"/>
        </w:rPr>
        <w:tab/>
        <w:t>Payments to veterinary surgeons towards cost of sterilisation</w:t>
      </w:r>
      <w:bookmarkEnd w:id="34"/>
      <w:bookmarkEnd w:id="35"/>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4.]</w:t>
      </w:r>
    </w:p>
    <w:p>
      <w:pPr>
        <w:pStyle w:val="Heading5"/>
        <w:spacing w:before="240"/>
        <w:rPr>
          <w:snapToGrid w:val="0"/>
        </w:rPr>
      </w:pPr>
      <w:bookmarkStart w:id="36" w:name="_Toc91053727"/>
      <w:bookmarkStart w:id="37" w:name="_Toc86324170"/>
      <w:r>
        <w:rPr>
          <w:rStyle w:val="CharSectno"/>
        </w:rPr>
        <w:t>11</w:t>
      </w:r>
      <w:r>
        <w:rPr>
          <w:snapToGrid w:val="0"/>
        </w:rPr>
        <w:t>.</w:t>
      </w:r>
      <w:r>
        <w:rPr>
          <w:snapToGrid w:val="0"/>
        </w:rPr>
        <w:tab/>
        <w:t>Staff and services</w:t>
      </w:r>
      <w:bookmarkEnd w:id="36"/>
      <w:bookmarkEnd w:id="37"/>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tab/>
        <w:t>(4)</w:t>
      </w:r>
      <w:r>
        <w:tab/>
        <w:t xml:space="preserve">Subsection (3) is subject to the </w:t>
      </w:r>
      <w:r>
        <w:rPr>
          <w:i/>
        </w:rPr>
        <w:t>Public Health Act 2016</w:t>
      </w:r>
      <w:r>
        <w:t xml:space="preserve"> section 31.</w:t>
      </w:r>
    </w:p>
    <w:p>
      <w:pPr>
        <w:pStyle w:val="Subsection"/>
      </w:pPr>
      <w:r>
        <w:tab/>
        <w:t>(5)</w:t>
      </w:r>
      <w:r>
        <w:tab/>
        <w:t xml:space="preserve">Subsection (3) does not apply to a person appointed under the </w:t>
      </w:r>
      <w:r>
        <w:rPr>
          <w:i/>
        </w:rPr>
        <w:t>Local Government Act 1995</w:t>
      </w:r>
      <w:r>
        <w:t xml:space="preserve"> section 9.10(2) to be an authorised person for the purposes of this Act.</w:t>
      </w:r>
    </w:p>
    <w:p>
      <w:pPr>
        <w:pStyle w:val="Footnotesection"/>
      </w:pPr>
      <w:r>
        <w:tab/>
        <w:t xml:space="preserve">[Section 11 amended: No. 14 of 1996 s. 4; No. 18 of 2013 s. 9; No. 19 of 2016 s. 131; No. 16 of 2019 s. 107.] </w:t>
      </w:r>
    </w:p>
    <w:p>
      <w:pPr>
        <w:pStyle w:val="Heading5"/>
      </w:pPr>
      <w:bookmarkStart w:id="38" w:name="_Toc91053728"/>
      <w:bookmarkStart w:id="39" w:name="_Toc86324171"/>
      <w:r>
        <w:rPr>
          <w:rStyle w:val="CharSectno"/>
        </w:rPr>
        <w:t>11A</w:t>
      </w:r>
      <w:r>
        <w:t>.</w:t>
      </w:r>
      <w:r>
        <w:tab/>
        <w:t>Authorised persons</w:t>
      </w:r>
      <w:bookmarkEnd w:id="38"/>
      <w:bookmarkEnd w:id="39"/>
    </w:p>
    <w:p>
      <w:pPr>
        <w:pStyle w:val="Subsection"/>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pPr>
        <w:pStyle w:val="Footnotesection"/>
      </w:pPr>
      <w:r>
        <w:tab/>
        <w:t>[Section 11A inserted: No. 16 of 2019 s. 108.]</w:t>
      </w:r>
    </w:p>
    <w:p>
      <w:pPr>
        <w:pStyle w:val="Heading5"/>
        <w:spacing w:before="240"/>
        <w:rPr>
          <w:snapToGrid w:val="0"/>
        </w:rPr>
      </w:pPr>
      <w:bookmarkStart w:id="40" w:name="_Toc91053729"/>
      <w:bookmarkStart w:id="41" w:name="_Toc86324172"/>
      <w:r>
        <w:rPr>
          <w:rStyle w:val="CharSectno"/>
        </w:rPr>
        <w:t>12</w:t>
      </w:r>
      <w:r>
        <w:rPr>
          <w:snapToGrid w:val="0"/>
        </w:rPr>
        <w:t>.</w:t>
      </w:r>
      <w:r>
        <w:rPr>
          <w:snapToGrid w:val="0"/>
        </w:rPr>
        <w:tab/>
        <w:t>Joint jurisdiction</w:t>
      </w:r>
      <w:bookmarkEnd w:id="40"/>
      <w:bookmarkEnd w:id="41"/>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42" w:name="_Toc91053730"/>
      <w:bookmarkStart w:id="43" w:name="_Toc86324173"/>
      <w:r>
        <w:rPr>
          <w:rStyle w:val="CharSectno"/>
        </w:rPr>
        <w:t>12A</w:t>
      </w:r>
      <w:r>
        <w:rPr>
          <w:snapToGrid w:val="0"/>
        </w:rPr>
        <w:t>.</w:t>
      </w:r>
      <w:r>
        <w:rPr>
          <w:snapToGrid w:val="0"/>
        </w:rPr>
        <w:tab/>
        <w:t>Entry of premises</w:t>
      </w:r>
      <w:bookmarkEnd w:id="42"/>
      <w:bookmarkEnd w:id="43"/>
      <w:r>
        <w:rPr>
          <w:snapToGrid w:val="0"/>
        </w:rPr>
        <w:t xml:space="preserve"> </w:t>
      </w:r>
    </w:p>
    <w:p>
      <w:pPr>
        <w:pStyle w:val="Subsection"/>
        <w:keepNext/>
        <w:spacing w:before="180"/>
        <w:rPr>
          <w:snapToGrid w:val="0"/>
        </w:rPr>
      </w:pPr>
      <w:r>
        <w:rPr>
          <w:snapToGrid w:val="0"/>
        </w:rPr>
        <w:tab/>
        <w:t>(1)</w:t>
      </w:r>
      <w:r>
        <w:rPr>
          <w:snapToGrid w:val="0"/>
        </w:rPr>
        <w:tab/>
        <w:t>A registration officer may, with the consent of the occupier, enter and inspect — </w:t>
      </w:r>
    </w:p>
    <w:p>
      <w:pPr>
        <w:pStyle w:val="Indenta"/>
        <w:keepNext/>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44" w:name="_Toc91053731"/>
      <w:bookmarkStart w:id="45" w:name="_Toc86324174"/>
      <w:r>
        <w:rPr>
          <w:rStyle w:val="CharSectno"/>
        </w:rPr>
        <w:t>13</w:t>
      </w:r>
      <w:r>
        <w:rPr>
          <w:snapToGrid w:val="0"/>
        </w:rPr>
        <w:t>.</w:t>
      </w:r>
      <w:r>
        <w:rPr>
          <w:snapToGrid w:val="0"/>
        </w:rPr>
        <w:tab/>
        <w:t>Immunity of persons acting in good faith</w:t>
      </w:r>
      <w:bookmarkEnd w:id="44"/>
      <w:bookmarkEnd w:id="45"/>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No. 14 of 1996 s. 4.] </w:t>
      </w:r>
    </w:p>
    <w:p>
      <w:pPr>
        <w:pStyle w:val="Heading2"/>
      </w:pPr>
      <w:bookmarkStart w:id="46" w:name="_Toc90977966"/>
      <w:bookmarkStart w:id="47" w:name="_Toc90978986"/>
      <w:bookmarkStart w:id="48" w:name="_Toc91053732"/>
      <w:bookmarkStart w:id="49" w:name="_Toc86314421"/>
      <w:bookmarkStart w:id="50" w:name="_Toc86314679"/>
      <w:bookmarkStart w:id="51" w:name="_Toc86324175"/>
      <w:r>
        <w:rPr>
          <w:rStyle w:val="CharPartNo"/>
        </w:rPr>
        <w:t>Part III</w:t>
      </w:r>
      <w:r>
        <w:rPr>
          <w:b w:val="0"/>
        </w:rPr>
        <w:t> </w:t>
      </w:r>
      <w:r>
        <w:t>—</w:t>
      </w:r>
      <w:r>
        <w:rPr>
          <w:b w:val="0"/>
        </w:rPr>
        <w:t> </w:t>
      </w:r>
      <w:r>
        <w:rPr>
          <w:rStyle w:val="CharPartText"/>
        </w:rPr>
        <w:t>Registration and identification</w:t>
      </w:r>
      <w:bookmarkEnd w:id="46"/>
      <w:bookmarkEnd w:id="47"/>
      <w:bookmarkEnd w:id="48"/>
      <w:bookmarkEnd w:id="49"/>
      <w:bookmarkEnd w:id="50"/>
      <w:bookmarkEnd w:id="51"/>
    </w:p>
    <w:p>
      <w:pPr>
        <w:pStyle w:val="Footnoteheading"/>
      </w:pPr>
      <w:r>
        <w:tab/>
        <w:t xml:space="preserve">[Heading inserted: No. 18 of 2013 s. 11.] </w:t>
      </w:r>
    </w:p>
    <w:p>
      <w:pPr>
        <w:pStyle w:val="Heading3"/>
      </w:pPr>
      <w:bookmarkStart w:id="52" w:name="_Toc90977967"/>
      <w:bookmarkStart w:id="53" w:name="_Toc90978987"/>
      <w:bookmarkStart w:id="54" w:name="_Toc91053733"/>
      <w:bookmarkStart w:id="55" w:name="_Toc86314422"/>
      <w:bookmarkStart w:id="56" w:name="_Toc86314680"/>
      <w:bookmarkStart w:id="57" w:name="_Toc86324176"/>
      <w:r>
        <w:rPr>
          <w:rStyle w:val="CharDivNo"/>
        </w:rPr>
        <w:t>Division 1</w:t>
      </w:r>
      <w:r>
        <w:t> — </w:t>
      </w:r>
      <w:r>
        <w:rPr>
          <w:rStyle w:val="CharDivText"/>
        </w:rPr>
        <w:t>Registration</w:t>
      </w:r>
      <w:bookmarkEnd w:id="52"/>
      <w:bookmarkEnd w:id="53"/>
      <w:bookmarkEnd w:id="54"/>
      <w:bookmarkEnd w:id="55"/>
      <w:bookmarkEnd w:id="56"/>
      <w:bookmarkEnd w:id="57"/>
    </w:p>
    <w:p>
      <w:pPr>
        <w:pStyle w:val="Footnoteheading"/>
      </w:pPr>
      <w:r>
        <w:tab/>
        <w:t xml:space="preserve">[Heading inserted: No. 18 of 2013 s. 11.] </w:t>
      </w:r>
    </w:p>
    <w:p>
      <w:pPr>
        <w:pStyle w:val="Heading5"/>
      </w:pPr>
      <w:bookmarkStart w:id="58" w:name="_Toc91053734"/>
      <w:bookmarkStart w:id="59" w:name="_Toc86324177"/>
      <w:r>
        <w:rPr>
          <w:rStyle w:val="CharSectno"/>
        </w:rPr>
        <w:t>14</w:t>
      </w:r>
      <w:r>
        <w:t>.</w:t>
      </w:r>
      <w:r>
        <w:tab/>
        <w:t>Register of dogs</w:t>
      </w:r>
      <w:bookmarkEnd w:id="58"/>
      <w:bookmarkEnd w:id="59"/>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60" w:name="_Toc91053735"/>
      <w:bookmarkStart w:id="61" w:name="_Toc86324178"/>
      <w:r>
        <w:rPr>
          <w:rStyle w:val="CharSectno"/>
        </w:rPr>
        <w:t>15</w:t>
      </w:r>
      <w:r>
        <w:rPr>
          <w:snapToGrid w:val="0"/>
        </w:rPr>
        <w:t>.</w:t>
      </w:r>
      <w:r>
        <w:rPr>
          <w:snapToGrid w:val="0"/>
        </w:rPr>
        <w:tab/>
        <w:t>Registration periods and fees</w:t>
      </w:r>
      <w:bookmarkEnd w:id="60"/>
      <w:bookmarkEnd w:id="61"/>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62" w:name="_Toc91053736"/>
      <w:bookmarkStart w:id="63" w:name="_Toc86324179"/>
      <w:r>
        <w:rPr>
          <w:rStyle w:val="CharSectno"/>
        </w:rPr>
        <w:t>16</w:t>
      </w:r>
      <w:r>
        <w:rPr>
          <w:snapToGrid w:val="0"/>
        </w:rPr>
        <w:t>.</w:t>
      </w:r>
      <w:r>
        <w:rPr>
          <w:snapToGrid w:val="0"/>
        </w:rPr>
        <w:tab/>
        <w:t>Registration procedure</w:t>
      </w:r>
      <w:bookmarkEnd w:id="62"/>
      <w:bookmarkEnd w:id="63"/>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64" w:name="_Toc91053737"/>
      <w:bookmarkStart w:id="65" w:name="_Toc86324180"/>
      <w:r>
        <w:rPr>
          <w:rStyle w:val="CharSectno"/>
        </w:rPr>
        <w:t>16AA</w:t>
      </w:r>
      <w:r>
        <w:rPr>
          <w:snapToGrid w:val="0"/>
        </w:rPr>
        <w:t>.</w:t>
      </w:r>
      <w:r>
        <w:rPr>
          <w:snapToGrid w:val="0"/>
        </w:rPr>
        <w:tab/>
        <w:t>Owner’s delegate</w:t>
      </w:r>
      <w:bookmarkEnd w:id="64"/>
      <w:bookmarkEnd w:id="65"/>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66" w:name="_Toc91053738"/>
      <w:bookmarkStart w:id="67" w:name="_Toc86324181"/>
      <w:r>
        <w:rPr>
          <w:rStyle w:val="CharSectno"/>
        </w:rPr>
        <w:t>16A</w:t>
      </w:r>
      <w:r>
        <w:rPr>
          <w:snapToGrid w:val="0"/>
        </w:rPr>
        <w:t>.</w:t>
      </w:r>
      <w:r>
        <w:rPr>
          <w:snapToGrid w:val="0"/>
        </w:rPr>
        <w:tab/>
        <w:t>Change of ownership</w:t>
      </w:r>
      <w:bookmarkEnd w:id="66"/>
      <w:bookmarkEnd w:id="67"/>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68" w:name="_Toc91053739"/>
      <w:bookmarkStart w:id="69" w:name="_Toc86324182"/>
      <w:r>
        <w:rPr>
          <w:rStyle w:val="CharSectno"/>
        </w:rPr>
        <w:t>17A</w:t>
      </w:r>
      <w:r>
        <w:t>.</w:t>
      </w:r>
      <w:r>
        <w:tab/>
        <w:t>If no application for registration made</w:t>
      </w:r>
      <w:bookmarkEnd w:id="68"/>
      <w:bookmarkEnd w:id="69"/>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70" w:name="_Toc91053740"/>
      <w:bookmarkStart w:id="71" w:name="_Toc86324183"/>
      <w:r>
        <w:rPr>
          <w:rStyle w:val="CharSectno"/>
        </w:rPr>
        <w:t>17</w:t>
      </w:r>
      <w:r>
        <w:rPr>
          <w:snapToGrid w:val="0"/>
        </w:rPr>
        <w:t>.</w:t>
      </w:r>
      <w:r>
        <w:rPr>
          <w:snapToGrid w:val="0"/>
        </w:rPr>
        <w:tab/>
        <w:t>Refusal or cancellation of registration</w:t>
      </w:r>
      <w:bookmarkEnd w:id="70"/>
      <w:bookmarkEnd w:id="71"/>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72" w:name="_Toc91053741"/>
      <w:bookmarkStart w:id="73" w:name="_Toc86324184"/>
      <w:r>
        <w:rPr>
          <w:rStyle w:val="CharSectno"/>
        </w:rPr>
        <w:t>18</w:t>
      </w:r>
      <w:r>
        <w:rPr>
          <w:snapToGrid w:val="0"/>
        </w:rPr>
        <w:t>.</w:t>
      </w:r>
      <w:r>
        <w:rPr>
          <w:snapToGrid w:val="0"/>
        </w:rPr>
        <w:tab/>
        <w:t>Registration tags</w:t>
      </w:r>
      <w:bookmarkEnd w:id="72"/>
      <w:bookmarkEnd w:id="73"/>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74" w:name="_Toc91053742"/>
      <w:bookmarkStart w:id="75" w:name="_Toc86324185"/>
      <w:r>
        <w:rPr>
          <w:rStyle w:val="CharSectno"/>
        </w:rPr>
        <w:t>19</w:t>
      </w:r>
      <w:r>
        <w:rPr>
          <w:snapToGrid w:val="0"/>
        </w:rPr>
        <w:t>.</w:t>
      </w:r>
      <w:r>
        <w:rPr>
          <w:snapToGrid w:val="0"/>
        </w:rPr>
        <w:tab/>
        <w:t>Refund of fee on cancellation</w:t>
      </w:r>
      <w:bookmarkEnd w:id="74"/>
      <w:bookmarkEnd w:id="75"/>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76" w:name="_Toc91053743"/>
      <w:bookmarkStart w:id="77" w:name="_Toc86324186"/>
      <w:r>
        <w:rPr>
          <w:rStyle w:val="CharSectno"/>
        </w:rPr>
        <w:t>20</w:t>
      </w:r>
      <w:r>
        <w:rPr>
          <w:snapToGrid w:val="0"/>
        </w:rPr>
        <w:t>.</w:t>
      </w:r>
      <w:r>
        <w:rPr>
          <w:snapToGrid w:val="0"/>
        </w:rPr>
        <w:tab/>
        <w:t>Offences relating to registration etc.</w:t>
      </w:r>
      <w:bookmarkEnd w:id="76"/>
      <w:bookmarkEnd w:id="77"/>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78" w:name="_Toc90977978"/>
      <w:bookmarkStart w:id="79" w:name="_Toc90978998"/>
      <w:bookmarkStart w:id="80" w:name="_Toc91053744"/>
      <w:bookmarkStart w:id="81" w:name="_Toc86314433"/>
      <w:bookmarkStart w:id="82" w:name="_Toc86314691"/>
      <w:bookmarkStart w:id="83" w:name="_Toc86324187"/>
      <w:r>
        <w:rPr>
          <w:rStyle w:val="CharDivNo"/>
        </w:rPr>
        <w:t>Division 2</w:t>
      </w:r>
      <w:r>
        <w:t> — </w:t>
      </w:r>
      <w:r>
        <w:rPr>
          <w:rStyle w:val="CharDivText"/>
        </w:rPr>
        <w:t>Microchipping</w:t>
      </w:r>
      <w:bookmarkEnd w:id="78"/>
      <w:bookmarkEnd w:id="79"/>
      <w:bookmarkEnd w:id="80"/>
      <w:bookmarkEnd w:id="81"/>
      <w:bookmarkEnd w:id="82"/>
      <w:bookmarkEnd w:id="83"/>
    </w:p>
    <w:p>
      <w:pPr>
        <w:pStyle w:val="Footnoteheading"/>
        <w:keepNext/>
      </w:pPr>
      <w:r>
        <w:tab/>
        <w:t xml:space="preserve">[Heading inserted: No. 18 of 2013 s. 21.] </w:t>
      </w:r>
    </w:p>
    <w:p>
      <w:pPr>
        <w:pStyle w:val="Heading5"/>
        <w:spacing w:before="240"/>
      </w:pPr>
      <w:bookmarkStart w:id="84" w:name="_Toc91053745"/>
      <w:bookmarkStart w:id="85" w:name="_Toc86324188"/>
      <w:r>
        <w:rPr>
          <w:rStyle w:val="CharSectno"/>
        </w:rPr>
        <w:t>21</w:t>
      </w:r>
      <w:r>
        <w:t>.</w:t>
      </w:r>
      <w:r>
        <w:tab/>
        <w:t>Microchipping of dogs other than dangerous dogs</w:t>
      </w:r>
      <w:bookmarkEnd w:id="84"/>
      <w:bookmarkEnd w:id="85"/>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keepNext/>
      </w:pPr>
      <w:r>
        <w:tab/>
        <w:t>(b)</w:t>
      </w:r>
      <w:r>
        <w:tab/>
        <w:t>the dog was not registered under this Act or the law of another State or a Territory so that its registration was in effect on 31 October 2013.</w:t>
      </w:r>
    </w:p>
    <w:p>
      <w:pPr>
        <w:pStyle w:val="Penstart"/>
        <w:keepNex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Ednotepart"/>
      </w:pPr>
      <w:r>
        <w:t>[Part IV heading deleted: No. 23 of 1987 s. 21.]</w:t>
      </w:r>
    </w:p>
    <w:p>
      <w:pPr>
        <w:pStyle w:val="Heading5"/>
        <w:spacing w:before="240"/>
      </w:pPr>
      <w:bookmarkStart w:id="86" w:name="_Toc91053746"/>
      <w:bookmarkStart w:id="87" w:name="_Toc86324189"/>
      <w:r>
        <w:rPr>
          <w:rStyle w:val="CharSectno"/>
        </w:rPr>
        <w:t>22</w:t>
      </w:r>
      <w:r>
        <w:t>.</w:t>
      </w:r>
      <w:r>
        <w:tab/>
        <w:t>Microchipping of dangerous dogs</w:t>
      </w:r>
      <w:bookmarkEnd w:id="86"/>
      <w:bookmarkEnd w:id="87"/>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Lines w:val="0"/>
        <w:widowControl w:val="0"/>
      </w:pPr>
      <w:bookmarkStart w:id="88" w:name="_Toc91053747"/>
      <w:bookmarkStart w:id="89" w:name="_Toc86324190"/>
      <w:r>
        <w:rPr>
          <w:rStyle w:val="CharSectno"/>
        </w:rPr>
        <w:t>23</w:t>
      </w:r>
      <w:r>
        <w:t>.</w:t>
      </w:r>
      <w:r>
        <w:tab/>
        <w:t>Notice to be given of microchip information</w:t>
      </w:r>
      <w:bookmarkEnd w:id="88"/>
      <w:bookmarkEnd w:id="89"/>
    </w:p>
    <w:p>
      <w:pPr>
        <w:pStyle w:val="Subsection"/>
        <w:keepNext/>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keepNext/>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90" w:name="_Toc91053748"/>
      <w:bookmarkStart w:id="91" w:name="_Toc86324191"/>
      <w:r>
        <w:rPr>
          <w:rStyle w:val="CharSectno"/>
        </w:rPr>
        <w:t>24</w:t>
      </w:r>
      <w:r>
        <w:t>.</w:t>
      </w:r>
      <w:r>
        <w:tab/>
        <w:t>Microchip implanter to give information to microchip database company</w:t>
      </w:r>
      <w:bookmarkEnd w:id="90"/>
      <w:bookmarkEnd w:id="91"/>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92" w:name="_Toc91053749"/>
      <w:bookmarkStart w:id="93" w:name="_Toc86324192"/>
      <w:r>
        <w:rPr>
          <w:rStyle w:val="CharSectno"/>
        </w:rPr>
        <w:t>25</w:t>
      </w:r>
      <w:r>
        <w:t>.</w:t>
      </w:r>
      <w:r>
        <w:tab/>
        <w:t>Microchip database company’s obligations</w:t>
      </w:r>
      <w:bookmarkEnd w:id="92"/>
      <w:bookmarkEnd w:id="93"/>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94" w:name="_Toc91053750"/>
      <w:bookmarkStart w:id="95" w:name="_Toc86324193"/>
      <w:r>
        <w:rPr>
          <w:rStyle w:val="CharSectno"/>
        </w:rPr>
        <w:t>26A</w:t>
      </w:r>
      <w:r>
        <w:t>.</w:t>
      </w:r>
      <w:r>
        <w:tab/>
        <w:t>Interference with microchips</w:t>
      </w:r>
      <w:bookmarkEnd w:id="94"/>
      <w:bookmarkEnd w:id="95"/>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96" w:name="_Toc91053751"/>
      <w:bookmarkStart w:id="97" w:name="_Toc86324194"/>
      <w:r>
        <w:rPr>
          <w:rStyle w:val="CharSectno"/>
        </w:rPr>
        <w:t>26B</w:t>
      </w:r>
      <w:r>
        <w:t>.</w:t>
      </w:r>
      <w:r>
        <w:tab/>
        <w:t>Transfer of ownership of unmicrochipped dogs</w:t>
      </w:r>
      <w:bookmarkEnd w:id="96"/>
      <w:bookmarkEnd w:id="97"/>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98" w:name="_Toc91053752"/>
      <w:bookmarkStart w:id="99" w:name="_Toc86324195"/>
      <w:r>
        <w:rPr>
          <w:rStyle w:val="CharSectno"/>
        </w:rPr>
        <w:t>26C</w:t>
      </w:r>
      <w:r>
        <w:t>.</w:t>
      </w:r>
      <w:r>
        <w:tab/>
        <w:t>Transfer of ownership of microchipped dogs</w:t>
      </w:r>
      <w:bookmarkEnd w:id="98"/>
      <w:bookmarkEnd w:id="99"/>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100" w:name="_Toc90977987"/>
      <w:bookmarkStart w:id="101" w:name="_Toc90979007"/>
      <w:bookmarkStart w:id="102" w:name="_Toc91053753"/>
      <w:bookmarkStart w:id="103" w:name="_Toc86314442"/>
      <w:bookmarkStart w:id="104" w:name="_Toc86314700"/>
      <w:bookmarkStart w:id="105" w:name="_Toc86324196"/>
      <w:r>
        <w:rPr>
          <w:rStyle w:val="CharDivNo"/>
        </w:rPr>
        <w:t>Division 3</w:t>
      </w:r>
      <w:r>
        <w:t> — </w:t>
      </w:r>
      <w:r>
        <w:rPr>
          <w:rStyle w:val="CharDivText"/>
        </w:rPr>
        <w:t>Changes to recorded information</w:t>
      </w:r>
      <w:bookmarkEnd w:id="100"/>
      <w:bookmarkEnd w:id="101"/>
      <w:bookmarkEnd w:id="102"/>
      <w:bookmarkEnd w:id="103"/>
      <w:bookmarkEnd w:id="104"/>
      <w:bookmarkEnd w:id="105"/>
    </w:p>
    <w:p>
      <w:pPr>
        <w:pStyle w:val="Footnoteheading"/>
      </w:pPr>
      <w:r>
        <w:tab/>
        <w:t xml:space="preserve">[Heading inserted: No. 18 of 2013 s. 21.] </w:t>
      </w:r>
    </w:p>
    <w:p>
      <w:pPr>
        <w:pStyle w:val="Heading5"/>
      </w:pPr>
      <w:bookmarkStart w:id="106" w:name="_Toc91053754"/>
      <w:bookmarkStart w:id="107" w:name="_Toc86324197"/>
      <w:r>
        <w:rPr>
          <w:rStyle w:val="CharSectno"/>
        </w:rPr>
        <w:t>26D</w:t>
      </w:r>
      <w:r>
        <w:t>.</w:t>
      </w:r>
      <w:r>
        <w:tab/>
        <w:t>Notice to be given of changes to recorded information</w:t>
      </w:r>
      <w:bookmarkEnd w:id="106"/>
      <w:bookmarkEnd w:id="107"/>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108" w:name="_Toc90977989"/>
      <w:bookmarkStart w:id="109" w:name="_Toc90979009"/>
      <w:bookmarkStart w:id="110" w:name="_Toc91053755"/>
      <w:bookmarkStart w:id="111" w:name="_Toc86314444"/>
      <w:bookmarkStart w:id="112" w:name="_Toc86314702"/>
      <w:bookmarkStart w:id="113" w:name="_Toc86324198"/>
      <w:r>
        <w:rPr>
          <w:rStyle w:val="CharPartNo"/>
        </w:rPr>
        <w:t>Part V</w:t>
      </w:r>
      <w:r>
        <w:rPr>
          <w:rStyle w:val="CharDivNo"/>
        </w:rPr>
        <w:t> </w:t>
      </w:r>
      <w:r>
        <w:t>—</w:t>
      </w:r>
      <w:r>
        <w:rPr>
          <w:rStyle w:val="CharDivText"/>
        </w:rPr>
        <w:t> </w:t>
      </w:r>
      <w:r>
        <w:rPr>
          <w:rStyle w:val="CharPartText"/>
        </w:rPr>
        <w:t>The keeping of dogs</w:t>
      </w:r>
      <w:bookmarkEnd w:id="108"/>
      <w:bookmarkEnd w:id="109"/>
      <w:bookmarkEnd w:id="110"/>
      <w:bookmarkEnd w:id="111"/>
      <w:bookmarkEnd w:id="112"/>
      <w:bookmarkEnd w:id="113"/>
      <w:r>
        <w:rPr>
          <w:rStyle w:val="CharPartText"/>
        </w:rPr>
        <w:t xml:space="preserve"> </w:t>
      </w:r>
    </w:p>
    <w:p>
      <w:pPr>
        <w:pStyle w:val="Heading5"/>
        <w:spacing w:before="240"/>
        <w:rPr>
          <w:snapToGrid w:val="0"/>
        </w:rPr>
      </w:pPr>
      <w:bookmarkStart w:id="114" w:name="_Toc91053756"/>
      <w:bookmarkStart w:id="115" w:name="_Toc86324199"/>
      <w:r>
        <w:rPr>
          <w:rStyle w:val="CharSectno"/>
        </w:rPr>
        <w:t>26</w:t>
      </w:r>
      <w:r>
        <w:rPr>
          <w:snapToGrid w:val="0"/>
        </w:rPr>
        <w:t>.</w:t>
      </w:r>
      <w:r>
        <w:rPr>
          <w:snapToGrid w:val="0"/>
        </w:rPr>
        <w:tab/>
        <w:t>Limitation as to numbers</w:t>
      </w:r>
      <w:bookmarkEnd w:id="114"/>
      <w:bookmarkEnd w:id="115"/>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116" w:name="_Toc91053757"/>
      <w:bookmarkStart w:id="117" w:name="_Toc86324200"/>
      <w:r>
        <w:rPr>
          <w:rStyle w:val="CharSectno"/>
        </w:rPr>
        <w:t>27</w:t>
      </w:r>
      <w:r>
        <w:rPr>
          <w:snapToGrid w:val="0"/>
        </w:rPr>
        <w:t>.</w:t>
      </w:r>
      <w:r>
        <w:rPr>
          <w:snapToGrid w:val="0"/>
        </w:rPr>
        <w:tab/>
        <w:t>Licensing of approved kennel establishments</w:t>
      </w:r>
      <w:bookmarkEnd w:id="116"/>
      <w:bookmarkEnd w:id="117"/>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118" w:name="_Toc90977992"/>
      <w:bookmarkStart w:id="119" w:name="_Toc90979012"/>
      <w:bookmarkStart w:id="120" w:name="_Toc91053758"/>
      <w:bookmarkStart w:id="121" w:name="_Toc86314447"/>
      <w:bookmarkStart w:id="122" w:name="_Toc86314705"/>
      <w:bookmarkStart w:id="123" w:name="_Toc86324201"/>
      <w:r>
        <w:rPr>
          <w:rStyle w:val="CharPartNo"/>
        </w:rPr>
        <w:t>Part VI</w:t>
      </w:r>
      <w:r>
        <w:t> — </w:t>
      </w:r>
      <w:r>
        <w:rPr>
          <w:rStyle w:val="CharPartText"/>
        </w:rPr>
        <w:t>Control of dogs</w:t>
      </w:r>
      <w:bookmarkEnd w:id="118"/>
      <w:bookmarkEnd w:id="119"/>
      <w:bookmarkEnd w:id="120"/>
      <w:bookmarkEnd w:id="121"/>
      <w:bookmarkEnd w:id="122"/>
      <w:bookmarkEnd w:id="123"/>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124" w:name="_Toc90977993"/>
      <w:bookmarkStart w:id="125" w:name="_Toc90979013"/>
      <w:bookmarkStart w:id="126" w:name="_Toc91053759"/>
      <w:bookmarkStart w:id="127" w:name="_Toc86314448"/>
      <w:bookmarkStart w:id="128" w:name="_Toc86314706"/>
      <w:bookmarkStart w:id="129" w:name="_Toc86324202"/>
      <w:r>
        <w:rPr>
          <w:rStyle w:val="CharDivNo"/>
        </w:rPr>
        <w:t>Division 1</w:t>
      </w:r>
      <w:r>
        <w:rPr>
          <w:snapToGrid w:val="0"/>
        </w:rPr>
        <w:t> — </w:t>
      </w:r>
      <w:r>
        <w:rPr>
          <w:rStyle w:val="CharDivText"/>
        </w:rPr>
        <w:t>Dogs generally</w:t>
      </w:r>
      <w:bookmarkEnd w:id="124"/>
      <w:bookmarkEnd w:id="125"/>
      <w:bookmarkEnd w:id="126"/>
      <w:bookmarkEnd w:id="127"/>
      <w:bookmarkEnd w:id="128"/>
      <w:bookmarkEnd w:id="129"/>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130" w:name="_Toc91053760"/>
      <w:bookmarkStart w:id="131" w:name="_Toc86324203"/>
      <w:r>
        <w:rPr>
          <w:rStyle w:val="CharSectno"/>
        </w:rPr>
        <w:t>28</w:t>
      </w:r>
      <w:r>
        <w:t>.</w:t>
      </w:r>
      <w:r>
        <w:tab/>
        <w:t>Obligation to identify dog’s owner</w:t>
      </w:r>
      <w:bookmarkEnd w:id="130"/>
      <w:bookmarkEnd w:id="131"/>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132" w:name="_Toc91053761"/>
      <w:bookmarkStart w:id="133" w:name="_Toc86324204"/>
      <w:r>
        <w:rPr>
          <w:rStyle w:val="CharSectno"/>
        </w:rPr>
        <w:t>29</w:t>
      </w:r>
      <w:r>
        <w:rPr>
          <w:snapToGrid w:val="0"/>
        </w:rPr>
        <w:t>.</w:t>
      </w:r>
      <w:r>
        <w:rPr>
          <w:snapToGrid w:val="0"/>
        </w:rPr>
        <w:tab/>
        <w:t>Power to seize dogs</w:t>
      </w:r>
      <w:bookmarkEnd w:id="132"/>
      <w:bookmarkEnd w:id="133"/>
    </w:p>
    <w:p>
      <w:pPr>
        <w:pStyle w:val="Ednotesubsection"/>
      </w:pPr>
      <w:r>
        <w:tab/>
        <w:t>[(1)</w:t>
      </w:r>
      <w:r>
        <w:tab/>
        <w:t>deleted]</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keepNext/>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No. 23 of 1987 s. 26; No. 14 of 1996 s. 4; No. 24 of 1996 s. 8; No. 57 of 1997 s. 49; No. 10 of 1998 s. 29(1); No. 55 of 2004 s. 258; No. 18 of 2013 s. 25; No. 19 of 2016 s. 132; No. 16 of 2019 s. 109.] </w:t>
      </w:r>
    </w:p>
    <w:p>
      <w:pPr>
        <w:pStyle w:val="Heading5"/>
        <w:spacing w:before="180"/>
      </w:pPr>
      <w:bookmarkStart w:id="134" w:name="_Toc91053762"/>
      <w:bookmarkStart w:id="135" w:name="_Toc86324205"/>
      <w:r>
        <w:rPr>
          <w:rStyle w:val="CharSectno"/>
        </w:rPr>
        <w:t>30A</w:t>
      </w:r>
      <w:r>
        <w:t>.</w:t>
      </w:r>
      <w:r>
        <w:tab/>
        <w:t>Operator of dog management facility may have dog microchipped at owner’s expense</w:t>
      </w:r>
      <w:bookmarkEnd w:id="134"/>
      <w:bookmarkEnd w:id="135"/>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136" w:name="_Toc91053763"/>
      <w:bookmarkStart w:id="137" w:name="_Toc86324206"/>
      <w:r>
        <w:rPr>
          <w:rStyle w:val="CharSectno"/>
        </w:rPr>
        <w:t>30</w:t>
      </w:r>
      <w:r>
        <w:rPr>
          <w:snapToGrid w:val="0"/>
        </w:rPr>
        <w:t>.</w:t>
      </w:r>
      <w:r>
        <w:rPr>
          <w:snapToGrid w:val="0"/>
        </w:rPr>
        <w:tab/>
        <w:t>Dogs to wear collars, registration tags etc.</w:t>
      </w:r>
      <w:bookmarkEnd w:id="136"/>
      <w:bookmarkEnd w:id="137"/>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138" w:name="_Toc91053764"/>
      <w:bookmarkStart w:id="139" w:name="_Toc86324207"/>
      <w:r>
        <w:rPr>
          <w:rStyle w:val="CharSectno"/>
        </w:rPr>
        <w:t>31</w:t>
      </w:r>
      <w:r>
        <w:rPr>
          <w:snapToGrid w:val="0"/>
        </w:rPr>
        <w:t>.</w:t>
      </w:r>
      <w:r>
        <w:rPr>
          <w:snapToGrid w:val="0"/>
        </w:rPr>
        <w:tab/>
        <w:t>Control of dogs in certain public places</w:t>
      </w:r>
      <w:bookmarkEnd w:id="138"/>
      <w:bookmarkEnd w:id="139"/>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140" w:name="_Toc91053765"/>
      <w:bookmarkStart w:id="141" w:name="_Toc86324208"/>
      <w:r>
        <w:rPr>
          <w:rStyle w:val="CharSectno"/>
        </w:rPr>
        <w:t>32</w:t>
      </w:r>
      <w:r>
        <w:rPr>
          <w:snapToGrid w:val="0"/>
        </w:rPr>
        <w:t>.</w:t>
      </w:r>
      <w:r>
        <w:rPr>
          <w:snapToGrid w:val="0"/>
        </w:rPr>
        <w:tab/>
        <w:t>Control of dogs in exercise areas and rural areas</w:t>
      </w:r>
      <w:bookmarkEnd w:id="140"/>
      <w:bookmarkEnd w:id="141"/>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142" w:name="_Toc91053766"/>
      <w:bookmarkStart w:id="143" w:name="_Toc86324209"/>
      <w:r>
        <w:rPr>
          <w:rStyle w:val="CharSectno"/>
        </w:rPr>
        <w:t>33</w:t>
      </w:r>
      <w:r>
        <w:rPr>
          <w:snapToGrid w:val="0"/>
        </w:rPr>
        <w:t>.</w:t>
      </w:r>
      <w:r>
        <w:rPr>
          <w:snapToGrid w:val="0"/>
        </w:rPr>
        <w:tab/>
        <w:t>Special provision for greyhounds</w:t>
      </w:r>
      <w:bookmarkEnd w:id="142"/>
      <w:bookmarkEnd w:id="143"/>
      <w:r>
        <w:rPr>
          <w:snapToGrid w:val="0"/>
        </w:rPr>
        <w:t xml:space="preserve"> </w:t>
      </w:r>
    </w:p>
    <w:p>
      <w:pPr>
        <w:pStyle w:val="Subsection"/>
        <w:rPr>
          <w:del w:id="144" w:author="Master Repository Process" w:date="2021-12-23T10:23:00Z"/>
          <w:snapToGrid w:val="0"/>
        </w:rPr>
      </w:pPr>
      <w:del w:id="145" w:author="Master Repository Process" w:date="2021-12-23T10:23:00Z">
        <w:r>
          <w:rPr>
            <w:snapToGrid w:val="0"/>
          </w:rPr>
          <w:tab/>
          <w:delText>(1)</w:delText>
        </w:r>
        <w:r>
          <w:rPr>
            <w:snapToGrid w:val="0"/>
          </w:rPr>
          <w:tab/>
          <w:delText xml:space="preserve">A greyhound must be muzzled in such a manner as will prevent it from biting a person or animal unless — </w:delText>
        </w:r>
      </w:del>
    </w:p>
    <w:p>
      <w:pPr>
        <w:pStyle w:val="Indenta"/>
        <w:rPr>
          <w:del w:id="146" w:author="Master Repository Process" w:date="2021-12-23T10:23:00Z"/>
          <w:snapToGrid w:val="0"/>
        </w:rPr>
      </w:pPr>
      <w:del w:id="147" w:author="Master Repository Process" w:date="2021-12-23T10:23:00Z">
        <w:r>
          <w:tab/>
          <w:delText>(a)</w:delText>
        </w:r>
        <w:r>
          <w:tab/>
        </w:r>
        <w:r>
          <w:rPr>
            <w:snapToGrid w:val="0"/>
          </w:rPr>
          <w:delText>it is in or at premises occupied by its owner; or</w:delText>
        </w:r>
      </w:del>
    </w:p>
    <w:p>
      <w:pPr>
        <w:pStyle w:val="Indenta"/>
        <w:rPr>
          <w:del w:id="148" w:author="Master Repository Process" w:date="2021-12-23T10:23:00Z"/>
        </w:rPr>
      </w:pPr>
      <w:del w:id="149" w:author="Master Repository Process" w:date="2021-12-23T10:23:00Z">
        <w:r>
          <w:tab/>
          <w:delText>(b)</w:delText>
        </w:r>
        <w:r>
          <w:tab/>
          <w:delText>it has successfully completed a prescribed training programme.</w:delText>
        </w:r>
      </w:del>
    </w:p>
    <w:p>
      <w:pPr>
        <w:pStyle w:val="Ednotesubsection"/>
        <w:rPr>
          <w:ins w:id="150" w:author="Master Repository Process" w:date="2021-12-23T10:23:00Z"/>
        </w:rPr>
      </w:pPr>
      <w:ins w:id="151" w:author="Master Repository Process" w:date="2021-12-23T10:23:00Z">
        <w:r>
          <w:tab/>
          <w:t>[(1)</w:t>
        </w:r>
        <w:r>
          <w:tab/>
          <w:t>deleted]</w:t>
        </w:r>
      </w:ins>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del w:id="152" w:author="Master Repository Process" w:date="2021-12-23T10:23:00Z"/>
          <w:snapToGrid w:val="0"/>
        </w:rPr>
      </w:pPr>
      <w:del w:id="153" w:author="Master Repository Process" w:date="2021-12-23T10:23:00Z">
        <w:r>
          <w:rPr>
            <w:snapToGrid w:val="0"/>
          </w:rPr>
          <w:tab/>
          <w:delText>(3)</w:delText>
        </w:r>
        <w:r>
          <w:rPr>
            <w:snapToGrid w:val="0"/>
          </w:rPr>
          <w:tab/>
          <w:delText xml:space="preserve">If a greyhound is at any time not muzzled as required by subsection (1) every person liable for the control of the dog at that time commits an offence </w:delText>
        </w:r>
        <w:r>
          <w:delText>unless the person</w:delText>
        </w:r>
        <w:r>
          <w:rPr>
            <w:snapToGrid w:val="0"/>
          </w:rPr>
          <w:delText xml:space="preserve"> establishes a defence under section 33B.</w:delText>
        </w:r>
      </w:del>
    </w:p>
    <w:p>
      <w:pPr>
        <w:pStyle w:val="Penstart"/>
        <w:rPr>
          <w:del w:id="154" w:author="Master Repository Process" w:date="2021-12-23T10:23:00Z"/>
        </w:rPr>
      </w:pPr>
      <w:del w:id="155" w:author="Master Repository Process" w:date="2021-12-23T10:23:00Z">
        <w:r>
          <w:tab/>
          <w:delText>Penalty: a fine of $5 000.</w:delText>
        </w:r>
      </w:del>
    </w:p>
    <w:p>
      <w:pPr>
        <w:pStyle w:val="Ednotesubsection"/>
        <w:rPr>
          <w:ins w:id="156" w:author="Master Repository Process" w:date="2021-12-23T10:23:00Z"/>
        </w:rPr>
      </w:pPr>
      <w:ins w:id="157" w:author="Master Repository Process" w:date="2021-12-23T10:23:00Z">
        <w:r>
          <w:tab/>
          <w:t>[(3)</w:t>
        </w:r>
        <w:r>
          <w:tab/>
          <w:t>deleted]</w:t>
        </w:r>
      </w:ins>
    </w:p>
    <w:p>
      <w:pPr>
        <w:pStyle w:val="Subsection"/>
      </w:pPr>
      <w:r>
        <w:tab/>
        <w:t>(4)</w:t>
      </w:r>
      <w:r>
        <w:tab/>
        <w:t>This section does not apply to a dangerous dog.</w:t>
      </w:r>
    </w:p>
    <w:p>
      <w:pPr>
        <w:pStyle w:val="Footnotesection"/>
        <w:ind w:left="890" w:hanging="890"/>
      </w:pPr>
      <w:r>
        <w:tab/>
        <w:t>[Section 33 inserted: No. 23 of 1987 s. 27; amended: No. 24 of 1996 s. 16; No. 23 of 1998 s. 20; No. 35 of 2003 s. 220(3); No. 18 of 2013 s. </w:t>
      </w:r>
      <w:del w:id="158" w:author="Master Repository Process" w:date="2021-12-23T10:23:00Z">
        <w:r>
          <w:delText>30</w:delText>
        </w:r>
      </w:del>
      <w:ins w:id="159" w:author="Master Repository Process" w:date="2021-12-23T10:23:00Z">
        <w:r>
          <w:t>30; No. 29 of 2021 s. 4</w:t>
        </w:r>
      </w:ins>
      <w:r>
        <w:t xml:space="preserve">.] </w:t>
      </w:r>
    </w:p>
    <w:p>
      <w:pPr>
        <w:pStyle w:val="Heading5"/>
        <w:spacing w:before="260"/>
        <w:rPr>
          <w:snapToGrid w:val="0"/>
        </w:rPr>
      </w:pPr>
      <w:bookmarkStart w:id="160" w:name="_Toc91053767"/>
      <w:bookmarkStart w:id="161" w:name="_Toc86324210"/>
      <w:r>
        <w:rPr>
          <w:rStyle w:val="CharSectno"/>
        </w:rPr>
        <w:t>33A</w:t>
      </w:r>
      <w:r>
        <w:rPr>
          <w:snapToGrid w:val="0"/>
        </w:rPr>
        <w:t>.</w:t>
      </w:r>
      <w:r>
        <w:rPr>
          <w:snapToGrid w:val="0"/>
        </w:rPr>
        <w:tab/>
        <w:t>Control of dogs in places that are not public</w:t>
      </w:r>
      <w:bookmarkEnd w:id="160"/>
      <w:bookmarkEnd w:id="161"/>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keepNext/>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keepNex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No. 23 of 1987 s. 27; amended: No. 24 of 1996 s. 16; No. 18 of 2013 s. 31.] </w:t>
      </w:r>
    </w:p>
    <w:p>
      <w:pPr>
        <w:pStyle w:val="Heading5"/>
        <w:rPr>
          <w:snapToGrid w:val="0"/>
        </w:rPr>
      </w:pPr>
      <w:bookmarkStart w:id="162" w:name="_Toc91053768"/>
      <w:bookmarkStart w:id="163" w:name="_Toc86324211"/>
      <w:r>
        <w:rPr>
          <w:rStyle w:val="CharSectno"/>
        </w:rPr>
        <w:t>33B</w:t>
      </w:r>
      <w:r>
        <w:rPr>
          <w:snapToGrid w:val="0"/>
        </w:rPr>
        <w:t>.</w:t>
      </w:r>
      <w:r>
        <w:rPr>
          <w:snapToGrid w:val="0"/>
        </w:rPr>
        <w:tab/>
        <w:t>Defences applicable to offences under this Division</w:t>
      </w:r>
      <w:bookmarkEnd w:id="162"/>
      <w:bookmarkEnd w:id="163"/>
    </w:p>
    <w:p>
      <w:pPr>
        <w:pStyle w:val="Subsection"/>
        <w:rPr>
          <w:snapToGrid w:val="0"/>
        </w:rPr>
      </w:pPr>
      <w:r>
        <w:rPr>
          <w:snapToGrid w:val="0"/>
        </w:rPr>
        <w:tab/>
      </w:r>
      <w:r>
        <w:rPr>
          <w:snapToGrid w:val="0"/>
        </w:rPr>
        <w:tab/>
        <w:t xml:space="preserve">It is a defence to a charge of an offence under section 30(2), 31(3), </w:t>
      </w:r>
      <w:r>
        <w:t>32(4</w:t>
      </w:r>
      <w:del w:id="164" w:author="Master Repository Process" w:date="2021-12-23T10:23:00Z">
        <w:r>
          <w:rPr>
            <w:snapToGrid w:val="0"/>
          </w:rPr>
          <w:delText>), 33(3</w:delText>
        </w:r>
      </w:del>
      <w:r>
        <w:t xml:space="preserve">) </w:t>
      </w:r>
      <w:r>
        <w:rPr>
          <w:snapToGrid w:val="0"/>
        </w:rPr>
        <w:t>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[Section 33B inserted: No. 23 of 1987 s. 27; amended: No. 18 of 2013 s. </w:t>
      </w:r>
      <w:del w:id="165" w:author="Master Repository Process" w:date="2021-12-23T10:23:00Z">
        <w:r>
          <w:delText>32</w:delText>
        </w:r>
      </w:del>
      <w:ins w:id="166" w:author="Master Repository Process" w:date="2021-12-23T10:23:00Z">
        <w:r>
          <w:t>32; No. 29 of 2021 s. 5</w:t>
        </w:r>
      </w:ins>
      <w:r>
        <w:t xml:space="preserve">.] </w:t>
      </w:r>
    </w:p>
    <w:p>
      <w:pPr>
        <w:pStyle w:val="Heading5"/>
        <w:keepLines w:val="0"/>
        <w:rPr>
          <w:snapToGrid w:val="0"/>
        </w:rPr>
      </w:pPr>
      <w:bookmarkStart w:id="167" w:name="_Toc91053769"/>
      <w:bookmarkStart w:id="168" w:name="_Toc86324212"/>
      <w:r>
        <w:rPr>
          <w:rStyle w:val="CharSectno"/>
        </w:rPr>
        <w:t>33C</w:t>
      </w:r>
      <w:r>
        <w:rPr>
          <w:snapToGrid w:val="0"/>
        </w:rPr>
        <w:t>.</w:t>
      </w:r>
      <w:r>
        <w:rPr>
          <w:snapToGrid w:val="0"/>
        </w:rPr>
        <w:tab/>
        <w:t>Saving</w:t>
      </w:r>
      <w:bookmarkEnd w:id="167"/>
      <w:bookmarkEnd w:id="168"/>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169" w:name="_Toc91053770"/>
      <w:bookmarkStart w:id="170" w:name="_Toc86324213"/>
      <w:r>
        <w:rPr>
          <w:rStyle w:val="CharSectno"/>
        </w:rPr>
        <w:t>33D</w:t>
      </w:r>
      <w:r>
        <w:rPr>
          <w:snapToGrid w:val="0"/>
        </w:rPr>
        <w:t>.</w:t>
      </w:r>
      <w:r>
        <w:rPr>
          <w:snapToGrid w:val="0"/>
        </w:rPr>
        <w:tab/>
        <w:t>Dog attacks etc.</w:t>
      </w:r>
      <w:bookmarkEnd w:id="169"/>
      <w:bookmarkEnd w:id="170"/>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171" w:name="_Toc90978005"/>
      <w:bookmarkStart w:id="172" w:name="_Toc90979025"/>
      <w:bookmarkStart w:id="173" w:name="_Toc91053771"/>
      <w:bookmarkStart w:id="174" w:name="_Toc86314460"/>
      <w:bookmarkStart w:id="175" w:name="_Toc86314718"/>
      <w:bookmarkStart w:id="176" w:name="_Toc86324214"/>
      <w:r>
        <w:rPr>
          <w:rStyle w:val="CharDivNo"/>
        </w:rPr>
        <w:t>Division 2</w:t>
      </w:r>
      <w:r>
        <w:rPr>
          <w:snapToGrid w:val="0"/>
        </w:rPr>
        <w:t> — </w:t>
      </w:r>
      <w:r>
        <w:rPr>
          <w:rStyle w:val="CharDivText"/>
        </w:rPr>
        <w:t>Dangerous dogs</w:t>
      </w:r>
      <w:bookmarkEnd w:id="171"/>
      <w:bookmarkEnd w:id="172"/>
      <w:bookmarkEnd w:id="173"/>
      <w:bookmarkEnd w:id="174"/>
      <w:bookmarkEnd w:id="175"/>
      <w:bookmarkEnd w:id="176"/>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177" w:name="_Toc91053772"/>
      <w:bookmarkStart w:id="178" w:name="_Toc86324215"/>
      <w:r>
        <w:rPr>
          <w:rStyle w:val="CharSectno"/>
        </w:rPr>
        <w:t>33E</w:t>
      </w:r>
      <w:r>
        <w:rPr>
          <w:snapToGrid w:val="0"/>
        </w:rPr>
        <w:t>.</w:t>
      </w:r>
      <w:r>
        <w:rPr>
          <w:snapToGrid w:val="0"/>
        </w:rPr>
        <w:tab/>
        <w:t>Individual dog may be declared to be dangerous dog (declared)</w:t>
      </w:r>
      <w:bookmarkEnd w:id="177"/>
      <w:bookmarkEnd w:id="178"/>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179" w:name="_Toc91053773"/>
      <w:bookmarkStart w:id="180" w:name="_Toc86324216"/>
      <w:r>
        <w:rPr>
          <w:rStyle w:val="CharSectno"/>
        </w:rPr>
        <w:t>33F</w:t>
      </w:r>
      <w:r>
        <w:rPr>
          <w:snapToGrid w:val="0"/>
        </w:rPr>
        <w:t>.</w:t>
      </w:r>
      <w:r>
        <w:rPr>
          <w:snapToGrid w:val="0"/>
        </w:rPr>
        <w:tab/>
        <w:t>Owner to be notified of making of declaration</w:t>
      </w:r>
      <w:bookmarkEnd w:id="179"/>
      <w:bookmarkEnd w:id="180"/>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181" w:name="_Toc91053774"/>
      <w:bookmarkStart w:id="182" w:name="_Toc86324217"/>
      <w:r>
        <w:rPr>
          <w:rStyle w:val="CharSectno"/>
        </w:rPr>
        <w:t>33GA</w:t>
      </w:r>
      <w:r>
        <w:t>.</w:t>
      </w:r>
      <w:r>
        <w:tab/>
        <w:t>Offences relating to dangerous dogs</w:t>
      </w:r>
      <w:bookmarkEnd w:id="181"/>
      <w:bookmarkEnd w:id="182"/>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183" w:name="_Toc91053775"/>
      <w:bookmarkStart w:id="184" w:name="_Toc86324218"/>
      <w:r>
        <w:rPr>
          <w:rStyle w:val="CharSectno"/>
        </w:rPr>
        <w:t>33GB</w:t>
      </w:r>
      <w:r>
        <w:t>.</w:t>
      </w:r>
      <w:r>
        <w:tab/>
        <w:t>Dangerous dogs (restricted breed) to be sterilised</w:t>
      </w:r>
      <w:bookmarkEnd w:id="183"/>
      <w:bookmarkEnd w:id="184"/>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185" w:name="_Toc91053776"/>
      <w:bookmarkStart w:id="186" w:name="_Toc86324219"/>
      <w:r>
        <w:rPr>
          <w:rStyle w:val="CharSectno"/>
        </w:rPr>
        <w:t>33GC</w:t>
      </w:r>
      <w:r>
        <w:t>.</w:t>
      </w:r>
      <w:r>
        <w:tab/>
        <w:t>Restrictions on transferring ownership of dangerous dogs (restricted breed)</w:t>
      </w:r>
      <w:bookmarkEnd w:id="185"/>
      <w:bookmarkEnd w:id="186"/>
    </w:p>
    <w:p>
      <w:pPr>
        <w:pStyle w:val="Subsection"/>
        <w:keepNext/>
      </w:pPr>
      <w:r>
        <w:tab/>
        <w:t>(1)</w:t>
      </w:r>
      <w:r>
        <w:tab/>
        <w:t xml:space="preserve">In this section — </w:t>
      </w:r>
    </w:p>
    <w:p>
      <w:pPr>
        <w:pStyle w:val="Defstart"/>
        <w:keepNex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187" w:name="_Toc91053777"/>
      <w:bookmarkStart w:id="188" w:name="_Toc86324220"/>
      <w:r>
        <w:rPr>
          <w:rStyle w:val="CharSectno"/>
        </w:rPr>
        <w:t>33GD</w:t>
      </w:r>
      <w:r>
        <w:t>.</w:t>
      </w:r>
      <w:r>
        <w:tab/>
        <w:t>Dangerous dogs (restricted breed) not to be bred</w:t>
      </w:r>
      <w:bookmarkEnd w:id="187"/>
      <w:bookmarkEnd w:id="188"/>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189" w:name="_Toc91053778"/>
      <w:bookmarkStart w:id="190" w:name="_Toc86324221"/>
      <w:r>
        <w:rPr>
          <w:rStyle w:val="CharSectno"/>
        </w:rPr>
        <w:t>33GE</w:t>
      </w:r>
      <w:r>
        <w:t>.</w:t>
      </w:r>
      <w:r>
        <w:tab/>
        <w:t>Prohibition on transfer of ownership of dangerous dogs (declared) to persons under 18</w:t>
      </w:r>
      <w:bookmarkEnd w:id="189"/>
      <w:bookmarkEnd w:id="190"/>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keepNext/>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191" w:name="_Toc91053779"/>
      <w:bookmarkStart w:id="192" w:name="_Toc86324222"/>
      <w:r>
        <w:rPr>
          <w:rStyle w:val="CharSectno"/>
        </w:rPr>
        <w:t>33G</w:t>
      </w:r>
      <w:r>
        <w:rPr>
          <w:snapToGrid w:val="0"/>
        </w:rPr>
        <w:t>.</w:t>
      </w:r>
      <w:r>
        <w:rPr>
          <w:snapToGrid w:val="0"/>
        </w:rPr>
        <w:tab/>
        <w:t>Seizure and destruction</w:t>
      </w:r>
      <w:bookmarkEnd w:id="191"/>
      <w:bookmarkEnd w:id="192"/>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keepLines/>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keepNext/>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keepNext/>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No. 24 of 1996 s. 10; amended: No. 10 of 1998 s. 29(1); No. 55 of 2004 s. 261 and 268; No. 8 of 2009 s. 47(2); No. 18 of 2013 s. 37.] </w:t>
      </w:r>
    </w:p>
    <w:p>
      <w:pPr>
        <w:pStyle w:val="Heading5"/>
        <w:rPr>
          <w:snapToGrid w:val="0"/>
        </w:rPr>
      </w:pPr>
      <w:bookmarkStart w:id="193" w:name="_Toc91053780"/>
      <w:bookmarkStart w:id="194" w:name="_Toc86324223"/>
      <w:r>
        <w:rPr>
          <w:rStyle w:val="CharSectno"/>
        </w:rPr>
        <w:t>33H</w:t>
      </w:r>
      <w:r>
        <w:rPr>
          <w:snapToGrid w:val="0"/>
        </w:rPr>
        <w:t>.</w:t>
      </w:r>
      <w:r>
        <w:rPr>
          <w:snapToGrid w:val="0"/>
        </w:rPr>
        <w:tab/>
        <w:t>Local government may revoke declaration or proposal to destroy</w:t>
      </w:r>
      <w:bookmarkEnd w:id="193"/>
      <w:bookmarkEnd w:id="194"/>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keepNext/>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keepNext w:val="0"/>
        <w:keepLines w:val="0"/>
        <w:spacing w:before="240"/>
        <w:rPr>
          <w:snapToGrid w:val="0"/>
        </w:rPr>
      </w:pPr>
      <w:bookmarkStart w:id="195" w:name="_Toc91053781"/>
      <w:bookmarkStart w:id="196" w:name="_Toc86324224"/>
      <w:r>
        <w:rPr>
          <w:rStyle w:val="CharSectno"/>
        </w:rPr>
        <w:t>33I</w:t>
      </w:r>
      <w:r>
        <w:rPr>
          <w:snapToGrid w:val="0"/>
        </w:rPr>
        <w:t>.</w:t>
      </w:r>
      <w:r>
        <w:rPr>
          <w:snapToGrid w:val="0"/>
        </w:rPr>
        <w:tab/>
        <w:t>Jurisdiction of State Administrative Tribunal</w:t>
      </w:r>
      <w:bookmarkEnd w:id="195"/>
      <w:bookmarkEnd w:id="196"/>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197" w:name="_Toc91053782"/>
      <w:bookmarkStart w:id="198" w:name="_Toc86324225"/>
      <w:r>
        <w:rPr>
          <w:rStyle w:val="CharSectno"/>
        </w:rPr>
        <w:t>33J</w:t>
      </w:r>
      <w:r>
        <w:rPr>
          <w:snapToGrid w:val="0"/>
        </w:rPr>
        <w:t>.</w:t>
      </w:r>
      <w:r>
        <w:rPr>
          <w:snapToGrid w:val="0"/>
        </w:rPr>
        <w:tab/>
        <w:t>Duration of declaration</w:t>
      </w:r>
      <w:bookmarkEnd w:id="197"/>
      <w:bookmarkEnd w:id="198"/>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199" w:name="_Toc91053783"/>
      <w:bookmarkStart w:id="200" w:name="_Toc86324226"/>
      <w:r>
        <w:rPr>
          <w:rStyle w:val="CharSectno"/>
        </w:rPr>
        <w:t>33K</w:t>
      </w:r>
      <w:r>
        <w:rPr>
          <w:snapToGrid w:val="0"/>
        </w:rPr>
        <w:t>.</w:t>
      </w:r>
      <w:r>
        <w:rPr>
          <w:snapToGrid w:val="0"/>
        </w:rPr>
        <w:tab/>
        <w:t>Duty to notify persons</w:t>
      </w:r>
      <w:bookmarkEnd w:id="199"/>
      <w:bookmarkEnd w:id="200"/>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201" w:name="_Toc91053784"/>
      <w:bookmarkStart w:id="202" w:name="_Toc86324227"/>
      <w:r>
        <w:rPr>
          <w:rStyle w:val="CharSectno"/>
        </w:rPr>
        <w:t>33L</w:t>
      </w:r>
      <w:r>
        <w:t>.</w:t>
      </w:r>
      <w:r>
        <w:tab/>
        <w:t>Defences applicable to this Division</w:t>
      </w:r>
      <w:bookmarkEnd w:id="201"/>
      <w:bookmarkEnd w:id="202"/>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203" w:name="_Toc91053785"/>
      <w:bookmarkStart w:id="204" w:name="_Toc86324228"/>
      <w:r>
        <w:rPr>
          <w:rStyle w:val="CharSectno"/>
        </w:rPr>
        <w:t>33M</w:t>
      </w:r>
      <w:r>
        <w:rPr>
          <w:snapToGrid w:val="0"/>
        </w:rPr>
        <w:t>.</w:t>
      </w:r>
      <w:r>
        <w:rPr>
          <w:snapToGrid w:val="0"/>
        </w:rPr>
        <w:tab/>
        <w:t>Local government expenses to be recoverable</w:t>
      </w:r>
      <w:bookmarkEnd w:id="203"/>
      <w:bookmarkEnd w:id="204"/>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widowControl w:val="0"/>
        <w:rPr>
          <w:snapToGrid w:val="0"/>
          <w:sz w:val="24"/>
        </w:rPr>
      </w:pPr>
      <w:bookmarkStart w:id="205" w:name="_Toc90978020"/>
      <w:bookmarkStart w:id="206" w:name="_Toc90979040"/>
      <w:bookmarkStart w:id="207" w:name="_Toc91053786"/>
      <w:bookmarkStart w:id="208" w:name="_Toc86314475"/>
      <w:bookmarkStart w:id="209" w:name="_Toc86314733"/>
      <w:bookmarkStart w:id="210" w:name="_Toc86324229"/>
      <w:r>
        <w:rPr>
          <w:rStyle w:val="CharDivNo"/>
        </w:rPr>
        <w:t>Division 3</w:t>
      </w:r>
      <w:r>
        <w:rPr>
          <w:snapToGrid w:val="0"/>
        </w:rPr>
        <w:t> — </w:t>
      </w:r>
      <w:r>
        <w:rPr>
          <w:rStyle w:val="CharDivText"/>
        </w:rPr>
        <w:t>Protection of stock; vermin disease and parasite control</w:t>
      </w:r>
      <w:bookmarkEnd w:id="205"/>
      <w:bookmarkEnd w:id="206"/>
      <w:bookmarkEnd w:id="207"/>
      <w:bookmarkEnd w:id="208"/>
      <w:bookmarkEnd w:id="209"/>
      <w:bookmarkEnd w:id="210"/>
      <w:r>
        <w:rPr>
          <w:rStyle w:val="CharDivText"/>
        </w:rPr>
        <w:t xml:space="preserve"> </w:t>
      </w:r>
    </w:p>
    <w:p>
      <w:pPr>
        <w:pStyle w:val="Footnoteheading"/>
        <w:keepNext/>
        <w:ind w:left="890"/>
        <w:rPr>
          <w:snapToGrid w:val="0"/>
        </w:rPr>
      </w:pPr>
      <w:r>
        <w:rPr>
          <w:snapToGrid w:val="0"/>
        </w:rPr>
        <w:tab/>
        <w:t xml:space="preserve">[Heading inserted: No. 24 of 1996 s. 11.] </w:t>
      </w:r>
    </w:p>
    <w:p>
      <w:pPr>
        <w:pStyle w:val="Heading5"/>
        <w:spacing w:before="240"/>
        <w:rPr>
          <w:snapToGrid w:val="0"/>
        </w:rPr>
      </w:pPr>
      <w:bookmarkStart w:id="211" w:name="_Toc91053787"/>
      <w:bookmarkStart w:id="212" w:name="_Toc86324230"/>
      <w:r>
        <w:rPr>
          <w:rStyle w:val="CharSectno"/>
        </w:rPr>
        <w:t>34</w:t>
      </w:r>
      <w:r>
        <w:rPr>
          <w:snapToGrid w:val="0"/>
        </w:rPr>
        <w:t>.</w:t>
      </w:r>
      <w:r>
        <w:rPr>
          <w:snapToGrid w:val="0"/>
        </w:rPr>
        <w:tab/>
        <w:t>Protection of livestock</w:t>
      </w:r>
      <w:bookmarkEnd w:id="211"/>
      <w:bookmarkEnd w:id="212"/>
      <w:r>
        <w:rPr>
          <w:snapToGrid w:val="0"/>
        </w:rPr>
        <w:t xml:space="preserve"> </w:t>
      </w:r>
    </w:p>
    <w:p>
      <w:pPr>
        <w:pStyle w:val="Subsection"/>
        <w:keepNext/>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213" w:name="_Toc91053788"/>
      <w:bookmarkStart w:id="214" w:name="_Toc86324231"/>
      <w:r>
        <w:rPr>
          <w:rStyle w:val="CharSectno"/>
        </w:rPr>
        <w:t>35</w:t>
      </w:r>
      <w:r>
        <w:rPr>
          <w:snapToGrid w:val="0"/>
        </w:rPr>
        <w:t>.</w:t>
      </w:r>
      <w:r>
        <w:rPr>
          <w:snapToGrid w:val="0"/>
        </w:rPr>
        <w:tab/>
        <w:t>Destruction of vermin etc.</w:t>
      </w:r>
      <w:bookmarkEnd w:id="213"/>
      <w:bookmarkEnd w:id="214"/>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215" w:name="_Toc90978023"/>
      <w:bookmarkStart w:id="216" w:name="_Toc90979043"/>
      <w:bookmarkStart w:id="217" w:name="_Toc91053789"/>
      <w:bookmarkStart w:id="218" w:name="_Toc86314478"/>
      <w:bookmarkStart w:id="219" w:name="_Toc86314736"/>
      <w:bookmarkStart w:id="220" w:name="_Toc86324232"/>
      <w:r>
        <w:rPr>
          <w:rStyle w:val="CharDivNo"/>
        </w:rPr>
        <w:t>Division 4</w:t>
      </w:r>
      <w:r>
        <w:rPr>
          <w:snapToGrid w:val="0"/>
        </w:rPr>
        <w:t> — </w:t>
      </w:r>
      <w:r>
        <w:rPr>
          <w:rStyle w:val="CharDivText"/>
        </w:rPr>
        <w:t>Control of nuisance</w:t>
      </w:r>
      <w:bookmarkEnd w:id="215"/>
      <w:bookmarkEnd w:id="216"/>
      <w:bookmarkEnd w:id="217"/>
      <w:bookmarkEnd w:id="218"/>
      <w:bookmarkEnd w:id="219"/>
      <w:bookmarkEnd w:id="220"/>
      <w:r>
        <w:rPr>
          <w:rStyle w:val="CharDivText"/>
        </w:rPr>
        <w:t xml:space="preserve"> </w:t>
      </w:r>
    </w:p>
    <w:p>
      <w:pPr>
        <w:pStyle w:val="Footnoteheading"/>
        <w:keepNext/>
        <w:keepLines/>
        <w:ind w:left="890"/>
        <w:rPr>
          <w:snapToGrid w:val="0"/>
        </w:rPr>
      </w:pPr>
      <w:r>
        <w:rPr>
          <w:snapToGrid w:val="0"/>
        </w:rPr>
        <w:tab/>
        <w:t xml:space="preserve">[Heading inserted: No. 24 of 1996 s. 11.] </w:t>
      </w:r>
    </w:p>
    <w:p>
      <w:pPr>
        <w:pStyle w:val="Heading5"/>
      </w:pPr>
      <w:bookmarkStart w:id="221" w:name="_Toc91053790"/>
      <w:bookmarkStart w:id="222" w:name="_Toc86324233"/>
      <w:r>
        <w:rPr>
          <w:rStyle w:val="CharSectno"/>
        </w:rPr>
        <w:t>38</w:t>
      </w:r>
      <w:r>
        <w:t>.</w:t>
      </w:r>
      <w:r>
        <w:tab/>
        <w:t>Nuisance dogs</w:t>
      </w:r>
      <w:bookmarkEnd w:id="221"/>
      <w:bookmarkEnd w:id="222"/>
    </w:p>
    <w:p>
      <w:pPr>
        <w:pStyle w:val="Subsection"/>
        <w:keepNext/>
        <w:keepLines/>
      </w:pPr>
      <w:r>
        <w:tab/>
        <w:t>(1)</w:t>
      </w:r>
      <w:r>
        <w:tab/>
        <w:t xml:space="preserve">For the purposes of this section, a dog is a nuisance if the dog — </w:t>
      </w:r>
    </w:p>
    <w:p>
      <w:pPr>
        <w:pStyle w:val="Indenta"/>
        <w:keepNext/>
        <w:keepLines/>
      </w:pPr>
      <w:r>
        <w:tab/>
        <w:t>(a)</w:t>
      </w:r>
      <w:r>
        <w:tab/>
        <w:t>makes a noise, by barking or otherwise, that persistently occurs or continues to such a degree or extent that it unreasonably interferes with the peace, comfort or convenience of any person in any place; or</w:t>
      </w:r>
    </w:p>
    <w:p>
      <w:pPr>
        <w:pStyle w:val="Indenta"/>
        <w:keepNext/>
        <w:keepLines/>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keepNext/>
      </w:pPr>
      <w:r>
        <w:tab/>
        <w:t>(5)</w:t>
      </w:r>
      <w:r>
        <w:tab/>
        <w:t>A person to whom an order is issued must comply with the order during the period in which it has effect.</w:t>
      </w:r>
    </w:p>
    <w:p>
      <w:pPr>
        <w:pStyle w:val="Penstart"/>
        <w:keepNext/>
      </w:pPr>
      <w:r>
        <w:tab/>
        <w:t>Penalty:</w:t>
      </w:r>
    </w:p>
    <w:p>
      <w:pPr>
        <w:pStyle w:val="Penpara"/>
        <w:keepNext/>
      </w:pPr>
      <w:r>
        <w:tab/>
        <w:t>(a)</w:t>
      </w:r>
      <w:r>
        <w:tab/>
        <w:t xml:space="preserve">for an offence relating to a dangerous dog — </w:t>
      </w:r>
    </w:p>
    <w:p>
      <w:pPr>
        <w:pStyle w:val="Pensubpara"/>
        <w:keepNext/>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223" w:name="_Toc90978025"/>
      <w:bookmarkStart w:id="224" w:name="_Toc90979045"/>
      <w:bookmarkStart w:id="225" w:name="_Toc91053791"/>
      <w:bookmarkStart w:id="226" w:name="_Toc86314480"/>
      <w:bookmarkStart w:id="227" w:name="_Toc86314738"/>
      <w:bookmarkStart w:id="228" w:name="_Toc86324234"/>
      <w:r>
        <w:rPr>
          <w:rStyle w:val="CharPartNo"/>
        </w:rPr>
        <w:t>Part VII</w:t>
      </w:r>
      <w:r>
        <w:rPr>
          <w:rStyle w:val="CharDivNo"/>
        </w:rPr>
        <w:t> </w:t>
      </w:r>
      <w:r>
        <w:t>—</w:t>
      </w:r>
      <w:r>
        <w:rPr>
          <w:rStyle w:val="CharDivText"/>
        </w:rPr>
        <w:t> </w:t>
      </w:r>
      <w:r>
        <w:rPr>
          <w:rStyle w:val="CharPartText"/>
        </w:rPr>
        <w:t>Enforcement</w:t>
      </w:r>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91053792"/>
      <w:bookmarkStart w:id="230" w:name="_Toc86324235"/>
      <w:r>
        <w:rPr>
          <w:rStyle w:val="CharSectno"/>
        </w:rPr>
        <w:t>39</w:t>
      </w:r>
      <w:r>
        <w:rPr>
          <w:snapToGrid w:val="0"/>
        </w:rPr>
        <w:t>.</w:t>
      </w:r>
      <w:r>
        <w:rPr>
          <w:snapToGrid w:val="0"/>
        </w:rPr>
        <w:tab/>
        <w:t>Dogs causing injury or damage may be destroyed</w:t>
      </w:r>
      <w:bookmarkEnd w:id="229"/>
      <w:bookmarkEnd w:id="230"/>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231" w:name="_Toc91053793"/>
      <w:bookmarkStart w:id="232" w:name="_Toc86324236"/>
      <w:r>
        <w:rPr>
          <w:rStyle w:val="CharSectno"/>
        </w:rPr>
        <w:t>40</w:t>
      </w:r>
      <w:r>
        <w:rPr>
          <w:snapToGrid w:val="0"/>
        </w:rPr>
        <w:t>.</w:t>
      </w:r>
      <w:r>
        <w:rPr>
          <w:snapToGrid w:val="0"/>
        </w:rPr>
        <w:tab/>
        <w:t>Destruction of dogs etc.</w:t>
      </w:r>
      <w:bookmarkEnd w:id="231"/>
      <w:bookmarkEnd w:id="232"/>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233" w:name="_Toc91053794"/>
      <w:bookmarkStart w:id="234" w:name="_Toc86324237"/>
      <w:r>
        <w:rPr>
          <w:rStyle w:val="CharSectno"/>
        </w:rPr>
        <w:t>41</w:t>
      </w:r>
      <w:r>
        <w:rPr>
          <w:snapToGrid w:val="0"/>
        </w:rPr>
        <w:t>.</w:t>
      </w:r>
      <w:r>
        <w:rPr>
          <w:snapToGrid w:val="0"/>
        </w:rPr>
        <w:tab/>
        <w:t>Indemnity as to destruction of dogs</w:t>
      </w:r>
      <w:bookmarkEnd w:id="233"/>
      <w:bookmarkEnd w:id="234"/>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235" w:name="_Toc91053795"/>
      <w:bookmarkStart w:id="236" w:name="_Toc86324238"/>
      <w:r>
        <w:rPr>
          <w:rStyle w:val="CharSectno"/>
        </w:rPr>
        <w:t>43</w:t>
      </w:r>
      <w:r>
        <w:rPr>
          <w:snapToGrid w:val="0"/>
        </w:rPr>
        <w:t>.</w:t>
      </w:r>
      <w:r>
        <w:rPr>
          <w:snapToGrid w:val="0"/>
        </w:rPr>
        <w:tab/>
        <w:t>Offences relating to enforcement etc.</w:t>
      </w:r>
      <w:bookmarkEnd w:id="235"/>
      <w:bookmarkEnd w:id="236"/>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keepLines/>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keepLines/>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237" w:name="_Toc91053796"/>
      <w:bookmarkStart w:id="238" w:name="_Toc86324239"/>
      <w:r>
        <w:rPr>
          <w:rStyle w:val="CharSectno"/>
        </w:rPr>
        <w:t>43A</w:t>
      </w:r>
      <w:r>
        <w:rPr>
          <w:snapToGrid w:val="0"/>
        </w:rPr>
        <w:t>.</w:t>
      </w:r>
      <w:r>
        <w:rPr>
          <w:snapToGrid w:val="0"/>
        </w:rPr>
        <w:tab/>
        <w:t>Name and address to be supplied</w:t>
      </w:r>
      <w:bookmarkEnd w:id="237"/>
      <w:bookmarkEnd w:id="238"/>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keepNext/>
      </w:pPr>
      <w:r>
        <w:tab/>
        <w:t>(b)</w:t>
      </w:r>
      <w:r>
        <w:tab/>
        <w:t>for an offence relating to a dog other than a dangerous dog, a fine of $5 000.</w:t>
      </w:r>
    </w:p>
    <w:p>
      <w:pPr>
        <w:pStyle w:val="Footnotesection"/>
        <w:keepNext/>
        <w:spacing w:before="100"/>
        <w:ind w:left="890" w:hanging="890"/>
      </w:pPr>
      <w:r>
        <w:tab/>
        <w:t xml:space="preserve">[Section 43A inserted: No. 23 of 1987 s. 35; amended: No. 24 of 1996 s. 16; No. 18 of 2013 s. 49.] </w:t>
      </w:r>
    </w:p>
    <w:p>
      <w:pPr>
        <w:pStyle w:val="Heading5"/>
        <w:spacing w:before="200"/>
        <w:rPr>
          <w:snapToGrid w:val="0"/>
        </w:rPr>
      </w:pPr>
      <w:bookmarkStart w:id="239" w:name="_Toc91053797"/>
      <w:bookmarkStart w:id="240" w:name="_Toc86324240"/>
      <w:r>
        <w:rPr>
          <w:rStyle w:val="CharSectno"/>
        </w:rPr>
        <w:t>44</w:t>
      </w:r>
      <w:r>
        <w:rPr>
          <w:snapToGrid w:val="0"/>
        </w:rPr>
        <w:t>.</w:t>
      </w:r>
      <w:r>
        <w:rPr>
          <w:snapToGrid w:val="0"/>
        </w:rPr>
        <w:tab/>
        <w:t>Enforcement proceedings</w:t>
      </w:r>
      <w:bookmarkEnd w:id="239"/>
      <w:bookmarkEnd w:id="240"/>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Lines w:val="0"/>
        <w:widowControl w:val="0"/>
        <w:rPr>
          <w:snapToGrid w:val="0"/>
        </w:rPr>
      </w:pPr>
      <w:bookmarkStart w:id="241" w:name="_Toc91053798"/>
      <w:bookmarkStart w:id="242" w:name="_Toc86324241"/>
      <w:r>
        <w:rPr>
          <w:rStyle w:val="CharSectno"/>
        </w:rPr>
        <w:t>45</w:t>
      </w:r>
      <w:r>
        <w:rPr>
          <w:snapToGrid w:val="0"/>
        </w:rPr>
        <w:t>.</w:t>
      </w:r>
      <w:r>
        <w:rPr>
          <w:snapToGrid w:val="0"/>
        </w:rPr>
        <w:tab/>
        <w:t>Evidentiary provisions</w:t>
      </w:r>
      <w:bookmarkEnd w:id="241"/>
      <w:bookmarkEnd w:id="242"/>
      <w:r>
        <w:rPr>
          <w:snapToGrid w:val="0"/>
        </w:rPr>
        <w:t xml:space="preserve"> </w:t>
      </w:r>
    </w:p>
    <w:p>
      <w:pPr>
        <w:pStyle w:val="Subsection"/>
        <w:keepNext/>
      </w:pPr>
      <w:r>
        <w:tab/>
        <w:t>(1)</w:t>
      </w:r>
      <w:r>
        <w:tab/>
        <w:t xml:space="preserve">In any proceeding for an offence against this Act in relation to a specified dog — </w:t>
      </w:r>
    </w:p>
    <w:p>
      <w:pPr>
        <w:pStyle w:val="Indenta"/>
        <w:keepNext/>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243" w:name="_Toc91053799"/>
      <w:bookmarkStart w:id="244" w:name="_Toc86324242"/>
      <w:r>
        <w:rPr>
          <w:rStyle w:val="CharSectno"/>
        </w:rPr>
        <w:t>45A</w:t>
      </w:r>
      <w:r>
        <w:rPr>
          <w:snapToGrid w:val="0"/>
        </w:rPr>
        <w:t>.</w:t>
      </w:r>
      <w:r>
        <w:rPr>
          <w:snapToGrid w:val="0"/>
        </w:rPr>
        <w:tab/>
        <w:t>Modified penalties</w:t>
      </w:r>
      <w:bookmarkEnd w:id="243"/>
      <w:bookmarkEnd w:id="244"/>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245" w:name="_Toc91053800"/>
      <w:bookmarkStart w:id="246" w:name="_Toc86324243"/>
      <w:r>
        <w:rPr>
          <w:rStyle w:val="CharSectno"/>
        </w:rPr>
        <w:t>46A</w:t>
      </w:r>
      <w:r>
        <w:t>.</w:t>
      </w:r>
      <w:r>
        <w:tab/>
        <w:t>Order to attend dog training course, ban on owning or keeping dogs</w:t>
      </w:r>
      <w:bookmarkEnd w:id="245"/>
      <w:bookmarkEnd w:id="246"/>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keepNext/>
      </w:pPr>
      <w:r>
        <w:tab/>
        <w:t>(3)</w:t>
      </w:r>
      <w:r>
        <w:tab/>
        <w:t xml:space="preserve">A court that makes an order made under subsection (1) or (2) is to provide a copy of the order to — </w:t>
      </w:r>
    </w:p>
    <w:p>
      <w:pPr>
        <w:pStyle w:val="Indenta"/>
        <w:keepNext/>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247" w:name="_Toc90978035"/>
      <w:bookmarkStart w:id="248" w:name="_Toc90979055"/>
      <w:bookmarkStart w:id="249" w:name="_Toc91053801"/>
      <w:bookmarkStart w:id="250" w:name="_Toc86314490"/>
      <w:bookmarkStart w:id="251" w:name="_Toc86314748"/>
      <w:bookmarkStart w:id="252" w:name="_Toc86324244"/>
      <w:r>
        <w:rPr>
          <w:rStyle w:val="CharPartNo"/>
        </w:rPr>
        <w:t>Part VIII</w:t>
      </w:r>
      <w:r>
        <w:rPr>
          <w:rStyle w:val="CharDivNo"/>
        </w:rPr>
        <w:t> </w:t>
      </w:r>
      <w:r>
        <w:t>—</w:t>
      </w:r>
      <w:r>
        <w:rPr>
          <w:rStyle w:val="CharDivText"/>
        </w:rPr>
        <w:t> </w:t>
      </w:r>
      <w:r>
        <w:rPr>
          <w:rStyle w:val="CharPartText"/>
        </w:rPr>
        <w:t>Civil remedies, etc.</w:t>
      </w:r>
      <w:bookmarkEnd w:id="247"/>
      <w:bookmarkEnd w:id="248"/>
      <w:bookmarkEnd w:id="249"/>
      <w:bookmarkEnd w:id="250"/>
      <w:bookmarkEnd w:id="251"/>
      <w:bookmarkEnd w:id="252"/>
      <w:r>
        <w:rPr>
          <w:rStyle w:val="CharPartText"/>
        </w:rPr>
        <w:t xml:space="preserve"> </w:t>
      </w:r>
    </w:p>
    <w:p>
      <w:pPr>
        <w:pStyle w:val="Heading5"/>
        <w:spacing w:before="260"/>
        <w:rPr>
          <w:snapToGrid w:val="0"/>
        </w:rPr>
      </w:pPr>
      <w:bookmarkStart w:id="253" w:name="_Toc91053802"/>
      <w:bookmarkStart w:id="254" w:name="_Toc86324245"/>
      <w:r>
        <w:rPr>
          <w:rStyle w:val="CharSectno"/>
        </w:rPr>
        <w:t>46</w:t>
      </w:r>
      <w:r>
        <w:rPr>
          <w:snapToGrid w:val="0"/>
        </w:rPr>
        <w:t>.</w:t>
      </w:r>
      <w:r>
        <w:rPr>
          <w:snapToGrid w:val="0"/>
        </w:rPr>
        <w:tab/>
        <w:t>Damages</w:t>
      </w:r>
      <w:bookmarkEnd w:id="253"/>
      <w:bookmarkEnd w:id="254"/>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255" w:name="_Toc91053803"/>
      <w:bookmarkStart w:id="256" w:name="_Toc86324246"/>
      <w:r>
        <w:rPr>
          <w:rStyle w:val="CharSectno"/>
        </w:rPr>
        <w:t>47</w:t>
      </w:r>
      <w:r>
        <w:t>.</w:t>
      </w:r>
      <w:r>
        <w:tab/>
        <w:t>Veterinary service expenses recoverable from local government</w:t>
      </w:r>
      <w:bookmarkEnd w:id="255"/>
      <w:bookmarkEnd w:id="256"/>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257" w:name="_Toc90978038"/>
      <w:bookmarkStart w:id="258" w:name="_Toc90979058"/>
      <w:bookmarkStart w:id="259" w:name="_Toc91053804"/>
      <w:bookmarkStart w:id="260" w:name="_Toc86314493"/>
      <w:bookmarkStart w:id="261" w:name="_Toc86314751"/>
      <w:bookmarkStart w:id="262" w:name="_Toc86324247"/>
      <w:r>
        <w:rPr>
          <w:rStyle w:val="CharPartNo"/>
        </w:rPr>
        <w:t>Part IX</w:t>
      </w:r>
      <w:r>
        <w:rPr>
          <w:rStyle w:val="CharDivNo"/>
        </w:rPr>
        <w:t> </w:t>
      </w:r>
      <w:r>
        <w:t>—</w:t>
      </w:r>
      <w:r>
        <w:rPr>
          <w:rStyle w:val="CharDivText"/>
        </w:rPr>
        <w:t> </w:t>
      </w:r>
      <w:r>
        <w:rPr>
          <w:rStyle w:val="CharPartText"/>
        </w:rPr>
        <w:t>Local laws</w:t>
      </w:r>
      <w:bookmarkEnd w:id="257"/>
      <w:bookmarkEnd w:id="258"/>
      <w:bookmarkEnd w:id="259"/>
      <w:bookmarkEnd w:id="260"/>
      <w:bookmarkEnd w:id="261"/>
      <w:bookmarkEnd w:id="262"/>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263" w:name="_Toc91053805"/>
      <w:bookmarkStart w:id="264" w:name="_Toc86324248"/>
      <w:r>
        <w:rPr>
          <w:rStyle w:val="CharSectno"/>
        </w:rPr>
        <w:t>48</w:t>
      </w:r>
      <w:r>
        <w:rPr>
          <w:snapToGrid w:val="0"/>
        </w:rPr>
        <w:t>.</w:t>
      </w:r>
      <w:r>
        <w:rPr>
          <w:snapToGrid w:val="0"/>
        </w:rPr>
        <w:tab/>
        <w:t>Regulations to operate as local laws</w:t>
      </w:r>
      <w:bookmarkEnd w:id="263"/>
      <w:bookmarkEnd w:id="264"/>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265" w:name="_Toc91053806"/>
      <w:bookmarkStart w:id="266" w:name="_Toc86324249"/>
      <w:r>
        <w:rPr>
          <w:rStyle w:val="CharSectno"/>
        </w:rPr>
        <w:t>49</w:t>
      </w:r>
      <w:r>
        <w:rPr>
          <w:snapToGrid w:val="0"/>
        </w:rPr>
        <w:t>.</w:t>
      </w:r>
      <w:r>
        <w:rPr>
          <w:snapToGrid w:val="0"/>
        </w:rPr>
        <w:tab/>
        <w:t>Local laws</w:t>
      </w:r>
      <w:bookmarkEnd w:id="265"/>
      <w:bookmarkEnd w:id="266"/>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267" w:name="_Toc91053807"/>
      <w:bookmarkStart w:id="268" w:name="_Toc86324250"/>
      <w:r>
        <w:rPr>
          <w:rStyle w:val="CharSectno"/>
        </w:rPr>
        <w:t>49A</w:t>
      </w:r>
      <w:r>
        <w:rPr>
          <w:snapToGrid w:val="0"/>
        </w:rPr>
        <w:t>.</w:t>
      </w:r>
      <w:r>
        <w:rPr>
          <w:snapToGrid w:val="0"/>
        </w:rPr>
        <w:tab/>
        <w:t>Model local laws</w:t>
      </w:r>
      <w:bookmarkEnd w:id="267"/>
      <w:bookmarkEnd w:id="26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269" w:name="_Toc91053808"/>
      <w:bookmarkStart w:id="270" w:name="_Toc86324251"/>
      <w:r>
        <w:rPr>
          <w:rStyle w:val="CharSectno"/>
        </w:rPr>
        <w:t>49B</w:t>
      </w:r>
      <w:r>
        <w:rPr>
          <w:snapToGrid w:val="0"/>
        </w:rPr>
        <w:t>.</w:t>
      </w:r>
      <w:r>
        <w:rPr>
          <w:snapToGrid w:val="0"/>
        </w:rPr>
        <w:tab/>
        <w:t>Governor may amend or repeal local laws</w:t>
      </w:r>
      <w:bookmarkEnd w:id="269"/>
      <w:bookmarkEnd w:id="270"/>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271" w:name="_Toc91053809"/>
      <w:bookmarkStart w:id="272" w:name="_Toc86324252"/>
      <w:r>
        <w:rPr>
          <w:rStyle w:val="CharSectno"/>
        </w:rPr>
        <w:t>50</w:t>
      </w:r>
      <w:r>
        <w:rPr>
          <w:snapToGrid w:val="0"/>
        </w:rPr>
        <w:t>.</w:t>
      </w:r>
      <w:r>
        <w:rPr>
          <w:snapToGrid w:val="0"/>
        </w:rPr>
        <w:tab/>
        <w:t>General provisions relating to regulations and local laws</w:t>
      </w:r>
      <w:bookmarkEnd w:id="271"/>
      <w:bookmarkEnd w:id="272"/>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273" w:name="_Toc91053810"/>
      <w:bookmarkStart w:id="274" w:name="_Toc86324253"/>
      <w:r>
        <w:rPr>
          <w:rStyle w:val="CharSectno"/>
        </w:rPr>
        <w:t>51</w:t>
      </w:r>
      <w:r>
        <w:rPr>
          <w:snapToGrid w:val="0"/>
        </w:rPr>
        <w:t>.</w:t>
      </w:r>
      <w:r>
        <w:rPr>
          <w:snapToGrid w:val="0"/>
        </w:rPr>
        <w:tab/>
        <w:t>Local law making powers</w:t>
      </w:r>
      <w:bookmarkEnd w:id="273"/>
      <w:bookmarkEnd w:id="274"/>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275" w:name="_Toc91053811"/>
      <w:bookmarkStart w:id="276" w:name="_Toc86324254"/>
      <w:r>
        <w:rPr>
          <w:rStyle w:val="CharSectno"/>
        </w:rPr>
        <w:t>52</w:t>
      </w:r>
      <w:r>
        <w:rPr>
          <w:snapToGrid w:val="0"/>
        </w:rPr>
        <w:t>.</w:t>
      </w:r>
      <w:r>
        <w:rPr>
          <w:snapToGrid w:val="0"/>
        </w:rPr>
        <w:tab/>
        <w:t>Revocation of local laws</w:t>
      </w:r>
      <w:bookmarkEnd w:id="275"/>
      <w:bookmarkEnd w:id="276"/>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277" w:name="_Toc90978046"/>
      <w:bookmarkStart w:id="278" w:name="_Toc90979066"/>
      <w:bookmarkStart w:id="279" w:name="_Toc91053812"/>
      <w:bookmarkStart w:id="280" w:name="_Toc86314501"/>
      <w:bookmarkStart w:id="281" w:name="_Toc86314759"/>
      <w:bookmarkStart w:id="282" w:name="_Toc86324255"/>
      <w:r>
        <w:rPr>
          <w:rStyle w:val="CharPartNo"/>
        </w:rPr>
        <w:t>Part X</w:t>
      </w:r>
      <w:r>
        <w:rPr>
          <w:rStyle w:val="CharDivNo"/>
        </w:rPr>
        <w:t> </w:t>
      </w:r>
      <w:r>
        <w:t>—</w:t>
      </w:r>
      <w:r>
        <w:rPr>
          <w:rStyle w:val="CharDivText"/>
        </w:rPr>
        <w:t> </w:t>
      </w:r>
      <w:r>
        <w:rPr>
          <w:rStyle w:val="CharPartText"/>
        </w:rPr>
        <w:t>Regulations</w:t>
      </w:r>
      <w:bookmarkEnd w:id="277"/>
      <w:bookmarkEnd w:id="278"/>
      <w:bookmarkEnd w:id="279"/>
      <w:bookmarkEnd w:id="280"/>
      <w:bookmarkEnd w:id="281"/>
      <w:bookmarkEnd w:id="282"/>
      <w:r>
        <w:rPr>
          <w:rStyle w:val="CharPartText"/>
        </w:rPr>
        <w:t xml:space="preserve"> </w:t>
      </w:r>
    </w:p>
    <w:p>
      <w:pPr>
        <w:pStyle w:val="Ednotesection"/>
      </w:pPr>
      <w:r>
        <w:t>[</w:t>
      </w:r>
      <w:r>
        <w:rPr>
          <w:b/>
        </w:rPr>
        <w:t>53.</w:t>
      </w:r>
      <w:r>
        <w:tab/>
        <w:t>Deleted: No. 18 of 2013 s. 57.]</w:t>
      </w:r>
    </w:p>
    <w:p>
      <w:pPr>
        <w:pStyle w:val="Heading5"/>
        <w:rPr>
          <w:snapToGrid w:val="0"/>
        </w:rPr>
      </w:pPr>
      <w:bookmarkStart w:id="283" w:name="_Toc91053813"/>
      <w:bookmarkStart w:id="284" w:name="_Toc86324256"/>
      <w:r>
        <w:rPr>
          <w:rStyle w:val="CharSectno"/>
        </w:rPr>
        <w:t>54</w:t>
      </w:r>
      <w:r>
        <w:rPr>
          <w:snapToGrid w:val="0"/>
        </w:rPr>
        <w:t>.</w:t>
      </w:r>
      <w:r>
        <w:rPr>
          <w:snapToGrid w:val="0"/>
        </w:rPr>
        <w:tab/>
        <w:t>Regulations generally</w:t>
      </w:r>
      <w:bookmarkEnd w:id="283"/>
      <w:bookmarkEnd w:id="284"/>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285" w:name="_Toc90978048"/>
      <w:bookmarkStart w:id="286" w:name="_Toc90979068"/>
      <w:bookmarkStart w:id="287" w:name="_Toc91053814"/>
      <w:bookmarkStart w:id="288" w:name="_Toc86314503"/>
      <w:bookmarkStart w:id="289" w:name="_Toc86314761"/>
      <w:bookmarkStart w:id="290" w:name="_Toc86324257"/>
      <w:r>
        <w:rPr>
          <w:rStyle w:val="CharPartNo"/>
        </w:rPr>
        <w:t>Part XI</w:t>
      </w:r>
      <w:r>
        <w:rPr>
          <w:b w:val="0"/>
        </w:rPr>
        <w:t> </w:t>
      </w:r>
      <w:r>
        <w:t>—</w:t>
      </w:r>
      <w:r>
        <w:rPr>
          <w:b w:val="0"/>
        </w:rPr>
        <w:t> </w:t>
      </w:r>
      <w:r>
        <w:rPr>
          <w:rStyle w:val="CharPartText"/>
        </w:rPr>
        <w:t>Transitional provisions</w:t>
      </w:r>
      <w:bookmarkEnd w:id="285"/>
      <w:bookmarkEnd w:id="286"/>
      <w:bookmarkEnd w:id="287"/>
      <w:bookmarkEnd w:id="288"/>
      <w:bookmarkEnd w:id="289"/>
      <w:bookmarkEnd w:id="290"/>
    </w:p>
    <w:p>
      <w:pPr>
        <w:pStyle w:val="Footnoteheading"/>
      </w:pPr>
      <w:r>
        <w:tab/>
        <w:t xml:space="preserve">[Heading inserted: No. 18 of 2013 s. 59.] </w:t>
      </w:r>
    </w:p>
    <w:p>
      <w:pPr>
        <w:pStyle w:val="Heading3"/>
      </w:pPr>
      <w:bookmarkStart w:id="291" w:name="_Toc90978049"/>
      <w:bookmarkStart w:id="292" w:name="_Toc90979069"/>
      <w:bookmarkStart w:id="293" w:name="_Toc91053815"/>
      <w:bookmarkStart w:id="294" w:name="_Toc86314504"/>
      <w:bookmarkStart w:id="295" w:name="_Toc86314762"/>
      <w:bookmarkStart w:id="296" w:name="_Toc86324258"/>
      <w:r>
        <w:rPr>
          <w:rStyle w:val="CharDivNo"/>
        </w:rPr>
        <w:t>Division 1</w:t>
      </w:r>
      <w:r>
        <w:t> — </w:t>
      </w:r>
      <w:r>
        <w:rPr>
          <w:rStyle w:val="CharDivText"/>
        </w:rPr>
        <w:t xml:space="preserve">Transitional provisions for the </w:t>
      </w:r>
      <w:r>
        <w:rPr>
          <w:rStyle w:val="CharDivText"/>
          <w:i/>
        </w:rPr>
        <w:t>Dog Amendment Act 2013</w:t>
      </w:r>
      <w:bookmarkEnd w:id="291"/>
      <w:bookmarkEnd w:id="292"/>
      <w:bookmarkEnd w:id="293"/>
      <w:bookmarkEnd w:id="294"/>
      <w:bookmarkEnd w:id="295"/>
      <w:bookmarkEnd w:id="296"/>
    </w:p>
    <w:p>
      <w:pPr>
        <w:pStyle w:val="Footnoteheading"/>
      </w:pPr>
      <w:r>
        <w:tab/>
        <w:t xml:space="preserve">[Heading inserted: No. 18 of 2013 s. 59; amended: No. 16 of 2019 s. 110.] </w:t>
      </w:r>
    </w:p>
    <w:p>
      <w:pPr>
        <w:pStyle w:val="Heading5"/>
      </w:pPr>
      <w:bookmarkStart w:id="297" w:name="_Toc91053816"/>
      <w:bookmarkStart w:id="298" w:name="_Toc86324259"/>
      <w:r>
        <w:rPr>
          <w:rStyle w:val="CharSectno"/>
        </w:rPr>
        <w:t>55</w:t>
      </w:r>
      <w:r>
        <w:t>.</w:t>
      </w:r>
      <w:r>
        <w:tab/>
        <w:t xml:space="preserve">Application of </w:t>
      </w:r>
      <w:r>
        <w:rPr>
          <w:i/>
          <w:iCs/>
        </w:rPr>
        <w:t>Interpretation Act 1984</w:t>
      </w:r>
      <w:bookmarkEnd w:id="297"/>
      <w:bookmarkEnd w:id="298"/>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299" w:name="_Toc91053817"/>
      <w:bookmarkStart w:id="300" w:name="_Toc86324260"/>
      <w:r>
        <w:rPr>
          <w:rStyle w:val="CharSectno"/>
        </w:rPr>
        <w:t>56</w:t>
      </w:r>
      <w:r>
        <w:t>.</w:t>
      </w:r>
      <w:r>
        <w:tab/>
        <w:t>Authorisations in relation to assistance dogs</w:t>
      </w:r>
      <w:bookmarkEnd w:id="299"/>
      <w:bookmarkEnd w:id="300"/>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301" w:name="_Toc91053818"/>
      <w:bookmarkStart w:id="302" w:name="_Toc86324261"/>
      <w:r>
        <w:rPr>
          <w:rStyle w:val="CharSectno"/>
        </w:rPr>
        <w:t>57</w:t>
      </w:r>
      <w:r>
        <w:t>.</w:t>
      </w:r>
      <w:r>
        <w:tab/>
        <w:t>Registration procedure</w:t>
      </w:r>
      <w:bookmarkEnd w:id="301"/>
      <w:bookmarkEnd w:id="302"/>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303" w:name="_Toc91053819"/>
      <w:bookmarkStart w:id="304" w:name="_Toc86324262"/>
      <w:r>
        <w:rPr>
          <w:rStyle w:val="CharSectno"/>
        </w:rPr>
        <w:t>58</w:t>
      </w:r>
      <w:r>
        <w:t>.</w:t>
      </w:r>
      <w:r>
        <w:tab/>
        <w:t>Detained dogs</w:t>
      </w:r>
      <w:bookmarkEnd w:id="303"/>
      <w:bookmarkEnd w:id="304"/>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305" w:name="_Toc91053820"/>
      <w:bookmarkStart w:id="306" w:name="_Toc86324263"/>
      <w:r>
        <w:rPr>
          <w:rStyle w:val="CharSectno"/>
        </w:rPr>
        <w:t>59</w:t>
      </w:r>
      <w:r>
        <w:t>.</w:t>
      </w:r>
      <w:r>
        <w:tab/>
        <w:t>Dogs declared to be dangerous dogs</w:t>
      </w:r>
      <w:bookmarkEnd w:id="305"/>
      <w:bookmarkEnd w:id="306"/>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307" w:name="_Toc91053821"/>
      <w:bookmarkStart w:id="308" w:name="_Toc86324264"/>
      <w:r>
        <w:rPr>
          <w:rStyle w:val="CharSectno"/>
        </w:rPr>
        <w:t>60</w:t>
      </w:r>
      <w:r>
        <w:t>.</w:t>
      </w:r>
      <w:r>
        <w:tab/>
        <w:t>Transitional regulations</w:t>
      </w:r>
      <w:bookmarkEnd w:id="307"/>
      <w:bookmarkEnd w:id="308"/>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Heading3"/>
      </w:pPr>
      <w:bookmarkStart w:id="309" w:name="_Toc90978056"/>
      <w:bookmarkStart w:id="310" w:name="_Toc90979076"/>
      <w:bookmarkStart w:id="311" w:name="_Toc91053822"/>
      <w:bookmarkStart w:id="312" w:name="_Toc86314511"/>
      <w:bookmarkStart w:id="313" w:name="_Toc86314769"/>
      <w:bookmarkStart w:id="314" w:name="_Toc86324265"/>
      <w:r>
        <w:rPr>
          <w:rStyle w:val="CharDivNo"/>
        </w:rPr>
        <w:t>Division 2</w:t>
      </w:r>
      <w:r>
        <w:t> — </w:t>
      </w:r>
      <w:r>
        <w:rPr>
          <w:rStyle w:val="CharDivText"/>
        </w:rPr>
        <w:t xml:space="preserve">Transitional provision for the </w:t>
      </w:r>
      <w:r>
        <w:rPr>
          <w:rStyle w:val="CharDivText"/>
          <w:i/>
        </w:rPr>
        <w:t>Local Government Legislation Amendment Act 2019</w:t>
      </w:r>
      <w:bookmarkEnd w:id="309"/>
      <w:bookmarkEnd w:id="310"/>
      <w:bookmarkEnd w:id="311"/>
      <w:bookmarkEnd w:id="312"/>
      <w:bookmarkEnd w:id="313"/>
      <w:bookmarkEnd w:id="314"/>
    </w:p>
    <w:p>
      <w:pPr>
        <w:pStyle w:val="Footnoteheading"/>
      </w:pPr>
      <w:r>
        <w:tab/>
        <w:t>[Heading inserted: No. 16 of 2019 s. 111.]</w:t>
      </w:r>
    </w:p>
    <w:p>
      <w:pPr>
        <w:pStyle w:val="Heading5"/>
      </w:pPr>
      <w:bookmarkStart w:id="315" w:name="_Toc91053823"/>
      <w:bookmarkStart w:id="316" w:name="_Toc86324266"/>
      <w:r>
        <w:rPr>
          <w:rStyle w:val="CharSectno"/>
        </w:rPr>
        <w:t>61</w:t>
      </w:r>
      <w:r>
        <w:t>.</w:t>
      </w:r>
      <w:r>
        <w:tab/>
        <w:t>Authorised persons</w:t>
      </w:r>
      <w:bookmarkEnd w:id="315"/>
      <w:bookmarkEnd w:id="316"/>
    </w:p>
    <w:p>
      <w:pPr>
        <w:pStyle w:val="Subsection"/>
      </w:pPr>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p>
    <w:p>
      <w:pPr>
        <w:pStyle w:val="Footnotesection"/>
      </w:pPr>
      <w:r>
        <w:tab/>
        <w:t>[Section 61 inserted: No. 16 of 2019 s. 111.]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410" w:right="2410" w:bottom="1134" w:left="2410" w:header="1134" w:footer="3380" w:gutter="0"/>
          <w:pgNumType w:start="1"/>
          <w:cols w:space="720"/>
          <w:noEndnote/>
          <w:titlePg/>
          <w:docGrid w:linePitch="326"/>
        </w:sectPr>
      </w:pPr>
    </w:p>
    <w:p>
      <w:pPr>
        <w:pStyle w:val="nHeading2"/>
      </w:pPr>
      <w:bookmarkStart w:id="317" w:name="_Toc90978058"/>
      <w:bookmarkStart w:id="318" w:name="_Toc90979078"/>
      <w:bookmarkStart w:id="319" w:name="_Toc91053824"/>
      <w:bookmarkStart w:id="320" w:name="_Toc86314513"/>
      <w:bookmarkStart w:id="321" w:name="_Toc86314771"/>
      <w:bookmarkStart w:id="322" w:name="_Toc86324267"/>
      <w:r>
        <w:t>Notes</w:t>
      </w:r>
      <w:bookmarkEnd w:id="317"/>
      <w:bookmarkEnd w:id="318"/>
      <w:bookmarkEnd w:id="319"/>
      <w:bookmarkEnd w:id="320"/>
      <w:bookmarkEnd w:id="321"/>
      <w:bookmarkEnd w:id="322"/>
    </w:p>
    <w:p>
      <w:pPr>
        <w:pStyle w:val="nStatement"/>
      </w:pPr>
      <w:r>
        <w:t xml:space="preserve">This is a compilation of the </w:t>
      </w:r>
      <w:r>
        <w:rPr>
          <w:i/>
          <w:noProof/>
        </w:rPr>
        <w:t>Dog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3" w:name="_Toc91053825"/>
      <w:bookmarkStart w:id="324" w:name="_Toc86324268"/>
      <w:r>
        <w:t>Compilation table</w:t>
      </w:r>
      <w:bookmarkEnd w:id="323"/>
      <w:bookmarkEnd w:id="324"/>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6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61" w:type="dxa"/>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61" w:type="dxa"/>
          </w:tcPr>
          <w:p>
            <w:pPr>
              <w:pStyle w:val="nTable"/>
              <w:spacing w:after="40"/>
            </w:pPr>
            <w:r>
              <w:t>17 Nov 1983 (see s. 2)</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61" w:type="dxa"/>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61" w:type="dxa"/>
          </w:tcPr>
          <w:p>
            <w:pPr>
              <w:pStyle w:val="nTable"/>
              <w:spacing w:after="40"/>
            </w:pPr>
            <w:r>
              <w:t>s. 1 and 2: 27 Aug 1996;</w:t>
            </w:r>
            <w:r>
              <w:br/>
              <w:t xml:space="preserve">Act other than s. 1 and 2: 14 Sep 1996 (see s. 2 and </w:t>
            </w:r>
            <w:r>
              <w:rPr>
                <w:i/>
              </w:rPr>
              <w:t>Gazette</w:t>
            </w:r>
            <w:r>
              <w:t xml:space="preserve"> 13 Sep 1996 p. 4675)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61"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br/>
              <w:t>s. 141</w:t>
            </w:r>
          </w:p>
        </w:tc>
        <w:tc>
          <w:tcPr>
            <w:tcW w:w="1134" w:type="dxa"/>
          </w:tcPr>
          <w:p>
            <w:pPr>
              <w:pStyle w:val="nTable"/>
              <w:spacing w:after="40"/>
            </w:pPr>
            <w:r>
              <w:t>31 of 1997</w:t>
            </w:r>
          </w:p>
        </w:tc>
        <w:tc>
          <w:tcPr>
            <w:tcW w:w="1134" w:type="dxa"/>
          </w:tcPr>
          <w:p>
            <w:pPr>
              <w:pStyle w:val="nTable"/>
              <w:spacing w:after="40"/>
            </w:pPr>
            <w:r>
              <w:t>3 Oct 1997</w:t>
            </w:r>
          </w:p>
        </w:tc>
        <w:tc>
          <w:tcPr>
            <w:tcW w:w="256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6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61"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1</w:t>
            </w:r>
          </w:p>
        </w:tc>
        <w:tc>
          <w:tcPr>
            <w:tcW w:w="1134" w:type="dxa"/>
          </w:tcPr>
          <w:p>
            <w:pPr>
              <w:pStyle w:val="nTable"/>
              <w:spacing w:after="40"/>
            </w:pPr>
            <w:r>
              <w:t>35 of 2003</w:t>
            </w:r>
          </w:p>
        </w:tc>
        <w:tc>
          <w:tcPr>
            <w:tcW w:w="1134" w:type="dxa"/>
          </w:tcPr>
          <w:p>
            <w:pPr>
              <w:pStyle w:val="nTable"/>
              <w:spacing w:after="40"/>
            </w:pPr>
            <w:r>
              <w:t>26 Jun 2003</w:t>
            </w:r>
          </w:p>
        </w:tc>
        <w:tc>
          <w:tcPr>
            <w:tcW w:w="2561"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6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61"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6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6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5</w:t>
            </w:r>
          </w:p>
        </w:tc>
        <w:tc>
          <w:tcPr>
            <w:tcW w:w="1134" w:type="dxa"/>
          </w:tcPr>
          <w:p>
            <w:pPr>
              <w:pStyle w:val="nTable"/>
              <w:spacing w:after="40"/>
            </w:pPr>
            <w:r>
              <w:t>18 of 2013</w:t>
            </w:r>
          </w:p>
        </w:tc>
        <w:tc>
          <w:tcPr>
            <w:tcW w:w="1134" w:type="dxa"/>
          </w:tcPr>
          <w:p>
            <w:pPr>
              <w:pStyle w:val="nTable"/>
              <w:spacing w:after="40"/>
            </w:pPr>
            <w:r>
              <w:t>29 Oct 2013</w:t>
            </w:r>
          </w:p>
        </w:tc>
        <w:tc>
          <w:tcPr>
            <w:tcW w:w="2561" w:type="dxa"/>
          </w:tcPr>
          <w:p>
            <w:pPr>
              <w:pStyle w:val="nTable"/>
              <w:spacing w:after="40"/>
            </w:pPr>
            <w:r>
              <w:t xml:space="preserve">1 Nov 2013 (see s. 2(b) and </w:t>
            </w:r>
            <w:r>
              <w:rPr>
                <w:i/>
              </w:rPr>
              <w:t>Gazette</w:t>
            </w:r>
            <w:r>
              <w:t xml:space="preserve"> 31 Oct 2013 p. 4829)</w:t>
            </w:r>
          </w:p>
        </w:tc>
      </w:tr>
      <w:tr>
        <w:tblPrEx>
          <w:tblBorders>
            <w:top w:val="none" w:sz="0" w:space="0" w:color="auto"/>
            <w:bottom w:val="none" w:sz="0" w:space="0" w:color="auto"/>
            <w:insideH w:val="none" w:sz="0" w:space="0" w:color="auto"/>
          </w:tblBorders>
        </w:tblPrEx>
        <w:trPr>
          <w:cantSplit/>
        </w:trPr>
        <w:tc>
          <w:tcPr>
            <w:tcW w:w="7097" w:type="dxa"/>
            <w:gridSpan w:val="4"/>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trPr>
        <w:tc>
          <w:tcPr>
            <w:tcW w:w="2268" w:type="dxa"/>
            <w:tcBorders>
              <w:top w:val="nil"/>
              <w:bottom w:val="nil"/>
            </w:tcBorders>
          </w:tcPr>
          <w:p>
            <w:pPr>
              <w:pStyle w:val="nTable"/>
              <w:spacing w:after="40"/>
              <w:rPr>
                <w:b/>
              </w:rPr>
            </w:pPr>
            <w:r>
              <w:rPr>
                <w:i/>
              </w:rPr>
              <w:t>Public Health (Consequential Provisions) Act 2016</w:t>
            </w:r>
            <w:r>
              <w:t xml:space="preserve"> Pt. 3 Div. 11</w:t>
            </w:r>
          </w:p>
        </w:tc>
        <w:tc>
          <w:tcPr>
            <w:tcW w:w="1134" w:type="dxa"/>
            <w:tcBorders>
              <w:top w:val="nil"/>
              <w:bottom w:val="nil"/>
            </w:tcBorders>
          </w:tcPr>
          <w:p>
            <w:pPr>
              <w:pStyle w:val="nTable"/>
              <w:spacing w:after="40"/>
              <w:rPr>
                <w:b/>
              </w:rPr>
            </w:pPr>
            <w:r>
              <w:t>19 of 2016</w:t>
            </w:r>
          </w:p>
        </w:tc>
        <w:tc>
          <w:tcPr>
            <w:tcW w:w="1134" w:type="dxa"/>
            <w:tcBorders>
              <w:top w:val="nil"/>
              <w:bottom w:val="nil"/>
            </w:tcBorders>
          </w:tcPr>
          <w:p>
            <w:pPr>
              <w:pStyle w:val="nTable"/>
              <w:spacing w:after="40"/>
              <w:rPr>
                <w:b/>
              </w:rPr>
            </w:pPr>
            <w:r>
              <w:t>25 Jul 2016</w:t>
            </w:r>
          </w:p>
        </w:tc>
        <w:tc>
          <w:tcPr>
            <w:tcW w:w="2561" w:type="dxa"/>
            <w:tcBorders>
              <w:top w:val="nil"/>
              <w:bottom w:val="nil"/>
            </w:tcBorders>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tcPr>
          <w:p>
            <w:pPr>
              <w:pStyle w:val="nTable"/>
              <w:spacing w:after="40"/>
              <w:rPr>
                <w:i/>
              </w:rPr>
            </w:pPr>
            <w:r>
              <w:rPr>
                <w:i/>
              </w:rPr>
              <w:t>Local Government Legislation Amendment Act 2019</w:t>
            </w:r>
            <w:r>
              <w:t xml:space="preserve"> Pt. 4 Div. 5</w:t>
            </w:r>
          </w:p>
        </w:tc>
        <w:tc>
          <w:tcPr>
            <w:tcW w:w="1134" w:type="dxa"/>
            <w:tcBorders>
              <w:top w:val="nil"/>
              <w:bottom w:val="nil"/>
            </w:tcBorders>
          </w:tcPr>
          <w:p>
            <w:pPr>
              <w:pStyle w:val="nTable"/>
              <w:spacing w:after="40"/>
            </w:pPr>
            <w:r>
              <w:t>16 of 2019</w:t>
            </w:r>
          </w:p>
        </w:tc>
        <w:tc>
          <w:tcPr>
            <w:tcW w:w="1134" w:type="dxa"/>
            <w:tcBorders>
              <w:top w:val="nil"/>
              <w:bottom w:val="nil"/>
            </w:tcBorders>
          </w:tcPr>
          <w:p>
            <w:pPr>
              <w:pStyle w:val="nTable"/>
              <w:spacing w:after="40"/>
            </w:pPr>
            <w:r>
              <w:t>5 Jul 2019</w:t>
            </w:r>
          </w:p>
        </w:tc>
        <w:tc>
          <w:tcPr>
            <w:tcW w:w="2561" w:type="dxa"/>
            <w:tcBorders>
              <w:top w:val="nil"/>
              <w:bottom w:val="nil"/>
            </w:tcBorders>
          </w:tcPr>
          <w:p>
            <w:pPr>
              <w:pStyle w:val="nTable"/>
              <w:spacing w:after="40"/>
              <w:rPr>
                <w:snapToGrid w:val="0"/>
              </w:rPr>
            </w:pPr>
            <w:r>
              <w:rPr>
                <w:snapToGrid w:val="0"/>
              </w:rPr>
              <w:t>7 Nov 2020 (see s. 2(b) and SL 2020/212 cl. 2)</w:t>
            </w:r>
          </w:p>
        </w:tc>
      </w:tr>
      <w:tr>
        <w:tblPrEx>
          <w:tblBorders>
            <w:top w:val="none" w:sz="0" w:space="0" w:color="auto"/>
            <w:bottom w:val="none" w:sz="0" w:space="0" w:color="auto"/>
            <w:insideH w:val="none" w:sz="0" w:space="0" w:color="auto"/>
          </w:tblBorders>
        </w:tblPrEx>
        <w:trPr>
          <w:cantSplit/>
          <w:ins w:id="325" w:author="Master Repository Process" w:date="2021-12-23T10:23:00Z"/>
        </w:trPr>
        <w:tc>
          <w:tcPr>
            <w:tcW w:w="2268" w:type="dxa"/>
            <w:tcBorders>
              <w:bottom w:val="single" w:sz="4" w:space="0" w:color="auto"/>
            </w:tcBorders>
          </w:tcPr>
          <w:p>
            <w:pPr>
              <w:pStyle w:val="nTable"/>
              <w:spacing w:after="40"/>
              <w:rPr>
                <w:ins w:id="326" w:author="Master Repository Process" w:date="2021-12-23T10:23:00Z"/>
              </w:rPr>
            </w:pPr>
            <w:ins w:id="327" w:author="Master Repository Process" w:date="2021-12-23T10:23:00Z">
              <w:r>
                <w:rPr>
                  <w:i/>
                </w:rPr>
                <w:t>Dog Amendment (Stop Puppy Farming) Act 2021</w:t>
              </w:r>
              <w:r>
                <w:t xml:space="preserve"> Pt. 2 (other than Div. 3</w:t>
              </w:r>
              <w:r>
                <w:noBreakHyphen/>
                <w:t>5)</w:t>
              </w:r>
            </w:ins>
          </w:p>
        </w:tc>
        <w:tc>
          <w:tcPr>
            <w:tcW w:w="1134" w:type="dxa"/>
            <w:tcBorders>
              <w:bottom w:val="single" w:sz="4" w:space="0" w:color="auto"/>
            </w:tcBorders>
          </w:tcPr>
          <w:p>
            <w:pPr>
              <w:pStyle w:val="nTable"/>
              <w:spacing w:after="40"/>
              <w:rPr>
                <w:ins w:id="328" w:author="Master Repository Process" w:date="2021-12-23T10:23:00Z"/>
              </w:rPr>
            </w:pPr>
            <w:ins w:id="329" w:author="Master Repository Process" w:date="2021-12-23T10:23:00Z">
              <w:r>
                <w:t>29 of 2021</w:t>
              </w:r>
            </w:ins>
          </w:p>
        </w:tc>
        <w:tc>
          <w:tcPr>
            <w:tcW w:w="1134" w:type="dxa"/>
            <w:tcBorders>
              <w:bottom w:val="single" w:sz="4" w:space="0" w:color="auto"/>
            </w:tcBorders>
          </w:tcPr>
          <w:p>
            <w:pPr>
              <w:pStyle w:val="nTable"/>
              <w:spacing w:after="40"/>
              <w:rPr>
                <w:ins w:id="330" w:author="Master Repository Process" w:date="2021-12-23T10:23:00Z"/>
              </w:rPr>
            </w:pPr>
            <w:ins w:id="331" w:author="Master Repository Process" w:date="2021-12-23T10:23:00Z">
              <w:r>
                <w:t>22 Dec 2021</w:t>
              </w:r>
            </w:ins>
          </w:p>
        </w:tc>
        <w:tc>
          <w:tcPr>
            <w:tcW w:w="2561" w:type="dxa"/>
            <w:tcBorders>
              <w:bottom w:val="single" w:sz="4" w:space="0" w:color="auto"/>
            </w:tcBorders>
          </w:tcPr>
          <w:p>
            <w:pPr>
              <w:pStyle w:val="nTable"/>
              <w:spacing w:after="40"/>
              <w:rPr>
                <w:ins w:id="332" w:author="Master Repository Process" w:date="2021-12-23T10:23:00Z"/>
                <w:snapToGrid w:val="0"/>
              </w:rPr>
            </w:pPr>
            <w:ins w:id="333" w:author="Master Repository Process" w:date="2021-12-23T10:23:00Z">
              <w:r>
                <w:rPr>
                  <w:snapToGrid w:val="0"/>
                </w:rPr>
                <w:t>23 Dec 2021 (see s. 2(b))</w:t>
              </w:r>
            </w:ins>
          </w:p>
        </w:tc>
      </w:tr>
    </w:tbl>
    <w:p>
      <w:pPr>
        <w:pStyle w:val="nHeading3"/>
      </w:pPr>
      <w:bookmarkStart w:id="334" w:name="_Toc91053826"/>
      <w:bookmarkStart w:id="335" w:name="_Toc86324269"/>
      <w:r>
        <w:t>Uncommenced provisions table</w:t>
      </w:r>
      <w:bookmarkEnd w:id="334"/>
      <w:bookmarkEnd w:id="335"/>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6" w:type="dxa"/>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TAB (Disposal) Act 2019</w:t>
            </w:r>
            <w:r>
              <w:t xml:space="preserve"> s. 148</w:t>
            </w:r>
          </w:p>
        </w:tc>
        <w:tc>
          <w:tcPr>
            <w:tcW w:w="1134" w:type="dxa"/>
            <w:tcBorders>
              <w:top w:val="nil"/>
              <w:left w:val="nil"/>
              <w:bottom w:val="nil"/>
              <w:right w:val="nil"/>
            </w:tcBorders>
          </w:tcPr>
          <w:p>
            <w:pPr>
              <w:pStyle w:val="nTable"/>
              <w:spacing w:after="40"/>
            </w:pPr>
            <w:r>
              <w:t>21 of 2019</w:t>
            </w:r>
          </w:p>
        </w:tc>
        <w:tc>
          <w:tcPr>
            <w:tcW w:w="1134" w:type="dxa"/>
            <w:tcBorders>
              <w:top w:val="nil"/>
              <w:left w:val="nil"/>
              <w:bottom w:val="nil"/>
              <w:right w:val="nil"/>
            </w:tcBorders>
          </w:tcPr>
          <w:p>
            <w:pPr>
              <w:pStyle w:val="nTable"/>
              <w:spacing w:after="40"/>
            </w:pPr>
            <w:r>
              <w:t>18 Sep 2019</w:t>
            </w:r>
          </w:p>
        </w:tc>
        <w:tc>
          <w:tcPr>
            <w:tcW w:w="2556" w:type="dxa"/>
            <w:tcBorders>
              <w:top w:val="nil"/>
              <w:left w:val="nil"/>
              <w:bottom w:val="nil"/>
            </w:tcBorders>
          </w:tcPr>
          <w:p>
            <w:pPr>
              <w:pStyle w:val="nTable"/>
              <w:spacing w:after="40"/>
              <w:rPr>
                <w:snapToGrid w:val="0"/>
              </w:rPr>
            </w:pPr>
            <w:r>
              <w:t>To be proclaimed (see s. 2(1)(b)(xiii))</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Veterinary Practice Act 2021</w:t>
            </w:r>
            <w:r>
              <w:t xml:space="preserve"> s. 230</w:t>
            </w:r>
          </w:p>
        </w:tc>
        <w:tc>
          <w:tcPr>
            <w:tcW w:w="1134" w:type="dxa"/>
            <w:tcBorders>
              <w:top w:val="nil"/>
              <w:left w:val="nil"/>
              <w:bottom w:val="nil"/>
              <w:right w:val="nil"/>
            </w:tcBorders>
          </w:tcPr>
          <w:p>
            <w:pPr>
              <w:pStyle w:val="nTable"/>
              <w:spacing w:after="40"/>
            </w:pPr>
            <w:r>
              <w:t>19 of 2021</w:t>
            </w:r>
          </w:p>
        </w:tc>
        <w:tc>
          <w:tcPr>
            <w:tcW w:w="1134" w:type="dxa"/>
            <w:tcBorders>
              <w:top w:val="nil"/>
              <w:left w:val="nil"/>
              <w:bottom w:val="nil"/>
              <w:right w:val="nil"/>
            </w:tcBorders>
          </w:tcPr>
          <w:p>
            <w:pPr>
              <w:pStyle w:val="nTable"/>
              <w:spacing w:after="40"/>
            </w:pPr>
            <w:r>
              <w:t>27 Oct 2021</w:t>
            </w:r>
          </w:p>
        </w:tc>
        <w:tc>
          <w:tcPr>
            <w:tcW w:w="2556" w:type="dxa"/>
            <w:tcBorders>
              <w:top w:val="nil"/>
              <w:left w:val="nil"/>
              <w:bottom w:val="nil"/>
            </w:tcBorders>
          </w:tcPr>
          <w:p>
            <w:pPr>
              <w:pStyle w:val="nTable"/>
              <w:spacing w:after="40"/>
            </w:pPr>
            <w:r>
              <w:rPr>
                <w:snapToGrid w:val="0"/>
              </w:rPr>
              <w:t>To be proclaimed (see s. 2(b))</w:t>
            </w:r>
          </w:p>
        </w:tc>
      </w:tr>
      <w:tr>
        <w:tblPrEx>
          <w:tblCellMar>
            <w:left w:w="57" w:type="dxa"/>
            <w:right w:w="57" w:type="dxa"/>
          </w:tblCellMar>
        </w:tblPrEx>
        <w:trPr>
          <w:ins w:id="336" w:author="Master Repository Process" w:date="2021-12-23T10:23:00Z"/>
        </w:trPr>
        <w:tc>
          <w:tcPr>
            <w:tcW w:w="2273" w:type="dxa"/>
            <w:tcBorders>
              <w:top w:val="nil"/>
              <w:bottom w:val="single" w:sz="8" w:space="0" w:color="auto"/>
              <w:right w:val="nil"/>
            </w:tcBorders>
          </w:tcPr>
          <w:p>
            <w:pPr>
              <w:pStyle w:val="nTable"/>
              <w:spacing w:after="40"/>
              <w:rPr>
                <w:ins w:id="337" w:author="Master Repository Process" w:date="2021-12-23T10:23:00Z"/>
                <w:i/>
              </w:rPr>
            </w:pPr>
            <w:ins w:id="338" w:author="Master Repository Process" w:date="2021-12-23T10:23:00Z">
              <w:r>
                <w:rPr>
                  <w:i/>
                </w:rPr>
                <w:t>Dog Amendment (Stop Puppy Farming) Act 2021</w:t>
              </w:r>
              <w:r>
                <w:t xml:space="preserve"> Pt. 2 Div. 3</w:t>
              </w:r>
              <w:r>
                <w:noBreakHyphen/>
                <w:t>5</w:t>
              </w:r>
            </w:ins>
          </w:p>
        </w:tc>
        <w:tc>
          <w:tcPr>
            <w:tcW w:w="1134" w:type="dxa"/>
            <w:tcBorders>
              <w:top w:val="nil"/>
              <w:left w:val="nil"/>
              <w:bottom w:val="single" w:sz="8" w:space="0" w:color="auto"/>
              <w:right w:val="nil"/>
            </w:tcBorders>
          </w:tcPr>
          <w:p>
            <w:pPr>
              <w:pStyle w:val="nTable"/>
              <w:spacing w:after="40"/>
              <w:rPr>
                <w:ins w:id="339" w:author="Master Repository Process" w:date="2021-12-23T10:23:00Z"/>
              </w:rPr>
            </w:pPr>
            <w:ins w:id="340" w:author="Master Repository Process" w:date="2021-12-23T10:23:00Z">
              <w:r>
                <w:t>29 of 2021</w:t>
              </w:r>
            </w:ins>
          </w:p>
        </w:tc>
        <w:tc>
          <w:tcPr>
            <w:tcW w:w="1134" w:type="dxa"/>
            <w:tcBorders>
              <w:top w:val="nil"/>
              <w:left w:val="nil"/>
              <w:bottom w:val="single" w:sz="8" w:space="0" w:color="auto"/>
              <w:right w:val="nil"/>
            </w:tcBorders>
          </w:tcPr>
          <w:p>
            <w:pPr>
              <w:pStyle w:val="nTable"/>
              <w:spacing w:after="40"/>
              <w:rPr>
                <w:ins w:id="341" w:author="Master Repository Process" w:date="2021-12-23T10:23:00Z"/>
                <w:highlight w:val="yellow"/>
              </w:rPr>
            </w:pPr>
            <w:ins w:id="342" w:author="Master Repository Process" w:date="2021-12-23T10:23:00Z">
              <w:r>
                <w:t>22 Dec 2021</w:t>
              </w:r>
            </w:ins>
          </w:p>
        </w:tc>
        <w:tc>
          <w:tcPr>
            <w:tcW w:w="2556" w:type="dxa"/>
            <w:tcBorders>
              <w:top w:val="nil"/>
              <w:left w:val="nil"/>
              <w:bottom w:val="single" w:sz="8" w:space="0" w:color="auto"/>
            </w:tcBorders>
          </w:tcPr>
          <w:p>
            <w:pPr>
              <w:pStyle w:val="nTable"/>
              <w:spacing w:after="40"/>
              <w:rPr>
                <w:ins w:id="343" w:author="Master Repository Process" w:date="2021-12-23T10:23:00Z"/>
                <w:snapToGrid w:val="0"/>
              </w:rPr>
            </w:pPr>
            <w:ins w:id="344" w:author="Master Repository Process" w:date="2021-12-23T10:23:00Z">
              <w:r>
                <w:rPr>
                  <w:snapToGrid w:val="0"/>
                </w:rPr>
                <w:t>To be proclaimed (see s. 2(c), (d) and (e))</w:t>
              </w:r>
            </w:ins>
          </w:p>
        </w:tc>
      </w:tr>
    </w:tbl>
    <w:p>
      <w:pPr>
        <w:pStyle w:val="nHeading3"/>
      </w:pPr>
      <w:bookmarkStart w:id="345" w:name="_Toc91053827"/>
      <w:bookmarkStart w:id="346" w:name="_Toc86324270"/>
      <w:r>
        <w:t>Other notes</w:t>
      </w:r>
      <w:bookmarkEnd w:id="345"/>
      <w:bookmarkEnd w:id="346"/>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Note"/>
        <w:tabs>
          <w:tab w:val="left" w:pos="2520"/>
        </w:tabs>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Note"/>
        <w:rPr>
          <w:iCs/>
        </w:rPr>
      </w:pPr>
      <w:r>
        <w:rPr>
          <w:vertAlign w:val="superscript"/>
        </w:rPr>
        <w:t>3</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Note"/>
        <w:spacing w:before="120"/>
        <w:rPr>
          <w:iCs/>
        </w:rPr>
      </w:pPr>
      <w:r>
        <w:rPr>
          <w:iCs/>
          <w:vertAlign w:val="superscript"/>
        </w:rPr>
        <w:t>5</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1525"/>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 w:name="WAFER_20201015163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930_GUID" w:val="0cb48ada-7e8b-485d-955e-35e7c8b13e51"/>
    <w:docVar w:name="WAFER_2020111615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5427_GUID" w:val="fd8c3b31-9e64-42de-b35d-230120093b7d"/>
    <w:docVar w:name="WAFER_202110281151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06_GUID" w:val="f1ff8f19-b608-4474-97ed-8bdc86042be9"/>
    <w:docVar w:name="WAFER_20211028115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27_GUID" w:val="1f01b1a5-460c-4daf-b6ce-b373d8d2e0f2"/>
    <w:docVar w:name="WAFER_202112211115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25_GUID" w:val="81d1593a-8be3-4752-95d2-25f7d2bde8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E508EC-E44B-455B-8272-AB2EADD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DD6B-E1C2-43F9-BB44-453AD89F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27580</Words>
  <Characters>123560</Characters>
  <Application>Microsoft Office Word</Application>
  <DocSecurity>0</DocSecurity>
  <Lines>3339</Lines>
  <Paragraphs>1757</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06-g0-00 - 06-h0-00</dc:title>
  <dc:subject/>
  <dc:creator/>
  <cp:keywords/>
  <dc:description/>
  <cp:lastModifiedBy>Master Repository Process</cp:lastModifiedBy>
  <cp:revision>2</cp:revision>
  <cp:lastPrinted>2020-11-16T07:53:00Z</cp:lastPrinted>
  <dcterms:created xsi:type="dcterms:W3CDTF">2021-12-23T02:23:00Z</dcterms:created>
  <dcterms:modified xsi:type="dcterms:W3CDTF">2021-12-23T02:23:00Z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CommencementDate">
    <vt:lpwstr>20211223</vt:lpwstr>
  </property>
  <property fmtid="{D5CDD505-2E9C-101B-9397-08002B2CF9AE}" pid="8" name="FromSuffix">
    <vt:lpwstr>06-g0-00</vt:lpwstr>
  </property>
  <property fmtid="{D5CDD505-2E9C-101B-9397-08002B2CF9AE}" pid="9" name="FromAsAtDate">
    <vt:lpwstr>27 Oct 2021</vt:lpwstr>
  </property>
  <property fmtid="{D5CDD505-2E9C-101B-9397-08002B2CF9AE}" pid="10" name="ToSuffix">
    <vt:lpwstr>06-h0-00</vt:lpwstr>
  </property>
  <property fmtid="{D5CDD505-2E9C-101B-9397-08002B2CF9AE}" pid="11" name="ToAsAtDate">
    <vt:lpwstr>23 Dec 2021</vt:lpwstr>
  </property>
</Properties>
</file>