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(Resource Management and Administration)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15 Jan 2022</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Petroleum and Geothermal Energy Resources Act 1967</w:t>
      </w:r>
    </w:p>
    <w:p>
      <w:pPr>
        <w:pStyle w:val="NameofActReg"/>
      </w:pPr>
      <w:r>
        <w:t>Petroleum and Geothermal Energy Resources (Resource Management and Administration) Regulations 2015</w:t>
      </w:r>
    </w:p>
    <w:p>
      <w:pPr>
        <w:pStyle w:val="Heading2"/>
        <w:pageBreakBefore w:val="0"/>
        <w:spacing w:before="360"/>
      </w:pPr>
      <w:bookmarkStart w:id="1" w:name="_Toc92800309"/>
      <w:bookmarkStart w:id="2" w:name="_Toc92800622"/>
      <w:bookmarkStart w:id="3" w:name="_Toc92809622"/>
      <w:bookmarkStart w:id="4" w:name="_Toc44055545"/>
      <w:bookmarkStart w:id="5" w:name="_Toc44061480"/>
      <w:bookmarkStart w:id="6" w:name="_Toc4431633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2809623"/>
      <w:bookmarkStart w:id="9" w:name="_Toc44316332"/>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Petroleum and Geothermal Energy Resources (Resource Management and Administration) Regulations 2015</w:t>
      </w:r>
      <w:r>
        <w:t>.</w:t>
      </w:r>
    </w:p>
    <w:p>
      <w:pPr>
        <w:pStyle w:val="Heading5"/>
        <w:rPr>
          <w:spacing w:val="-2"/>
        </w:rPr>
      </w:pPr>
      <w:bookmarkStart w:id="11" w:name="_Toc92809624"/>
      <w:bookmarkStart w:id="12" w:name="_Toc44316333"/>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rPr>
          <w:iCs/>
        </w:rPr>
        <w:t>)</w:t>
      </w:r>
      <w:r>
        <w:t>;</w:t>
      </w:r>
    </w:p>
    <w:p>
      <w:pPr>
        <w:pStyle w:val="Indenta"/>
      </w:pPr>
      <w:r>
        <w:tab/>
        <w:t>(b)</w:t>
      </w:r>
      <w:r>
        <w:tab/>
        <w:t xml:space="preserve">Part 9 — on the day on which the </w:t>
      </w:r>
      <w:r>
        <w:rPr>
          <w:i/>
        </w:rPr>
        <w:t>Petroleum and Energy Legislation Amendment Act 2010</w:t>
      </w:r>
      <w:r>
        <w:t xml:space="preserve"> section 57 comes into operation;</w:t>
      </w:r>
    </w:p>
    <w:p>
      <w:pPr>
        <w:pStyle w:val="Indenta"/>
      </w:pPr>
      <w:r>
        <w:tab/>
        <w:t>(c)</w:t>
      </w:r>
      <w:r>
        <w:tab/>
        <w:t xml:space="preserve">the rest of the </w:t>
      </w:r>
      <w:r>
        <w:rPr>
          <w:spacing w:val="-2"/>
        </w:rPr>
        <w:t>regulations</w:t>
      </w:r>
      <w:r>
        <w:t> — on the day after gazettal day.</w:t>
      </w:r>
    </w:p>
    <w:p>
      <w:pPr>
        <w:pStyle w:val="Heading5"/>
      </w:pPr>
      <w:bookmarkStart w:id="13" w:name="_Toc92809625"/>
      <w:bookmarkStart w:id="14" w:name="_Toc44316334"/>
      <w:r>
        <w:rPr>
          <w:rStyle w:val="CharSectno"/>
        </w:rPr>
        <w:t>3</w:t>
      </w:r>
      <w:r>
        <w:t>.</w:t>
      </w:r>
      <w:r>
        <w:tab/>
        <w:t>Objects of regulations</w:t>
      </w:r>
      <w:bookmarkEnd w:id="13"/>
      <w:bookmarkEnd w:id="14"/>
    </w:p>
    <w:p>
      <w:pPr>
        <w:pStyle w:val="Subsection"/>
      </w:pPr>
      <w:r>
        <w:tab/>
      </w:r>
      <w:r>
        <w:tab/>
        <w:t xml:space="preserve">The objects of these regulations are — </w:t>
      </w:r>
    </w:p>
    <w:p>
      <w:pPr>
        <w:pStyle w:val="Indenta"/>
      </w:pPr>
      <w:r>
        <w:tab/>
        <w:t>(a)</w:t>
      </w:r>
      <w:r>
        <w:tab/>
        <w:t xml:space="preserve">to ensure that operations relating to the exploration for petroleum or geothermal energy resources, or the recovery of petroleum or geothermal energy, in the State are — </w:t>
      </w:r>
    </w:p>
    <w:p>
      <w:pPr>
        <w:pStyle w:val="Indenti"/>
      </w:pPr>
      <w:r>
        <w:tab/>
        <w:t>(i)</w:t>
      </w:r>
      <w:r>
        <w:tab/>
        <w:t>carried out in a proper and workmanlike manner and, in the case of operations relating to the exploration for or recovery of petroleum, in accordance with good oil</w:t>
      </w:r>
      <w:r>
        <w:noBreakHyphen/>
        <w:t>field practice; and</w:t>
      </w:r>
    </w:p>
    <w:p>
      <w:pPr>
        <w:pStyle w:val="Indenti"/>
      </w:pPr>
      <w:r>
        <w:tab/>
        <w:t>(ii)</w:t>
      </w:r>
      <w:r>
        <w:tab/>
        <w:t>compatible with the optimum long</w:t>
      </w:r>
      <w:r>
        <w:noBreakHyphen/>
        <w:t>term recovery of petroleum and geothermal energy;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or geothermal energy resources; and</w:t>
      </w:r>
    </w:p>
    <w:p>
      <w:pPr>
        <w:pStyle w:val="Indenti"/>
      </w:pPr>
      <w:r>
        <w:tab/>
        <w:t>(ii)</w:t>
      </w:r>
      <w:r>
        <w:tab/>
        <w:t>the discovery of petroleum or geothermal energy resources; and</w:t>
      </w:r>
    </w:p>
    <w:p>
      <w:pPr>
        <w:pStyle w:val="Indenti"/>
      </w:pPr>
      <w:r>
        <w:tab/>
        <w:t>(iii)</w:t>
      </w:r>
      <w:r>
        <w:tab/>
        <w:t>the appraisal of discoveries; and</w:t>
      </w:r>
    </w:p>
    <w:p>
      <w:pPr>
        <w:pStyle w:val="Indenti"/>
      </w:pPr>
      <w:r>
        <w:tab/>
        <w:t>(iv)</w:t>
      </w:r>
      <w:r>
        <w:tab/>
        <w:t>operations relating to the recovery of petroleum or geothermal energy;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and geothermal energy resources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pageBreakBefore/>
      </w:pPr>
      <w:bookmarkStart w:id="15" w:name="_Toc92809626"/>
      <w:bookmarkStart w:id="16" w:name="_Toc44316335"/>
      <w:r>
        <w:rPr>
          <w:rStyle w:val="CharSectno"/>
        </w:rPr>
        <w:t>4</w:t>
      </w:r>
      <w:r>
        <w:t>.</w:t>
      </w:r>
      <w:r>
        <w:tab/>
        <w:t>Terms used</w:t>
      </w:r>
      <w:bookmarkEnd w:id="15"/>
      <w:bookmarkEnd w:id="16"/>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 special prospecting authority;</w:t>
      </w:r>
    </w:p>
    <w:p>
      <w:pPr>
        <w:pStyle w:val="Defpara"/>
      </w:pPr>
      <w:r>
        <w:tab/>
        <w:t>(c)</w:t>
      </w:r>
      <w:r>
        <w:tab/>
        <w:t>an access authority;</w:t>
      </w:r>
    </w:p>
    <w:p>
      <w:pPr>
        <w:pStyle w:val="Defpara"/>
      </w:pPr>
      <w:r>
        <w:tab/>
        <w:t>(d)</w:t>
      </w:r>
      <w:r>
        <w:tab/>
        <w:t>an instrument of consent under section 116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 special prospecting authority is in force;</w:t>
      </w:r>
    </w:p>
    <w:p>
      <w:pPr>
        <w:pStyle w:val="Defpara"/>
      </w:pPr>
      <w:r>
        <w:tab/>
        <w:t>(c)</w:t>
      </w:r>
      <w:r>
        <w:tab/>
        <w:t>an area in respect of which an access authority is in force;</w:t>
      </w:r>
    </w:p>
    <w:p>
      <w:pPr>
        <w:pStyle w:val="Defpara"/>
      </w:pPr>
      <w:r>
        <w:tab/>
        <w:t>(d)</w:t>
      </w:r>
      <w:r>
        <w:tab/>
        <w:t>an area to which an instrument of consent under section 116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the registered holder of a special prospecting authority;</w:t>
      </w:r>
    </w:p>
    <w:p>
      <w:pPr>
        <w:pStyle w:val="Defpara"/>
      </w:pPr>
      <w:r>
        <w:tab/>
        <w:t>(c)</w:t>
      </w:r>
      <w:r>
        <w:tab/>
        <w:t>the registered holder of an access authority;</w:t>
      </w:r>
    </w:p>
    <w:p>
      <w:pPr>
        <w:pStyle w:val="Defpara"/>
      </w:pPr>
      <w:r>
        <w:tab/>
        <w:t>(d)</w:t>
      </w:r>
      <w:r>
        <w:tab/>
        <w:t>the person specified in an instrument of consent under section 116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 geothermal energy resources; or</w:t>
      </w:r>
    </w:p>
    <w:p>
      <w:pPr>
        <w:pStyle w:val="Defpara"/>
      </w:pPr>
      <w:r>
        <w:tab/>
        <w:t>(b)</w:t>
      </w:r>
      <w:r>
        <w:tab/>
        <w:t>the appraisal of a discovery of petroleum or geothermal energy resources; or</w:t>
      </w:r>
    </w:p>
    <w:p>
      <w:pPr>
        <w:pStyle w:val="Defpara"/>
      </w:pPr>
      <w:r>
        <w:tab/>
        <w:t>(c)</w:t>
      </w:r>
      <w:r>
        <w:tab/>
        <w:t>the recovery of petroleum or geothermal energy;</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drilling reservation;</w:t>
      </w:r>
    </w:p>
    <w:p>
      <w:pPr>
        <w:pStyle w:val="Defpara"/>
      </w:pPr>
      <w:r>
        <w:tab/>
        <w:t>(c)</w:t>
      </w:r>
      <w:r>
        <w:tab/>
        <w:t>a lease;</w:t>
      </w:r>
    </w:p>
    <w:p>
      <w:pPr>
        <w:pStyle w:val="Defpara"/>
      </w:pPr>
      <w:r>
        <w:tab/>
        <w:t>(d)</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the area constituted by the blocks that are the subject of a drilling reservation;</w:t>
      </w:r>
    </w:p>
    <w:p>
      <w:pPr>
        <w:pStyle w:val="Defpara"/>
      </w:pPr>
      <w:r>
        <w:tab/>
        <w:t>(c)</w:t>
      </w:r>
      <w:r>
        <w:tab/>
        <w:t>a lease area;</w:t>
      </w:r>
    </w:p>
    <w:p>
      <w:pPr>
        <w:pStyle w:val="Defpara"/>
      </w:pPr>
      <w:r>
        <w:tab/>
        <w:t>(d)</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the registered holder of a drilling reservation;</w:t>
      </w:r>
    </w:p>
    <w:p>
      <w:pPr>
        <w:pStyle w:val="Defpara"/>
      </w:pPr>
      <w:r>
        <w:tab/>
        <w:t>(c)</w:t>
      </w:r>
      <w:r>
        <w:tab/>
        <w:t>a lessee;</w:t>
      </w:r>
    </w:p>
    <w:p>
      <w:pPr>
        <w:pStyle w:val="Defpara"/>
      </w:pPr>
      <w:r>
        <w:tab/>
        <w:t>(d)</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 geothermal energy resources;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17" w:name="_Toc92800314"/>
      <w:bookmarkStart w:id="18" w:name="_Toc92800627"/>
      <w:bookmarkStart w:id="19" w:name="_Toc92809627"/>
      <w:bookmarkStart w:id="20" w:name="_Toc44055550"/>
      <w:bookmarkStart w:id="21" w:name="_Toc44061485"/>
      <w:bookmarkStart w:id="22" w:name="_Toc44316336"/>
      <w:r>
        <w:rPr>
          <w:rStyle w:val="CharPartNo"/>
        </w:rPr>
        <w:t>Part 2</w:t>
      </w:r>
      <w:r>
        <w:rPr>
          <w:rStyle w:val="CharDivNo"/>
        </w:rPr>
        <w:t> </w:t>
      </w:r>
      <w:r>
        <w:t>—</w:t>
      </w:r>
      <w:r>
        <w:rPr>
          <w:rStyle w:val="CharDivText"/>
        </w:rPr>
        <w:t> </w:t>
      </w:r>
      <w:r>
        <w:rPr>
          <w:rStyle w:val="CharPartText"/>
        </w:rPr>
        <w:t>Surveys</w:t>
      </w:r>
      <w:bookmarkEnd w:id="17"/>
      <w:bookmarkEnd w:id="18"/>
      <w:bookmarkEnd w:id="19"/>
      <w:bookmarkEnd w:id="20"/>
      <w:bookmarkEnd w:id="21"/>
      <w:bookmarkEnd w:id="22"/>
    </w:p>
    <w:p>
      <w:pPr>
        <w:pStyle w:val="Heading5"/>
      </w:pPr>
      <w:bookmarkStart w:id="23" w:name="_Toc92809628"/>
      <w:bookmarkStart w:id="24" w:name="_Toc44316337"/>
      <w:r>
        <w:rPr>
          <w:rStyle w:val="CharSectno"/>
        </w:rPr>
        <w:t>5</w:t>
      </w:r>
      <w:r>
        <w:t>.</w:t>
      </w:r>
      <w:r>
        <w:tab/>
        <w:t>Requirement for approval of survey</w:t>
      </w:r>
      <w:bookmarkEnd w:id="23"/>
      <w:bookmarkEnd w:id="24"/>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25" w:name="_Toc92809629"/>
      <w:bookmarkStart w:id="26" w:name="_Toc44316338"/>
      <w:r>
        <w:rPr>
          <w:rStyle w:val="CharSectno"/>
        </w:rPr>
        <w:t>6</w:t>
      </w:r>
      <w:r>
        <w:t>.</w:t>
      </w:r>
      <w:r>
        <w:tab/>
        <w:t>Application for approval of survey</w:t>
      </w:r>
      <w:bookmarkEnd w:id="25"/>
      <w:bookmarkEnd w:id="26"/>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tab/>
        <w:t>(x)</w:t>
      </w:r>
      <w:r>
        <w:tab/>
        <w:t>the name and contact details of the person who will have responsibility for communications with the Minister regarding the survey;</w:t>
      </w:r>
    </w:p>
    <w:p>
      <w:pPr>
        <w:pStyle w:val="Indenti"/>
        <w:rPr>
          <w:rStyle w:val="DraftersNotes"/>
          <w:b w:val="0"/>
          <w:i w:val="0"/>
          <w:sz w:val="24"/>
        </w:rPr>
      </w:pPr>
      <w:r>
        <w:tab/>
        <w:t>(xi)</w:t>
      </w:r>
      <w:r>
        <w:tab/>
        <w:t>details of anything the instrument holder is aware of that is likely to prevent the instrument holder from complying with the requirements of regulation 76(2)(b) in relation to the survey;</w:t>
      </w:r>
    </w:p>
    <w:p>
      <w:pPr>
        <w:pStyle w:val="Indenta"/>
      </w:pPr>
      <w:r>
        <w:tab/>
      </w:r>
      <w:r>
        <w:tab/>
        <w:t>and</w:t>
      </w:r>
    </w:p>
    <w:p>
      <w:pPr>
        <w:pStyle w:val="Indenta"/>
      </w:pPr>
      <w:r>
        <w:tab/>
        <w:t>(c)</w:t>
      </w:r>
      <w:r>
        <w:tab/>
        <w:t>must be accompanied by a cadastral map in a form approved by the Minister showing details of existing land tenure in the area where the survey is to be undertaken.</w:t>
      </w:r>
    </w:p>
    <w:p>
      <w:pPr>
        <w:pStyle w:val="Heading5"/>
      </w:pPr>
      <w:bookmarkStart w:id="27" w:name="_Toc92809630"/>
      <w:bookmarkStart w:id="28" w:name="_Toc44316339"/>
      <w:r>
        <w:rPr>
          <w:rStyle w:val="CharSectno"/>
        </w:rPr>
        <w:t>7</w:t>
      </w:r>
      <w:r>
        <w:t>.</w:t>
      </w:r>
      <w:r>
        <w:tab/>
        <w:t>Time for making application</w:t>
      </w:r>
      <w:bookmarkEnd w:id="27"/>
      <w:bookmarkEnd w:id="28"/>
    </w:p>
    <w:p>
      <w:pPr>
        <w:pStyle w:val="Subsection"/>
      </w:pPr>
      <w:r>
        <w:tab/>
        <w:t>(1)</w:t>
      </w:r>
      <w:r>
        <w:tab/>
        <w:t>Unless subregulation (2) applies, an application under regulation 6(1) must be made at least 30 days before the proposed start date for the survey.</w:t>
      </w:r>
    </w:p>
    <w:p>
      <w:pPr>
        <w:pStyle w:val="Subsection"/>
      </w:pPr>
      <w:r>
        <w:tab/>
        <w:t>(2)</w:t>
      </w:r>
      <w:r>
        <w:tab/>
        <w:t xml:space="preserve">If an application under regulation 6(1) relates to a survey that is to be undertaken in an area that is or includes land reserved, declared or otherwise dedicated under the </w:t>
      </w:r>
      <w:r>
        <w:rPr>
          <w:i/>
        </w:rPr>
        <w:t>Land Administration Act 1997</w:t>
      </w:r>
      <w:r>
        <w:t xml:space="preserve"> or any other written law, the application must be made at least 90 days before the proposed start date for the survey.</w:t>
      </w:r>
    </w:p>
    <w:p>
      <w:pPr>
        <w:pStyle w:val="Heading5"/>
      </w:pPr>
      <w:bookmarkStart w:id="29" w:name="_Toc92809631"/>
      <w:bookmarkStart w:id="30" w:name="_Toc44316340"/>
      <w:r>
        <w:rPr>
          <w:rStyle w:val="CharSectno"/>
        </w:rPr>
        <w:t>8</w:t>
      </w:r>
      <w:r>
        <w:t>.</w:t>
      </w:r>
      <w:r>
        <w:tab/>
        <w:t>Minister may request more information</w:t>
      </w:r>
      <w:bookmarkEnd w:id="29"/>
      <w:bookmarkEnd w:id="30"/>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31" w:name="_Toc92809632"/>
      <w:bookmarkStart w:id="32" w:name="_Toc44316341"/>
      <w:r>
        <w:rPr>
          <w:rStyle w:val="CharSectno"/>
        </w:rPr>
        <w:t>9</w:t>
      </w:r>
      <w:r>
        <w:t>.</w:t>
      </w:r>
      <w:r>
        <w:tab/>
        <w:t>Decision on application</w:t>
      </w:r>
      <w:bookmarkEnd w:id="31"/>
      <w:bookmarkEnd w:id="32"/>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33" w:name="_Toc92800320"/>
      <w:bookmarkStart w:id="34" w:name="_Toc92800633"/>
      <w:bookmarkStart w:id="35" w:name="_Toc92809633"/>
      <w:bookmarkStart w:id="36" w:name="_Toc44055556"/>
      <w:bookmarkStart w:id="37" w:name="_Toc44061491"/>
      <w:bookmarkStart w:id="38" w:name="_Toc44316342"/>
      <w:r>
        <w:rPr>
          <w:rStyle w:val="CharPartNo"/>
        </w:rPr>
        <w:t>Part 3</w:t>
      </w:r>
      <w:r>
        <w:t> — </w:t>
      </w:r>
      <w:r>
        <w:rPr>
          <w:rStyle w:val="CharPartText"/>
        </w:rPr>
        <w:t>Management of well activities</w:t>
      </w:r>
      <w:bookmarkEnd w:id="33"/>
      <w:bookmarkEnd w:id="34"/>
      <w:bookmarkEnd w:id="35"/>
      <w:bookmarkEnd w:id="36"/>
      <w:bookmarkEnd w:id="37"/>
      <w:bookmarkEnd w:id="38"/>
    </w:p>
    <w:p>
      <w:pPr>
        <w:pStyle w:val="Heading3"/>
      </w:pPr>
      <w:bookmarkStart w:id="39" w:name="_Toc92800321"/>
      <w:bookmarkStart w:id="40" w:name="_Toc92800634"/>
      <w:bookmarkStart w:id="41" w:name="_Toc92809634"/>
      <w:bookmarkStart w:id="42" w:name="_Toc44055557"/>
      <w:bookmarkStart w:id="43" w:name="_Toc44061492"/>
      <w:bookmarkStart w:id="44" w:name="_Toc44316343"/>
      <w:r>
        <w:rPr>
          <w:rStyle w:val="CharDivNo"/>
        </w:rPr>
        <w:t>Division 1</w:t>
      </w:r>
      <w:r>
        <w:t> — </w:t>
      </w:r>
      <w:r>
        <w:rPr>
          <w:rStyle w:val="CharDivText"/>
        </w:rPr>
        <w:t>Well management plan</w:t>
      </w:r>
      <w:bookmarkEnd w:id="39"/>
      <w:bookmarkEnd w:id="40"/>
      <w:bookmarkEnd w:id="41"/>
      <w:bookmarkEnd w:id="42"/>
      <w:bookmarkEnd w:id="43"/>
      <w:bookmarkEnd w:id="44"/>
    </w:p>
    <w:p>
      <w:pPr>
        <w:pStyle w:val="Heading4"/>
      </w:pPr>
      <w:bookmarkStart w:id="45" w:name="_Toc92800322"/>
      <w:bookmarkStart w:id="46" w:name="_Toc92800635"/>
      <w:bookmarkStart w:id="47" w:name="_Toc92809635"/>
      <w:bookmarkStart w:id="48" w:name="_Toc44055558"/>
      <w:bookmarkStart w:id="49" w:name="_Toc44061493"/>
      <w:bookmarkStart w:id="50" w:name="_Toc44316344"/>
      <w:r>
        <w:t>Subdivision 1 — Requirements relating to approved well management plan</w:t>
      </w:r>
      <w:bookmarkEnd w:id="45"/>
      <w:bookmarkEnd w:id="46"/>
      <w:bookmarkEnd w:id="47"/>
      <w:bookmarkEnd w:id="48"/>
      <w:bookmarkEnd w:id="49"/>
      <w:bookmarkEnd w:id="50"/>
    </w:p>
    <w:p>
      <w:pPr>
        <w:pStyle w:val="Heading5"/>
      </w:pPr>
      <w:bookmarkStart w:id="51" w:name="_Toc92809636"/>
      <w:bookmarkStart w:id="52" w:name="_Toc44316345"/>
      <w:r>
        <w:rPr>
          <w:rStyle w:val="CharSectno"/>
        </w:rPr>
        <w:t>10</w:t>
      </w:r>
      <w:r>
        <w:t>.</w:t>
      </w:r>
      <w:r>
        <w:tab/>
        <w:t>Requirement to have approved well management plan</w:t>
      </w:r>
      <w:bookmarkEnd w:id="51"/>
      <w:bookmarkEnd w:id="52"/>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53" w:name="_Toc92809637"/>
      <w:bookmarkStart w:id="54" w:name="_Toc44316346"/>
      <w:r>
        <w:rPr>
          <w:rStyle w:val="CharSectno"/>
        </w:rPr>
        <w:t>11</w:t>
      </w:r>
      <w:r>
        <w:t>.</w:t>
      </w:r>
      <w:r>
        <w:tab/>
        <w:t>Requirement to undertake well activity in accordance with approved well management plan</w:t>
      </w:r>
      <w:bookmarkEnd w:id="53"/>
      <w:bookmarkEnd w:id="54"/>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55" w:name="_Toc92800325"/>
      <w:bookmarkStart w:id="56" w:name="_Toc92800638"/>
      <w:bookmarkStart w:id="57" w:name="_Toc92809638"/>
      <w:bookmarkStart w:id="58" w:name="_Toc44055561"/>
      <w:bookmarkStart w:id="59" w:name="_Toc44061496"/>
      <w:bookmarkStart w:id="60" w:name="_Toc44316347"/>
      <w:r>
        <w:t>Subdivision 2 — Obtaining approval of well management plan</w:t>
      </w:r>
      <w:bookmarkEnd w:id="55"/>
      <w:bookmarkEnd w:id="56"/>
      <w:bookmarkEnd w:id="57"/>
      <w:bookmarkEnd w:id="58"/>
      <w:bookmarkEnd w:id="59"/>
      <w:bookmarkEnd w:id="60"/>
    </w:p>
    <w:p>
      <w:pPr>
        <w:pStyle w:val="Heading5"/>
      </w:pPr>
      <w:bookmarkStart w:id="61" w:name="_Toc92809639"/>
      <w:bookmarkStart w:id="62" w:name="_Toc44316348"/>
      <w:r>
        <w:rPr>
          <w:rStyle w:val="CharSectno"/>
        </w:rPr>
        <w:t>12</w:t>
      </w:r>
      <w:r>
        <w:t>.</w:t>
      </w:r>
      <w:r>
        <w:tab/>
        <w:t>Application for approval of well management plan</w:t>
      </w:r>
      <w:bookmarkEnd w:id="61"/>
      <w:bookmarkEnd w:id="62"/>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pPr>
      <w:bookmarkStart w:id="63" w:name="_Toc92809640"/>
      <w:bookmarkStart w:id="64" w:name="_Toc44316349"/>
      <w:r>
        <w:rPr>
          <w:rStyle w:val="CharSectno"/>
        </w:rPr>
        <w:t>13</w:t>
      </w:r>
      <w:r>
        <w:t>.</w:t>
      </w:r>
      <w:r>
        <w:tab/>
        <w:t>Decision on well management plan</w:t>
      </w:r>
      <w:bookmarkEnd w:id="63"/>
      <w:bookmarkEnd w:id="64"/>
    </w:p>
    <w:p>
      <w:pPr>
        <w:pStyle w:val="Subsection"/>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65" w:name="_Toc92809641"/>
      <w:bookmarkStart w:id="66" w:name="_Toc44316350"/>
      <w:r>
        <w:rPr>
          <w:rStyle w:val="CharSectno"/>
        </w:rPr>
        <w:t>14</w:t>
      </w:r>
      <w:r>
        <w:t>.</w:t>
      </w:r>
      <w:r>
        <w:tab/>
        <w:t>Notice of decision</w:t>
      </w:r>
      <w:bookmarkEnd w:id="65"/>
      <w:bookmarkEnd w:id="66"/>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67" w:name="_Toc92809642"/>
      <w:bookmarkStart w:id="68" w:name="_Toc44316351"/>
      <w:r>
        <w:rPr>
          <w:rStyle w:val="CharSectno"/>
        </w:rPr>
        <w:t>15</w:t>
      </w:r>
      <w:r>
        <w:t>.</w:t>
      </w:r>
      <w:r>
        <w:tab/>
        <w:t>Date on which well management plan takes effect</w:t>
      </w:r>
      <w:bookmarkEnd w:id="67"/>
      <w:bookmarkEnd w:id="68"/>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69" w:name="_Toc92809643"/>
      <w:bookmarkStart w:id="70" w:name="_Toc44316352"/>
      <w:r>
        <w:rPr>
          <w:rStyle w:val="CharSectno"/>
        </w:rPr>
        <w:t>16</w:t>
      </w:r>
      <w:r>
        <w:t>.</w:t>
      </w:r>
      <w:r>
        <w:tab/>
        <w:t>Criteria for approval of well management plan</w:t>
      </w:r>
      <w:bookmarkEnd w:id="69"/>
      <w:bookmarkEnd w:id="70"/>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if the activity relates to exploration for or the recovery of petroleum, 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71" w:name="_Toc92809644"/>
      <w:bookmarkStart w:id="72" w:name="_Toc44316353"/>
      <w:r>
        <w:rPr>
          <w:rStyle w:val="CharSectno"/>
        </w:rPr>
        <w:t>17</w:t>
      </w:r>
      <w:r>
        <w:t>.</w:t>
      </w:r>
      <w:r>
        <w:tab/>
        <w:t>Content of well management plan</w:t>
      </w:r>
      <w:bookmarkEnd w:id="71"/>
      <w:bookmarkEnd w:id="72"/>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73" w:name="_Toc92809645"/>
      <w:bookmarkStart w:id="74" w:name="_Toc44316354"/>
      <w:r>
        <w:rPr>
          <w:rStyle w:val="CharSectno"/>
        </w:rPr>
        <w:t>18</w:t>
      </w:r>
      <w:r>
        <w:t>.</w:t>
      </w:r>
      <w:r>
        <w:tab/>
        <w:t>Status of well management plan</w:t>
      </w:r>
      <w:bookmarkEnd w:id="73"/>
      <w:bookmarkEnd w:id="74"/>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75" w:name="_Toc92800333"/>
      <w:bookmarkStart w:id="76" w:name="_Toc92800646"/>
      <w:bookmarkStart w:id="77" w:name="_Toc92809646"/>
      <w:bookmarkStart w:id="78" w:name="_Toc44055569"/>
      <w:bookmarkStart w:id="79" w:name="_Toc44061504"/>
      <w:bookmarkStart w:id="80" w:name="_Toc44316355"/>
      <w:r>
        <w:t>Subdivision 3 — Revision of well management plan</w:t>
      </w:r>
      <w:bookmarkEnd w:id="75"/>
      <w:bookmarkEnd w:id="76"/>
      <w:bookmarkEnd w:id="77"/>
      <w:bookmarkEnd w:id="78"/>
      <w:bookmarkEnd w:id="79"/>
      <w:bookmarkEnd w:id="80"/>
    </w:p>
    <w:p>
      <w:pPr>
        <w:pStyle w:val="Heading5"/>
      </w:pPr>
      <w:bookmarkStart w:id="81" w:name="_Toc92809647"/>
      <w:bookmarkStart w:id="82" w:name="_Toc44316356"/>
      <w:r>
        <w:rPr>
          <w:rStyle w:val="CharSectno"/>
        </w:rPr>
        <w:t>19</w:t>
      </w:r>
      <w:r>
        <w:t>.</w:t>
      </w:r>
      <w:r>
        <w:tab/>
        <w:t>Application for approval of revision of well management plan</w:t>
      </w:r>
      <w:bookmarkEnd w:id="81"/>
      <w:bookmarkEnd w:id="82"/>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83" w:name="_Toc92809648"/>
      <w:bookmarkStart w:id="84" w:name="_Toc44316357"/>
      <w:r>
        <w:rPr>
          <w:rStyle w:val="CharSectno"/>
        </w:rPr>
        <w:t>20</w:t>
      </w:r>
      <w:r>
        <w:t>.</w:t>
      </w:r>
      <w:r>
        <w:tab/>
        <w:t>Application for approval of revision required in certain circumstances</w:t>
      </w:r>
      <w:bookmarkEnd w:id="83"/>
      <w:bookmarkEnd w:id="84"/>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85" w:name="_Toc92809649"/>
      <w:bookmarkStart w:id="86" w:name="_Toc44316358"/>
      <w:r>
        <w:rPr>
          <w:rStyle w:val="CharSectno"/>
        </w:rPr>
        <w:t>21</w:t>
      </w:r>
      <w:r>
        <w:t>.</w:t>
      </w:r>
      <w:r>
        <w:tab/>
        <w:t>Decision on application for approval of revision</w:t>
      </w:r>
      <w:bookmarkEnd w:id="85"/>
      <w:bookmarkEnd w:id="86"/>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87" w:name="_Toc92809650"/>
      <w:bookmarkStart w:id="88" w:name="_Toc44316359"/>
      <w:r>
        <w:rPr>
          <w:rStyle w:val="CharSectno"/>
        </w:rPr>
        <w:t>22</w:t>
      </w:r>
      <w:r>
        <w:t>.</w:t>
      </w:r>
      <w:r>
        <w:tab/>
        <w:t>Notice of decision</w:t>
      </w:r>
      <w:bookmarkEnd w:id="87"/>
      <w:bookmarkEnd w:id="88"/>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89" w:name="_Toc92809651"/>
      <w:bookmarkStart w:id="90" w:name="_Toc44316360"/>
      <w:r>
        <w:rPr>
          <w:rStyle w:val="CharSectno"/>
        </w:rPr>
        <w:t>23</w:t>
      </w:r>
      <w:r>
        <w:t>.</w:t>
      </w:r>
      <w:r>
        <w:tab/>
        <w:t>Date on which revision takes effect</w:t>
      </w:r>
      <w:bookmarkEnd w:id="89"/>
      <w:bookmarkEnd w:id="90"/>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91" w:name="_Toc92809652"/>
      <w:bookmarkStart w:id="92" w:name="_Toc44316361"/>
      <w:r>
        <w:rPr>
          <w:rStyle w:val="CharSectno"/>
        </w:rPr>
        <w:t>24</w:t>
      </w:r>
      <w:r>
        <w:t>.</w:t>
      </w:r>
      <w:r>
        <w:tab/>
        <w:t>Revision required by Minister</w:t>
      </w:r>
      <w:bookmarkEnd w:id="91"/>
      <w:bookmarkEnd w:id="92"/>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93" w:name="_Toc92809653"/>
      <w:bookmarkStart w:id="94" w:name="_Toc44316362"/>
      <w:r>
        <w:rPr>
          <w:rStyle w:val="CharSectno"/>
        </w:rPr>
        <w:t>25</w:t>
      </w:r>
      <w:r>
        <w:t>.</w:t>
      </w:r>
      <w:r>
        <w:tab/>
        <w:t>Objection to requirement to revise approved well management plan</w:t>
      </w:r>
      <w:bookmarkEnd w:id="93"/>
      <w:bookmarkEnd w:id="94"/>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95" w:name="_Toc92809654"/>
      <w:bookmarkStart w:id="96" w:name="_Toc44316363"/>
      <w:r>
        <w:rPr>
          <w:rStyle w:val="CharSectno"/>
        </w:rPr>
        <w:t>26</w:t>
      </w:r>
      <w:r>
        <w:t>.</w:t>
      </w:r>
      <w:r>
        <w:tab/>
        <w:t>Decision on objection</w:t>
      </w:r>
      <w:bookmarkEnd w:id="95"/>
      <w:bookmarkEnd w:id="96"/>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97" w:name="_Toc92809655"/>
      <w:bookmarkStart w:id="98" w:name="_Toc44316364"/>
      <w:r>
        <w:rPr>
          <w:rStyle w:val="CharSectno"/>
        </w:rPr>
        <w:t>27</w:t>
      </w:r>
      <w:r>
        <w:t>.</w:t>
      </w:r>
      <w:r>
        <w:tab/>
        <w:t>Title holder required to comply with notice</w:t>
      </w:r>
      <w:bookmarkEnd w:id="97"/>
      <w:bookmarkEnd w:id="98"/>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99" w:name="_Toc92800343"/>
      <w:bookmarkStart w:id="100" w:name="_Toc92800656"/>
      <w:bookmarkStart w:id="101" w:name="_Toc92809656"/>
      <w:bookmarkStart w:id="102" w:name="_Toc44055579"/>
      <w:bookmarkStart w:id="103" w:name="_Toc44061514"/>
      <w:bookmarkStart w:id="104" w:name="_Toc44316365"/>
      <w:r>
        <w:t>Subdivision 4 — Termination of well management plan</w:t>
      </w:r>
      <w:bookmarkEnd w:id="99"/>
      <w:bookmarkEnd w:id="100"/>
      <w:bookmarkEnd w:id="101"/>
      <w:bookmarkEnd w:id="102"/>
      <w:bookmarkEnd w:id="103"/>
      <w:bookmarkEnd w:id="104"/>
    </w:p>
    <w:p>
      <w:pPr>
        <w:pStyle w:val="Heading5"/>
      </w:pPr>
      <w:bookmarkStart w:id="105" w:name="_Toc92809657"/>
      <w:bookmarkStart w:id="106" w:name="_Toc44316366"/>
      <w:r>
        <w:rPr>
          <w:rStyle w:val="CharSectno"/>
        </w:rPr>
        <w:t>28</w:t>
      </w:r>
      <w:r>
        <w:t>.</w:t>
      </w:r>
      <w:r>
        <w:tab/>
        <w:t>Termination of well management plan</w:t>
      </w:r>
      <w:bookmarkEnd w:id="105"/>
      <w:bookmarkEnd w:id="106"/>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107" w:name="_Toc92800345"/>
      <w:bookmarkStart w:id="108" w:name="_Toc92800658"/>
      <w:bookmarkStart w:id="109" w:name="_Toc92809658"/>
      <w:bookmarkStart w:id="110" w:name="_Toc44055581"/>
      <w:bookmarkStart w:id="111" w:name="_Toc44061516"/>
      <w:bookmarkStart w:id="112" w:name="_Toc44316367"/>
      <w:r>
        <w:t>Subdivision 5 — Withdrawal of approval of well management plan</w:t>
      </w:r>
      <w:bookmarkEnd w:id="107"/>
      <w:bookmarkEnd w:id="108"/>
      <w:bookmarkEnd w:id="109"/>
      <w:bookmarkEnd w:id="110"/>
      <w:bookmarkEnd w:id="111"/>
      <w:bookmarkEnd w:id="112"/>
    </w:p>
    <w:p>
      <w:pPr>
        <w:pStyle w:val="Heading5"/>
      </w:pPr>
      <w:bookmarkStart w:id="113" w:name="_Toc92809659"/>
      <w:bookmarkStart w:id="114" w:name="_Toc44316368"/>
      <w:r>
        <w:rPr>
          <w:rStyle w:val="CharSectno"/>
        </w:rPr>
        <w:t>29</w:t>
      </w:r>
      <w:r>
        <w:t>.</w:t>
      </w:r>
      <w:r>
        <w:tab/>
        <w:t>Reasons for withdrawal of approval</w:t>
      </w:r>
      <w:bookmarkEnd w:id="113"/>
      <w:bookmarkEnd w:id="114"/>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95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115" w:name="_Toc92809660"/>
      <w:bookmarkStart w:id="116" w:name="_Toc44316369"/>
      <w:r>
        <w:rPr>
          <w:rStyle w:val="CharSectno"/>
        </w:rPr>
        <w:t>30</w:t>
      </w:r>
      <w:r>
        <w:t>.</w:t>
      </w:r>
      <w:r>
        <w:tab/>
        <w:t>Notice of proposal to withdraw approval</w:t>
      </w:r>
      <w:bookmarkEnd w:id="115"/>
      <w:bookmarkEnd w:id="116"/>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117" w:name="_Toc92809661"/>
      <w:bookmarkStart w:id="118" w:name="_Toc44316370"/>
      <w:r>
        <w:rPr>
          <w:rStyle w:val="CharSectno"/>
        </w:rPr>
        <w:t>31</w:t>
      </w:r>
      <w:r>
        <w:t>.</w:t>
      </w:r>
      <w:r>
        <w:tab/>
        <w:t>Decision to withdraw approval</w:t>
      </w:r>
      <w:bookmarkEnd w:id="117"/>
      <w:bookmarkEnd w:id="118"/>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119" w:name="_Toc92809662"/>
      <w:bookmarkStart w:id="120" w:name="_Toc44316371"/>
      <w:r>
        <w:rPr>
          <w:rStyle w:val="CharSectno"/>
        </w:rPr>
        <w:t>32</w:t>
      </w:r>
      <w:r>
        <w:t>.</w:t>
      </w:r>
      <w:r>
        <w:tab/>
        <w:t>Relationship between withdrawal and other provisions</w:t>
      </w:r>
      <w:bookmarkEnd w:id="119"/>
      <w:bookmarkEnd w:id="120"/>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pPr>
      <w:bookmarkStart w:id="121" w:name="_Toc92800350"/>
      <w:bookmarkStart w:id="122" w:name="_Toc92800663"/>
      <w:bookmarkStart w:id="123" w:name="_Toc92809663"/>
      <w:bookmarkStart w:id="124" w:name="_Toc44055586"/>
      <w:bookmarkStart w:id="125" w:name="_Toc44061521"/>
      <w:bookmarkStart w:id="126" w:name="_Toc44316372"/>
      <w:r>
        <w:rPr>
          <w:rStyle w:val="CharDivNo"/>
        </w:rPr>
        <w:t>Division 2</w:t>
      </w:r>
      <w:r>
        <w:t> — </w:t>
      </w:r>
      <w:r>
        <w:rPr>
          <w:rStyle w:val="CharDivText"/>
        </w:rPr>
        <w:t>Control of hazards and risks</w:t>
      </w:r>
      <w:bookmarkEnd w:id="121"/>
      <w:bookmarkEnd w:id="122"/>
      <w:bookmarkEnd w:id="123"/>
      <w:bookmarkEnd w:id="124"/>
      <w:bookmarkEnd w:id="125"/>
      <w:bookmarkEnd w:id="126"/>
    </w:p>
    <w:p>
      <w:pPr>
        <w:pStyle w:val="Heading5"/>
      </w:pPr>
      <w:bookmarkStart w:id="127" w:name="_Toc92809664"/>
      <w:bookmarkStart w:id="128" w:name="_Toc44316373"/>
      <w:r>
        <w:rPr>
          <w:rStyle w:val="CharSectno"/>
        </w:rPr>
        <w:t>33</w:t>
      </w:r>
      <w:r>
        <w:t>.</w:t>
      </w:r>
      <w:r>
        <w:tab/>
        <w:t>Requirement to control well integrity hazard or risk</w:t>
      </w:r>
      <w:bookmarkEnd w:id="127"/>
      <w:bookmarkEnd w:id="128"/>
    </w:p>
    <w:p>
      <w:pPr>
        <w:pStyle w:val="Subsection"/>
      </w:pPr>
      <w:r>
        <w:tab/>
      </w:r>
      <w:r>
        <w:tab/>
        <w:t xml:space="preserve">A title holder commits an offence if — </w:t>
      </w:r>
    </w:p>
    <w:p>
      <w:pPr>
        <w:pStyle w:val="Indenta"/>
      </w:pPr>
      <w:r>
        <w:tab/>
        <w:t>(a)</w:t>
      </w:r>
      <w:r>
        <w:tab/>
        <w:t>the title holder is operating a well in a title area; and</w:t>
      </w:r>
    </w:p>
    <w:p>
      <w:pPr>
        <w:pStyle w:val="Indenta"/>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129" w:name="_Toc92800352"/>
      <w:bookmarkStart w:id="130" w:name="_Toc92800665"/>
      <w:bookmarkStart w:id="131" w:name="_Toc92809665"/>
      <w:bookmarkStart w:id="132" w:name="_Toc44055588"/>
      <w:bookmarkStart w:id="133" w:name="_Toc44061523"/>
      <w:bookmarkStart w:id="134" w:name="_Toc44316374"/>
      <w:r>
        <w:rPr>
          <w:rStyle w:val="CharPartNo"/>
        </w:rPr>
        <w:t>Part 4</w:t>
      </w:r>
      <w:r>
        <w:rPr>
          <w:rStyle w:val="CharDivNo"/>
        </w:rPr>
        <w:t> </w:t>
      </w:r>
      <w:r>
        <w:t>—</w:t>
      </w:r>
      <w:r>
        <w:rPr>
          <w:rStyle w:val="CharDivText"/>
        </w:rPr>
        <w:t> </w:t>
      </w:r>
      <w:r>
        <w:rPr>
          <w:rStyle w:val="CharPartText"/>
        </w:rPr>
        <w:t>Discovery assessment reports</w:t>
      </w:r>
      <w:bookmarkEnd w:id="129"/>
      <w:bookmarkEnd w:id="130"/>
      <w:bookmarkEnd w:id="131"/>
      <w:bookmarkEnd w:id="132"/>
      <w:bookmarkEnd w:id="133"/>
      <w:bookmarkEnd w:id="134"/>
    </w:p>
    <w:p>
      <w:pPr>
        <w:pStyle w:val="Heading5"/>
      </w:pPr>
      <w:bookmarkStart w:id="135" w:name="_Toc92809666"/>
      <w:bookmarkStart w:id="136" w:name="_Toc44316375"/>
      <w:r>
        <w:rPr>
          <w:rStyle w:val="CharSectno"/>
        </w:rPr>
        <w:t>34</w:t>
      </w:r>
      <w:r>
        <w:t>.</w:t>
      </w:r>
      <w:r>
        <w:tab/>
        <w:t>Application of Part</w:t>
      </w:r>
      <w:bookmarkEnd w:id="135"/>
      <w:bookmarkEnd w:id="136"/>
    </w:p>
    <w:p>
      <w:pPr>
        <w:pStyle w:val="Subsection"/>
      </w:pPr>
      <w:r>
        <w:tab/>
      </w:r>
      <w:r>
        <w:tab/>
        <w:t>This Part applies to a title holder who is required, under section 44 or 48J of the Act, to furnish to the Minister particulars of a discovery.</w:t>
      </w:r>
    </w:p>
    <w:p>
      <w:pPr>
        <w:pStyle w:val="Heading5"/>
      </w:pPr>
      <w:bookmarkStart w:id="137" w:name="_Toc92809667"/>
      <w:bookmarkStart w:id="138" w:name="_Toc44316376"/>
      <w:r>
        <w:rPr>
          <w:rStyle w:val="CharSectno"/>
        </w:rPr>
        <w:t>35</w:t>
      </w:r>
      <w:r>
        <w:t>.</w:t>
      </w:r>
      <w:r>
        <w:tab/>
        <w:t>Minister may request additional information for discovery assessment report</w:t>
      </w:r>
      <w:bookmarkEnd w:id="137"/>
      <w:bookmarkEnd w:id="138"/>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139" w:name="_Toc92809668"/>
      <w:bookmarkStart w:id="140" w:name="_Toc44316377"/>
      <w:r>
        <w:rPr>
          <w:rStyle w:val="CharSectno"/>
        </w:rPr>
        <w:t>36</w:t>
      </w:r>
      <w:r>
        <w:t>.</w:t>
      </w:r>
      <w:r>
        <w:tab/>
        <w:t>Requirement to provide discovery assessment report</w:t>
      </w:r>
      <w:bookmarkEnd w:id="139"/>
      <w:bookmarkEnd w:id="140"/>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 or geothermal resources area;</w:t>
      </w:r>
    </w:p>
    <w:p>
      <w:pPr>
        <w:pStyle w:val="Defpara"/>
      </w:pPr>
      <w:r>
        <w:tab/>
        <w:t>(c)</w:t>
      </w:r>
      <w:r>
        <w:tab/>
        <w:t>details of the geological structure or underground formation in which the petroleum is located or the geothermal energy resources are located;</w:t>
      </w:r>
    </w:p>
    <w:p>
      <w:pPr>
        <w:pStyle w:val="Defpara"/>
      </w:pPr>
      <w:r>
        <w:tab/>
        <w:t>(d)</w:t>
      </w:r>
      <w:r>
        <w:tab/>
        <w:t>the results of all assessments of the discovery;</w:t>
      </w:r>
    </w:p>
    <w:p>
      <w:pPr>
        <w:pStyle w:val="Defpara"/>
      </w:pPr>
      <w:r>
        <w:tab/>
        <w:t>(e)</w:t>
      </w:r>
      <w:r>
        <w:tab/>
        <w:t>if the rate or quantity of production of petroleum and water, or geothermal energy and water, from the well that resulted in the discovery has been determined — that rate or quantity;</w:t>
      </w:r>
    </w:p>
    <w:p>
      <w:pPr>
        <w:pStyle w:val="Defpara"/>
      </w:pPr>
      <w:r>
        <w:tab/>
        <w:t>(f)</w:t>
      </w:r>
      <w:r>
        <w:tab/>
        <w:t>the data used to estimate the quantity of petroleum in the petroleum pool or the quantity of geothermal energy resources in the geothermal resources area;</w:t>
      </w:r>
    </w:p>
    <w:p>
      <w:pPr>
        <w:pStyle w:val="Defpara"/>
      </w:pPr>
      <w:r>
        <w:tab/>
        <w:t>(g)</w:t>
      </w:r>
      <w:r>
        <w:tab/>
        <w:t>a preliminary estimate of the quantity of recoverable petroleum in the petroleum pool or the quantity of recoverable geothermal energy in the geothermal resources area;</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141" w:name="_Toc92800356"/>
      <w:bookmarkStart w:id="142" w:name="_Toc92800669"/>
      <w:bookmarkStart w:id="143" w:name="_Toc92809669"/>
      <w:bookmarkStart w:id="144" w:name="_Toc44055592"/>
      <w:bookmarkStart w:id="145" w:name="_Toc44061527"/>
      <w:bookmarkStart w:id="146" w:name="_Toc44316378"/>
      <w:r>
        <w:rPr>
          <w:rStyle w:val="CharPartNo"/>
        </w:rPr>
        <w:t>Part 5</w:t>
      </w:r>
      <w:r>
        <w:rPr>
          <w:rStyle w:val="CharDivNo"/>
        </w:rPr>
        <w:t> </w:t>
      </w:r>
      <w:r>
        <w:t>—</w:t>
      </w:r>
      <w:r>
        <w:rPr>
          <w:rStyle w:val="CharDivText"/>
        </w:rPr>
        <w:t> </w:t>
      </w:r>
      <w:r>
        <w:rPr>
          <w:rStyle w:val="CharPartText"/>
        </w:rPr>
        <w:t>Annual assessment reports</w:t>
      </w:r>
      <w:bookmarkEnd w:id="141"/>
      <w:bookmarkEnd w:id="142"/>
      <w:bookmarkEnd w:id="143"/>
      <w:bookmarkEnd w:id="144"/>
      <w:bookmarkEnd w:id="145"/>
      <w:bookmarkEnd w:id="146"/>
    </w:p>
    <w:p>
      <w:pPr>
        <w:pStyle w:val="Heading5"/>
      </w:pPr>
      <w:bookmarkStart w:id="147" w:name="_Toc92809670"/>
      <w:bookmarkStart w:id="148" w:name="_Toc44316379"/>
      <w:r>
        <w:rPr>
          <w:rStyle w:val="CharSectno"/>
        </w:rPr>
        <w:t>37</w:t>
      </w:r>
      <w:r>
        <w:t>.</w:t>
      </w:r>
      <w:r>
        <w:tab/>
        <w:t>Requirement to provide annual assessment report</w:t>
      </w:r>
      <w:bookmarkEnd w:id="147"/>
      <w:bookmarkEnd w:id="148"/>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or holder of a drilling reservation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149" w:name="_Toc92809671"/>
      <w:bookmarkStart w:id="150" w:name="_Toc44316380"/>
      <w:r>
        <w:rPr>
          <w:rStyle w:val="CharSectno"/>
        </w:rPr>
        <w:t>38</w:t>
      </w:r>
      <w:r>
        <w:t>.</w:t>
      </w:r>
      <w:r>
        <w:tab/>
        <w:t>Reports may be combined</w:t>
      </w:r>
      <w:bookmarkEnd w:id="149"/>
      <w:bookmarkEnd w:id="150"/>
    </w:p>
    <w:p>
      <w:pPr>
        <w:pStyle w:val="Subsection"/>
      </w:pPr>
      <w:r>
        <w:tab/>
      </w:r>
      <w:r>
        <w:tab/>
        <w:t>A title holder with more than one title may combine the annual assessment reports into a single document with the written agreement of the Minister.</w:t>
      </w:r>
    </w:p>
    <w:p>
      <w:pPr>
        <w:pStyle w:val="Heading5"/>
      </w:pPr>
      <w:bookmarkStart w:id="151" w:name="_Toc92809672"/>
      <w:bookmarkStart w:id="152" w:name="_Toc44316381"/>
      <w:r>
        <w:rPr>
          <w:rStyle w:val="CharSectno"/>
        </w:rPr>
        <w:t>39</w:t>
      </w:r>
      <w:r>
        <w:t>.</w:t>
      </w:r>
      <w:r>
        <w:tab/>
        <w:t>Assessment report for part of year</w:t>
      </w:r>
      <w:bookmarkEnd w:id="151"/>
      <w:bookmarkEnd w:id="152"/>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153" w:name="_Toc92800360"/>
      <w:bookmarkStart w:id="154" w:name="_Toc92800673"/>
      <w:bookmarkStart w:id="155" w:name="_Toc92809673"/>
      <w:bookmarkStart w:id="156" w:name="_Toc44055596"/>
      <w:bookmarkStart w:id="157" w:name="_Toc44061531"/>
      <w:bookmarkStart w:id="158" w:name="_Toc44316382"/>
      <w:r>
        <w:rPr>
          <w:rStyle w:val="CharPartNo"/>
        </w:rPr>
        <w:t>Part 6</w:t>
      </w:r>
      <w:r>
        <w:t> — </w:t>
      </w:r>
      <w:r>
        <w:rPr>
          <w:rStyle w:val="CharPartText"/>
        </w:rPr>
        <w:t>Field management plans for petroleum recovery</w:t>
      </w:r>
      <w:bookmarkEnd w:id="153"/>
      <w:bookmarkEnd w:id="154"/>
      <w:bookmarkEnd w:id="155"/>
      <w:bookmarkEnd w:id="156"/>
      <w:bookmarkEnd w:id="157"/>
      <w:bookmarkEnd w:id="158"/>
    </w:p>
    <w:p>
      <w:pPr>
        <w:pStyle w:val="Heading3"/>
      </w:pPr>
      <w:bookmarkStart w:id="159" w:name="_Toc92800361"/>
      <w:bookmarkStart w:id="160" w:name="_Toc92800674"/>
      <w:bookmarkStart w:id="161" w:name="_Toc92809674"/>
      <w:bookmarkStart w:id="162" w:name="_Toc44055597"/>
      <w:bookmarkStart w:id="163" w:name="_Toc44061532"/>
      <w:bookmarkStart w:id="164" w:name="_Toc44316383"/>
      <w:r>
        <w:rPr>
          <w:rStyle w:val="CharDivNo"/>
        </w:rPr>
        <w:t>Division 1</w:t>
      </w:r>
      <w:r>
        <w:t> — </w:t>
      </w:r>
      <w:r>
        <w:rPr>
          <w:rStyle w:val="CharDivText"/>
        </w:rPr>
        <w:t>Preliminary</w:t>
      </w:r>
      <w:bookmarkEnd w:id="159"/>
      <w:bookmarkEnd w:id="160"/>
      <w:bookmarkEnd w:id="161"/>
      <w:bookmarkEnd w:id="162"/>
      <w:bookmarkEnd w:id="163"/>
      <w:bookmarkEnd w:id="164"/>
    </w:p>
    <w:p>
      <w:pPr>
        <w:pStyle w:val="Heading5"/>
      </w:pPr>
      <w:bookmarkStart w:id="165" w:name="_Toc92809675"/>
      <w:bookmarkStart w:id="166" w:name="_Toc44316384"/>
      <w:r>
        <w:rPr>
          <w:rStyle w:val="CharSectno"/>
        </w:rPr>
        <w:t>40</w:t>
      </w:r>
      <w:r>
        <w:t>.</w:t>
      </w:r>
      <w:r>
        <w:tab/>
        <w:t>Terms used</w:t>
      </w:r>
      <w:bookmarkEnd w:id="165"/>
      <w:bookmarkEnd w:id="166"/>
    </w:p>
    <w:p>
      <w:pPr>
        <w:pStyle w:val="Subsection"/>
      </w:pPr>
      <w:r>
        <w:tab/>
      </w:r>
      <w:r>
        <w:tab/>
        <w:t xml:space="preserve">In this Part — </w:t>
      </w:r>
    </w:p>
    <w:p>
      <w:pPr>
        <w:pStyle w:val="Defstart"/>
      </w:pPr>
      <w:r>
        <w:tab/>
      </w:r>
      <w:r>
        <w:rPr>
          <w:rStyle w:val="CharDefText"/>
        </w:rPr>
        <w:t>licence</w:t>
      </w:r>
      <w:r>
        <w:t xml:space="preserve"> means a petroleum production licence;</w:t>
      </w:r>
    </w:p>
    <w:p>
      <w:pPr>
        <w:pStyle w:val="Defstart"/>
      </w:pPr>
      <w:r>
        <w:tab/>
      </w:r>
      <w:r>
        <w:rPr>
          <w:rStyle w:val="CharDefText"/>
        </w:rPr>
        <w:t>licence area</w:t>
      </w:r>
      <w:r>
        <w:t xml:space="preserve"> means — </w:t>
      </w:r>
    </w:p>
    <w:p>
      <w:pPr>
        <w:pStyle w:val="Defpara"/>
      </w:pPr>
      <w:r>
        <w:tab/>
        <w:t>(a)</w:t>
      </w:r>
      <w:r>
        <w:tab/>
        <w:t>in relation to a petroleum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167" w:name="_Toc92800363"/>
      <w:bookmarkStart w:id="168" w:name="_Toc92800676"/>
      <w:bookmarkStart w:id="169" w:name="_Toc92809676"/>
      <w:bookmarkStart w:id="170" w:name="_Toc44055599"/>
      <w:bookmarkStart w:id="171" w:name="_Toc44061534"/>
      <w:bookmarkStart w:id="172" w:name="_Toc44316385"/>
      <w:r>
        <w:rPr>
          <w:rStyle w:val="CharDivNo"/>
        </w:rPr>
        <w:t>Division 2</w:t>
      </w:r>
      <w:r>
        <w:t> — </w:t>
      </w:r>
      <w:r>
        <w:rPr>
          <w:rStyle w:val="CharDivText"/>
        </w:rPr>
        <w:t>Field management plan requirements</w:t>
      </w:r>
      <w:bookmarkEnd w:id="167"/>
      <w:bookmarkEnd w:id="168"/>
      <w:bookmarkEnd w:id="169"/>
      <w:bookmarkEnd w:id="170"/>
      <w:bookmarkEnd w:id="171"/>
      <w:bookmarkEnd w:id="172"/>
    </w:p>
    <w:p>
      <w:pPr>
        <w:pStyle w:val="Heading5"/>
      </w:pPr>
      <w:bookmarkStart w:id="173" w:name="_Toc92809677"/>
      <w:bookmarkStart w:id="174" w:name="_Toc44316386"/>
      <w:r>
        <w:rPr>
          <w:rStyle w:val="CharSectno"/>
        </w:rPr>
        <w:t>41</w:t>
      </w:r>
      <w:r>
        <w:t>.</w:t>
      </w:r>
      <w:r>
        <w:tab/>
        <w:t>Requirement to have approved field management plan</w:t>
      </w:r>
      <w:bookmarkEnd w:id="173"/>
      <w:bookmarkEnd w:id="174"/>
    </w:p>
    <w:p>
      <w:pPr>
        <w:pStyle w:val="Subsection"/>
      </w:pPr>
      <w:r>
        <w:tab/>
      </w:r>
      <w:r>
        <w:tab/>
        <w:t xml:space="preserve">A petroleum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175" w:name="_Toc92809678"/>
      <w:bookmarkStart w:id="176" w:name="_Toc44316387"/>
      <w:r>
        <w:rPr>
          <w:rStyle w:val="CharSectno"/>
        </w:rPr>
        <w:t>42</w:t>
      </w:r>
      <w:r>
        <w:t>.</w:t>
      </w:r>
      <w:r>
        <w:tab/>
        <w:t>Requirement to undertake well activity in accordance with approved field management plan</w:t>
      </w:r>
      <w:bookmarkEnd w:id="175"/>
      <w:bookmarkEnd w:id="176"/>
    </w:p>
    <w:p>
      <w:pPr>
        <w:pStyle w:val="Subsection"/>
      </w:pPr>
      <w:r>
        <w:tab/>
      </w:r>
      <w:r>
        <w:tab/>
        <w:t>If an approved field management plan is in force for a field in a licence area, the petroleum licensee must undertake each well activity in the licence area in a way that is consistent with the field management plan.</w:t>
      </w:r>
    </w:p>
    <w:p>
      <w:pPr>
        <w:pStyle w:val="Penstart"/>
      </w:pPr>
      <w:r>
        <w:tab/>
        <w:t>Penalty: a fine of $10 000.</w:t>
      </w:r>
    </w:p>
    <w:p>
      <w:pPr>
        <w:pStyle w:val="Heading3"/>
      </w:pPr>
      <w:bookmarkStart w:id="177" w:name="_Toc92800366"/>
      <w:bookmarkStart w:id="178" w:name="_Toc92800679"/>
      <w:bookmarkStart w:id="179" w:name="_Toc92809679"/>
      <w:bookmarkStart w:id="180" w:name="_Toc44055602"/>
      <w:bookmarkStart w:id="181" w:name="_Toc44061537"/>
      <w:bookmarkStart w:id="182" w:name="_Toc44316388"/>
      <w:r>
        <w:rPr>
          <w:rStyle w:val="CharDivNo"/>
        </w:rPr>
        <w:t>Division 3</w:t>
      </w:r>
      <w:r>
        <w:t> — </w:t>
      </w:r>
      <w:r>
        <w:rPr>
          <w:rStyle w:val="CharDivText"/>
        </w:rPr>
        <w:t>Obtaining approval of field management plan</w:t>
      </w:r>
      <w:bookmarkEnd w:id="177"/>
      <w:bookmarkEnd w:id="178"/>
      <w:bookmarkEnd w:id="179"/>
      <w:bookmarkEnd w:id="180"/>
      <w:bookmarkEnd w:id="181"/>
      <w:bookmarkEnd w:id="182"/>
    </w:p>
    <w:p>
      <w:pPr>
        <w:pStyle w:val="Heading5"/>
      </w:pPr>
      <w:bookmarkStart w:id="183" w:name="_Toc92809680"/>
      <w:bookmarkStart w:id="184" w:name="_Toc44316389"/>
      <w:r>
        <w:rPr>
          <w:rStyle w:val="CharSectno"/>
        </w:rPr>
        <w:t>43</w:t>
      </w:r>
      <w:r>
        <w:t>.</w:t>
      </w:r>
      <w:r>
        <w:tab/>
        <w:t>Application for approval of field management plan</w:t>
      </w:r>
      <w:bookmarkEnd w:id="183"/>
      <w:bookmarkEnd w:id="184"/>
    </w:p>
    <w:p>
      <w:pPr>
        <w:pStyle w:val="Subsection"/>
      </w:pPr>
      <w:r>
        <w:tab/>
        <w:t>(1)</w:t>
      </w:r>
      <w:r>
        <w:tab/>
        <w:t>A petroleum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185" w:name="_Toc92809681"/>
      <w:bookmarkStart w:id="186" w:name="_Toc44316390"/>
      <w:r>
        <w:rPr>
          <w:rStyle w:val="CharSectno"/>
        </w:rPr>
        <w:t>44</w:t>
      </w:r>
      <w:r>
        <w:t>.</w:t>
      </w:r>
      <w:r>
        <w:tab/>
        <w:t>Decision on field management plan</w:t>
      </w:r>
      <w:bookmarkEnd w:id="185"/>
      <w:bookmarkEnd w:id="186"/>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187" w:name="_Toc92809682"/>
      <w:bookmarkStart w:id="188" w:name="_Toc44316391"/>
      <w:r>
        <w:rPr>
          <w:rStyle w:val="CharSectno"/>
        </w:rPr>
        <w:t>45</w:t>
      </w:r>
      <w:r>
        <w:t>.</w:t>
      </w:r>
      <w:r>
        <w:tab/>
        <w:t>Notice of decision</w:t>
      </w:r>
      <w:bookmarkEnd w:id="187"/>
      <w:bookmarkEnd w:id="188"/>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189" w:name="_Toc92809683"/>
      <w:bookmarkStart w:id="190" w:name="_Toc44316392"/>
      <w:r>
        <w:rPr>
          <w:rStyle w:val="CharSectno"/>
        </w:rPr>
        <w:t>46</w:t>
      </w:r>
      <w:r>
        <w:t>.</w:t>
      </w:r>
      <w:r>
        <w:tab/>
        <w:t>Date on which field management plan takes effect</w:t>
      </w:r>
      <w:bookmarkEnd w:id="189"/>
      <w:bookmarkEnd w:id="190"/>
    </w:p>
    <w:p>
      <w:pPr>
        <w:pStyle w:val="Subsection"/>
      </w:pPr>
      <w:r>
        <w:tab/>
      </w:r>
      <w:r>
        <w:tab/>
        <w:t>If the Minister approves a field management plan, the plan takes effect on the date specified in respect of the plan under regulation 45(a)(i).</w:t>
      </w:r>
    </w:p>
    <w:p>
      <w:pPr>
        <w:pStyle w:val="Heading5"/>
      </w:pPr>
      <w:bookmarkStart w:id="191" w:name="_Toc92809684"/>
      <w:bookmarkStart w:id="192" w:name="_Toc44316393"/>
      <w:r>
        <w:rPr>
          <w:rStyle w:val="CharSectno"/>
        </w:rPr>
        <w:t>47</w:t>
      </w:r>
      <w:r>
        <w:t>.</w:t>
      </w:r>
      <w:r>
        <w:tab/>
        <w:t>Criteria for approval of field management plan</w:t>
      </w:r>
      <w:bookmarkEnd w:id="191"/>
      <w:bookmarkEnd w:id="192"/>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keepNext/>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193" w:name="_Toc92809685"/>
      <w:bookmarkStart w:id="194" w:name="_Toc44316394"/>
      <w:r>
        <w:rPr>
          <w:rStyle w:val="CharSectno"/>
        </w:rPr>
        <w:t>48</w:t>
      </w:r>
      <w:r>
        <w:t>.</w:t>
      </w:r>
      <w:r>
        <w:tab/>
        <w:t>Content of field management plan</w:t>
      </w:r>
      <w:bookmarkEnd w:id="193"/>
      <w:bookmarkEnd w:id="194"/>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195" w:name="_Toc92800373"/>
      <w:bookmarkStart w:id="196" w:name="_Toc92800686"/>
      <w:bookmarkStart w:id="197" w:name="_Toc92809686"/>
      <w:bookmarkStart w:id="198" w:name="_Toc44055609"/>
      <w:bookmarkStart w:id="199" w:name="_Toc44061544"/>
      <w:bookmarkStart w:id="200" w:name="_Toc44316395"/>
      <w:r>
        <w:rPr>
          <w:rStyle w:val="CharDivNo"/>
        </w:rPr>
        <w:t>Division 4</w:t>
      </w:r>
      <w:r>
        <w:t> — </w:t>
      </w:r>
      <w:r>
        <w:rPr>
          <w:rStyle w:val="CharDivText"/>
        </w:rPr>
        <w:t>Revision of approved field management plan</w:t>
      </w:r>
      <w:bookmarkEnd w:id="195"/>
      <w:bookmarkEnd w:id="196"/>
      <w:bookmarkEnd w:id="197"/>
      <w:bookmarkEnd w:id="198"/>
      <w:bookmarkEnd w:id="199"/>
      <w:bookmarkEnd w:id="200"/>
    </w:p>
    <w:p>
      <w:pPr>
        <w:pStyle w:val="Heading5"/>
      </w:pPr>
      <w:bookmarkStart w:id="201" w:name="_Toc92809687"/>
      <w:bookmarkStart w:id="202" w:name="_Toc44316396"/>
      <w:r>
        <w:rPr>
          <w:rStyle w:val="CharSectno"/>
        </w:rPr>
        <w:t>49</w:t>
      </w:r>
      <w:r>
        <w:t>.</w:t>
      </w:r>
      <w:r>
        <w:tab/>
        <w:t>Application for approval of revision of field management plan</w:t>
      </w:r>
      <w:bookmarkEnd w:id="201"/>
      <w:bookmarkEnd w:id="202"/>
    </w:p>
    <w:p>
      <w:pPr>
        <w:pStyle w:val="Subsection"/>
      </w:pPr>
      <w:r>
        <w:tab/>
        <w:t>(1)</w:t>
      </w:r>
      <w:r>
        <w:tab/>
        <w:t>A petroleum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203" w:name="_Toc92809688"/>
      <w:bookmarkStart w:id="204" w:name="_Toc44316397"/>
      <w:r>
        <w:rPr>
          <w:rStyle w:val="CharSectno"/>
        </w:rPr>
        <w:t>50</w:t>
      </w:r>
      <w:r>
        <w:t>.</w:t>
      </w:r>
      <w:r>
        <w:tab/>
        <w:t>Application for approval of revision required before major change</w:t>
      </w:r>
      <w:bookmarkEnd w:id="203"/>
      <w:bookmarkEnd w:id="204"/>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petroleum licensee changes the development strategy or management strategy of the field or a petroleum pool in the field;</w:t>
      </w:r>
    </w:p>
    <w:p>
      <w:pPr>
        <w:pStyle w:val="Defpara"/>
      </w:pPr>
      <w:r>
        <w:tab/>
        <w:t>(b)</w:t>
      </w:r>
      <w:r>
        <w:tab/>
        <w:t>the petroleum licensee changes the plan for the development of additional petroleum pools in the field;</w:t>
      </w:r>
    </w:p>
    <w:p>
      <w:pPr>
        <w:pStyle w:val="Defpara"/>
      </w:pPr>
      <w:r>
        <w:tab/>
        <w:t>(c)</w:t>
      </w:r>
      <w:r>
        <w:tab/>
        <w:t>the petroleum licensee ceases production, permanently or for the long term, before the date proposed in the approved field management plan for the field;</w:t>
      </w:r>
    </w:p>
    <w:p>
      <w:pPr>
        <w:pStyle w:val="Defpara"/>
      </w:pPr>
      <w:r>
        <w:tab/>
        <w:t>(d)</w:t>
      </w:r>
      <w:r>
        <w:tab/>
        <w:t>the petroleum licensee introduces new methods for the recovery of petroleum from the field, such as enhanced recovery and injection of fluids.</w:t>
      </w:r>
    </w:p>
    <w:p>
      <w:pPr>
        <w:pStyle w:val="Subsection"/>
      </w:pPr>
      <w:r>
        <w:tab/>
        <w:t>(2)</w:t>
      </w:r>
      <w:r>
        <w:tab/>
        <w:t>A petroleum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205" w:name="_Toc92809689"/>
      <w:bookmarkStart w:id="206" w:name="_Toc44316398"/>
      <w:r>
        <w:rPr>
          <w:rStyle w:val="CharSectno"/>
        </w:rPr>
        <w:t>51</w:t>
      </w:r>
      <w:r>
        <w:t>.</w:t>
      </w:r>
      <w:r>
        <w:tab/>
        <w:t>Decision on application for approval of revision</w:t>
      </w:r>
      <w:bookmarkEnd w:id="205"/>
      <w:bookmarkEnd w:id="206"/>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petroleum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petroleum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207" w:name="_Toc92809690"/>
      <w:bookmarkStart w:id="208" w:name="_Toc44316399"/>
      <w:r>
        <w:rPr>
          <w:rStyle w:val="CharSectno"/>
        </w:rPr>
        <w:t>52</w:t>
      </w:r>
      <w:r>
        <w:t>.</w:t>
      </w:r>
      <w:r>
        <w:tab/>
        <w:t>Notice of decision</w:t>
      </w:r>
      <w:bookmarkEnd w:id="207"/>
      <w:bookmarkEnd w:id="208"/>
    </w:p>
    <w:p>
      <w:pPr>
        <w:pStyle w:val="Subsection"/>
      </w:pPr>
      <w:r>
        <w:tab/>
      </w:r>
      <w:r>
        <w:tab/>
        <w:t xml:space="preserve">As soon as practicable after deciding to approve or refuse to approve a revision, the Minister must give the petroleum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209" w:name="_Toc92809691"/>
      <w:bookmarkStart w:id="210" w:name="_Toc44316400"/>
      <w:r>
        <w:rPr>
          <w:rStyle w:val="CharSectno"/>
        </w:rPr>
        <w:t>53</w:t>
      </w:r>
      <w:r>
        <w:t>.</w:t>
      </w:r>
      <w:r>
        <w:tab/>
        <w:t>Date on which revision takes effect</w:t>
      </w:r>
      <w:bookmarkEnd w:id="209"/>
      <w:bookmarkEnd w:id="210"/>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211" w:name="_Toc92809692"/>
      <w:bookmarkStart w:id="212" w:name="_Toc44316401"/>
      <w:r>
        <w:rPr>
          <w:rStyle w:val="CharSectno"/>
        </w:rPr>
        <w:t>54</w:t>
      </w:r>
      <w:r>
        <w:t>.</w:t>
      </w:r>
      <w:r>
        <w:tab/>
        <w:t>Revision required by Minister</w:t>
      </w:r>
      <w:bookmarkEnd w:id="211"/>
      <w:bookmarkEnd w:id="212"/>
    </w:p>
    <w:p>
      <w:pPr>
        <w:pStyle w:val="Subsection"/>
      </w:pPr>
      <w:r>
        <w:tab/>
        <w:t>(1)</w:t>
      </w:r>
      <w:r>
        <w:tab/>
        <w:t xml:space="preserve">The Minister may give a petroleum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petroleum licensee in accordance with the notice (or the notice as varied under regulation 56) is to be taken to be an application under regulation 49(1) and regulations 51, 52 and 53 apply accordingly.</w:t>
      </w:r>
    </w:p>
    <w:p>
      <w:pPr>
        <w:pStyle w:val="Heading5"/>
      </w:pPr>
      <w:bookmarkStart w:id="213" w:name="_Toc92809693"/>
      <w:bookmarkStart w:id="214" w:name="_Toc44316402"/>
      <w:r>
        <w:rPr>
          <w:rStyle w:val="CharSectno"/>
        </w:rPr>
        <w:t>55</w:t>
      </w:r>
      <w:r>
        <w:t>.</w:t>
      </w:r>
      <w:r>
        <w:tab/>
        <w:t>Objection to requirement to revise approved field management plan</w:t>
      </w:r>
      <w:bookmarkEnd w:id="213"/>
      <w:bookmarkEnd w:id="214"/>
    </w:p>
    <w:p>
      <w:pPr>
        <w:pStyle w:val="Subsection"/>
      </w:pPr>
      <w:r>
        <w:tab/>
        <w:t>(1)</w:t>
      </w:r>
      <w:r>
        <w:tab/>
        <w:t xml:space="preserve">If the Minister gives a petroleum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petroleum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215" w:name="_Toc92809694"/>
      <w:bookmarkStart w:id="216" w:name="_Toc44316403"/>
      <w:r>
        <w:rPr>
          <w:rStyle w:val="CharSectno"/>
        </w:rPr>
        <w:t>56</w:t>
      </w:r>
      <w:r>
        <w:t>.</w:t>
      </w:r>
      <w:r>
        <w:tab/>
        <w:t>Decision on objection</w:t>
      </w:r>
      <w:bookmarkEnd w:id="215"/>
      <w:bookmarkEnd w:id="216"/>
    </w:p>
    <w:p>
      <w:pPr>
        <w:pStyle w:val="Subsection"/>
      </w:pPr>
      <w:r>
        <w:tab/>
        <w:t>(1)</w:t>
      </w:r>
      <w:r>
        <w:tab/>
        <w:t>As soon as practicable after a petroleum licensee makes an objection under regulation 55, the Minister must decide whether to accept or reject the objection.</w:t>
      </w:r>
    </w:p>
    <w:p>
      <w:pPr>
        <w:pStyle w:val="Subsection"/>
      </w:pPr>
      <w:r>
        <w:tab/>
        <w:t>(2)</w:t>
      </w:r>
      <w:r>
        <w:tab/>
        <w:t xml:space="preserve">As soon as practicable after making the decision, the Minister must give the petroleum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217" w:name="_Toc92809695"/>
      <w:bookmarkStart w:id="218" w:name="_Toc44316404"/>
      <w:r>
        <w:rPr>
          <w:rStyle w:val="CharSectno"/>
        </w:rPr>
        <w:t>57</w:t>
      </w:r>
      <w:r>
        <w:t>.</w:t>
      </w:r>
      <w:r>
        <w:tab/>
        <w:t>Requirement to comply with notice</w:t>
      </w:r>
      <w:bookmarkEnd w:id="217"/>
      <w:bookmarkEnd w:id="218"/>
    </w:p>
    <w:p>
      <w:pPr>
        <w:pStyle w:val="Subsection"/>
      </w:pPr>
      <w:r>
        <w:tab/>
        <w:t>(1)</w:t>
      </w:r>
      <w:r>
        <w:tab/>
        <w:t>This regulation applies if a petroleum licensee is given a notice under regulation 54.</w:t>
      </w:r>
    </w:p>
    <w:p>
      <w:pPr>
        <w:pStyle w:val="Subsection"/>
      </w:pPr>
      <w:r>
        <w:tab/>
        <w:t>(2)</w:t>
      </w:r>
      <w:r>
        <w:tab/>
        <w:t>The petroleum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petroleum licensee must comply with the requirements of the notice as varied.</w:t>
      </w:r>
    </w:p>
    <w:p>
      <w:pPr>
        <w:pStyle w:val="Penstart"/>
      </w:pPr>
      <w:r>
        <w:tab/>
        <w:t>Penalty: a fine of $10 000.</w:t>
      </w:r>
    </w:p>
    <w:p>
      <w:pPr>
        <w:pStyle w:val="Heading3"/>
        <w:keepLines/>
      </w:pPr>
      <w:bookmarkStart w:id="219" w:name="_Toc92800383"/>
      <w:bookmarkStart w:id="220" w:name="_Toc92800696"/>
      <w:bookmarkStart w:id="221" w:name="_Toc92809696"/>
      <w:bookmarkStart w:id="222" w:name="_Toc44055619"/>
      <w:bookmarkStart w:id="223" w:name="_Toc44061554"/>
      <w:bookmarkStart w:id="224" w:name="_Toc44316405"/>
      <w:r>
        <w:rPr>
          <w:rStyle w:val="CharDivNo"/>
        </w:rPr>
        <w:t>Division 5</w:t>
      </w:r>
      <w:r>
        <w:t> — </w:t>
      </w:r>
      <w:r>
        <w:rPr>
          <w:rStyle w:val="CharDivText"/>
        </w:rPr>
        <w:t>Recovery of petroleum before field management plan approved</w:t>
      </w:r>
      <w:bookmarkEnd w:id="219"/>
      <w:bookmarkEnd w:id="220"/>
      <w:bookmarkEnd w:id="221"/>
      <w:bookmarkEnd w:id="222"/>
      <w:bookmarkEnd w:id="223"/>
      <w:bookmarkEnd w:id="224"/>
    </w:p>
    <w:p>
      <w:pPr>
        <w:pStyle w:val="Heading5"/>
      </w:pPr>
      <w:bookmarkStart w:id="225" w:name="_Toc92809697"/>
      <w:bookmarkStart w:id="226" w:name="_Toc44316406"/>
      <w:r>
        <w:rPr>
          <w:rStyle w:val="CharSectno"/>
        </w:rPr>
        <w:t>58</w:t>
      </w:r>
      <w:r>
        <w:t>.</w:t>
      </w:r>
      <w:r>
        <w:tab/>
        <w:t>Application for approval to undertake recovery of petroleum without approved field management plan</w:t>
      </w:r>
      <w:bookmarkEnd w:id="225"/>
      <w:bookmarkEnd w:id="226"/>
    </w:p>
    <w:p>
      <w:pPr>
        <w:pStyle w:val="Subsection"/>
        <w:keepNext/>
        <w:keepLines/>
      </w:pPr>
      <w:r>
        <w:tab/>
        <w:t>(1)</w:t>
      </w:r>
      <w:r>
        <w:tab/>
        <w:t>A petroleum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petroleum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227" w:name="_Toc92809698"/>
      <w:bookmarkStart w:id="228" w:name="_Toc44316407"/>
      <w:r>
        <w:rPr>
          <w:rStyle w:val="CharSectno"/>
        </w:rPr>
        <w:t>59</w:t>
      </w:r>
      <w:r>
        <w:t>.</w:t>
      </w:r>
      <w:r>
        <w:tab/>
        <w:t>Decision on application</w:t>
      </w:r>
      <w:bookmarkEnd w:id="227"/>
      <w:bookmarkEnd w:id="228"/>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petroleum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229" w:name="_Toc92809699"/>
      <w:bookmarkStart w:id="230" w:name="_Toc44316408"/>
      <w:r>
        <w:rPr>
          <w:rStyle w:val="CharSectno"/>
        </w:rPr>
        <w:t>60</w:t>
      </w:r>
      <w:r>
        <w:t>.</w:t>
      </w:r>
      <w:r>
        <w:tab/>
        <w:t>Notice of decision on application</w:t>
      </w:r>
      <w:bookmarkEnd w:id="229"/>
      <w:bookmarkEnd w:id="230"/>
    </w:p>
    <w:p>
      <w:pPr>
        <w:pStyle w:val="Subsection"/>
      </w:pPr>
      <w:r>
        <w:tab/>
      </w:r>
      <w:r>
        <w:tab/>
        <w:t xml:space="preserve">As soon as practicable after deciding to approve or refuse to approve an application made under regulation 58(1), the Minister must give the petroleum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petroleum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231" w:name="_Toc92809700"/>
      <w:bookmarkStart w:id="232" w:name="_Toc44316409"/>
      <w:r>
        <w:rPr>
          <w:rStyle w:val="CharSectno"/>
        </w:rPr>
        <w:t>61</w:t>
      </w:r>
      <w:r>
        <w:t>.</w:t>
      </w:r>
      <w:r>
        <w:tab/>
        <w:t>Permitted period</w:t>
      </w:r>
      <w:bookmarkEnd w:id="231"/>
      <w:bookmarkEnd w:id="232"/>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petroleum licensee, extend the permitted period by not more than 3 months.</w:t>
      </w:r>
    </w:p>
    <w:p>
      <w:pPr>
        <w:pStyle w:val="Subsection"/>
      </w:pPr>
      <w:r>
        <w:tab/>
        <w:t>(3)</w:t>
      </w:r>
      <w:r>
        <w:tab/>
        <w:t>The Minister may, under subregulation (2), extend the permitted period more than once.</w:t>
      </w:r>
    </w:p>
    <w:p>
      <w:pPr>
        <w:pStyle w:val="Heading2"/>
      </w:pPr>
      <w:bookmarkStart w:id="233" w:name="_Toc92800388"/>
      <w:bookmarkStart w:id="234" w:name="_Toc92800701"/>
      <w:bookmarkStart w:id="235" w:name="_Toc92809701"/>
      <w:bookmarkStart w:id="236" w:name="_Toc44055624"/>
      <w:bookmarkStart w:id="237" w:name="_Toc44061559"/>
      <w:bookmarkStart w:id="238" w:name="_Toc44316410"/>
      <w:r>
        <w:rPr>
          <w:rStyle w:val="CharPartNo"/>
        </w:rPr>
        <w:t>Part 7</w:t>
      </w:r>
      <w:r>
        <w:rPr>
          <w:rStyle w:val="CharDivNo"/>
        </w:rPr>
        <w:t> </w:t>
      </w:r>
      <w:r>
        <w:t>—</w:t>
      </w:r>
      <w:r>
        <w:rPr>
          <w:rStyle w:val="CharDivText"/>
        </w:rPr>
        <w:t> </w:t>
      </w:r>
      <w:r>
        <w:rPr>
          <w:rStyle w:val="CharPartText"/>
        </w:rPr>
        <w:t>Other matters relating to petroleum or geothermal energy recovery</w:t>
      </w:r>
      <w:bookmarkEnd w:id="233"/>
      <w:bookmarkEnd w:id="234"/>
      <w:bookmarkEnd w:id="235"/>
      <w:bookmarkEnd w:id="236"/>
      <w:bookmarkEnd w:id="237"/>
      <w:bookmarkEnd w:id="238"/>
    </w:p>
    <w:p>
      <w:pPr>
        <w:pStyle w:val="Heading5"/>
      </w:pPr>
      <w:bookmarkStart w:id="239" w:name="_Toc92809702"/>
      <w:bookmarkStart w:id="240" w:name="_Toc44316411"/>
      <w:r>
        <w:rPr>
          <w:rStyle w:val="CharSectno"/>
        </w:rPr>
        <w:t>62</w:t>
      </w:r>
      <w:r>
        <w:t>.</w:t>
      </w:r>
      <w:r>
        <w:tab/>
        <w:t>Requirement to notify Minister of significant event</w:t>
      </w:r>
      <w:bookmarkEnd w:id="239"/>
      <w:bookmarkEnd w:id="240"/>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 or geothermal energy;</w:t>
      </w:r>
    </w:p>
    <w:p>
      <w:pPr>
        <w:pStyle w:val="Defpara"/>
      </w:pPr>
      <w:r>
        <w:tab/>
        <w:t>(b)</w:t>
      </w:r>
      <w:r>
        <w:tab/>
        <w:t>a new or increased risk to the recovery of petroleum or geothermal energy within the licence area;</w:t>
      </w:r>
    </w:p>
    <w:p>
      <w:pPr>
        <w:pStyle w:val="Defpara"/>
      </w:pPr>
      <w:r>
        <w:tab/>
        <w:t>(c)</w:t>
      </w:r>
      <w:r>
        <w:tab/>
        <w:t>a new or increased risk to the recovery of petroleum or geothermal energy outside the licence area caused by the development of petroleum pools or geothermal resources areas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or geothermal resources areas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 xml:space="preserve">the implications of the event for — </w:t>
      </w:r>
    </w:p>
    <w:p>
      <w:pPr>
        <w:pStyle w:val="IndentI0"/>
      </w:pPr>
      <w:r>
        <w:tab/>
        <w:t>(I)</w:t>
      </w:r>
      <w:r>
        <w:tab/>
        <w:t>the petroleum pool and the optimum long</w:t>
      </w:r>
      <w:r>
        <w:noBreakHyphen/>
        <w:t>term recovery of petroleum; or</w:t>
      </w:r>
    </w:p>
    <w:p>
      <w:pPr>
        <w:pStyle w:val="IndentI0"/>
      </w:pPr>
      <w:r>
        <w:tab/>
        <w:t>(II)</w:t>
      </w:r>
      <w:r>
        <w:tab/>
        <w:t>the geothermal resources area and the optimum long</w:t>
      </w:r>
      <w:r>
        <w:noBreakHyphen/>
        <w:t>term recovery of geothermal energy,</w:t>
      </w:r>
    </w:p>
    <w:p>
      <w:pPr>
        <w:pStyle w:val="Indenti"/>
      </w:pPr>
      <w:r>
        <w:tab/>
      </w:r>
      <w:r>
        <w:tab/>
        <w:t>as the case requires;</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5"/>
      </w:pPr>
      <w:bookmarkStart w:id="241" w:name="_Toc92809703"/>
      <w:bookmarkStart w:id="242" w:name="_Toc44316412"/>
      <w:r>
        <w:rPr>
          <w:rStyle w:val="CharSectno"/>
        </w:rPr>
        <w:t>63</w:t>
      </w:r>
      <w:r>
        <w:t>.</w:t>
      </w:r>
      <w:r>
        <w:tab/>
        <w:t>Content of geothermal energy recovery development plan</w:t>
      </w:r>
      <w:bookmarkEnd w:id="241"/>
      <w:bookmarkEnd w:id="242"/>
    </w:p>
    <w:p>
      <w:pPr>
        <w:pStyle w:val="Subsection"/>
      </w:pPr>
      <w:r>
        <w:tab/>
      </w:r>
      <w:r>
        <w:tab/>
        <w:t>For the purposes of section 62A(1) of the Act, the information listed in Schedule 4 must be set out in a geothermal energy recovery plan.</w:t>
      </w:r>
    </w:p>
    <w:p>
      <w:pPr>
        <w:pStyle w:val="Heading2"/>
      </w:pPr>
      <w:bookmarkStart w:id="243" w:name="_Toc92800391"/>
      <w:bookmarkStart w:id="244" w:name="_Toc92800704"/>
      <w:bookmarkStart w:id="245" w:name="_Toc92809704"/>
      <w:bookmarkStart w:id="246" w:name="_Toc44055627"/>
      <w:bookmarkStart w:id="247" w:name="_Toc44061562"/>
      <w:bookmarkStart w:id="248" w:name="_Toc44316413"/>
      <w:r>
        <w:rPr>
          <w:rStyle w:val="CharPartNo"/>
        </w:rPr>
        <w:t>Part 8</w:t>
      </w:r>
      <w:r>
        <w:t> — </w:t>
      </w:r>
      <w:r>
        <w:rPr>
          <w:rStyle w:val="CharPartText"/>
        </w:rPr>
        <w:t>Data management</w:t>
      </w:r>
      <w:bookmarkEnd w:id="243"/>
      <w:bookmarkEnd w:id="244"/>
      <w:bookmarkEnd w:id="245"/>
      <w:bookmarkEnd w:id="246"/>
      <w:bookmarkEnd w:id="247"/>
      <w:bookmarkEnd w:id="248"/>
    </w:p>
    <w:p>
      <w:pPr>
        <w:pStyle w:val="Heading3"/>
      </w:pPr>
      <w:bookmarkStart w:id="249" w:name="_Toc92800392"/>
      <w:bookmarkStart w:id="250" w:name="_Toc92800705"/>
      <w:bookmarkStart w:id="251" w:name="_Toc92809705"/>
      <w:bookmarkStart w:id="252" w:name="_Toc44055628"/>
      <w:bookmarkStart w:id="253" w:name="_Toc44061563"/>
      <w:bookmarkStart w:id="254" w:name="_Toc44316414"/>
      <w:r>
        <w:rPr>
          <w:rStyle w:val="CharDivNo"/>
        </w:rPr>
        <w:t>Division 1</w:t>
      </w:r>
      <w:r>
        <w:t> — </w:t>
      </w:r>
      <w:r>
        <w:rPr>
          <w:rStyle w:val="CharDivText"/>
        </w:rPr>
        <w:t>Preliminary</w:t>
      </w:r>
      <w:bookmarkEnd w:id="249"/>
      <w:bookmarkEnd w:id="250"/>
      <w:bookmarkEnd w:id="251"/>
      <w:bookmarkEnd w:id="252"/>
      <w:bookmarkEnd w:id="253"/>
      <w:bookmarkEnd w:id="254"/>
    </w:p>
    <w:p>
      <w:pPr>
        <w:pStyle w:val="Heading5"/>
      </w:pPr>
      <w:bookmarkStart w:id="255" w:name="_Toc92809706"/>
      <w:bookmarkStart w:id="256" w:name="_Toc44316415"/>
      <w:r>
        <w:rPr>
          <w:rStyle w:val="CharSectno"/>
        </w:rPr>
        <w:t>64</w:t>
      </w:r>
      <w:r>
        <w:t>.</w:t>
      </w:r>
      <w:r>
        <w:tab/>
        <w:t>Term used: operation</w:t>
      </w:r>
      <w:bookmarkEnd w:id="255"/>
      <w:bookmarkEnd w:id="256"/>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257" w:name="_Toc92800394"/>
      <w:bookmarkStart w:id="258" w:name="_Toc92800707"/>
      <w:bookmarkStart w:id="259" w:name="_Toc92809707"/>
      <w:bookmarkStart w:id="260" w:name="_Toc44055630"/>
      <w:bookmarkStart w:id="261" w:name="_Toc44061565"/>
      <w:bookmarkStart w:id="262" w:name="_Toc44316416"/>
      <w:r>
        <w:rPr>
          <w:rStyle w:val="CharDivNo"/>
        </w:rPr>
        <w:t>Division 2</w:t>
      </w:r>
      <w:r>
        <w:t> — </w:t>
      </w:r>
      <w:r>
        <w:rPr>
          <w:rStyle w:val="CharDivText"/>
        </w:rPr>
        <w:t>Requirements for keeping information</w:t>
      </w:r>
      <w:bookmarkEnd w:id="257"/>
      <w:bookmarkEnd w:id="258"/>
      <w:bookmarkEnd w:id="259"/>
      <w:bookmarkEnd w:id="260"/>
      <w:bookmarkEnd w:id="261"/>
      <w:bookmarkEnd w:id="262"/>
    </w:p>
    <w:p>
      <w:pPr>
        <w:pStyle w:val="Heading5"/>
      </w:pPr>
      <w:bookmarkStart w:id="263" w:name="_Toc92809708"/>
      <w:bookmarkStart w:id="264" w:name="_Toc44316417"/>
      <w:r>
        <w:rPr>
          <w:rStyle w:val="CharSectno"/>
        </w:rPr>
        <w:t>65</w:t>
      </w:r>
      <w:r>
        <w:t>.</w:t>
      </w:r>
      <w:r>
        <w:tab/>
        <w:t>Requirement to securely retain information</w:t>
      </w:r>
      <w:bookmarkEnd w:id="263"/>
      <w:bookmarkEnd w:id="264"/>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265" w:name="_Toc92809709"/>
      <w:bookmarkStart w:id="266" w:name="_Toc44316418"/>
      <w:r>
        <w:rPr>
          <w:rStyle w:val="CharSectno"/>
        </w:rPr>
        <w:t>66</w:t>
      </w:r>
      <w:r>
        <w:t>.</w:t>
      </w:r>
      <w:r>
        <w:tab/>
        <w:t>Requirement to retain information so that retrieval is reasonably practicable</w:t>
      </w:r>
      <w:bookmarkEnd w:id="265"/>
      <w:bookmarkEnd w:id="266"/>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267" w:name="_Toc92800397"/>
      <w:bookmarkStart w:id="268" w:name="_Toc92800710"/>
      <w:bookmarkStart w:id="269" w:name="_Toc92809710"/>
      <w:bookmarkStart w:id="270" w:name="_Toc44055633"/>
      <w:bookmarkStart w:id="271" w:name="_Toc44061568"/>
      <w:bookmarkStart w:id="272" w:name="_Toc44316419"/>
      <w:r>
        <w:rPr>
          <w:rStyle w:val="CharDivNo"/>
        </w:rPr>
        <w:t>Division 3</w:t>
      </w:r>
      <w:r>
        <w:t> — </w:t>
      </w:r>
      <w:r>
        <w:rPr>
          <w:rStyle w:val="CharDivText"/>
        </w:rPr>
        <w:t>Requirements for collection and retention of cores, cuttings and samples</w:t>
      </w:r>
      <w:bookmarkEnd w:id="267"/>
      <w:bookmarkEnd w:id="268"/>
      <w:bookmarkEnd w:id="269"/>
      <w:bookmarkEnd w:id="270"/>
      <w:bookmarkEnd w:id="271"/>
      <w:bookmarkEnd w:id="272"/>
    </w:p>
    <w:p>
      <w:pPr>
        <w:pStyle w:val="Heading5"/>
      </w:pPr>
      <w:bookmarkStart w:id="273" w:name="_Toc92809711"/>
      <w:bookmarkStart w:id="274" w:name="_Toc44316420"/>
      <w:r>
        <w:rPr>
          <w:rStyle w:val="CharSectno"/>
        </w:rPr>
        <w:t>67</w:t>
      </w:r>
      <w:r>
        <w:t>.</w:t>
      </w:r>
      <w:r>
        <w:tab/>
        <w:t>Requirement to securely retain core, cutting or sample</w:t>
      </w:r>
      <w:bookmarkEnd w:id="273"/>
      <w:bookmarkEnd w:id="274"/>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275" w:name="_Toc92809712"/>
      <w:bookmarkStart w:id="276" w:name="_Toc44316421"/>
      <w:r>
        <w:rPr>
          <w:rStyle w:val="CharSectno"/>
        </w:rPr>
        <w:t>68</w:t>
      </w:r>
      <w:r>
        <w:t>.</w:t>
      </w:r>
      <w:r>
        <w:tab/>
        <w:t>Requirement to retain core, cutting or sample in Australia</w:t>
      </w:r>
      <w:bookmarkEnd w:id="275"/>
      <w:bookmarkEnd w:id="276"/>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the instrument holder does not retain the core, cutting or sample in Australia; and</w:t>
      </w:r>
    </w:p>
    <w:p>
      <w:pPr>
        <w:pStyle w:val="Indenta"/>
      </w:pPr>
      <w:r>
        <w:tab/>
        <w:t>(c)</w:t>
      </w:r>
      <w:r>
        <w:tab/>
        <w:t>the Minister has not authorised the instrument holder to retain the core, cutting or sample outside Australia.</w:t>
      </w:r>
    </w:p>
    <w:p>
      <w:pPr>
        <w:pStyle w:val="Penstart"/>
      </w:pPr>
      <w:r>
        <w:tab/>
        <w:t>Penalty: a fine of $4 000.</w:t>
      </w:r>
    </w:p>
    <w:p>
      <w:pPr>
        <w:pStyle w:val="Heading5"/>
      </w:pPr>
      <w:bookmarkStart w:id="277" w:name="_Toc92809713"/>
      <w:bookmarkStart w:id="278" w:name="_Toc44316422"/>
      <w:r>
        <w:rPr>
          <w:rStyle w:val="CharSectno"/>
        </w:rPr>
        <w:t>69</w:t>
      </w:r>
      <w:r>
        <w:t>.</w:t>
      </w:r>
      <w:r>
        <w:tab/>
        <w:t>Requirement to return core, cutting or sample to Australia</w:t>
      </w:r>
      <w:bookmarkEnd w:id="277"/>
      <w:bookmarkEnd w:id="278"/>
    </w:p>
    <w:p>
      <w:pPr>
        <w:pStyle w:val="Subsection"/>
      </w:pPr>
      <w:r>
        <w:tab/>
      </w:r>
      <w:r>
        <w:tab/>
        <w:t xml:space="preserve">An instrument holder commits an offence if — </w:t>
      </w:r>
    </w:p>
    <w:p>
      <w:pPr>
        <w:pStyle w:val="Indenta"/>
      </w:pPr>
      <w:r>
        <w:tab/>
        <w:t>(a)</w:t>
      </w:r>
      <w:r>
        <w:tab/>
        <w:t>the Minister has authorised the instrument holder to retain a core, cutting or sample outside Australia; and</w:t>
      </w:r>
    </w:p>
    <w:p>
      <w:pPr>
        <w:pStyle w:val="Indenta"/>
      </w:pPr>
      <w:r>
        <w:tab/>
        <w:t>(b)</w:t>
      </w:r>
      <w:r>
        <w:tab/>
        <w:t xml:space="preserve">the instrument holder does not ensure that the core, cutting or sample is returned to Australia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279" w:name="_Toc92809714"/>
      <w:bookmarkStart w:id="280" w:name="_Toc44316423"/>
      <w:r>
        <w:rPr>
          <w:rStyle w:val="CharSectno"/>
        </w:rPr>
        <w:t>70</w:t>
      </w:r>
      <w:r>
        <w:t>.</w:t>
      </w:r>
      <w:r>
        <w:tab/>
        <w:t>Requirement to provide report about overseas analysis of core, cutting or sample</w:t>
      </w:r>
      <w:bookmarkEnd w:id="279"/>
      <w:bookmarkEnd w:id="280"/>
    </w:p>
    <w:p>
      <w:pPr>
        <w:pStyle w:val="Subsection"/>
      </w:pPr>
      <w:r>
        <w:tab/>
        <w:t>(1)</w:t>
      </w:r>
      <w:r>
        <w:tab/>
        <w:t xml:space="preserve">An instrument holder commits an offence if — </w:t>
      </w:r>
    </w:p>
    <w:p>
      <w:pPr>
        <w:pStyle w:val="Indenta"/>
      </w:pPr>
      <w:r>
        <w:tab/>
        <w:t>(a)</w:t>
      </w:r>
      <w:r>
        <w:tab/>
        <w:t>the Minister has authorised the instrument holder to retain a core, cutting or sample outside Australia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the Minister has authorised the instrument holder to retain a core, cutting or sample outside Australia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does not comply with the requirement.</w:t>
      </w:r>
    </w:p>
    <w:p>
      <w:pPr>
        <w:pStyle w:val="Penstart"/>
      </w:pPr>
      <w:r>
        <w:tab/>
        <w:t>Penalty: a fine of $10 000.</w:t>
      </w:r>
    </w:p>
    <w:p>
      <w:pPr>
        <w:pStyle w:val="Heading5"/>
      </w:pPr>
      <w:bookmarkStart w:id="281" w:name="_Toc92809715"/>
      <w:bookmarkStart w:id="282" w:name="_Toc44316424"/>
      <w:r>
        <w:rPr>
          <w:rStyle w:val="CharSectno"/>
        </w:rPr>
        <w:t>71</w:t>
      </w:r>
      <w:r>
        <w:t>.</w:t>
      </w:r>
      <w:r>
        <w:tab/>
        <w:t>Requirement to retain core, cutting or sample so that retrieval is reasonably practicable</w:t>
      </w:r>
      <w:bookmarkEnd w:id="281"/>
      <w:bookmarkEnd w:id="282"/>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pPr>
      <w:bookmarkStart w:id="283" w:name="_Toc92800403"/>
      <w:bookmarkStart w:id="284" w:name="_Toc92800716"/>
      <w:bookmarkStart w:id="285" w:name="_Toc92809716"/>
      <w:bookmarkStart w:id="286" w:name="_Toc44055639"/>
      <w:bookmarkStart w:id="287" w:name="_Toc44061574"/>
      <w:bookmarkStart w:id="288" w:name="_Toc44316425"/>
      <w:r>
        <w:rPr>
          <w:rStyle w:val="CharDivNo"/>
        </w:rPr>
        <w:t>Division 4</w:t>
      </w:r>
      <w:r>
        <w:t> — </w:t>
      </w:r>
      <w:r>
        <w:rPr>
          <w:rStyle w:val="CharDivText"/>
        </w:rPr>
        <w:t>Requirements for giving reports and samples</w:t>
      </w:r>
      <w:bookmarkEnd w:id="283"/>
      <w:bookmarkEnd w:id="284"/>
      <w:bookmarkEnd w:id="285"/>
      <w:bookmarkEnd w:id="286"/>
      <w:bookmarkEnd w:id="287"/>
      <w:bookmarkEnd w:id="288"/>
    </w:p>
    <w:p>
      <w:pPr>
        <w:pStyle w:val="Heading4"/>
      </w:pPr>
      <w:bookmarkStart w:id="289" w:name="_Toc92800404"/>
      <w:bookmarkStart w:id="290" w:name="_Toc92800717"/>
      <w:bookmarkStart w:id="291" w:name="_Toc92809717"/>
      <w:bookmarkStart w:id="292" w:name="_Toc44055640"/>
      <w:bookmarkStart w:id="293" w:name="_Toc44061575"/>
      <w:bookmarkStart w:id="294" w:name="_Toc44316426"/>
      <w:r>
        <w:t>Subdivision 1 — Reports about well activities</w:t>
      </w:r>
      <w:bookmarkEnd w:id="289"/>
      <w:bookmarkEnd w:id="290"/>
      <w:bookmarkEnd w:id="291"/>
      <w:bookmarkEnd w:id="292"/>
      <w:bookmarkEnd w:id="293"/>
      <w:bookmarkEnd w:id="294"/>
    </w:p>
    <w:p>
      <w:pPr>
        <w:pStyle w:val="Heading5"/>
      </w:pPr>
      <w:bookmarkStart w:id="295" w:name="_Toc92809718"/>
      <w:bookmarkStart w:id="296" w:name="_Toc44316427"/>
      <w:r>
        <w:rPr>
          <w:rStyle w:val="CharSectno"/>
        </w:rPr>
        <w:t>72</w:t>
      </w:r>
      <w:r>
        <w:t>.</w:t>
      </w:r>
      <w:r>
        <w:tab/>
        <w:t>Daily well activity report</w:t>
      </w:r>
      <w:bookmarkEnd w:id="295"/>
      <w:bookmarkEnd w:id="296"/>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5.</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297" w:name="_Toc92809719"/>
      <w:bookmarkStart w:id="298" w:name="_Toc44316428"/>
      <w:r>
        <w:rPr>
          <w:rStyle w:val="CharSectno"/>
        </w:rPr>
        <w:t>73</w:t>
      </w:r>
      <w:r>
        <w:t>.</w:t>
      </w:r>
      <w:r>
        <w:tab/>
        <w:t>Final well activity report and data</w:t>
      </w:r>
      <w:bookmarkEnd w:id="297"/>
      <w:bookmarkEnd w:id="298"/>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6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7.</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299" w:name="_Toc92809720"/>
      <w:bookmarkStart w:id="300" w:name="_Toc44316429"/>
      <w:r>
        <w:rPr>
          <w:rStyle w:val="CharSectno"/>
        </w:rPr>
        <w:t>74</w:t>
      </w:r>
      <w:r>
        <w:t>.</w:t>
      </w:r>
      <w:r>
        <w:tab/>
        <w:t>Well completion report and data</w:t>
      </w:r>
      <w:bookmarkEnd w:id="299"/>
      <w:bookmarkEnd w:id="300"/>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8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301" w:name="_Toc92800408"/>
      <w:bookmarkStart w:id="302" w:name="_Toc92800721"/>
      <w:bookmarkStart w:id="303" w:name="_Toc92809721"/>
      <w:bookmarkStart w:id="304" w:name="_Toc44055644"/>
      <w:bookmarkStart w:id="305" w:name="_Toc44061579"/>
      <w:bookmarkStart w:id="306" w:name="_Toc44316430"/>
      <w:r>
        <w:t>Subdivision 2 — Reports about surveys</w:t>
      </w:r>
      <w:bookmarkEnd w:id="301"/>
      <w:bookmarkEnd w:id="302"/>
      <w:bookmarkEnd w:id="303"/>
      <w:bookmarkEnd w:id="304"/>
      <w:bookmarkEnd w:id="305"/>
      <w:bookmarkEnd w:id="306"/>
    </w:p>
    <w:p>
      <w:pPr>
        <w:pStyle w:val="Heading5"/>
      </w:pPr>
      <w:bookmarkStart w:id="307" w:name="_Toc92809722"/>
      <w:bookmarkStart w:id="308" w:name="_Toc44316431"/>
      <w:r>
        <w:rPr>
          <w:rStyle w:val="CharSectno"/>
        </w:rPr>
        <w:t>75</w:t>
      </w:r>
      <w:r>
        <w:t>.</w:t>
      </w:r>
      <w:r>
        <w:tab/>
        <w:t>Weekly survey report</w:t>
      </w:r>
      <w:bookmarkEnd w:id="307"/>
      <w:bookmarkEnd w:id="308"/>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10.</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309" w:name="_Toc92809723"/>
      <w:bookmarkStart w:id="310" w:name="_Toc44316432"/>
      <w:r>
        <w:rPr>
          <w:rStyle w:val="CharSectno"/>
        </w:rPr>
        <w:t>76</w:t>
      </w:r>
      <w:r>
        <w:t>.</w:t>
      </w:r>
      <w:r>
        <w:tab/>
        <w:t>Survey acquisition report and data</w:t>
      </w:r>
      <w:bookmarkEnd w:id="309"/>
      <w:bookmarkEnd w:id="310"/>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11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tab/>
        <w:t>(b)</w:t>
      </w:r>
      <w:r>
        <w:tab/>
        <w:t xml:space="preserve">for any other type of survey, each type of data mentioned in an item in Schedule 11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12.</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311" w:name="_Toc92809724"/>
      <w:bookmarkStart w:id="312" w:name="_Toc44316433"/>
      <w:r>
        <w:rPr>
          <w:rStyle w:val="CharSectno"/>
        </w:rPr>
        <w:t>77</w:t>
      </w:r>
      <w:r>
        <w:t>.</w:t>
      </w:r>
      <w:r>
        <w:tab/>
        <w:t>Survey processing report and data</w:t>
      </w:r>
      <w:bookmarkEnd w:id="311"/>
      <w:bookmarkEnd w:id="312"/>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13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(b)</w:t>
      </w:r>
      <w:r>
        <w:tab/>
        <w:t>for a 3</w:t>
      </w:r>
      <w:r>
        <w:noBreakHyphen/>
        <w:t xml:space="preserve">dimensional seismic survey, each type of data mentioned in an item in Schedule 13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13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14.</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313" w:name="_Toc92809725"/>
      <w:bookmarkStart w:id="314" w:name="_Toc44316434"/>
      <w:r>
        <w:rPr>
          <w:rStyle w:val="CharSectno"/>
        </w:rPr>
        <w:t>78</w:t>
      </w:r>
      <w:r>
        <w:t>.</w:t>
      </w:r>
      <w:r>
        <w:tab/>
        <w:t>Survey interpretation report and data</w:t>
      </w:r>
      <w:bookmarkEnd w:id="313"/>
      <w:bookmarkEnd w:id="314"/>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15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16.</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315" w:name="_Toc92800413"/>
      <w:bookmarkStart w:id="316" w:name="_Toc92800726"/>
      <w:bookmarkStart w:id="317" w:name="_Toc92809726"/>
      <w:bookmarkStart w:id="318" w:name="_Toc44055649"/>
      <w:bookmarkStart w:id="319" w:name="_Toc44061584"/>
      <w:bookmarkStart w:id="320" w:name="_Toc44316435"/>
      <w:r>
        <w:t>Subdivision 3 — Production reports</w:t>
      </w:r>
      <w:bookmarkEnd w:id="315"/>
      <w:bookmarkEnd w:id="316"/>
      <w:bookmarkEnd w:id="317"/>
      <w:bookmarkEnd w:id="318"/>
      <w:bookmarkEnd w:id="319"/>
      <w:bookmarkEnd w:id="320"/>
    </w:p>
    <w:p>
      <w:pPr>
        <w:pStyle w:val="Heading5"/>
        <w:keepNext w:val="0"/>
        <w:keepLines w:val="0"/>
      </w:pPr>
      <w:bookmarkStart w:id="321" w:name="_Toc92809727"/>
      <w:bookmarkStart w:id="322" w:name="_Toc44316436"/>
      <w:r>
        <w:rPr>
          <w:rStyle w:val="CharSectno"/>
        </w:rPr>
        <w:t>79</w:t>
      </w:r>
      <w:r>
        <w:t>.</w:t>
      </w:r>
      <w:r>
        <w:tab/>
        <w:t>Monthly production report from licensee</w:t>
      </w:r>
      <w:bookmarkEnd w:id="321"/>
      <w:bookmarkEnd w:id="322"/>
    </w:p>
    <w:p>
      <w:pPr>
        <w:pStyle w:val="Subsection"/>
      </w:pPr>
      <w:r>
        <w:tab/>
        <w:t>(1)</w:t>
      </w:r>
      <w:r>
        <w:tab/>
        <w:t xml:space="preserve">In this regulation — </w:t>
      </w:r>
    </w:p>
    <w:p>
      <w:pPr>
        <w:pStyle w:val="Defstart"/>
      </w:pPr>
      <w:r>
        <w:tab/>
      </w:r>
      <w:r>
        <w:rPr>
          <w:rStyle w:val="CharDefText"/>
        </w:rPr>
        <w:t>monthly production report</w:t>
      </w:r>
      <w:r>
        <w:t xml:space="preserve"> means — </w:t>
      </w:r>
    </w:p>
    <w:p>
      <w:pPr>
        <w:pStyle w:val="Defpara"/>
      </w:pPr>
      <w:r>
        <w:tab/>
        <w:t>(a)</w:t>
      </w:r>
      <w:r>
        <w:tab/>
        <w:t>if the licensee is a petroleum licensee — a report that includes the information listed in Schedule 17 Division 1; or</w:t>
      </w:r>
    </w:p>
    <w:p>
      <w:pPr>
        <w:pStyle w:val="Defpara"/>
      </w:pPr>
      <w:r>
        <w:tab/>
        <w:t>(b)</w:t>
      </w:r>
      <w:r>
        <w:tab/>
        <w:t>if the licensee is a geothermal licensee — a report that includes the information listed in Schedule 17 Division 2.</w:t>
      </w:r>
    </w:p>
    <w:p>
      <w:pPr>
        <w:pStyle w:val="Subsection"/>
        <w:keepNext/>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323" w:name="_Toc92800415"/>
      <w:bookmarkStart w:id="324" w:name="_Toc92800728"/>
      <w:bookmarkStart w:id="325" w:name="_Toc92809728"/>
      <w:bookmarkStart w:id="326" w:name="_Toc44055651"/>
      <w:bookmarkStart w:id="327" w:name="_Toc44061586"/>
      <w:bookmarkStart w:id="328" w:name="_Toc44316437"/>
      <w:r>
        <w:t>Subdivision 4 — Cores, cuttings and samples</w:t>
      </w:r>
      <w:bookmarkEnd w:id="323"/>
      <w:bookmarkEnd w:id="324"/>
      <w:bookmarkEnd w:id="325"/>
      <w:bookmarkEnd w:id="326"/>
      <w:bookmarkEnd w:id="327"/>
      <w:bookmarkEnd w:id="328"/>
    </w:p>
    <w:p>
      <w:pPr>
        <w:pStyle w:val="Heading5"/>
      </w:pPr>
      <w:bookmarkStart w:id="329" w:name="_Toc92809729"/>
      <w:bookmarkStart w:id="330" w:name="_Toc44316438"/>
      <w:r>
        <w:rPr>
          <w:rStyle w:val="CharSectno"/>
        </w:rPr>
        <w:t>80</w:t>
      </w:r>
      <w:r>
        <w:t>.</w:t>
      </w:r>
      <w:r>
        <w:tab/>
        <w:t>Requirement to give core, cutting or sample</w:t>
      </w:r>
      <w:bookmarkEnd w:id="329"/>
      <w:bookmarkEnd w:id="330"/>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331" w:name="_Toc92800417"/>
      <w:bookmarkStart w:id="332" w:name="_Toc92800730"/>
      <w:bookmarkStart w:id="333" w:name="_Toc92809730"/>
      <w:bookmarkStart w:id="334" w:name="_Toc44055653"/>
      <w:bookmarkStart w:id="335" w:name="_Toc44061588"/>
      <w:bookmarkStart w:id="336" w:name="_Toc44316439"/>
      <w:r>
        <w:rPr>
          <w:rStyle w:val="CharPartNo"/>
        </w:rPr>
        <w:t>Part 9</w:t>
      </w:r>
      <w:r>
        <w:t> — </w:t>
      </w:r>
      <w:r>
        <w:rPr>
          <w:rStyle w:val="CharPartText"/>
        </w:rPr>
        <w:t>Release of technical information about petroleum and geothermal energy resources</w:t>
      </w:r>
      <w:bookmarkEnd w:id="331"/>
      <w:bookmarkEnd w:id="332"/>
      <w:bookmarkEnd w:id="333"/>
      <w:bookmarkEnd w:id="334"/>
      <w:bookmarkEnd w:id="335"/>
      <w:bookmarkEnd w:id="336"/>
    </w:p>
    <w:p>
      <w:pPr>
        <w:pStyle w:val="Heading3"/>
      </w:pPr>
      <w:bookmarkStart w:id="337" w:name="_Toc92800418"/>
      <w:bookmarkStart w:id="338" w:name="_Toc92800731"/>
      <w:bookmarkStart w:id="339" w:name="_Toc92809731"/>
      <w:bookmarkStart w:id="340" w:name="_Toc44055654"/>
      <w:bookmarkStart w:id="341" w:name="_Toc44061589"/>
      <w:bookmarkStart w:id="342" w:name="_Toc44316440"/>
      <w:r>
        <w:rPr>
          <w:rStyle w:val="CharDivNo"/>
        </w:rPr>
        <w:t>Division 1</w:t>
      </w:r>
      <w:r>
        <w:t> — </w:t>
      </w:r>
      <w:r>
        <w:rPr>
          <w:rStyle w:val="CharDivText"/>
        </w:rPr>
        <w:t>Preliminary</w:t>
      </w:r>
      <w:bookmarkEnd w:id="337"/>
      <w:bookmarkEnd w:id="338"/>
      <w:bookmarkEnd w:id="339"/>
      <w:bookmarkEnd w:id="340"/>
      <w:bookmarkEnd w:id="341"/>
      <w:bookmarkEnd w:id="342"/>
    </w:p>
    <w:p>
      <w:pPr>
        <w:pStyle w:val="Heading5"/>
      </w:pPr>
      <w:bookmarkStart w:id="343" w:name="_Toc92809732"/>
      <w:bookmarkStart w:id="344" w:name="_Toc44316441"/>
      <w:r>
        <w:rPr>
          <w:rStyle w:val="CharSectno"/>
        </w:rPr>
        <w:t>81</w:t>
      </w:r>
      <w:r>
        <w:t>.</w:t>
      </w:r>
      <w:r>
        <w:tab/>
        <w:t>Terms used</w:t>
      </w:r>
      <w:bookmarkEnd w:id="343"/>
      <w:bookmarkEnd w:id="344"/>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150A of the Act;</w:t>
      </w:r>
    </w:p>
    <w:p>
      <w:pPr>
        <w:pStyle w:val="Defstart"/>
      </w:pPr>
      <w:r>
        <w:tab/>
      </w:r>
      <w:r>
        <w:rPr>
          <w:rStyle w:val="CharDefText"/>
        </w:rPr>
        <w:t>excluded information</w:t>
      </w:r>
      <w:r>
        <w:t xml:space="preserve"> has the meaning given in regulation 82;</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84;</w:t>
      </w:r>
    </w:p>
    <w:p>
      <w:pPr>
        <w:pStyle w:val="Defstart"/>
      </w:pPr>
      <w:r>
        <w:tab/>
      </w:r>
      <w:r>
        <w:rPr>
          <w:rStyle w:val="CharDefText"/>
        </w:rPr>
        <w:t>mining sample</w:t>
      </w:r>
      <w:r>
        <w:t xml:space="preserve"> has the meaning given in section 150A of the Act;</w:t>
      </w:r>
    </w:p>
    <w:p>
      <w:pPr>
        <w:pStyle w:val="Defstart"/>
      </w:pPr>
      <w:r>
        <w:tab/>
      </w:r>
      <w:r>
        <w:rPr>
          <w:rStyle w:val="CharDefText"/>
        </w:rPr>
        <w:t>non</w:t>
      </w:r>
      <w:r>
        <w:rPr>
          <w:rStyle w:val="CharDefText"/>
        </w:rPr>
        <w:noBreakHyphen/>
        <w:t>exclusive data</w:t>
      </w:r>
      <w:r>
        <w:rPr>
          <w:b/>
          <w:i/>
        </w:rPr>
        <w:t xml:space="preserve"> </w:t>
      </w:r>
      <w:r>
        <w:t>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83;</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keepNext w:val="0"/>
        <w:keepLines w:val="0"/>
      </w:pPr>
      <w:bookmarkStart w:id="345" w:name="_Toc92809733"/>
      <w:bookmarkStart w:id="346" w:name="_Toc44316442"/>
      <w:r>
        <w:rPr>
          <w:rStyle w:val="CharSectno"/>
        </w:rPr>
        <w:t>82</w:t>
      </w:r>
      <w:r>
        <w:t>.</w:t>
      </w:r>
      <w:r>
        <w:tab/>
        <w:t>Meaning of excluded information</w:t>
      </w:r>
      <w:bookmarkEnd w:id="345"/>
      <w:bookmarkEnd w:id="346"/>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30, 33 or 105(3)(a)(ii) of the Act;</w:t>
      </w:r>
    </w:p>
    <w:p>
      <w:pPr>
        <w:pStyle w:val="Indenta"/>
      </w:pPr>
      <w:r>
        <w:tab/>
        <w:t>(b)</w:t>
      </w:r>
      <w:r>
        <w:tab/>
        <w:t>an application for the renewal of a permit under section 40 of the Act;</w:t>
      </w:r>
    </w:p>
    <w:p>
      <w:pPr>
        <w:pStyle w:val="Indenta"/>
      </w:pPr>
      <w:r>
        <w:tab/>
        <w:t>(c)</w:t>
      </w:r>
      <w:r>
        <w:tab/>
        <w:t>an application for a drilling reservation under section 43A or 105(3)(a)(ii) of the Act;</w:t>
      </w:r>
    </w:p>
    <w:p>
      <w:pPr>
        <w:pStyle w:val="Indenta"/>
      </w:pPr>
      <w:r>
        <w:tab/>
        <w:t>(d)</w:t>
      </w:r>
      <w:r>
        <w:tab/>
        <w:t>an application for a lease under section 48A or 48CA of the Act;</w:t>
      </w:r>
    </w:p>
    <w:p>
      <w:pPr>
        <w:pStyle w:val="Indenta"/>
      </w:pPr>
      <w:r>
        <w:tab/>
        <w:t>(e)</w:t>
      </w:r>
      <w:r>
        <w:tab/>
        <w:t>an application for the renewal of a lease under section 48F of the Act;</w:t>
      </w:r>
    </w:p>
    <w:p>
      <w:pPr>
        <w:pStyle w:val="Indenta"/>
      </w:pPr>
      <w:r>
        <w:tab/>
        <w:t>(f)</w:t>
      </w:r>
      <w:r>
        <w:tab/>
        <w:t>a document setting out the results of a re</w:t>
      </w:r>
      <w:r>
        <w:noBreakHyphen/>
        <w:t>evaluation of the commercial viability of the recovery of petroleum from a petroleum lease area, or the recovery of geothermal energy from a geothermal lease area, under section 48H of the Act;</w:t>
      </w:r>
    </w:p>
    <w:p>
      <w:pPr>
        <w:pStyle w:val="Indenta"/>
      </w:pPr>
      <w:r>
        <w:tab/>
        <w:t>(g)</w:t>
      </w:r>
      <w:r>
        <w:tab/>
        <w:t>an application for a licence under section 50, 50A or 57 of the Act;</w:t>
      </w:r>
    </w:p>
    <w:p>
      <w:pPr>
        <w:pStyle w:val="Indenta"/>
      </w:pPr>
      <w:r>
        <w:tab/>
        <w:t>(h)</w:t>
      </w:r>
      <w:r>
        <w:tab/>
        <w:t>an application for the renewal of a licence under section 64 of the Act;</w:t>
      </w:r>
    </w:p>
    <w:p>
      <w:pPr>
        <w:pStyle w:val="Indenta"/>
      </w:pPr>
      <w:r>
        <w:tab/>
        <w:t>(i)</w:t>
      </w:r>
      <w:r>
        <w:tab/>
        <w:t>a report given under Part 4 or 5;</w:t>
      </w:r>
    </w:p>
    <w:p>
      <w:pPr>
        <w:pStyle w:val="Indenta"/>
      </w:pPr>
      <w:r>
        <w:tab/>
        <w:t>(j)</w:t>
      </w:r>
      <w:r>
        <w:tab/>
        <w:t>a field management plan submitted under regulation 43;</w:t>
      </w:r>
    </w:p>
    <w:p>
      <w:pPr>
        <w:pStyle w:val="Indenta"/>
      </w:pPr>
      <w:r>
        <w:tab/>
        <w:t>(k)</w:t>
      </w:r>
      <w:r>
        <w:tab/>
        <w:t>a revision of an approved field management plan submitted under regulation 49;</w:t>
      </w:r>
    </w:p>
    <w:p>
      <w:pPr>
        <w:pStyle w:val="Indenta"/>
      </w:pPr>
      <w:r>
        <w:tab/>
        <w:t>(l)</w:t>
      </w:r>
      <w:r>
        <w:tab/>
        <w:t>a well management plan submitted under regulation 12;</w:t>
      </w:r>
    </w:p>
    <w:p>
      <w:pPr>
        <w:pStyle w:val="Indenta"/>
      </w:pPr>
      <w:r>
        <w:tab/>
        <w:t>(m)</w:t>
      </w:r>
      <w:r>
        <w:tab/>
        <w:t>a revision of an approved well management plan submitted under regulation 19;</w:t>
      </w:r>
    </w:p>
    <w:p>
      <w:pPr>
        <w:pStyle w:val="Indenta"/>
      </w:pPr>
      <w:r>
        <w:tab/>
        <w:t>(n)</w:t>
      </w:r>
      <w:r>
        <w:tab/>
        <w:t>a geothermal energy recovery development plan submitted under section 62A of the Act;</w:t>
      </w:r>
    </w:p>
    <w:p>
      <w:pPr>
        <w:pStyle w:val="Indenta"/>
      </w:pPr>
      <w:r>
        <w:tab/>
        <w:t>(o)</w:t>
      </w:r>
      <w:r>
        <w:tab/>
        <w:t>an application for approval of a variation of an approved development plan under section 62B of the Act.</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347" w:name="_Toc92800421"/>
      <w:bookmarkStart w:id="348" w:name="_Toc92800734"/>
      <w:bookmarkStart w:id="349" w:name="_Toc92809734"/>
      <w:bookmarkStart w:id="350" w:name="_Toc44055657"/>
      <w:bookmarkStart w:id="351" w:name="_Toc44061592"/>
      <w:bookmarkStart w:id="352" w:name="_Toc44316443"/>
      <w:r>
        <w:rPr>
          <w:rStyle w:val="CharDivNo"/>
        </w:rPr>
        <w:t>Division 2</w:t>
      </w:r>
      <w:r>
        <w:t> — </w:t>
      </w:r>
      <w:r>
        <w:rPr>
          <w:rStyle w:val="CharDivText"/>
        </w:rPr>
        <w:t>Classification of documentary information</w:t>
      </w:r>
      <w:bookmarkEnd w:id="347"/>
      <w:bookmarkEnd w:id="348"/>
      <w:bookmarkEnd w:id="349"/>
      <w:bookmarkEnd w:id="350"/>
      <w:bookmarkEnd w:id="351"/>
      <w:bookmarkEnd w:id="352"/>
    </w:p>
    <w:p>
      <w:pPr>
        <w:pStyle w:val="Heading5"/>
      </w:pPr>
      <w:bookmarkStart w:id="353" w:name="_Toc92809735"/>
      <w:bookmarkStart w:id="354" w:name="_Toc44316444"/>
      <w:r>
        <w:rPr>
          <w:rStyle w:val="CharSectno"/>
        </w:rPr>
        <w:t>83</w:t>
      </w:r>
      <w:r>
        <w:t>.</w:t>
      </w:r>
      <w:r>
        <w:tab/>
        <w:t>Meaning of permanently confidential information</w:t>
      </w:r>
      <w:bookmarkEnd w:id="353"/>
      <w:bookmarkEnd w:id="354"/>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85(1)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85(1)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355" w:name="_Toc92809736"/>
      <w:bookmarkStart w:id="356" w:name="_Toc44316445"/>
      <w:r>
        <w:rPr>
          <w:rStyle w:val="CharSectno"/>
        </w:rPr>
        <w:t>84</w:t>
      </w:r>
      <w:r>
        <w:t>.</w:t>
      </w:r>
      <w:r>
        <w:tab/>
        <w:t>Meaning of interpretative information</w:t>
      </w:r>
      <w:bookmarkEnd w:id="355"/>
      <w:bookmarkEnd w:id="356"/>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85(2)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85(2)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357" w:name="_Toc92809737"/>
      <w:bookmarkStart w:id="358" w:name="_Toc44316446"/>
      <w:r>
        <w:rPr>
          <w:rStyle w:val="CharSectno"/>
        </w:rPr>
        <w:t>85</w:t>
      </w:r>
      <w:r>
        <w:t>.</w:t>
      </w:r>
      <w:r>
        <w:tab/>
        <w:t>Classification dispute notice</w:t>
      </w:r>
      <w:bookmarkEnd w:id="357"/>
      <w:bookmarkEnd w:id="358"/>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keepNext/>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ageBreakBefore/>
      </w:pPr>
      <w:bookmarkStart w:id="359" w:name="_Toc92809738"/>
      <w:bookmarkStart w:id="360" w:name="_Toc44316447"/>
      <w:r>
        <w:rPr>
          <w:rStyle w:val="CharSectno"/>
        </w:rPr>
        <w:t>86</w:t>
      </w:r>
      <w:r>
        <w:t>.</w:t>
      </w:r>
      <w:r>
        <w:tab/>
        <w:t>Making an objection</w:t>
      </w:r>
      <w:bookmarkEnd w:id="359"/>
      <w:bookmarkEnd w:id="360"/>
    </w:p>
    <w:p>
      <w:pPr>
        <w:pStyle w:val="Subsection"/>
      </w:pPr>
      <w:r>
        <w:tab/>
        <w:t>(1)</w:t>
      </w:r>
      <w:r>
        <w:tab/>
        <w:t>If a person has received a notice from the Minister under regulation 85,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85(1)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88.</w:t>
      </w:r>
    </w:p>
    <w:p>
      <w:pPr>
        <w:pStyle w:val="Heading5"/>
      </w:pPr>
      <w:bookmarkStart w:id="361" w:name="_Toc92809739"/>
      <w:bookmarkStart w:id="362" w:name="_Toc44316448"/>
      <w:r>
        <w:rPr>
          <w:rStyle w:val="CharSectno"/>
        </w:rPr>
        <w:t>87</w:t>
      </w:r>
      <w:r>
        <w:t>.</w:t>
      </w:r>
      <w:r>
        <w:tab/>
        <w:t>Consideration of objection</w:t>
      </w:r>
      <w:bookmarkEnd w:id="361"/>
      <w:bookmarkEnd w:id="362"/>
    </w:p>
    <w:p>
      <w:pPr>
        <w:pStyle w:val="Subsection"/>
      </w:pPr>
      <w:r>
        <w:tab/>
        <w:t>(1)</w:t>
      </w:r>
      <w:r>
        <w:tab/>
        <w:t>If the Minister receives an objection made by a person under regulation 86,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363" w:name="_Toc92809740"/>
      <w:bookmarkStart w:id="364" w:name="_Toc44316449"/>
      <w:r>
        <w:rPr>
          <w:rStyle w:val="CharSectno"/>
        </w:rPr>
        <w:t>88</w:t>
      </w:r>
      <w:r>
        <w:t>.</w:t>
      </w:r>
      <w:r>
        <w:tab/>
        <w:t>When objection ceases to be in force</w:t>
      </w:r>
      <w:bookmarkEnd w:id="363"/>
      <w:bookmarkEnd w:id="364"/>
    </w:p>
    <w:p>
      <w:pPr>
        <w:pStyle w:val="Subsection"/>
      </w:pPr>
      <w:r>
        <w:tab/>
      </w:r>
      <w:r>
        <w:tab/>
        <w:t xml:space="preserve">An objection made by a person under regulation 86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365" w:name="_Toc92800428"/>
      <w:bookmarkStart w:id="366" w:name="_Toc92800741"/>
      <w:bookmarkStart w:id="367" w:name="_Toc92809741"/>
      <w:bookmarkStart w:id="368" w:name="_Toc44055664"/>
      <w:bookmarkStart w:id="369" w:name="_Toc44061599"/>
      <w:bookmarkStart w:id="370" w:name="_Toc44316450"/>
      <w:r>
        <w:rPr>
          <w:rStyle w:val="CharDivNo"/>
        </w:rPr>
        <w:t>Division 3</w:t>
      </w:r>
      <w:r>
        <w:t> — </w:t>
      </w:r>
      <w:r>
        <w:rPr>
          <w:rStyle w:val="CharDivText"/>
        </w:rPr>
        <w:t>Release of documentary information</w:t>
      </w:r>
      <w:bookmarkEnd w:id="365"/>
      <w:bookmarkEnd w:id="366"/>
      <w:bookmarkEnd w:id="367"/>
      <w:bookmarkEnd w:id="368"/>
      <w:bookmarkEnd w:id="369"/>
      <w:bookmarkEnd w:id="370"/>
    </w:p>
    <w:p>
      <w:pPr>
        <w:pStyle w:val="Heading5"/>
      </w:pPr>
      <w:bookmarkStart w:id="371" w:name="_Toc92809742"/>
      <w:bookmarkStart w:id="372" w:name="_Toc44316451"/>
      <w:r>
        <w:rPr>
          <w:rStyle w:val="CharSectno"/>
        </w:rPr>
        <w:t>89</w:t>
      </w:r>
      <w:r>
        <w:t>.</w:t>
      </w:r>
      <w:r>
        <w:tab/>
        <w:t>Purpose of Division</w:t>
      </w:r>
      <w:bookmarkEnd w:id="371"/>
      <w:bookmarkEnd w:id="372"/>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373" w:name="_Toc92809743"/>
      <w:bookmarkStart w:id="374" w:name="_Toc44316452"/>
      <w:r>
        <w:rPr>
          <w:rStyle w:val="CharSectno"/>
        </w:rPr>
        <w:t>90</w:t>
      </w:r>
      <w:r>
        <w:t>.</w:t>
      </w:r>
      <w:r>
        <w:tab/>
        <w:t>Release of open information about survey or well</w:t>
      </w:r>
      <w:bookmarkEnd w:id="373"/>
      <w:bookmarkEnd w:id="374"/>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375" w:name="_Toc92809744"/>
      <w:bookmarkStart w:id="376" w:name="_Toc44316453"/>
      <w:r>
        <w:rPr>
          <w:rStyle w:val="CharSectno"/>
        </w:rPr>
        <w:t>91</w:t>
      </w:r>
      <w:r>
        <w:t>.</w:t>
      </w:r>
      <w:r>
        <w:tab/>
        <w:t>Release of basic disclosable information</w:t>
      </w:r>
      <w:bookmarkEnd w:id="375"/>
      <w:bookmarkEnd w:id="376"/>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Seismic survey</w:t>
            </w:r>
          </w:p>
        </w:tc>
        <w:tc>
          <w:tcPr>
            <w:tcW w:w="2732"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that collected exclusive data if the survey was conducted under an instrument that is still in force.</w:t>
            </w:r>
          </w:p>
        </w:tc>
        <w:tc>
          <w:tcPr>
            <w:tcW w:w="2732"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keepNext/>
              <w:widowControl w:val="0"/>
              <w:tabs>
                <w:tab w:val="clear" w:pos="567"/>
                <w:tab w:val="left" w:pos="176"/>
                <w:tab w:val="left" w:pos="601"/>
              </w:tabs>
              <w:ind w:left="34" w:hanging="34"/>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keepNext/>
              <w:keepLines/>
              <w:jc w:val="center"/>
              <w:rPr>
                <w:szCs w:val="24"/>
              </w:rPr>
            </w:pPr>
            <w:r>
              <w:rPr>
                <w:szCs w:val="24"/>
              </w:rPr>
              <w:t>2.</w:t>
            </w:r>
          </w:p>
        </w:tc>
        <w:tc>
          <w:tcPr>
            <w:tcW w:w="2835" w:type="dxa"/>
          </w:tcPr>
          <w:p>
            <w:pPr>
              <w:pStyle w:val="TableNAm"/>
              <w:keepNext/>
              <w:keepLines/>
              <w:rPr>
                <w:szCs w:val="24"/>
              </w:rPr>
            </w:pPr>
            <w:r>
              <w:rPr>
                <w:szCs w:val="24"/>
              </w:rPr>
              <w:t xml:space="preserve">An instrument that — </w:t>
            </w:r>
          </w:p>
          <w:p>
            <w:pPr>
              <w:pStyle w:val="TableNAm"/>
              <w:keepNext/>
              <w:keepLines/>
              <w:tabs>
                <w:tab w:val="clear" w:pos="567"/>
                <w:tab w:val="left" w:pos="175"/>
                <w:tab w:val="left" w:pos="570"/>
              </w:tabs>
              <w:ind w:left="601" w:hanging="601"/>
              <w:rPr>
                <w:szCs w:val="24"/>
              </w:rPr>
            </w:pPr>
            <w:r>
              <w:rPr>
                <w:szCs w:val="24"/>
              </w:rPr>
              <w:tab/>
              <w:t>(a)</w:t>
            </w:r>
            <w:r>
              <w:rPr>
                <w:szCs w:val="24"/>
              </w:rPr>
              <w:tab/>
              <w:t>has expired; or</w:t>
            </w:r>
          </w:p>
          <w:p>
            <w:pPr>
              <w:pStyle w:val="TableNAm"/>
              <w:keepNext/>
              <w:keepLines/>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keepNext/>
              <w:keepLines/>
              <w:rPr>
                <w:szCs w:val="24"/>
              </w:rPr>
            </w:pPr>
            <w:r>
              <w:rPr>
                <w:szCs w:val="24"/>
              </w:rPr>
              <w:t>The day of the expiry, surrender, cancellation, revocation or termination.</w:t>
            </w:r>
          </w:p>
        </w:tc>
      </w:tr>
    </w:tbl>
    <w:p>
      <w:pPr>
        <w:pStyle w:val="Heading5"/>
      </w:pPr>
      <w:bookmarkStart w:id="377" w:name="_Toc92809745"/>
      <w:bookmarkStart w:id="378" w:name="_Toc44316454"/>
      <w:r>
        <w:rPr>
          <w:rStyle w:val="CharSectno"/>
        </w:rPr>
        <w:t>92</w:t>
      </w:r>
      <w:r>
        <w:t>.</w:t>
      </w:r>
      <w:r>
        <w:tab/>
        <w:t>Release of interpretative disclosable information</w:t>
      </w:r>
      <w:bookmarkEnd w:id="377"/>
      <w:bookmarkEnd w:id="378"/>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73(1);</w:t>
      </w:r>
    </w:p>
    <w:p>
      <w:pPr>
        <w:pStyle w:val="Defpara"/>
      </w:pPr>
      <w:r>
        <w:tab/>
        <w:t>(b)</w:t>
      </w:r>
      <w:r>
        <w:tab/>
        <w:t>information contained in a final well activity report as defined in regulation 73(1);</w:t>
      </w:r>
    </w:p>
    <w:p>
      <w:pPr>
        <w:pStyle w:val="Defpara"/>
      </w:pPr>
      <w:r>
        <w:tab/>
        <w:t>(c)</w:t>
      </w:r>
      <w:r>
        <w:tab/>
        <w:t>well completion data as defined in regulation 74(1);</w:t>
      </w:r>
    </w:p>
    <w:p>
      <w:pPr>
        <w:pStyle w:val="Defpara"/>
      </w:pPr>
      <w:r>
        <w:tab/>
        <w:t>(d)</w:t>
      </w:r>
      <w:r>
        <w:tab/>
        <w:t>information contained in a well completion report as defined in regulation 74(1).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tab/>
        <w:t>(c)</w:t>
      </w:r>
      <w:r>
        <w:tab/>
        <w:t>the information relates to the subsoil, or to petroleum or geothermal energy resources,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379" w:name="_Toc92809746"/>
      <w:bookmarkStart w:id="380" w:name="_Toc44316455"/>
      <w:r>
        <w:rPr>
          <w:rStyle w:val="CharSectno"/>
        </w:rPr>
        <w:t>93</w:t>
      </w:r>
      <w:r>
        <w:t>.</w:t>
      </w:r>
      <w:r>
        <w:tab/>
        <w:t>Release of documentary information: prior availability or consent</w:t>
      </w:r>
      <w:bookmarkEnd w:id="379"/>
      <w:bookmarkEnd w:id="380"/>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116 of the Act, subregulation (1) applies only if the information relates to a period when no permit, lease or licence was in force over the block.</w:t>
      </w:r>
    </w:p>
    <w:p>
      <w:pPr>
        <w:pStyle w:val="Heading5"/>
      </w:pPr>
      <w:bookmarkStart w:id="381" w:name="_Toc92809747"/>
      <w:bookmarkStart w:id="382" w:name="_Toc44316456"/>
      <w:r>
        <w:rPr>
          <w:rStyle w:val="CharSectno"/>
        </w:rPr>
        <w:t>94</w:t>
      </w:r>
      <w:r>
        <w:t>.</w:t>
      </w:r>
      <w:r>
        <w:tab/>
        <w:t>Fees for documentary information</w:t>
      </w:r>
      <w:bookmarkEnd w:id="381"/>
      <w:bookmarkEnd w:id="382"/>
    </w:p>
    <w:p>
      <w:pPr>
        <w:pStyle w:val="Subsection"/>
      </w:pPr>
      <w:r>
        <w:tab/>
        <w:t>(1)</w:t>
      </w:r>
      <w:r>
        <w:tab/>
        <w:t>This regulation applies if, under regulation 91(1), 92(2) or 93(1), the Minister makes documentary information available to a person.</w:t>
      </w:r>
    </w:p>
    <w:p>
      <w:pPr>
        <w:pStyle w:val="Subsection"/>
      </w:pPr>
      <w:r>
        <w:tab/>
        <w:t>(2)</w:t>
      </w:r>
      <w:r>
        <w:tab/>
        <w:t>If the document containing the information is lent to the person, the Minister may require the person to pay a fee of $142.00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$142.00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Footnotesection"/>
      </w:pPr>
      <w:r>
        <w:tab/>
        <w:t>[Regulation 94 amended: Gazette 24 Jun 2016 p. 2333; 23 Jun 2017 p. 3304; 25 Jun 2018 p. 2319; 18 Jun 2019 p. 2053; SL 2020/93 r. 17.]</w:t>
      </w:r>
    </w:p>
    <w:p>
      <w:pPr>
        <w:pStyle w:val="Heading5"/>
        <w:rPr>
          <w:ins w:id="383" w:author="Master Repository Process" w:date="2022-01-13T15:47:00Z"/>
        </w:rPr>
      </w:pPr>
      <w:bookmarkStart w:id="384" w:name="_Toc92809748"/>
      <w:bookmarkStart w:id="385" w:name="_Toc92800435"/>
      <w:ins w:id="386" w:author="Master Repository Process" w:date="2022-01-13T15:47:00Z">
        <w:r>
          <w:rPr>
            <w:rStyle w:val="CharSectno"/>
          </w:rPr>
          <w:t>94A</w:t>
        </w:r>
        <w:r>
          <w:t>.</w:t>
        </w:r>
        <w:r>
          <w:tab/>
          <w:t>Release of documentary information to Director General of Finance for royalties activities</w:t>
        </w:r>
        <w:bookmarkEnd w:id="384"/>
      </w:ins>
    </w:p>
    <w:p>
      <w:pPr>
        <w:pStyle w:val="Subsection"/>
        <w:rPr>
          <w:ins w:id="387" w:author="Master Repository Process" w:date="2022-01-13T15:47:00Z"/>
        </w:rPr>
      </w:pPr>
      <w:ins w:id="388" w:author="Master Repository Process" w:date="2022-01-13T15:47:00Z">
        <w:r>
          <w:tab/>
          <w:t>(1)</w:t>
        </w:r>
        <w:r>
          <w:tab/>
          <w:t xml:space="preserve">In this regulation — </w:t>
        </w:r>
      </w:ins>
    </w:p>
    <w:p>
      <w:pPr>
        <w:pStyle w:val="Defstart"/>
        <w:rPr>
          <w:ins w:id="389" w:author="Master Repository Process" w:date="2022-01-13T15:47:00Z"/>
        </w:rPr>
      </w:pPr>
      <w:ins w:id="390" w:author="Master Repository Process" w:date="2022-01-13T15:47:00Z">
        <w:r>
          <w:tab/>
        </w:r>
        <w:r>
          <w:rPr>
            <w:rStyle w:val="CharDefText"/>
          </w:rPr>
          <w:t>Department of Finance</w:t>
        </w:r>
        <w:r>
          <w:t xml:space="preserve"> means the department of the Public Service principally assisting the Minister for Finance in the administration of the </w:t>
        </w:r>
        <w:r>
          <w:rPr>
            <w:i/>
          </w:rPr>
          <w:t>Taxation Administration Act 2003</w:t>
        </w:r>
        <w:r>
          <w:t>;</w:t>
        </w:r>
      </w:ins>
    </w:p>
    <w:p>
      <w:pPr>
        <w:pStyle w:val="Defstart"/>
        <w:rPr>
          <w:ins w:id="391" w:author="Master Repository Process" w:date="2022-01-13T15:47:00Z"/>
        </w:rPr>
      </w:pPr>
      <w:ins w:id="392" w:author="Master Repository Process" w:date="2022-01-13T15:47:00Z">
        <w:r>
          <w:tab/>
        </w:r>
        <w:r>
          <w:rPr>
            <w:rStyle w:val="CharDefText"/>
          </w:rPr>
          <w:t>Department of Finance worker</w:t>
        </w:r>
        <w:r>
          <w:t xml:space="preserve"> means a public service officer, or any other individual, who is employed or engaged in, or who otherwise holds a position in, the Department of Finance;</w:t>
        </w:r>
      </w:ins>
    </w:p>
    <w:p>
      <w:pPr>
        <w:pStyle w:val="Defstart"/>
        <w:rPr>
          <w:ins w:id="393" w:author="Master Repository Process" w:date="2022-01-13T15:47:00Z"/>
        </w:rPr>
      </w:pPr>
      <w:ins w:id="394" w:author="Master Repository Process" w:date="2022-01-13T15:47:00Z">
        <w:r>
          <w:tab/>
        </w:r>
        <w:r>
          <w:rPr>
            <w:rStyle w:val="CharDefText"/>
          </w:rPr>
          <w:t>Director General of Finance</w:t>
        </w:r>
        <w:r>
          <w:t xml:space="preserve"> means the individual for the time being holding or acting in the office of chief executive officer of the Department of Finance;</w:t>
        </w:r>
      </w:ins>
    </w:p>
    <w:p>
      <w:pPr>
        <w:pStyle w:val="Defstart"/>
        <w:rPr>
          <w:ins w:id="395" w:author="Master Repository Process" w:date="2022-01-13T15:47:00Z"/>
        </w:rPr>
      </w:pPr>
      <w:ins w:id="396" w:author="Master Repository Process" w:date="2022-01-13T15:47:00Z">
        <w:r>
          <w:tab/>
        </w:r>
        <w:r>
          <w:rPr>
            <w:rStyle w:val="CharDefText"/>
          </w:rPr>
          <w:t>Minister for Finance</w:t>
        </w:r>
        <w:r>
          <w:t xml:space="preserve"> means the Minister to whom the administration of the </w:t>
        </w:r>
        <w:r>
          <w:rPr>
            <w:i/>
          </w:rPr>
          <w:t>Taxation Administration Act 2003</w:t>
        </w:r>
        <w:r>
          <w:t xml:space="preserve"> is for the time being committed by the Governor;</w:t>
        </w:r>
      </w:ins>
    </w:p>
    <w:p>
      <w:pPr>
        <w:pStyle w:val="Defstart"/>
        <w:rPr>
          <w:ins w:id="397" w:author="Master Repository Process" w:date="2022-01-13T15:47:00Z"/>
        </w:rPr>
      </w:pPr>
      <w:ins w:id="398" w:author="Master Repository Process" w:date="2022-01-13T15:47:00Z">
        <w:r>
          <w:tab/>
        </w:r>
        <w:r>
          <w:rPr>
            <w:rStyle w:val="CharDefText"/>
          </w:rPr>
          <w:t>royalties activities</w:t>
        </w:r>
        <w:r>
          <w:t xml:space="preserve"> means activities done by the Department of Finance in preparation for, or otherwise in anticipation of, Department of Finance workers having, or being delegated, functions for, or connected with, the administration or collection of royalties in respect of petroleum.</w:t>
        </w:r>
      </w:ins>
    </w:p>
    <w:p>
      <w:pPr>
        <w:pStyle w:val="Subsection"/>
        <w:rPr>
          <w:ins w:id="399" w:author="Master Repository Process" w:date="2022-01-13T15:47:00Z"/>
        </w:rPr>
      </w:pPr>
      <w:ins w:id="400" w:author="Master Repository Process" w:date="2022-01-13T15:47:00Z">
        <w:r>
          <w:tab/>
          <w:t>(2)</w:t>
        </w:r>
        <w:r>
          <w:tab/>
          <w:t>The Minister may make documentary information available to the Director General of Finance for the purposes of, or in relation to, royalties activities.</w:t>
        </w:r>
      </w:ins>
    </w:p>
    <w:p>
      <w:pPr>
        <w:pStyle w:val="Subsection"/>
        <w:rPr>
          <w:ins w:id="401" w:author="Master Repository Process" w:date="2022-01-13T15:47:00Z"/>
        </w:rPr>
      </w:pPr>
      <w:ins w:id="402" w:author="Master Repository Process" w:date="2022-01-13T15:47:00Z">
        <w:r>
          <w:tab/>
          <w:t>(3)</w:t>
        </w:r>
        <w:r>
          <w:tab/>
          <w:t>If the Minister makes documentary information available under subregulation (2), a Department of Finance worker may access, copy, use, store or disclose the documentary information for the purposes of, or in relation to, royalties activities.</w:t>
        </w:r>
      </w:ins>
    </w:p>
    <w:p>
      <w:pPr>
        <w:pStyle w:val="Subsection"/>
        <w:rPr>
          <w:ins w:id="403" w:author="Master Repository Process" w:date="2022-01-13T15:47:00Z"/>
        </w:rPr>
      </w:pPr>
      <w:ins w:id="404" w:author="Master Repository Process" w:date="2022-01-13T15:47:00Z">
        <w:r>
          <w:tab/>
          <w:t>(4)</w:t>
        </w:r>
        <w:r>
          <w:tab/>
          <w:t>Subregulation (3) authorises a Department of Finance worker to disclose documentary information only to another Department of Finance worker, the Minister for Finance or another Minister.</w:t>
        </w:r>
      </w:ins>
    </w:p>
    <w:p>
      <w:pPr>
        <w:pStyle w:val="Subsection"/>
        <w:rPr>
          <w:ins w:id="405" w:author="Master Repository Process" w:date="2022-01-13T15:47:00Z"/>
        </w:rPr>
      </w:pPr>
      <w:ins w:id="406" w:author="Master Repository Process" w:date="2022-01-13T15:47:00Z">
        <w:r>
          <w:tab/>
          <w:t>(5)</w:t>
        </w:r>
        <w:r>
          <w:tab/>
          <w:t xml:space="preserve">An individual who is or was a Department of Finance worker commits an offence if — </w:t>
        </w:r>
      </w:ins>
    </w:p>
    <w:p>
      <w:pPr>
        <w:pStyle w:val="Indenta"/>
        <w:rPr>
          <w:ins w:id="407" w:author="Master Repository Process" w:date="2022-01-13T15:47:00Z"/>
        </w:rPr>
      </w:pPr>
      <w:ins w:id="408" w:author="Master Repository Process" w:date="2022-01-13T15:47:00Z">
        <w:r>
          <w:tab/>
          <w:t>(a)</w:t>
        </w:r>
        <w:r>
          <w:tab/>
          <w:t>documentary information that was made available by the Minister under subregulation (2) came to the individual’s knowledge in the course of, or by reason of, their employment or engagement in, or their otherwise holding a position in, the Department of Finance; and</w:t>
        </w:r>
      </w:ins>
    </w:p>
    <w:p>
      <w:pPr>
        <w:pStyle w:val="Indenta"/>
        <w:rPr>
          <w:ins w:id="409" w:author="Master Repository Process" w:date="2022-01-13T15:47:00Z"/>
        </w:rPr>
      </w:pPr>
      <w:ins w:id="410" w:author="Master Repository Process" w:date="2022-01-13T15:47:00Z">
        <w:r>
          <w:tab/>
          <w:t>(b)</w:t>
        </w:r>
        <w:r>
          <w:tab/>
          <w:t xml:space="preserve">the individual accesses, copies, uses, stores or discloses the documentary information — </w:t>
        </w:r>
      </w:ins>
    </w:p>
    <w:p>
      <w:pPr>
        <w:pStyle w:val="Indenti"/>
        <w:rPr>
          <w:ins w:id="411" w:author="Master Repository Process" w:date="2022-01-13T15:47:00Z"/>
        </w:rPr>
      </w:pPr>
      <w:ins w:id="412" w:author="Master Repository Process" w:date="2022-01-13T15:47:00Z">
        <w:r>
          <w:tab/>
          <w:t>(i)</w:t>
        </w:r>
        <w:r>
          <w:tab/>
          <w:t>for the purpose of personal gain; or</w:t>
        </w:r>
      </w:ins>
    </w:p>
    <w:p>
      <w:pPr>
        <w:pStyle w:val="Indenti"/>
        <w:rPr>
          <w:ins w:id="413" w:author="Master Repository Process" w:date="2022-01-13T15:47:00Z"/>
        </w:rPr>
      </w:pPr>
      <w:ins w:id="414" w:author="Master Repository Process" w:date="2022-01-13T15:47:00Z">
        <w:r>
          <w:tab/>
          <w:t>(ii)</w:t>
        </w:r>
        <w:r>
          <w:tab/>
          <w:t>otherwise in a way that is not authorised under subregulation (3).</w:t>
        </w:r>
      </w:ins>
    </w:p>
    <w:p>
      <w:pPr>
        <w:pStyle w:val="Penstart"/>
        <w:rPr>
          <w:ins w:id="415" w:author="Master Repository Process" w:date="2022-01-13T15:47:00Z"/>
        </w:rPr>
      </w:pPr>
      <w:ins w:id="416" w:author="Master Repository Process" w:date="2022-01-13T15:47:00Z">
        <w:r>
          <w:tab/>
          <w:t>Penalty for this subregulation: a fine of $10 000.</w:t>
        </w:r>
      </w:ins>
    </w:p>
    <w:p>
      <w:pPr>
        <w:pStyle w:val="Subsection"/>
        <w:rPr>
          <w:ins w:id="417" w:author="Master Repository Process" w:date="2022-01-13T15:47:00Z"/>
        </w:rPr>
      </w:pPr>
      <w:ins w:id="418" w:author="Master Repository Process" w:date="2022-01-13T15:47:00Z">
        <w:r>
          <w:tab/>
          <w:t>(6)</w:t>
        </w:r>
        <w:r>
          <w:tab/>
          <w:t>A Minister to whom documentary information is disclosed under subregulation (3) or this subregulation may access, copy, use, store or disclose the documentary information for the purposes of, or in relation to, royalties activities.</w:t>
        </w:r>
      </w:ins>
    </w:p>
    <w:p>
      <w:pPr>
        <w:pStyle w:val="Subsection"/>
        <w:rPr>
          <w:ins w:id="419" w:author="Master Repository Process" w:date="2022-01-13T15:47:00Z"/>
        </w:rPr>
      </w:pPr>
      <w:ins w:id="420" w:author="Master Repository Process" w:date="2022-01-13T15:47:00Z">
        <w:r>
          <w:tab/>
          <w:t>(7)</w:t>
        </w:r>
        <w:r>
          <w:tab/>
          <w:t>Subregulation (6) authorises a Minister to disclose documentary information only to another Minister.</w:t>
        </w:r>
      </w:ins>
    </w:p>
    <w:p>
      <w:pPr>
        <w:pStyle w:val="Footnotesection"/>
        <w:rPr>
          <w:ins w:id="421" w:author="Master Repository Process" w:date="2022-01-13T15:47:00Z"/>
        </w:rPr>
      </w:pPr>
      <w:ins w:id="422" w:author="Master Repository Process" w:date="2022-01-13T15:47:00Z">
        <w:r>
          <w:tab/>
          <w:t>[Regulation 94A inserted: SL 2022/1 r. 6.]</w:t>
        </w:r>
      </w:ins>
    </w:p>
    <w:p>
      <w:pPr>
        <w:pStyle w:val="Heading3"/>
        <w:keepNext w:val="0"/>
        <w:widowControl w:val="0"/>
      </w:pPr>
      <w:bookmarkStart w:id="423" w:name="_Toc92800749"/>
      <w:bookmarkStart w:id="424" w:name="_Toc92809749"/>
      <w:bookmarkStart w:id="425" w:name="_Toc44055671"/>
      <w:bookmarkStart w:id="426" w:name="_Toc44061606"/>
      <w:bookmarkStart w:id="427" w:name="_Toc44316457"/>
      <w:r>
        <w:rPr>
          <w:rStyle w:val="CharDivNo"/>
        </w:rPr>
        <w:t>Division 4</w:t>
      </w:r>
      <w:r>
        <w:t> — </w:t>
      </w:r>
      <w:r>
        <w:rPr>
          <w:rStyle w:val="CharDivText"/>
        </w:rPr>
        <w:t>Release of mining samples</w:t>
      </w:r>
      <w:bookmarkEnd w:id="385"/>
      <w:bookmarkEnd w:id="423"/>
      <w:bookmarkEnd w:id="424"/>
      <w:bookmarkEnd w:id="425"/>
      <w:bookmarkEnd w:id="426"/>
      <w:bookmarkEnd w:id="427"/>
    </w:p>
    <w:p>
      <w:pPr>
        <w:pStyle w:val="Heading5"/>
      </w:pPr>
      <w:bookmarkStart w:id="428" w:name="_Toc92809750"/>
      <w:bookmarkStart w:id="429" w:name="_Toc44316458"/>
      <w:r>
        <w:rPr>
          <w:rStyle w:val="CharSectno"/>
        </w:rPr>
        <w:t>95</w:t>
      </w:r>
      <w:r>
        <w:t>.</w:t>
      </w:r>
      <w:r>
        <w:tab/>
        <w:t>Purpose of Division</w:t>
      </w:r>
      <w:bookmarkEnd w:id="428"/>
      <w:bookmarkEnd w:id="429"/>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430" w:name="_Toc92809751"/>
      <w:bookmarkStart w:id="431" w:name="_Toc44316459"/>
      <w:r>
        <w:rPr>
          <w:rStyle w:val="CharSectno"/>
        </w:rPr>
        <w:t>96</w:t>
      </w:r>
      <w:r>
        <w:t>.</w:t>
      </w:r>
      <w:r>
        <w:tab/>
        <w:t>Release of mining samples after relevant day</w:t>
      </w:r>
      <w:bookmarkEnd w:id="430"/>
      <w:bookmarkEnd w:id="431"/>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2 years after the day on which, in the opinion of the Minister, the operation was substantially completed.</w:t>
            </w:r>
          </w:p>
        </w:tc>
      </w:tr>
      <w:tr>
        <w:trPr>
          <w:cantSplit/>
        </w:trPr>
        <w:tc>
          <w:tcPr>
            <w:tcW w:w="709" w:type="dxa"/>
          </w:tcPr>
          <w:p>
            <w:pPr>
              <w:pStyle w:val="TableNAm"/>
              <w:jc w:val="center"/>
              <w:rPr>
                <w:szCs w:val="24"/>
              </w:rPr>
            </w:pPr>
            <w:r>
              <w:rPr>
                <w:szCs w:val="24"/>
              </w:rPr>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432" w:name="_Toc92809752"/>
      <w:bookmarkStart w:id="433" w:name="_Toc44316460"/>
      <w:r>
        <w:rPr>
          <w:rStyle w:val="CharSectno"/>
        </w:rPr>
        <w:t>97</w:t>
      </w:r>
      <w:r>
        <w:t>.</w:t>
      </w:r>
      <w:r>
        <w:tab/>
        <w:t>Release of mining samples: prior availability or consent</w:t>
      </w:r>
      <w:bookmarkEnd w:id="432"/>
      <w:bookmarkEnd w:id="433"/>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116 of the Act, subregulation (1) applies only if the sample was obtained during a period when no permit, lease or licence was in force over the block.</w:t>
      </w:r>
    </w:p>
    <w:p>
      <w:pPr>
        <w:pStyle w:val="Heading5"/>
      </w:pPr>
      <w:bookmarkStart w:id="434" w:name="_Toc92809753"/>
      <w:bookmarkStart w:id="435" w:name="_Toc44316461"/>
      <w:r>
        <w:rPr>
          <w:rStyle w:val="CharSectno"/>
        </w:rPr>
        <w:t>98</w:t>
      </w:r>
      <w:r>
        <w:t>.</w:t>
      </w:r>
      <w:r>
        <w:tab/>
        <w:t>Fees for inspection of mining sample</w:t>
      </w:r>
      <w:bookmarkEnd w:id="434"/>
      <w:bookmarkEnd w:id="435"/>
    </w:p>
    <w:p>
      <w:pPr>
        <w:pStyle w:val="Subsection"/>
      </w:pPr>
      <w:r>
        <w:tab/>
        <w:t>(1)</w:t>
      </w:r>
      <w:r>
        <w:tab/>
        <w:t>This regulation applies if, under regulation 96(1) or 97(1), the Minister permits a person to inspect a mining sample.</w:t>
      </w:r>
    </w:p>
    <w:p>
      <w:pPr>
        <w:pStyle w:val="Subsection"/>
      </w:pPr>
      <w:r>
        <w:tab/>
        <w:t>(2)</w:t>
      </w:r>
      <w:r>
        <w:tab/>
        <w:t>If the mining sample is lent to the person for inspection, the Minister may require the person to pay a fee of $142.00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$142.00 for each hour or part of an hour (after the first half hour) taken to conduct the search.</w:t>
      </w:r>
    </w:p>
    <w:p>
      <w:pPr>
        <w:pStyle w:val="Subsection"/>
        <w:rPr>
          <w:rStyle w:val="DraftersNotes"/>
          <w:b w:val="0"/>
          <w:i w:val="0"/>
          <w:sz w:val="24"/>
        </w:rPr>
      </w:pPr>
      <w:r>
        <w:tab/>
        <w:t>(4)</w:t>
      </w:r>
      <w:r>
        <w:tab/>
        <w:t>If the mining sample is sent to the person for inspection, the Minister may require the person to pay a fee of an amount equal to the total costs incurred in sending the sample (including any packaging costs).</w:t>
      </w:r>
    </w:p>
    <w:p>
      <w:pPr>
        <w:pStyle w:val="Footnotesection"/>
      </w:pPr>
      <w:r>
        <w:tab/>
        <w:t>[Regulation 98 amended: Gazette 24 Jun 2016 p. 2334; 23 Jun 2017 p. 3304; 25 Jun 2018 p. 2319; 18 Jun 2019 p. 2053; SL 2020/93 r. 18.]</w:t>
      </w:r>
    </w:p>
    <w:p>
      <w:pPr>
        <w:pStyle w:val="Heading2"/>
      </w:pPr>
      <w:bookmarkStart w:id="436" w:name="_Toc92800440"/>
      <w:bookmarkStart w:id="437" w:name="_Toc92800754"/>
      <w:bookmarkStart w:id="438" w:name="_Toc92809754"/>
      <w:bookmarkStart w:id="439" w:name="_Toc44055676"/>
      <w:bookmarkStart w:id="440" w:name="_Toc44061611"/>
      <w:bookmarkStart w:id="441" w:name="_Toc44316462"/>
      <w:r>
        <w:rPr>
          <w:rStyle w:val="CharPartNo"/>
        </w:rPr>
        <w:t>Part 10</w:t>
      </w:r>
      <w:r>
        <w:rPr>
          <w:rStyle w:val="CharDivNo"/>
        </w:rPr>
        <w:t> </w:t>
      </w:r>
      <w:r>
        <w:t>—</w:t>
      </w:r>
      <w:r>
        <w:rPr>
          <w:rStyle w:val="CharDivText"/>
        </w:rPr>
        <w:t> </w:t>
      </w:r>
      <w:r>
        <w:rPr>
          <w:rStyle w:val="CharPartText"/>
        </w:rPr>
        <w:t>Transitional provisions</w:t>
      </w:r>
      <w:bookmarkEnd w:id="436"/>
      <w:bookmarkEnd w:id="437"/>
      <w:bookmarkEnd w:id="438"/>
      <w:bookmarkEnd w:id="439"/>
      <w:bookmarkEnd w:id="440"/>
      <w:bookmarkEnd w:id="441"/>
    </w:p>
    <w:p>
      <w:pPr>
        <w:pStyle w:val="Heading5"/>
      </w:pPr>
      <w:bookmarkStart w:id="442" w:name="_Toc92809755"/>
      <w:bookmarkStart w:id="443" w:name="_Toc44316463"/>
      <w:r>
        <w:rPr>
          <w:rStyle w:val="CharSectno"/>
        </w:rPr>
        <w:t>99</w:t>
      </w:r>
      <w:r>
        <w:t>.</w:t>
      </w:r>
      <w:r>
        <w:tab/>
        <w:t>Terms used</w:t>
      </w:r>
      <w:bookmarkEnd w:id="442"/>
      <w:bookmarkEnd w:id="443"/>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petroleum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444" w:name="_Toc92809756"/>
      <w:bookmarkStart w:id="445" w:name="_Toc44316464"/>
      <w:r>
        <w:rPr>
          <w:rStyle w:val="CharSectno"/>
        </w:rPr>
        <w:t>100</w:t>
      </w:r>
      <w:r>
        <w:t>.</w:t>
      </w:r>
      <w:r>
        <w:tab/>
        <w:t>Existing surveys</w:t>
      </w:r>
      <w:bookmarkEnd w:id="444"/>
      <w:bookmarkEnd w:id="445"/>
    </w:p>
    <w:p>
      <w:pPr>
        <w:pStyle w:val="Subsection"/>
      </w:pPr>
      <w:r>
        <w:tab/>
      </w:r>
      <w:r>
        <w:tab/>
        <w:t>Regulation 5 does not apply in relation to a survey undertaken by an instrument holder before commencement day that continues on or after that day.</w:t>
      </w:r>
    </w:p>
    <w:p>
      <w:pPr>
        <w:pStyle w:val="Heading5"/>
      </w:pPr>
      <w:bookmarkStart w:id="446" w:name="_Toc92809757"/>
      <w:bookmarkStart w:id="447" w:name="_Toc44316465"/>
      <w:r>
        <w:rPr>
          <w:rStyle w:val="CharSectno"/>
        </w:rPr>
        <w:t>101</w:t>
      </w:r>
      <w:r>
        <w:t>.</w:t>
      </w:r>
      <w:r>
        <w:tab/>
        <w:t>Existing well activities</w:t>
      </w:r>
      <w:bookmarkEnd w:id="446"/>
      <w:bookmarkEnd w:id="447"/>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448" w:name="_Toc92809758"/>
      <w:bookmarkStart w:id="449" w:name="_Toc44316466"/>
      <w:r>
        <w:rPr>
          <w:rStyle w:val="CharSectno"/>
        </w:rPr>
        <w:t>102</w:t>
      </w:r>
      <w:r>
        <w:t>.</w:t>
      </w:r>
      <w:r>
        <w:tab/>
        <w:t>Existing recovery operations</w:t>
      </w:r>
      <w:bookmarkEnd w:id="448"/>
      <w:bookmarkEnd w:id="449"/>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petroleum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petroleum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50" w:name="_Toc92800445"/>
      <w:bookmarkStart w:id="451" w:name="_Toc92800759"/>
      <w:bookmarkStart w:id="452" w:name="_Toc92809759"/>
      <w:bookmarkStart w:id="453" w:name="_Toc44055681"/>
      <w:bookmarkStart w:id="454" w:name="_Toc44061616"/>
      <w:bookmarkStart w:id="455" w:name="_Toc44316467"/>
      <w:r>
        <w:rPr>
          <w:rStyle w:val="CharSchNo"/>
        </w:rPr>
        <w:t>Schedule 1</w:t>
      </w:r>
      <w:r>
        <w:rPr>
          <w:rStyle w:val="CharSDivNo"/>
        </w:rPr>
        <w:t> </w:t>
      </w:r>
      <w:r>
        <w:t>—</w:t>
      </w:r>
      <w:r>
        <w:rPr>
          <w:rStyle w:val="CharSDivText"/>
        </w:rPr>
        <w:t> </w:t>
      </w:r>
      <w:r>
        <w:rPr>
          <w:rStyle w:val="CharSchText"/>
        </w:rPr>
        <w:t>Well management plan</w:t>
      </w:r>
      <w:bookmarkEnd w:id="450"/>
      <w:bookmarkEnd w:id="451"/>
      <w:bookmarkEnd w:id="452"/>
      <w:bookmarkEnd w:id="453"/>
      <w:bookmarkEnd w:id="454"/>
      <w:bookmarkEnd w:id="455"/>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keepNext/>
              <w:jc w:val="center"/>
            </w:pPr>
            <w:r>
              <w:t>7.</w:t>
            </w:r>
          </w:p>
        </w:tc>
        <w:tc>
          <w:tcPr>
            <w:tcW w:w="6176" w:type="dxa"/>
          </w:tcPr>
          <w:p>
            <w:pPr>
              <w:pStyle w:val="yTableNAm"/>
              <w:keepNext/>
            </w:pPr>
            <w:r>
              <w:t xml:space="preserve">An explanation of how the title holder will identify, monitor, mitigate and otherwise deal with — </w:t>
            </w:r>
          </w:p>
          <w:p>
            <w:pPr>
              <w:pStyle w:val="yTableNAm"/>
              <w:keepNext/>
              <w:tabs>
                <w:tab w:val="clear" w:pos="567"/>
                <w:tab w:val="left" w:pos="581"/>
              </w:tabs>
              <w:ind w:left="601" w:hanging="454"/>
            </w:pPr>
            <w:r>
              <w:t>(a)</w:t>
            </w:r>
            <w:r>
              <w:tab/>
              <w:t>a well integrity hazard; and</w:t>
            </w:r>
          </w:p>
          <w:p>
            <w:pPr>
              <w:pStyle w:val="yTableNAm"/>
              <w:keepNext/>
              <w:tabs>
                <w:tab w:val="clear" w:pos="567"/>
                <w:tab w:val="left" w:pos="581"/>
              </w:tabs>
              <w:ind w:left="601" w:hanging="454"/>
            </w:pPr>
            <w:r>
              <w:t>(b)</w:t>
            </w:r>
            <w:r>
              <w:tab/>
              <w:t>a significant increase in an existing risk for the well,</w:t>
            </w:r>
          </w:p>
          <w:p>
            <w:pPr>
              <w:pStyle w:val="yTableNAm"/>
              <w:keepNext/>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Pr>
          <w:p>
            <w:pPr>
              <w:pStyle w:val="yTableNAm"/>
              <w:jc w:val="center"/>
            </w:pPr>
            <w:r>
              <w:t>15.</w:t>
            </w:r>
          </w:p>
        </w:tc>
        <w:tc>
          <w:tcPr>
            <w:tcW w:w="6176" w:type="dxa"/>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rPr>
                <w:rStyle w:val="DraftersNotes"/>
                <w:b w:val="0"/>
                <w:i w:val="0"/>
                <w:sz w:val="22"/>
              </w:rPr>
            </w:pPr>
          </w:p>
        </w:tc>
      </w:tr>
      <w:tr>
        <w:tc>
          <w:tcPr>
            <w:tcW w:w="709" w:type="dxa"/>
            <w:tcBorders>
              <w:bottom w:val="single" w:sz="4" w:space="0" w:color="auto"/>
            </w:tcBorders>
          </w:tcPr>
          <w:p>
            <w:pPr>
              <w:pStyle w:val="yTableNAm"/>
              <w:keepNext/>
              <w:jc w:val="center"/>
            </w:pPr>
          </w:p>
        </w:tc>
        <w:tc>
          <w:tcPr>
            <w:tcW w:w="6176" w:type="dxa"/>
            <w:tcBorders>
              <w:bottom w:val="single" w:sz="4" w:space="0" w:color="auto"/>
            </w:tcBorders>
          </w:tcPr>
          <w:p>
            <w:pPr>
              <w:pStyle w:val="yTableNAm"/>
              <w:keepNext/>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keepNext/>
              <w:tabs>
                <w:tab w:val="clear" w:pos="567"/>
                <w:tab w:val="left" w:pos="601"/>
              </w:tabs>
              <w:ind w:left="601" w:hanging="454"/>
            </w:pPr>
            <w:r>
              <w:t>(n)</w:t>
            </w:r>
            <w:r>
              <w:tab/>
              <w:t>details of the insurance held by the title holder in relation to the well and the drilling activity.</w:t>
            </w:r>
          </w:p>
        </w:tc>
      </w:tr>
    </w:tbl>
    <w:p>
      <w:pPr>
        <w:pStyle w:val="yScheduleHeading"/>
      </w:pPr>
      <w:bookmarkStart w:id="456" w:name="_Toc92800446"/>
      <w:bookmarkStart w:id="457" w:name="_Toc92800760"/>
      <w:bookmarkStart w:id="458" w:name="_Toc92809760"/>
      <w:bookmarkStart w:id="459" w:name="_Toc44055682"/>
      <w:bookmarkStart w:id="460" w:name="_Toc44061617"/>
      <w:bookmarkStart w:id="461" w:name="_Toc44316468"/>
      <w:r>
        <w:rPr>
          <w:rStyle w:val="CharSchNo"/>
        </w:rPr>
        <w:t>Schedule 2</w:t>
      </w:r>
      <w:r>
        <w:t> — </w:t>
      </w:r>
      <w:r>
        <w:rPr>
          <w:rStyle w:val="CharSchText"/>
        </w:rPr>
        <w:t>Annual assessment report</w:t>
      </w:r>
      <w:bookmarkEnd w:id="456"/>
      <w:bookmarkEnd w:id="457"/>
      <w:bookmarkEnd w:id="458"/>
      <w:bookmarkEnd w:id="459"/>
      <w:bookmarkEnd w:id="460"/>
      <w:bookmarkEnd w:id="461"/>
    </w:p>
    <w:p>
      <w:pPr>
        <w:pStyle w:val="yShoulderClause"/>
        <w:spacing w:after="80"/>
      </w:pPr>
      <w:r>
        <w:t>[r. 37(2)]</w:t>
      </w:r>
    </w:p>
    <w:p>
      <w:pPr>
        <w:pStyle w:val="yHeading3"/>
        <w:spacing w:after="120"/>
      </w:pPr>
      <w:bookmarkStart w:id="462" w:name="_Toc92800447"/>
      <w:bookmarkStart w:id="463" w:name="_Toc92800761"/>
      <w:bookmarkStart w:id="464" w:name="_Toc92809761"/>
      <w:bookmarkStart w:id="465" w:name="_Toc44055683"/>
      <w:bookmarkStart w:id="466" w:name="_Toc44061618"/>
      <w:bookmarkStart w:id="467" w:name="_Toc44316469"/>
      <w:r>
        <w:rPr>
          <w:rStyle w:val="CharSDivNo"/>
        </w:rPr>
        <w:t>Division 1</w:t>
      </w:r>
      <w:r>
        <w:t> — </w:t>
      </w:r>
      <w:r>
        <w:rPr>
          <w:rStyle w:val="CharSDivText"/>
        </w:rPr>
        <w:t>Required information: permittee or holder of drilling reservation</w:t>
      </w:r>
      <w:bookmarkEnd w:id="462"/>
      <w:bookmarkEnd w:id="463"/>
      <w:bookmarkEnd w:id="464"/>
      <w:bookmarkEnd w:id="465"/>
      <w:bookmarkEnd w:id="466"/>
      <w:bookmarkEnd w:id="467"/>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 or drilling reservation.</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or drilling reservation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or drilling reservation during the next year of the permit or drilling reservation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or holder of the drilling reservation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 or drilling reservation.</w:t>
            </w:r>
          </w:p>
        </w:tc>
      </w:tr>
    </w:tbl>
    <w:p>
      <w:pPr>
        <w:pStyle w:val="yHeading3"/>
        <w:spacing w:after="120"/>
      </w:pPr>
      <w:bookmarkStart w:id="468" w:name="_Toc92800448"/>
      <w:bookmarkStart w:id="469" w:name="_Toc92800762"/>
      <w:bookmarkStart w:id="470" w:name="_Toc92809762"/>
      <w:bookmarkStart w:id="471" w:name="_Toc44055684"/>
      <w:bookmarkStart w:id="472" w:name="_Toc44061619"/>
      <w:bookmarkStart w:id="473" w:name="_Toc44316470"/>
      <w:r>
        <w:rPr>
          <w:rStyle w:val="CharSDivNo"/>
        </w:rPr>
        <w:t>Division 2</w:t>
      </w:r>
      <w:r>
        <w:t> — </w:t>
      </w:r>
      <w:r>
        <w:rPr>
          <w:rStyle w:val="CharSDivText"/>
        </w:rPr>
        <w:t>Required information: lessee</w:t>
      </w:r>
      <w:bookmarkEnd w:id="468"/>
      <w:bookmarkEnd w:id="469"/>
      <w:bookmarkEnd w:id="470"/>
      <w:bookmarkEnd w:id="471"/>
      <w:bookmarkEnd w:id="472"/>
      <w:bookmarkEnd w:id="473"/>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keepNext/>
              <w:jc w:val="center"/>
              <w:rPr>
                <w:b/>
                <w:bCs/>
              </w:rPr>
            </w:pPr>
            <w:r>
              <w:rPr>
                <w:b/>
                <w:bCs/>
              </w:rPr>
              <w:t>Item</w:t>
            </w:r>
          </w:p>
        </w:tc>
        <w:tc>
          <w:tcPr>
            <w:tcW w:w="6176" w:type="dxa"/>
            <w:tcBorders>
              <w:top w:val="single" w:sz="4" w:space="0" w:color="auto"/>
              <w:bottom w:val="single" w:sz="4" w:space="0" w:color="auto"/>
            </w:tcBorders>
          </w:tcPr>
          <w:p>
            <w:pPr>
              <w:pStyle w:val="yTableNAm"/>
              <w:keepNext/>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6.</w:t>
            </w:r>
          </w:p>
        </w:tc>
        <w:tc>
          <w:tcPr>
            <w:tcW w:w="6176" w:type="dxa"/>
            <w:tcBorders>
              <w:top w:val="single" w:sz="4" w:space="0" w:color="auto"/>
            </w:tcBorders>
          </w:tcPr>
          <w:p>
            <w:pPr>
              <w:pStyle w:val="yTableNAm"/>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pPr>
            <w:r>
              <w:t>For a year after the first year of the lease, the following information about each petroleum pool or geothermal resources area situated in the lease area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rPr>
                <w:rStyle w:val="DraftersNotes"/>
                <w:b w:val="0"/>
                <w:i w:val="0"/>
                <w:sz w:val="22"/>
              </w:rPr>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474" w:name="_Toc92800449"/>
      <w:bookmarkStart w:id="475" w:name="_Toc92800763"/>
      <w:bookmarkStart w:id="476" w:name="_Toc92809763"/>
      <w:bookmarkStart w:id="477" w:name="_Toc44055685"/>
      <w:bookmarkStart w:id="478" w:name="_Toc44061620"/>
      <w:bookmarkStart w:id="479" w:name="_Toc44316471"/>
      <w:r>
        <w:rPr>
          <w:rStyle w:val="CharSDivNo"/>
        </w:rPr>
        <w:t>Division 3</w:t>
      </w:r>
      <w:r>
        <w:t> — </w:t>
      </w:r>
      <w:r>
        <w:rPr>
          <w:rStyle w:val="CharSDivText"/>
        </w:rPr>
        <w:t>Required information: licensee</w:t>
      </w:r>
      <w:bookmarkEnd w:id="474"/>
      <w:bookmarkEnd w:id="475"/>
      <w:bookmarkEnd w:id="476"/>
      <w:bookmarkEnd w:id="477"/>
      <w:bookmarkEnd w:id="478"/>
      <w:bookmarkEnd w:id="479"/>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or geothermal resources area situated in the licence area —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or geothermal energy recovered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480" w:name="_Toc92800450"/>
      <w:bookmarkStart w:id="481" w:name="_Toc92800764"/>
      <w:bookmarkStart w:id="482" w:name="_Toc92809764"/>
      <w:bookmarkStart w:id="483" w:name="_Toc44055686"/>
      <w:bookmarkStart w:id="484" w:name="_Toc44061621"/>
      <w:bookmarkStart w:id="485" w:name="_Toc44316472"/>
      <w:r>
        <w:rPr>
          <w:rStyle w:val="CharSchNo"/>
        </w:rPr>
        <w:t>Schedule 3</w:t>
      </w:r>
      <w:r>
        <w:rPr>
          <w:rStyle w:val="CharSDivNo"/>
        </w:rPr>
        <w:t> </w:t>
      </w:r>
      <w:r>
        <w:t>—</w:t>
      </w:r>
      <w:r>
        <w:rPr>
          <w:rStyle w:val="CharSDivText"/>
        </w:rPr>
        <w:t> </w:t>
      </w:r>
      <w:r>
        <w:rPr>
          <w:rStyle w:val="CharSchText"/>
        </w:rPr>
        <w:t>Field management plan</w:t>
      </w:r>
      <w:bookmarkEnd w:id="480"/>
      <w:bookmarkEnd w:id="481"/>
      <w:bookmarkEnd w:id="482"/>
      <w:bookmarkEnd w:id="483"/>
      <w:bookmarkEnd w:id="484"/>
      <w:bookmarkEnd w:id="485"/>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keepNext/>
              <w:jc w:val="center"/>
              <w:rPr>
                <w:bCs/>
              </w:rPr>
            </w:pPr>
            <w:r>
              <w:rPr>
                <w:bCs/>
              </w:rPr>
              <w:t>7.</w:t>
            </w:r>
          </w:p>
        </w:tc>
        <w:tc>
          <w:tcPr>
            <w:tcW w:w="6162" w:type="dxa"/>
          </w:tcPr>
          <w:p>
            <w:pPr>
              <w:pStyle w:val="yTableNAm"/>
              <w:keepNext/>
              <w:rPr>
                <w:rStyle w:val="DraftersNotes"/>
                <w:b w:val="0"/>
                <w:i w:val="0"/>
                <w:sz w:val="22"/>
              </w:rPr>
            </w:pPr>
            <w:r>
              <w:t>The proposed maximum rate of recovery of petroleum from a petroleum pool in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c>
          <w:tcPr>
            <w:tcW w:w="709" w:type="dxa"/>
          </w:tcPr>
          <w:p>
            <w:pPr>
              <w:pStyle w:val="yTableNAm"/>
              <w:keepNext/>
              <w:jc w:val="center"/>
              <w:rPr>
                <w:bCs/>
              </w:rPr>
            </w:pPr>
            <w:r>
              <w:rPr>
                <w:bCs/>
              </w:rPr>
              <w:t>13.</w:t>
            </w:r>
          </w:p>
        </w:tc>
        <w:tc>
          <w:tcPr>
            <w:tcW w:w="6162" w:type="dxa"/>
          </w:tcPr>
          <w:p>
            <w:pPr>
              <w:pStyle w:val="yTableNAm"/>
              <w:keepNext/>
            </w:pPr>
            <w:r>
              <w:t xml:space="preserve">Details of the following — </w:t>
            </w:r>
          </w:p>
          <w:p>
            <w:pPr>
              <w:pStyle w:val="yTableNAm"/>
              <w:keepNext/>
              <w:tabs>
                <w:tab w:val="clear" w:pos="567"/>
                <w:tab w:val="left" w:pos="601"/>
              </w:tabs>
              <w:ind w:left="601" w:hanging="468"/>
            </w:pPr>
            <w:r>
              <w:t>(a)</w:t>
            </w:r>
            <w:r>
              <w:tab/>
              <w:t>the surface connections and equipment to be used by the applicant;</w:t>
            </w:r>
          </w:p>
          <w:p>
            <w:pPr>
              <w:pStyle w:val="yTableNAm"/>
              <w:keepNext/>
              <w:tabs>
                <w:tab w:val="clear" w:pos="567"/>
                <w:tab w:val="left" w:pos="601"/>
              </w:tabs>
              <w:ind w:left="601" w:hanging="468"/>
            </w:pPr>
            <w:r>
              <w:t>(b)</w:t>
            </w:r>
            <w:r>
              <w:tab/>
              <w:t>any petroleum production by a well that is from more than one petroleum pool;</w:t>
            </w:r>
          </w:p>
          <w:p>
            <w:pPr>
              <w:pStyle w:val="yTableNAm"/>
              <w:keepNext/>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486" w:name="_Toc92800451"/>
      <w:bookmarkStart w:id="487" w:name="_Toc92800765"/>
      <w:bookmarkStart w:id="488" w:name="_Toc92809765"/>
      <w:bookmarkStart w:id="489" w:name="_Toc44055687"/>
      <w:bookmarkStart w:id="490" w:name="_Toc44061622"/>
      <w:bookmarkStart w:id="491" w:name="_Toc44316473"/>
      <w:r>
        <w:rPr>
          <w:rStyle w:val="CharSchNo"/>
        </w:rPr>
        <w:t>Schedule 4</w:t>
      </w:r>
      <w:r>
        <w:rPr>
          <w:rStyle w:val="CharSDivNo"/>
        </w:rPr>
        <w:t> </w:t>
      </w:r>
      <w:r>
        <w:t>—</w:t>
      </w:r>
      <w:r>
        <w:rPr>
          <w:rStyle w:val="CharSDivText"/>
        </w:rPr>
        <w:t> </w:t>
      </w:r>
      <w:r>
        <w:rPr>
          <w:rStyle w:val="CharSchText"/>
        </w:rPr>
        <w:t>Geothermal energy recovery development plan</w:t>
      </w:r>
      <w:bookmarkEnd w:id="486"/>
      <w:bookmarkEnd w:id="487"/>
      <w:bookmarkEnd w:id="488"/>
      <w:bookmarkEnd w:id="489"/>
      <w:bookmarkEnd w:id="490"/>
      <w:bookmarkEnd w:id="491"/>
    </w:p>
    <w:p>
      <w:pPr>
        <w:pStyle w:val="yShoulderClause"/>
        <w:spacing w:after="80"/>
      </w:pPr>
      <w:r>
        <w:t>[r. 63]</w:t>
      </w:r>
    </w:p>
    <w:tbl>
      <w:tblPr>
        <w:tblW w:w="6913" w:type="dxa"/>
        <w:tblInd w:w="250" w:type="dxa"/>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204" w:type="dxa"/>
            <w:tcBorders>
              <w:top w:val="single" w:sz="4" w:space="0" w:color="auto"/>
            </w:tcBorders>
          </w:tcPr>
          <w:p>
            <w:pPr>
              <w:pStyle w:val="yTableNAm"/>
            </w:pPr>
            <w:r>
              <w:t>Evidence and data showing that the licence area contains geothermal energy resources, including details of the structure, extent and location of discovered geothermal resources areas.</w:t>
            </w:r>
          </w:p>
        </w:tc>
      </w:tr>
      <w:tr>
        <w:tc>
          <w:tcPr>
            <w:tcW w:w="709" w:type="dxa"/>
          </w:tcPr>
          <w:p>
            <w:pPr>
              <w:pStyle w:val="yTableNAm"/>
              <w:jc w:val="center"/>
              <w:rPr>
                <w:bCs/>
              </w:rPr>
            </w:pPr>
            <w:r>
              <w:rPr>
                <w:bCs/>
              </w:rPr>
              <w:t>2.</w:t>
            </w:r>
          </w:p>
        </w:tc>
        <w:tc>
          <w:tcPr>
            <w:tcW w:w="6204" w:type="dxa"/>
          </w:tcPr>
          <w:p>
            <w:pPr>
              <w:pStyle w:val="yTableNAm"/>
            </w:pPr>
            <w:r>
              <w:t>Estimates of the volume of geothermal energy resources in place and recoverable geothermal energy, including data supporting the estimates.</w:t>
            </w:r>
          </w:p>
        </w:tc>
      </w:tr>
      <w:tr>
        <w:tc>
          <w:tcPr>
            <w:tcW w:w="709" w:type="dxa"/>
          </w:tcPr>
          <w:p>
            <w:pPr>
              <w:pStyle w:val="yTableNAm"/>
              <w:jc w:val="center"/>
              <w:rPr>
                <w:bCs/>
              </w:rPr>
            </w:pPr>
            <w:r>
              <w:rPr>
                <w:bCs/>
              </w:rPr>
              <w:t>3.</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the possible geothermal energy resources in the licence area;</w:t>
            </w:r>
          </w:p>
          <w:p>
            <w:pPr>
              <w:pStyle w:val="yTableNAm"/>
              <w:tabs>
                <w:tab w:val="clear" w:pos="567"/>
                <w:tab w:val="left" w:pos="601"/>
              </w:tabs>
              <w:ind w:left="601" w:hanging="468"/>
            </w:pPr>
            <w:r>
              <w:t>(b)</w:t>
            </w:r>
            <w:r>
              <w:tab/>
              <w:t>the geothermal licensee’s plans (if any) to explore for geothermal resources areas;</w:t>
            </w:r>
          </w:p>
          <w:p>
            <w:pPr>
              <w:pStyle w:val="yTableNAm"/>
              <w:tabs>
                <w:tab w:val="clear" w:pos="567"/>
                <w:tab w:val="left" w:pos="601"/>
              </w:tabs>
              <w:ind w:left="601" w:hanging="468"/>
            </w:pPr>
            <w:r>
              <w:t>(c)</w:t>
            </w:r>
            <w:r>
              <w:tab/>
              <w:t>how any geothermal resources areas of commercial quantity can be incorporated into the development of the licence area.</w:t>
            </w:r>
          </w:p>
        </w:tc>
      </w:tr>
      <w:tr>
        <w:tc>
          <w:tcPr>
            <w:tcW w:w="709" w:type="dxa"/>
          </w:tcPr>
          <w:p>
            <w:pPr>
              <w:pStyle w:val="yTableNAm"/>
              <w:jc w:val="center"/>
              <w:rPr>
                <w:bCs/>
              </w:rPr>
            </w:pPr>
            <w:r>
              <w:rPr>
                <w:bCs/>
              </w:rPr>
              <w:t>4.</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licence area, management of geothermal resources areas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204" w:type="dxa"/>
          </w:tcPr>
          <w:p>
            <w:pPr>
              <w:pStyle w:val="yTableNAm"/>
            </w:pPr>
            <w:r>
              <w:t xml:space="preserve">A description of how the geothermal licensee intends to recover geothermal energy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keepNext/>
              <w:jc w:val="center"/>
              <w:rPr>
                <w:bCs/>
              </w:rPr>
            </w:pPr>
            <w:r>
              <w:rPr>
                <w:bCs/>
              </w:rPr>
              <w:t>6.</w:t>
            </w:r>
          </w:p>
        </w:tc>
        <w:tc>
          <w:tcPr>
            <w:tcW w:w="6204" w:type="dxa"/>
          </w:tcPr>
          <w:p>
            <w:pPr>
              <w:pStyle w:val="yTableNAm"/>
              <w:keepNext/>
              <w:rPr>
                <w:rStyle w:val="DraftersNotes"/>
                <w:b w:val="0"/>
                <w:i w:val="0"/>
                <w:sz w:val="22"/>
              </w:rPr>
            </w:pPr>
            <w:r>
              <w:t>Details of the past performance (if any) of production wells in the licence area and a prediction of the future performance of those wells.</w:t>
            </w:r>
          </w:p>
        </w:tc>
      </w:tr>
      <w:tr>
        <w:tc>
          <w:tcPr>
            <w:tcW w:w="709" w:type="dxa"/>
          </w:tcPr>
          <w:p>
            <w:pPr>
              <w:pStyle w:val="yTableNAm"/>
              <w:jc w:val="center"/>
              <w:rPr>
                <w:bCs/>
              </w:rPr>
            </w:pPr>
            <w:r>
              <w:rPr>
                <w:bCs/>
              </w:rPr>
              <w:t>7.</w:t>
            </w:r>
          </w:p>
        </w:tc>
        <w:tc>
          <w:tcPr>
            <w:tcW w:w="6204" w:type="dxa"/>
          </w:tcPr>
          <w:p>
            <w:pPr>
              <w:pStyle w:val="yTableNAm"/>
            </w:pPr>
            <w:r>
              <w:t>The proposed maximum rate of recovery of geothermal energy from the licence area.</w:t>
            </w:r>
          </w:p>
        </w:tc>
      </w:tr>
      <w:tr>
        <w:tc>
          <w:tcPr>
            <w:tcW w:w="709" w:type="dxa"/>
          </w:tcPr>
          <w:p>
            <w:pPr>
              <w:pStyle w:val="yTableNAm"/>
              <w:jc w:val="center"/>
              <w:rPr>
                <w:bCs/>
              </w:rPr>
            </w:pPr>
            <w:r>
              <w:rPr>
                <w:bCs/>
              </w:rPr>
              <w:t>8.</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licence area;</w:t>
            </w:r>
          </w:p>
          <w:p>
            <w:pPr>
              <w:pStyle w:val="yTableNAm"/>
              <w:tabs>
                <w:tab w:val="clear" w:pos="567"/>
                <w:tab w:val="left" w:pos="601"/>
              </w:tabs>
              <w:ind w:left="601" w:hanging="468"/>
              <w:rPr>
                <w:rStyle w:val="DraftersNotes"/>
                <w:b w:val="0"/>
                <w:i w:val="0"/>
                <w:sz w:val="22"/>
              </w:rPr>
            </w:pPr>
            <w:r>
              <w:t>(b)</w:t>
            </w:r>
            <w:r>
              <w:tab/>
              <w:t>the geothermal licensee’s proposals for the management of such aquifers including proposals for baseline monitoring.</w:t>
            </w:r>
          </w:p>
        </w:tc>
      </w:tr>
      <w:tr>
        <w:tc>
          <w:tcPr>
            <w:tcW w:w="709" w:type="dxa"/>
          </w:tcPr>
          <w:p>
            <w:pPr>
              <w:pStyle w:val="yTableNAm"/>
              <w:jc w:val="center"/>
              <w:rPr>
                <w:bCs/>
              </w:rPr>
            </w:pPr>
            <w:r>
              <w:rPr>
                <w:bCs/>
              </w:rPr>
              <w:t>9.</w:t>
            </w:r>
          </w:p>
        </w:tc>
        <w:tc>
          <w:tcPr>
            <w:tcW w:w="6204" w:type="dxa"/>
          </w:tcPr>
          <w:p>
            <w:pPr>
              <w:pStyle w:val="yTableNAm"/>
            </w:pPr>
            <w:r>
              <w:t>The project schedule, including an estimated development timetable for production facilities such as wells and pipelines.</w:t>
            </w:r>
          </w:p>
        </w:tc>
      </w:tr>
      <w:tr>
        <w:tc>
          <w:tcPr>
            <w:tcW w:w="709" w:type="dxa"/>
          </w:tcPr>
          <w:p>
            <w:pPr>
              <w:pStyle w:val="yTableNAm"/>
              <w:jc w:val="center"/>
              <w:rPr>
                <w:bCs/>
              </w:rPr>
            </w:pPr>
            <w:r>
              <w:rPr>
                <w:bCs/>
              </w:rPr>
              <w:t>10.</w:t>
            </w:r>
          </w:p>
        </w:tc>
        <w:tc>
          <w:tcPr>
            <w:tcW w:w="6204" w:type="dxa"/>
          </w:tcPr>
          <w:p>
            <w:pPr>
              <w:pStyle w:val="yTableNAm"/>
            </w:pPr>
            <w:r>
              <w:t xml:space="preserve">Details of the geothermal licensee’s operations or proposals for the following — </w:t>
            </w:r>
          </w:p>
          <w:p>
            <w:pPr>
              <w:pStyle w:val="yTableNAm"/>
              <w:tabs>
                <w:tab w:val="clear" w:pos="567"/>
                <w:tab w:val="left" w:pos="601"/>
              </w:tabs>
              <w:ind w:left="601" w:hanging="468"/>
            </w:pPr>
            <w:r>
              <w:t>(a)</w:t>
            </w:r>
            <w:r>
              <w:tab/>
              <w:t>the enhanced recovery or recycling of produced formation material;</w:t>
            </w:r>
          </w:p>
          <w:p>
            <w:pPr>
              <w:pStyle w:val="yTableNAm"/>
              <w:tabs>
                <w:tab w:val="clear" w:pos="567"/>
                <w:tab w:val="left" w:pos="601"/>
              </w:tabs>
              <w:ind w:left="601" w:hanging="468"/>
            </w:pPr>
            <w:r>
              <w:t>(b)</w:t>
            </w:r>
            <w:r>
              <w:tab/>
              <w:t>the processing, storage or disposal of produced formation material;</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204"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geothermal licensee’s management of geothermal resources areas;</w:t>
            </w:r>
          </w:p>
          <w:p>
            <w:pPr>
              <w:pStyle w:val="yTableNAm"/>
              <w:tabs>
                <w:tab w:val="clear" w:pos="567"/>
                <w:tab w:val="left" w:pos="601"/>
              </w:tabs>
              <w:ind w:left="601" w:hanging="468"/>
            </w:pPr>
            <w:r>
              <w:t>(b)</w:t>
            </w:r>
            <w:r>
              <w:tab/>
              <w:t>keeping records and other documents about the geothermal licensee’s management of geothermal resources areas.</w:t>
            </w:r>
          </w:p>
        </w:tc>
      </w:tr>
      <w:tr>
        <w:tc>
          <w:tcPr>
            <w:tcW w:w="709" w:type="dxa"/>
          </w:tcPr>
          <w:p>
            <w:pPr>
              <w:pStyle w:val="yTableNAm"/>
              <w:keepNext/>
              <w:keepLines/>
              <w:jc w:val="center"/>
              <w:rPr>
                <w:bCs/>
              </w:rPr>
            </w:pPr>
            <w:r>
              <w:rPr>
                <w:bCs/>
              </w:rPr>
              <w:t>12.</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geothermal licensee;</w:t>
            </w:r>
          </w:p>
          <w:p>
            <w:pPr>
              <w:pStyle w:val="yTableNAm"/>
              <w:tabs>
                <w:tab w:val="clear" w:pos="567"/>
                <w:tab w:val="left" w:pos="601"/>
              </w:tabs>
              <w:ind w:left="601" w:hanging="468"/>
            </w:pPr>
            <w:r>
              <w:t>(b)</w:t>
            </w:r>
            <w:r>
              <w:tab/>
              <w:t>any geothermal energy recovery through a well that is from more than one geothermal resources area;</w:t>
            </w:r>
          </w:p>
          <w:p>
            <w:pPr>
              <w:pStyle w:val="yTableNAm"/>
              <w:tabs>
                <w:tab w:val="clear" w:pos="567"/>
                <w:tab w:val="left" w:pos="601"/>
              </w:tabs>
              <w:ind w:left="601" w:hanging="468"/>
            </w:pPr>
            <w:r>
              <w:t>(c)</w:t>
            </w:r>
            <w:r>
              <w:tab/>
              <w:t>any geothermal energy recovery from a geothermal resources area that is through more than one well.</w:t>
            </w:r>
          </w:p>
        </w:tc>
      </w:tr>
      <w:tr>
        <w:tc>
          <w:tcPr>
            <w:tcW w:w="709" w:type="dxa"/>
          </w:tcPr>
          <w:p>
            <w:pPr>
              <w:pStyle w:val="yTableNAm"/>
              <w:jc w:val="center"/>
              <w:rPr>
                <w:bCs/>
              </w:rPr>
            </w:pPr>
            <w:r>
              <w:rPr>
                <w:bCs/>
              </w:rPr>
              <w:t>13.</w:t>
            </w:r>
          </w:p>
        </w:tc>
        <w:tc>
          <w:tcPr>
            <w:tcW w:w="6204"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rPr>
                <w:rStyle w:val="DraftersNotes"/>
                <w:b w:val="0"/>
                <w:i w:val="0"/>
                <w:sz w:val="22"/>
              </w:rPr>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heat;</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14.</w:t>
            </w:r>
          </w:p>
        </w:tc>
        <w:tc>
          <w:tcPr>
            <w:tcW w:w="6204" w:type="dxa"/>
          </w:tcPr>
          <w:p>
            <w:pPr>
              <w:pStyle w:val="yTableNAm"/>
            </w:pPr>
            <w:r>
              <w:t>Arrangements for the disposal or flaring of any produced petroleum.</w:t>
            </w:r>
          </w:p>
        </w:tc>
      </w:tr>
      <w:tr>
        <w:tc>
          <w:tcPr>
            <w:tcW w:w="709" w:type="dxa"/>
          </w:tcPr>
          <w:p>
            <w:pPr>
              <w:pStyle w:val="yTableNAm"/>
              <w:jc w:val="center"/>
              <w:rPr>
                <w:bCs/>
              </w:rPr>
            </w:pPr>
            <w:r>
              <w:rPr>
                <w:bCs/>
              </w:rPr>
              <w:t>15.</w:t>
            </w:r>
          </w:p>
        </w:tc>
        <w:tc>
          <w:tcPr>
            <w:tcW w:w="6204" w:type="dxa"/>
          </w:tcPr>
          <w:p>
            <w:pPr>
              <w:pStyle w:val="yTableNAm"/>
            </w:pPr>
            <w:r>
              <w:t>A description of the applicant’s plans for closure of the geothermal resources areas, including plans for decommissioning and rehabilitation.</w:t>
            </w:r>
          </w:p>
        </w:tc>
      </w:tr>
      <w:tr>
        <w:tc>
          <w:tcPr>
            <w:tcW w:w="709" w:type="dxa"/>
            <w:tcBorders>
              <w:bottom w:val="single" w:sz="4" w:space="0" w:color="auto"/>
            </w:tcBorders>
          </w:tcPr>
          <w:p>
            <w:pPr>
              <w:pStyle w:val="yTableNAm"/>
              <w:jc w:val="center"/>
              <w:rPr>
                <w:bCs/>
              </w:rPr>
            </w:pPr>
            <w:r>
              <w:rPr>
                <w:bCs/>
              </w:rPr>
              <w:t>16.</w:t>
            </w:r>
          </w:p>
        </w:tc>
        <w:tc>
          <w:tcPr>
            <w:tcW w:w="6204" w:type="dxa"/>
            <w:tcBorders>
              <w:bottom w:val="single" w:sz="4" w:space="0" w:color="auto"/>
            </w:tcBorders>
          </w:tcPr>
          <w:p>
            <w:pPr>
              <w:pStyle w:val="yTableNAm"/>
            </w:pPr>
            <w:r>
              <w:t>A list of the principal Australian and international standards that apply in relation to the geothermal licensee’s operations and plant used in connection with those operations.</w:t>
            </w:r>
          </w:p>
        </w:tc>
      </w:tr>
    </w:tbl>
    <w:p>
      <w:pPr>
        <w:pStyle w:val="yScheduleHeading"/>
      </w:pPr>
      <w:bookmarkStart w:id="492" w:name="_Toc92800452"/>
      <w:bookmarkStart w:id="493" w:name="_Toc92800766"/>
      <w:bookmarkStart w:id="494" w:name="_Toc92809766"/>
      <w:bookmarkStart w:id="495" w:name="_Toc44055688"/>
      <w:bookmarkStart w:id="496" w:name="_Toc44061623"/>
      <w:bookmarkStart w:id="497" w:name="_Toc44316474"/>
      <w:r>
        <w:rPr>
          <w:rStyle w:val="CharSchNo"/>
        </w:rPr>
        <w:t>Schedule 5</w:t>
      </w:r>
      <w:r>
        <w:rPr>
          <w:rStyle w:val="CharSDivNo"/>
        </w:rPr>
        <w:t> </w:t>
      </w:r>
      <w:r>
        <w:t>—</w:t>
      </w:r>
      <w:r>
        <w:rPr>
          <w:rStyle w:val="CharSDivText"/>
        </w:rPr>
        <w:t> </w:t>
      </w:r>
      <w:r>
        <w:rPr>
          <w:rStyle w:val="CharSchText"/>
        </w:rPr>
        <w:t>Daily well activity report</w:t>
      </w:r>
      <w:bookmarkEnd w:id="492"/>
      <w:bookmarkEnd w:id="493"/>
      <w:bookmarkEnd w:id="494"/>
      <w:bookmarkEnd w:id="495"/>
      <w:bookmarkEnd w:id="496"/>
      <w:bookmarkEnd w:id="497"/>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 or geothermal energy resources.</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w:t>
            </w:r>
            <w:r>
              <w:rPr>
                <w:rStyle w:val="DraftersNotes"/>
                <w:b w:val="0"/>
                <w:i w:val="0"/>
              </w:rPr>
              <w:t xml:space="preserve"> </w:t>
            </w:r>
            <w:r>
              <w:t>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498" w:name="_Toc92800453"/>
      <w:bookmarkStart w:id="499" w:name="_Toc92800767"/>
      <w:bookmarkStart w:id="500" w:name="_Toc92809767"/>
      <w:bookmarkStart w:id="501" w:name="_Toc44055689"/>
      <w:bookmarkStart w:id="502" w:name="_Toc44061624"/>
      <w:bookmarkStart w:id="503" w:name="_Toc44316475"/>
      <w:r>
        <w:rPr>
          <w:rStyle w:val="CharSchNo"/>
        </w:rPr>
        <w:t>Schedule 6</w:t>
      </w:r>
      <w:r>
        <w:rPr>
          <w:rStyle w:val="CharSDivNo"/>
        </w:rPr>
        <w:t> </w:t>
      </w:r>
      <w:r>
        <w:t>—</w:t>
      </w:r>
      <w:r>
        <w:rPr>
          <w:rStyle w:val="CharSDivText"/>
        </w:rPr>
        <w:t> </w:t>
      </w:r>
      <w:r>
        <w:rPr>
          <w:rStyle w:val="CharSchText"/>
        </w:rPr>
        <w:t>Final well activity data</w:t>
      </w:r>
      <w:bookmarkEnd w:id="498"/>
      <w:bookmarkEnd w:id="499"/>
      <w:bookmarkEnd w:id="500"/>
      <w:bookmarkEnd w:id="501"/>
      <w:bookmarkEnd w:id="502"/>
      <w:bookmarkEnd w:id="503"/>
    </w:p>
    <w:p>
      <w:pPr>
        <w:pStyle w:val="yShoulderClause"/>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504" w:name="_Toc92800454"/>
      <w:bookmarkStart w:id="505" w:name="_Toc92800768"/>
      <w:bookmarkStart w:id="506" w:name="_Toc92809768"/>
      <w:bookmarkStart w:id="507" w:name="_Toc44055690"/>
      <w:bookmarkStart w:id="508" w:name="_Toc44061625"/>
      <w:bookmarkStart w:id="509" w:name="_Toc44316476"/>
      <w:r>
        <w:rPr>
          <w:rStyle w:val="CharSchNo"/>
        </w:rPr>
        <w:t>Schedule 7</w:t>
      </w:r>
      <w:r>
        <w:rPr>
          <w:rStyle w:val="CharSDivNo"/>
        </w:rPr>
        <w:t> </w:t>
      </w:r>
      <w:r>
        <w:t>—</w:t>
      </w:r>
      <w:r>
        <w:rPr>
          <w:rStyle w:val="CharSDivText"/>
        </w:rPr>
        <w:t> </w:t>
      </w:r>
      <w:r>
        <w:rPr>
          <w:rStyle w:val="CharSchText"/>
        </w:rPr>
        <w:t>Final well activity report</w:t>
      </w:r>
      <w:bookmarkEnd w:id="504"/>
      <w:bookmarkEnd w:id="505"/>
      <w:bookmarkEnd w:id="506"/>
      <w:bookmarkEnd w:id="507"/>
      <w:bookmarkEnd w:id="508"/>
      <w:bookmarkEnd w:id="509"/>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t>14.</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keepNext/>
              <w:jc w:val="center"/>
              <w:rPr>
                <w:bCs/>
              </w:rPr>
            </w:pPr>
            <w:r>
              <w:rPr>
                <w:bCs/>
              </w:rPr>
              <w:t>27.</w:t>
            </w:r>
          </w:p>
        </w:tc>
        <w:tc>
          <w:tcPr>
            <w:tcW w:w="6162" w:type="dxa"/>
          </w:tcPr>
          <w:p>
            <w:pPr>
              <w:pStyle w:val="yTableNAm"/>
              <w:keepNext/>
            </w:pPr>
            <w:r>
              <w:t>Details of any indication of petroleum or geothermal energy resources.</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510" w:name="_Toc92800455"/>
      <w:bookmarkStart w:id="511" w:name="_Toc92800769"/>
      <w:bookmarkStart w:id="512" w:name="_Toc92809769"/>
      <w:bookmarkStart w:id="513" w:name="_Toc44055691"/>
      <w:bookmarkStart w:id="514" w:name="_Toc44061626"/>
      <w:bookmarkStart w:id="515" w:name="_Toc44316477"/>
      <w:r>
        <w:rPr>
          <w:rStyle w:val="CharSchNo"/>
        </w:rPr>
        <w:t>Schedule 8</w:t>
      </w:r>
      <w:r>
        <w:rPr>
          <w:rStyle w:val="CharSDivNo"/>
        </w:rPr>
        <w:t> </w:t>
      </w:r>
      <w:r>
        <w:t>—</w:t>
      </w:r>
      <w:r>
        <w:rPr>
          <w:rStyle w:val="CharSDivText"/>
        </w:rPr>
        <w:t> </w:t>
      </w:r>
      <w:r>
        <w:rPr>
          <w:rStyle w:val="CharSchText"/>
        </w:rPr>
        <w:t>Well completion data</w:t>
      </w:r>
      <w:bookmarkEnd w:id="510"/>
      <w:bookmarkEnd w:id="511"/>
      <w:bookmarkEnd w:id="512"/>
      <w:bookmarkEnd w:id="513"/>
      <w:bookmarkEnd w:id="514"/>
      <w:bookmarkEnd w:id="515"/>
    </w:p>
    <w:p>
      <w:pPr>
        <w:pStyle w:val="yShoulderClause"/>
        <w:spacing w:after="80"/>
      </w:pPr>
      <w:r>
        <w:t>[r. 74(1)]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516" w:name="_Toc92800456"/>
      <w:bookmarkStart w:id="517" w:name="_Toc92800770"/>
      <w:bookmarkStart w:id="518" w:name="_Toc92809770"/>
      <w:bookmarkStart w:id="519" w:name="_Toc44055692"/>
      <w:bookmarkStart w:id="520" w:name="_Toc44061627"/>
      <w:bookmarkStart w:id="521" w:name="_Toc44316478"/>
      <w:r>
        <w:rPr>
          <w:rStyle w:val="CharSchNo"/>
        </w:rPr>
        <w:t>Schedule 9</w:t>
      </w:r>
      <w:r>
        <w:rPr>
          <w:rStyle w:val="CharSDivNo"/>
        </w:rPr>
        <w:t> </w:t>
      </w:r>
      <w:r>
        <w:t>—</w:t>
      </w:r>
      <w:r>
        <w:rPr>
          <w:rStyle w:val="CharSDivText"/>
        </w:rPr>
        <w:t> </w:t>
      </w:r>
      <w:r>
        <w:rPr>
          <w:rStyle w:val="CharSchText"/>
        </w:rPr>
        <w:t>Well completion report</w:t>
      </w:r>
      <w:bookmarkEnd w:id="516"/>
      <w:bookmarkEnd w:id="517"/>
      <w:bookmarkEnd w:id="518"/>
      <w:bookmarkEnd w:id="519"/>
      <w:bookmarkEnd w:id="520"/>
      <w:bookmarkEnd w:id="521"/>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stratigraphy or geothermal energy recovery).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rPr>
                <w:rStyle w:val="DraftersNotes"/>
                <w:b w:val="0"/>
                <w:i w:val="0"/>
                <w:sz w:val="22"/>
              </w:rPr>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keepNext/>
              <w:jc w:val="center"/>
              <w:rPr>
                <w:bCs/>
              </w:rPr>
            </w:pPr>
            <w:r>
              <w:rPr>
                <w:bCs/>
              </w:rPr>
              <w:t>27.</w:t>
            </w:r>
          </w:p>
        </w:tc>
        <w:tc>
          <w:tcPr>
            <w:tcW w:w="6162" w:type="dxa"/>
          </w:tcPr>
          <w:p>
            <w:pPr>
              <w:pStyle w:val="yTableNAm"/>
              <w:keepNext/>
            </w:pPr>
            <w:r>
              <w:t xml:space="preserve">The names of the contractors for — </w:t>
            </w:r>
          </w:p>
          <w:p>
            <w:pPr>
              <w:pStyle w:val="yTableNAm"/>
              <w:keepNext/>
              <w:tabs>
                <w:tab w:val="clear" w:pos="567"/>
                <w:tab w:val="left" w:pos="601"/>
              </w:tabs>
              <w:ind w:left="601" w:hanging="468"/>
            </w:pPr>
            <w:r>
              <w:t>(a)</w:t>
            </w:r>
            <w:r>
              <w:tab/>
              <w:t>cementing; and</w:t>
            </w:r>
          </w:p>
          <w:p>
            <w:pPr>
              <w:pStyle w:val="yTableNAm"/>
              <w:keepNext/>
              <w:tabs>
                <w:tab w:val="clear" w:pos="567"/>
                <w:tab w:val="left" w:pos="601"/>
              </w:tabs>
              <w:ind w:left="601" w:hanging="468"/>
            </w:pPr>
            <w:r>
              <w:t>(b)</w:t>
            </w:r>
            <w:r>
              <w:tab/>
              <w:t>wireline logging; and</w:t>
            </w:r>
          </w:p>
          <w:p>
            <w:pPr>
              <w:pStyle w:val="yTableNAm"/>
              <w:keepNext/>
              <w:tabs>
                <w:tab w:val="clear" w:pos="567"/>
                <w:tab w:val="left" w:pos="601"/>
              </w:tabs>
              <w:ind w:left="601" w:hanging="468"/>
            </w:pPr>
            <w:r>
              <w:t>(c)</w:t>
            </w:r>
            <w:r>
              <w:tab/>
              <w:t>measurements while drilling (MWD); and</w:t>
            </w:r>
          </w:p>
          <w:p>
            <w:pPr>
              <w:pStyle w:val="yTableNAm"/>
              <w:keepNext/>
              <w:tabs>
                <w:tab w:val="clear" w:pos="567"/>
                <w:tab w:val="left" w:pos="601"/>
              </w:tabs>
              <w:ind w:left="601" w:hanging="468"/>
            </w:pPr>
            <w:r>
              <w:t>(d)</w:t>
            </w:r>
            <w:r>
              <w:tab/>
              <w:t>logging while drilling (LWD); and</w:t>
            </w:r>
          </w:p>
          <w:p>
            <w:pPr>
              <w:pStyle w:val="yTableNAm"/>
              <w:keepNext/>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or geothermal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 or geothermal energy resources.</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522" w:name="_Toc92800457"/>
      <w:bookmarkStart w:id="523" w:name="_Toc92800771"/>
      <w:bookmarkStart w:id="524" w:name="_Toc92809771"/>
      <w:bookmarkStart w:id="525" w:name="_Toc44055693"/>
      <w:bookmarkStart w:id="526" w:name="_Toc44061628"/>
      <w:bookmarkStart w:id="527" w:name="_Toc44316479"/>
      <w:r>
        <w:rPr>
          <w:rStyle w:val="CharSchNo"/>
        </w:rPr>
        <w:t>Schedule 10</w:t>
      </w:r>
      <w:r>
        <w:rPr>
          <w:rStyle w:val="CharSDivNo"/>
        </w:rPr>
        <w:t> </w:t>
      </w:r>
      <w:r>
        <w:t>—</w:t>
      </w:r>
      <w:r>
        <w:rPr>
          <w:rStyle w:val="CharSDivText"/>
        </w:rPr>
        <w:t> </w:t>
      </w:r>
      <w:r>
        <w:rPr>
          <w:rStyle w:val="CharSchText"/>
        </w:rPr>
        <w:t>Weekly survey report</w:t>
      </w:r>
      <w:bookmarkEnd w:id="522"/>
      <w:bookmarkEnd w:id="523"/>
      <w:bookmarkEnd w:id="524"/>
      <w:bookmarkEnd w:id="525"/>
      <w:bookmarkEnd w:id="526"/>
      <w:bookmarkEnd w:id="527"/>
    </w:p>
    <w:p>
      <w:pPr>
        <w:pStyle w:val="yShoulderClause"/>
        <w:spacing w:after="120"/>
      </w:pPr>
      <w:r>
        <w:t>[r. 75(1)]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528" w:name="_Toc92800458"/>
      <w:bookmarkStart w:id="529" w:name="_Toc92800772"/>
      <w:bookmarkStart w:id="530" w:name="_Toc92809772"/>
      <w:bookmarkStart w:id="531" w:name="_Toc44055694"/>
      <w:bookmarkStart w:id="532" w:name="_Toc44061629"/>
      <w:bookmarkStart w:id="533" w:name="_Toc44316480"/>
      <w:r>
        <w:rPr>
          <w:rStyle w:val="CharSchNo"/>
        </w:rPr>
        <w:t>Schedule 11</w:t>
      </w:r>
      <w:r>
        <w:t> — </w:t>
      </w:r>
      <w:r>
        <w:rPr>
          <w:rStyle w:val="CharSchText"/>
        </w:rPr>
        <w:t>Survey acquisition data</w:t>
      </w:r>
      <w:bookmarkEnd w:id="528"/>
      <w:bookmarkEnd w:id="529"/>
      <w:bookmarkEnd w:id="530"/>
      <w:bookmarkEnd w:id="531"/>
      <w:bookmarkEnd w:id="532"/>
      <w:bookmarkEnd w:id="533"/>
    </w:p>
    <w:p>
      <w:pPr>
        <w:pStyle w:val="yShoulderClause"/>
      </w:pPr>
      <w:r>
        <w:t>[r. 76(1)]</w:t>
      </w:r>
    </w:p>
    <w:p>
      <w:pPr>
        <w:pStyle w:val="yHeading3"/>
        <w:spacing w:after="120"/>
      </w:pPr>
      <w:bookmarkStart w:id="534" w:name="_Toc92800459"/>
      <w:bookmarkStart w:id="535" w:name="_Toc92800773"/>
      <w:bookmarkStart w:id="536" w:name="_Toc92809773"/>
      <w:bookmarkStart w:id="537" w:name="_Toc44055695"/>
      <w:bookmarkStart w:id="538" w:name="_Toc44061630"/>
      <w:bookmarkStart w:id="539" w:name="_Toc44316481"/>
      <w:r>
        <w:rPr>
          <w:rStyle w:val="CharSDivNo"/>
        </w:rPr>
        <w:t>Division 1</w:t>
      </w:r>
      <w:r>
        <w:t> — </w:t>
      </w:r>
      <w:r>
        <w:rPr>
          <w:rStyle w:val="CharSDivText"/>
        </w:rPr>
        <w:t>Seismic surveys</w:t>
      </w:r>
      <w:bookmarkEnd w:id="534"/>
      <w:bookmarkEnd w:id="535"/>
      <w:bookmarkEnd w:id="536"/>
      <w:bookmarkEnd w:id="537"/>
      <w:bookmarkEnd w:id="538"/>
      <w:bookmarkEnd w:id="539"/>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Pr>
          <w:p>
            <w:pPr>
              <w:pStyle w:val="yTableNAm"/>
              <w:jc w:val="center"/>
              <w:rPr>
                <w:bCs/>
              </w:rPr>
            </w:pPr>
            <w:r>
              <w:rPr>
                <w:bCs/>
              </w:rPr>
              <w:t>4.</w:t>
            </w:r>
          </w:p>
        </w:tc>
        <w:tc>
          <w:tcPr>
            <w:tcW w:w="2410" w:type="dxa"/>
          </w:tcPr>
          <w:p>
            <w:pPr>
              <w:pStyle w:val="yTableNAm"/>
            </w:pPr>
            <w:r>
              <w:t>Uphole data (onshore)</w:t>
            </w:r>
          </w:p>
        </w:tc>
        <w:tc>
          <w:tcPr>
            <w:tcW w:w="1842" w:type="dxa"/>
          </w:tcPr>
          <w:p>
            <w:pPr>
              <w:pStyle w:val="yTableNAm"/>
            </w:pPr>
            <w:r>
              <w:t>CD</w:t>
            </w:r>
            <w:r>
              <w:noBreakHyphen/>
              <w:t>ROM, DVD or portable hard drive</w:t>
            </w:r>
          </w:p>
        </w:tc>
        <w:tc>
          <w:tcPr>
            <w:tcW w:w="1924" w:type="dxa"/>
          </w:tcPr>
          <w:p>
            <w:pPr>
              <w:pStyle w:val="yTableNAm"/>
            </w:pPr>
            <w:r>
              <w:t>ASCII</w:t>
            </w:r>
          </w:p>
        </w:tc>
      </w:tr>
      <w:tr>
        <w:tc>
          <w:tcPr>
            <w:tcW w:w="709" w:type="dxa"/>
            <w:tcBorders>
              <w:bottom w:val="single" w:sz="4" w:space="0" w:color="auto"/>
            </w:tcBorders>
          </w:tcPr>
          <w:p>
            <w:pPr>
              <w:pStyle w:val="yTableNAm"/>
              <w:jc w:val="center"/>
              <w:rPr>
                <w:bCs/>
              </w:rPr>
            </w:pPr>
            <w:r>
              <w:rPr>
                <w:bCs/>
              </w:rPr>
              <w:t>5.</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pageBreakBefore/>
        <w:spacing w:after="120"/>
      </w:pPr>
      <w:bookmarkStart w:id="540" w:name="_Toc92800460"/>
      <w:bookmarkStart w:id="541" w:name="_Toc92800774"/>
      <w:bookmarkStart w:id="542" w:name="_Toc92809774"/>
      <w:bookmarkStart w:id="543" w:name="_Toc44055696"/>
      <w:bookmarkStart w:id="544" w:name="_Toc44061631"/>
      <w:bookmarkStart w:id="545" w:name="_Toc44316482"/>
      <w:r>
        <w:rPr>
          <w:rStyle w:val="CharSDivNo"/>
        </w:rPr>
        <w:t>Division 2</w:t>
      </w:r>
      <w:r>
        <w:t> — </w:t>
      </w:r>
      <w:r>
        <w:rPr>
          <w:rStyle w:val="CharSDivText"/>
        </w:rPr>
        <w:t>Other surveys</w:t>
      </w:r>
      <w:bookmarkEnd w:id="540"/>
      <w:bookmarkEnd w:id="541"/>
      <w:bookmarkEnd w:id="542"/>
      <w:bookmarkEnd w:id="543"/>
      <w:bookmarkEnd w:id="544"/>
      <w:bookmarkEnd w:id="545"/>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6.</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546" w:name="_Toc92800461"/>
      <w:bookmarkStart w:id="547" w:name="_Toc92800775"/>
      <w:bookmarkStart w:id="548" w:name="_Toc92809775"/>
      <w:bookmarkStart w:id="549" w:name="_Toc44055697"/>
      <w:bookmarkStart w:id="550" w:name="_Toc44061632"/>
      <w:bookmarkStart w:id="551" w:name="_Toc44316483"/>
      <w:r>
        <w:rPr>
          <w:rStyle w:val="CharSchNo"/>
        </w:rPr>
        <w:t>Schedule 12</w:t>
      </w:r>
      <w:r>
        <w:rPr>
          <w:rStyle w:val="CharSDivNo"/>
        </w:rPr>
        <w:t> </w:t>
      </w:r>
      <w:r>
        <w:t>—</w:t>
      </w:r>
      <w:r>
        <w:rPr>
          <w:rStyle w:val="CharSDivText"/>
        </w:rPr>
        <w:t> </w:t>
      </w:r>
      <w:r>
        <w:rPr>
          <w:rStyle w:val="CharSchText"/>
        </w:rPr>
        <w:t>Survey acquisition report</w:t>
      </w:r>
      <w:bookmarkEnd w:id="546"/>
      <w:bookmarkEnd w:id="547"/>
      <w:bookmarkEnd w:id="548"/>
      <w:bookmarkEnd w:id="549"/>
      <w:bookmarkEnd w:id="550"/>
      <w:bookmarkEnd w:id="551"/>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Pr>
          <w:p>
            <w:pPr>
              <w:pStyle w:val="yTableNAm"/>
              <w:jc w:val="center"/>
              <w:rPr>
                <w:bCs/>
              </w:rPr>
            </w:pPr>
            <w:r>
              <w:rPr>
                <w:bCs/>
              </w:rPr>
              <w:t>10.</w:t>
            </w:r>
          </w:p>
        </w:tc>
        <w:tc>
          <w:tcPr>
            <w:tcW w:w="6176" w:type="dxa"/>
          </w:tcPr>
          <w:p>
            <w:pPr>
              <w:pStyle w:val="yTableNAm"/>
            </w:pPr>
            <w:r>
              <w:t>The number of lines of data acquired in the survey and the number of data acquisition points along each line.</w:t>
            </w:r>
          </w:p>
        </w:tc>
      </w:tr>
      <w:tr>
        <w:tc>
          <w:tcPr>
            <w:tcW w:w="709" w:type="dxa"/>
            <w:tcBorders>
              <w:bottom w:val="nil"/>
            </w:tcBorders>
          </w:tcPr>
          <w:p>
            <w:pPr>
              <w:pStyle w:val="yTableNAm"/>
              <w:jc w:val="center"/>
              <w:rPr>
                <w:bCs/>
              </w:rPr>
            </w:pPr>
            <w:r>
              <w:rPr>
                <w:bCs/>
              </w:rPr>
              <w:t>11.</w:t>
            </w:r>
          </w:p>
        </w:tc>
        <w:tc>
          <w:tcPr>
            <w:tcW w:w="6176" w:type="dxa"/>
            <w:tcBorders>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jc w:val="center"/>
              <w:rPr>
                <w:bCs/>
              </w:rPr>
            </w:pPr>
            <w:r>
              <w:rPr>
                <w:bCs/>
              </w:rPr>
              <w:t>12.</w:t>
            </w:r>
          </w:p>
        </w:tc>
        <w:tc>
          <w:tcPr>
            <w:tcW w:w="6176" w:type="dxa"/>
            <w:tcBorders>
              <w:top w:val="nil"/>
              <w:bottom w:val="nil"/>
            </w:tcBorders>
          </w:tcPr>
          <w:p>
            <w:pPr>
              <w:pStyle w:val="yTableNAm"/>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552" w:name="_Toc92800462"/>
      <w:bookmarkStart w:id="553" w:name="_Toc92800776"/>
      <w:bookmarkStart w:id="554" w:name="_Toc92809776"/>
      <w:bookmarkStart w:id="555" w:name="_Toc44055698"/>
      <w:bookmarkStart w:id="556" w:name="_Toc44061633"/>
      <w:bookmarkStart w:id="557" w:name="_Toc44316484"/>
      <w:r>
        <w:rPr>
          <w:rStyle w:val="CharSchNo"/>
        </w:rPr>
        <w:t>Schedule 13</w:t>
      </w:r>
      <w:r>
        <w:t> — </w:t>
      </w:r>
      <w:r>
        <w:rPr>
          <w:rStyle w:val="CharSchText"/>
        </w:rPr>
        <w:t>Processed survey data</w:t>
      </w:r>
      <w:bookmarkEnd w:id="552"/>
      <w:bookmarkEnd w:id="553"/>
      <w:bookmarkEnd w:id="554"/>
      <w:bookmarkEnd w:id="555"/>
      <w:bookmarkEnd w:id="556"/>
      <w:bookmarkEnd w:id="557"/>
    </w:p>
    <w:p>
      <w:pPr>
        <w:pStyle w:val="yShoulderClause"/>
      </w:pPr>
      <w:r>
        <w:t>[r. 77(1)]</w:t>
      </w:r>
    </w:p>
    <w:p>
      <w:pPr>
        <w:pStyle w:val="yHeading3"/>
        <w:spacing w:after="120"/>
      </w:pPr>
      <w:bookmarkStart w:id="558" w:name="_Toc92800463"/>
      <w:bookmarkStart w:id="559" w:name="_Toc92800777"/>
      <w:bookmarkStart w:id="560" w:name="_Toc92809777"/>
      <w:bookmarkStart w:id="561" w:name="_Toc44055699"/>
      <w:bookmarkStart w:id="562" w:name="_Toc44061634"/>
      <w:bookmarkStart w:id="563" w:name="_Toc44316485"/>
      <w:r>
        <w:rPr>
          <w:rStyle w:val="CharSDivNo"/>
        </w:rPr>
        <w:t>Division 1</w:t>
      </w:r>
      <w:r>
        <w:t> — </w:t>
      </w:r>
      <w:r>
        <w:rPr>
          <w:rStyle w:val="CharSDivText"/>
        </w:rPr>
        <w:t>2D seismic surveys</w:t>
      </w:r>
      <w:bookmarkEnd w:id="558"/>
      <w:bookmarkEnd w:id="559"/>
      <w:bookmarkEnd w:id="560"/>
      <w:bookmarkEnd w:id="561"/>
      <w:bookmarkEnd w:id="562"/>
      <w:bookmarkEnd w:id="563"/>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564" w:name="_Toc92800464"/>
      <w:bookmarkStart w:id="565" w:name="_Toc92800778"/>
      <w:bookmarkStart w:id="566" w:name="_Toc92809778"/>
      <w:bookmarkStart w:id="567" w:name="_Toc44055700"/>
      <w:bookmarkStart w:id="568" w:name="_Toc44061635"/>
      <w:bookmarkStart w:id="569" w:name="_Toc44316486"/>
      <w:r>
        <w:rPr>
          <w:rStyle w:val="CharSDivNo"/>
        </w:rPr>
        <w:t>Division 2</w:t>
      </w:r>
      <w:r>
        <w:t> — </w:t>
      </w:r>
      <w:r>
        <w:rPr>
          <w:rStyle w:val="CharSDivText"/>
        </w:rPr>
        <w:t>3D seismic surveys</w:t>
      </w:r>
      <w:bookmarkEnd w:id="564"/>
      <w:bookmarkEnd w:id="565"/>
      <w:bookmarkEnd w:id="566"/>
      <w:bookmarkEnd w:id="567"/>
      <w:bookmarkEnd w:id="568"/>
      <w:bookmarkEnd w:id="569"/>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570" w:name="_Toc92800465"/>
      <w:bookmarkStart w:id="571" w:name="_Toc92800779"/>
      <w:bookmarkStart w:id="572" w:name="_Toc92809779"/>
      <w:bookmarkStart w:id="573" w:name="_Toc44055701"/>
      <w:bookmarkStart w:id="574" w:name="_Toc44061636"/>
      <w:bookmarkStart w:id="575" w:name="_Toc44316487"/>
      <w:r>
        <w:rPr>
          <w:rStyle w:val="CharSDivNo"/>
        </w:rPr>
        <w:t>Division 3</w:t>
      </w:r>
      <w:r>
        <w:t> — </w:t>
      </w:r>
      <w:r>
        <w:rPr>
          <w:rStyle w:val="CharSDivText"/>
        </w:rPr>
        <w:t>Other surveys</w:t>
      </w:r>
      <w:bookmarkEnd w:id="570"/>
      <w:bookmarkEnd w:id="571"/>
      <w:bookmarkEnd w:id="572"/>
      <w:bookmarkEnd w:id="573"/>
      <w:bookmarkEnd w:id="574"/>
      <w:bookmarkEnd w:id="575"/>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spacing w:before="80"/>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576" w:name="_Toc92800466"/>
      <w:bookmarkStart w:id="577" w:name="_Toc92800780"/>
      <w:bookmarkStart w:id="578" w:name="_Toc92809780"/>
      <w:bookmarkStart w:id="579" w:name="_Toc44055702"/>
      <w:bookmarkStart w:id="580" w:name="_Toc44061637"/>
      <w:bookmarkStart w:id="581" w:name="_Toc44316488"/>
      <w:r>
        <w:rPr>
          <w:rStyle w:val="CharSchNo"/>
        </w:rPr>
        <w:t>Schedule 14</w:t>
      </w:r>
      <w:r>
        <w:rPr>
          <w:rStyle w:val="CharSDivNo"/>
        </w:rPr>
        <w:t> </w:t>
      </w:r>
      <w:r>
        <w:t>—</w:t>
      </w:r>
      <w:r>
        <w:rPr>
          <w:rStyle w:val="CharSDivText"/>
        </w:rPr>
        <w:t> </w:t>
      </w:r>
      <w:r>
        <w:rPr>
          <w:rStyle w:val="CharSchText"/>
        </w:rPr>
        <w:t>Survey processing report</w:t>
      </w:r>
      <w:bookmarkEnd w:id="576"/>
      <w:bookmarkEnd w:id="577"/>
      <w:bookmarkEnd w:id="578"/>
      <w:bookmarkEnd w:id="579"/>
      <w:bookmarkEnd w:id="580"/>
      <w:bookmarkEnd w:id="581"/>
    </w:p>
    <w:p>
      <w:pPr>
        <w:pStyle w:val="yShoulderClause"/>
        <w:spacing w:after="120"/>
      </w:pPr>
      <w:r>
        <w:t>[r. 77(1)]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582" w:name="_Toc92800467"/>
      <w:bookmarkStart w:id="583" w:name="_Toc92800781"/>
      <w:bookmarkStart w:id="584" w:name="_Toc92809781"/>
      <w:bookmarkStart w:id="585" w:name="_Toc44055703"/>
      <w:bookmarkStart w:id="586" w:name="_Toc44061638"/>
      <w:bookmarkStart w:id="587" w:name="_Toc44316489"/>
      <w:r>
        <w:rPr>
          <w:rStyle w:val="CharSchNo"/>
        </w:rPr>
        <w:t>Schedule 15</w:t>
      </w:r>
      <w:r>
        <w:rPr>
          <w:rStyle w:val="CharSDivNo"/>
        </w:rPr>
        <w:t> </w:t>
      </w:r>
      <w:r>
        <w:t>—</w:t>
      </w:r>
      <w:r>
        <w:rPr>
          <w:rStyle w:val="CharSDivText"/>
        </w:rPr>
        <w:t> </w:t>
      </w:r>
      <w:r>
        <w:rPr>
          <w:rStyle w:val="CharSchText"/>
        </w:rPr>
        <w:t>Interpretative survey data</w:t>
      </w:r>
      <w:bookmarkEnd w:id="582"/>
      <w:bookmarkEnd w:id="583"/>
      <w:bookmarkEnd w:id="584"/>
      <w:bookmarkEnd w:id="585"/>
      <w:bookmarkEnd w:id="586"/>
      <w:bookmarkEnd w:id="587"/>
    </w:p>
    <w:p>
      <w:pPr>
        <w:pStyle w:val="yShoulderClause"/>
        <w:spacing w:before="80" w:after="120"/>
      </w:pPr>
      <w:r>
        <w:t>[r. 78(1)]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588" w:name="_Toc92800468"/>
      <w:bookmarkStart w:id="589" w:name="_Toc92800782"/>
      <w:bookmarkStart w:id="590" w:name="_Toc92809782"/>
      <w:bookmarkStart w:id="591" w:name="_Toc44055704"/>
      <w:bookmarkStart w:id="592" w:name="_Toc44061639"/>
      <w:bookmarkStart w:id="593" w:name="_Toc44316490"/>
      <w:r>
        <w:rPr>
          <w:rStyle w:val="CharSchNo"/>
        </w:rPr>
        <w:t>Schedule 16</w:t>
      </w:r>
      <w:r>
        <w:rPr>
          <w:rStyle w:val="CharSDivNo"/>
        </w:rPr>
        <w:t> </w:t>
      </w:r>
      <w:r>
        <w:t>—</w:t>
      </w:r>
      <w:r>
        <w:rPr>
          <w:rStyle w:val="CharSDivText"/>
        </w:rPr>
        <w:t> </w:t>
      </w:r>
      <w:r>
        <w:rPr>
          <w:rStyle w:val="CharSchText"/>
        </w:rPr>
        <w:t>Survey interpretation report</w:t>
      </w:r>
      <w:bookmarkEnd w:id="588"/>
      <w:bookmarkEnd w:id="589"/>
      <w:bookmarkEnd w:id="590"/>
      <w:bookmarkEnd w:id="591"/>
      <w:bookmarkEnd w:id="592"/>
      <w:bookmarkEnd w:id="593"/>
    </w:p>
    <w:p>
      <w:pPr>
        <w:pStyle w:val="yShoulderClause"/>
        <w:spacing w:before="80" w:after="120"/>
      </w:pPr>
      <w:r>
        <w:t>[r. 78(1)]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594" w:name="_Toc92800469"/>
      <w:bookmarkStart w:id="595" w:name="_Toc92800783"/>
      <w:bookmarkStart w:id="596" w:name="_Toc92809783"/>
      <w:bookmarkStart w:id="597" w:name="_Toc44055705"/>
      <w:bookmarkStart w:id="598" w:name="_Toc44061640"/>
      <w:bookmarkStart w:id="599" w:name="_Toc44316491"/>
      <w:r>
        <w:rPr>
          <w:rStyle w:val="CharSchNo"/>
        </w:rPr>
        <w:t>Schedule 17</w:t>
      </w:r>
      <w:r>
        <w:t> — </w:t>
      </w:r>
      <w:r>
        <w:rPr>
          <w:rStyle w:val="CharSchText"/>
        </w:rPr>
        <w:t>Monthly production report</w:t>
      </w:r>
      <w:bookmarkEnd w:id="594"/>
      <w:bookmarkEnd w:id="595"/>
      <w:bookmarkEnd w:id="596"/>
      <w:bookmarkEnd w:id="597"/>
      <w:bookmarkEnd w:id="598"/>
      <w:bookmarkEnd w:id="599"/>
    </w:p>
    <w:p>
      <w:pPr>
        <w:pStyle w:val="yShoulderClause"/>
      </w:pPr>
      <w:r>
        <w:t>[r. 79(1)]</w:t>
      </w:r>
    </w:p>
    <w:p>
      <w:pPr>
        <w:pStyle w:val="yHeading3"/>
      </w:pPr>
      <w:bookmarkStart w:id="600" w:name="_Toc92800470"/>
      <w:bookmarkStart w:id="601" w:name="_Toc92800784"/>
      <w:bookmarkStart w:id="602" w:name="_Toc92809784"/>
      <w:bookmarkStart w:id="603" w:name="_Toc44055706"/>
      <w:bookmarkStart w:id="604" w:name="_Toc44061641"/>
      <w:bookmarkStart w:id="605" w:name="_Toc44316492"/>
      <w:r>
        <w:rPr>
          <w:rStyle w:val="CharSDivNo"/>
        </w:rPr>
        <w:t>Division 1</w:t>
      </w:r>
      <w:r>
        <w:t> — </w:t>
      </w:r>
      <w:r>
        <w:rPr>
          <w:rStyle w:val="CharSDivText"/>
        </w:rPr>
        <w:t>Information for petroleum licensee</w:t>
      </w:r>
      <w:bookmarkEnd w:id="600"/>
      <w:bookmarkEnd w:id="601"/>
      <w:bookmarkEnd w:id="602"/>
      <w:bookmarkEnd w:id="603"/>
      <w:bookmarkEnd w:id="604"/>
      <w:bookmarkEnd w:id="605"/>
    </w:p>
    <w:p>
      <w:pPr>
        <w:pStyle w:val="ySubsection"/>
        <w:rPr>
          <w:rStyle w:val="DraftersNotes"/>
        </w:rPr>
      </w:pP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ind w:left="1309" w:hanging="567"/>
            </w:pPr>
            <w:r>
              <w:t>(i)</w:t>
            </w:r>
            <w:r>
              <w:tab/>
              <w:t>liquid and gaseous petroleum produced;</w:t>
            </w:r>
          </w:p>
          <w:p>
            <w:pPr>
              <w:pStyle w:val="yTableNAm"/>
              <w:tabs>
                <w:tab w:val="clear" w:pos="567"/>
                <w:tab w:val="left" w:pos="1309"/>
              </w:tabs>
              <w:ind w:left="1309" w:hanging="567"/>
            </w:pPr>
            <w:r>
              <w:t>(ii)</w:t>
            </w:r>
            <w:r>
              <w:tab/>
              <w:t>liquid and gaseous petroleum used;</w:t>
            </w:r>
          </w:p>
          <w:p>
            <w:pPr>
              <w:pStyle w:val="yTableNAm"/>
              <w:tabs>
                <w:tab w:val="clear" w:pos="567"/>
                <w:tab w:val="left" w:pos="1309"/>
              </w:tabs>
              <w:ind w:left="1309" w:hanging="567"/>
            </w:pPr>
            <w:r>
              <w:t>(iii)</w:t>
            </w:r>
            <w:r>
              <w:tab/>
              <w:t>liquid and gaseous petroleum injected;</w:t>
            </w:r>
          </w:p>
          <w:p>
            <w:pPr>
              <w:pStyle w:val="yTableNAm"/>
              <w:tabs>
                <w:tab w:val="clear" w:pos="567"/>
                <w:tab w:val="left" w:pos="1309"/>
              </w:tabs>
              <w:ind w:left="1309" w:hanging="567"/>
            </w:pPr>
            <w:r>
              <w:t>(iv)</w:t>
            </w:r>
            <w:r>
              <w:tab/>
              <w:t>gaseous petroleum flared or vented;</w:t>
            </w:r>
          </w:p>
          <w:p>
            <w:pPr>
              <w:pStyle w:val="yTableNAm"/>
              <w:tabs>
                <w:tab w:val="clear" w:pos="567"/>
                <w:tab w:val="left" w:pos="1309"/>
              </w:tabs>
              <w:ind w:left="1309" w:hanging="567"/>
            </w:pPr>
            <w:r>
              <w:t>(v)</w:t>
            </w:r>
            <w:r>
              <w:tab/>
              <w:t>liquid petroleum stored;</w:t>
            </w:r>
          </w:p>
          <w:p>
            <w:pPr>
              <w:pStyle w:val="yTableNAm"/>
              <w:tabs>
                <w:tab w:val="clear" w:pos="567"/>
                <w:tab w:val="left" w:pos="1309"/>
              </w:tabs>
              <w:ind w:left="1309" w:hanging="567"/>
            </w:pPr>
            <w:r>
              <w:t>(vi)</w:t>
            </w:r>
            <w:r>
              <w:tab/>
              <w:t>liquid and gaseous petroleum delivered from the area;</w:t>
            </w:r>
          </w:p>
          <w:p>
            <w:pPr>
              <w:pStyle w:val="yTableNAm"/>
              <w:tabs>
                <w:tab w:val="clear" w:pos="567"/>
                <w:tab w:val="left" w:pos="1309"/>
              </w:tabs>
              <w:ind w:left="1309" w:hanging="567"/>
            </w:pPr>
            <w:r>
              <w:t>(vii)</w:t>
            </w:r>
            <w:r>
              <w:tab/>
              <w:t>water produced;</w:t>
            </w:r>
          </w:p>
          <w:p>
            <w:pPr>
              <w:pStyle w:val="yTableNAm"/>
              <w:tabs>
                <w:tab w:val="clear" w:pos="567"/>
                <w:tab w:val="left" w:pos="1309"/>
              </w:tabs>
              <w:ind w:left="1309" w:hanging="567"/>
              <w:rPr>
                <w:rStyle w:val="DraftersNotes"/>
                <w:b w:val="0"/>
                <w:i w:val="0"/>
                <w:sz w:val="22"/>
              </w:rPr>
            </w:pPr>
            <w:r>
              <w:t>(viii)</w:t>
            </w:r>
            <w:r>
              <w:tab/>
              <w:t>water injected;</w:t>
            </w:r>
          </w:p>
        </w:tc>
      </w:tr>
      <w:t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pStyle w:val="yHeading3"/>
        <w:spacing w:after="120"/>
      </w:pPr>
      <w:bookmarkStart w:id="606" w:name="_Toc92800471"/>
      <w:bookmarkStart w:id="607" w:name="_Toc92800785"/>
      <w:bookmarkStart w:id="608" w:name="_Toc92809785"/>
      <w:bookmarkStart w:id="609" w:name="_Toc44055707"/>
      <w:bookmarkStart w:id="610" w:name="_Toc44061642"/>
      <w:bookmarkStart w:id="611" w:name="_Toc44316493"/>
      <w:r>
        <w:rPr>
          <w:rStyle w:val="CharSDivNo"/>
        </w:rPr>
        <w:t>Division 2</w:t>
      </w:r>
      <w:r>
        <w:t> — </w:t>
      </w:r>
      <w:r>
        <w:rPr>
          <w:rStyle w:val="CharSDivText"/>
        </w:rPr>
        <w:t>Information for geothermal licensee</w:t>
      </w:r>
      <w:bookmarkEnd w:id="606"/>
      <w:bookmarkEnd w:id="607"/>
      <w:bookmarkEnd w:id="608"/>
      <w:bookmarkEnd w:id="609"/>
      <w:bookmarkEnd w:id="610"/>
      <w:bookmarkEnd w:id="611"/>
    </w:p>
    <w:tbl>
      <w:tblPr>
        <w:tblW w:w="6913"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3.</w:t>
            </w:r>
          </w:p>
        </w:tc>
        <w:tc>
          <w:tcPr>
            <w:tcW w:w="6204" w:type="dxa"/>
            <w:tcBorders>
              <w:top w:val="single" w:sz="4" w:space="0" w:color="auto"/>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geothermal energy produced or injected as at the end of the month.</w:t>
            </w:r>
          </w:p>
        </w:tc>
      </w:tr>
      <w:tr>
        <w:tc>
          <w:tcPr>
            <w:tcW w:w="709" w:type="dxa"/>
          </w:tcPr>
          <w:p>
            <w:pPr>
              <w:pStyle w:val="yTableNAm"/>
              <w:jc w:val="center"/>
              <w:rPr>
                <w:bCs/>
              </w:rPr>
            </w:pPr>
            <w:r>
              <w:rPr>
                <w:bCs/>
              </w:rPr>
              <w:t>4.</w:t>
            </w:r>
          </w:p>
        </w:tc>
        <w:tc>
          <w:tcPr>
            <w:tcW w:w="6204" w:type="dxa"/>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water or other fluid injected;</w:t>
            </w:r>
          </w:p>
          <w:p>
            <w:pPr>
              <w:pStyle w:val="yTableNAm"/>
              <w:tabs>
                <w:tab w:val="clear" w:pos="567"/>
                <w:tab w:val="left" w:pos="1168"/>
              </w:tabs>
              <w:ind w:left="1168" w:hanging="426"/>
            </w:pPr>
            <w:r>
              <w:t>(iii)</w:t>
            </w:r>
            <w:r>
              <w:tab/>
              <w:t>fluid rejected;</w:t>
            </w:r>
          </w:p>
          <w:p>
            <w:pPr>
              <w:pStyle w:val="yTableNAm"/>
              <w:tabs>
                <w:tab w:val="clear" w:pos="567"/>
                <w:tab w:val="left" w:pos="1168"/>
              </w:tabs>
              <w:ind w:left="1168" w:hanging="426"/>
            </w:pPr>
            <w:r>
              <w:t>(iv)</w:t>
            </w:r>
            <w:r>
              <w:tab/>
              <w:t>geothermal energy produced;</w:t>
            </w:r>
          </w:p>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 xml:space="preserve">the mean temperatures of each of the following for the month (averaged on a daily basis)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fluid injected;</w:t>
            </w:r>
          </w:p>
          <w:p>
            <w:pPr>
              <w:pStyle w:val="yTableNAm"/>
              <w:tabs>
                <w:tab w:val="clear" w:pos="567"/>
                <w:tab w:val="left" w:pos="601"/>
              </w:tabs>
              <w:ind w:left="601" w:hanging="468"/>
            </w:pPr>
            <w:r>
              <w:tab/>
              <w:t>and</w:t>
            </w:r>
          </w:p>
          <w:p>
            <w:pPr>
              <w:pStyle w:val="yTableNAm"/>
              <w:tabs>
                <w:tab w:val="clear" w:pos="567"/>
                <w:tab w:val="left" w:pos="601"/>
              </w:tabs>
              <w:ind w:left="601" w:hanging="468"/>
              <w:rPr>
                <w:rStyle w:val="DraftersNotes"/>
                <w:b w:val="0"/>
                <w:i w:val="0"/>
                <w:sz w:val="22"/>
              </w:rPr>
            </w:pPr>
            <w:r>
              <w:t>(c)</w:t>
            </w:r>
            <w:r>
              <w:tab/>
              <w:t>the cumulative quantities of water and of geothermal energy produced or injected as at the end of the month.</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del w:id="612" w:author="Master Repository Process" w:date="2022-01-13T15:47:00Z"/>
        </w:rPr>
      </w:pP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614" w:name="_Toc92800472"/>
      <w:bookmarkStart w:id="615" w:name="_Toc92800786"/>
      <w:bookmarkStart w:id="616" w:name="_Toc92809786"/>
      <w:bookmarkStart w:id="617" w:name="_Toc44055708"/>
      <w:bookmarkStart w:id="618" w:name="_Toc44061643"/>
      <w:bookmarkStart w:id="619" w:name="_Toc44316494"/>
      <w:r>
        <w:t>Notes</w:t>
      </w:r>
      <w:bookmarkEnd w:id="614"/>
      <w:bookmarkEnd w:id="615"/>
      <w:bookmarkEnd w:id="616"/>
      <w:bookmarkEnd w:id="617"/>
      <w:bookmarkEnd w:id="618"/>
      <w:bookmarkEnd w:id="619"/>
    </w:p>
    <w:p>
      <w:pPr>
        <w:pStyle w:val="nStatement"/>
      </w:pPr>
      <w:r>
        <w:t xml:space="preserve">This is a compilation of the </w:t>
      </w:r>
      <w:r>
        <w:rPr>
          <w:i/>
          <w:noProof/>
        </w:rPr>
        <w:t>Petroleum and Geothermal Energy Resources (Resource Management and Administration) Regulations 2015</w:t>
      </w:r>
      <w:r>
        <w:t xml:space="preserve"> and includes amendments made by other written laws. For provisions that have come into operation see the compilation table.</w:t>
      </w:r>
    </w:p>
    <w:p>
      <w:pPr>
        <w:pStyle w:val="nHeading3"/>
      </w:pPr>
      <w:bookmarkStart w:id="620" w:name="_Toc92809787"/>
      <w:bookmarkStart w:id="621" w:name="_Toc44316495"/>
      <w:r>
        <w:t>Compilation table</w:t>
      </w:r>
      <w:bookmarkEnd w:id="620"/>
      <w:bookmarkEnd w:id="6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Petroleum and Geothermal Energy Resources (Resource Management and Administration) Regulations 2015</w:t>
            </w:r>
          </w:p>
        </w:tc>
        <w:tc>
          <w:tcPr>
            <w:tcW w:w="1276" w:type="dxa"/>
            <w:tcBorders>
              <w:top w:val="single" w:sz="8" w:space="0" w:color="auto"/>
            </w:tcBorders>
          </w:tcPr>
          <w:p>
            <w:pPr>
              <w:pStyle w:val="nTable"/>
              <w:spacing w:after="40"/>
            </w:pPr>
            <w:r>
              <w:t>30 Jun 2015 p. 2405</w:t>
            </w:r>
            <w:r>
              <w:noBreakHyphen/>
              <w:t>531</w:t>
            </w:r>
          </w:p>
        </w:tc>
        <w:tc>
          <w:tcPr>
            <w:tcW w:w="2693" w:type="dxa"/>
            <w:tcBorders>
              <w:top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and Petroleum Regulations Amendment (Fees and Levies) Regulations 2016</w:t>
            </w:r>
            <w:r>
              <w:t xml:space="preserve"> Pt. 13</w:t>
            </w:r>
          </w:p>
        </w:tc>
        <w:tc>
          <w:tcPr>
            <w:tcW w:w="1276" w:type="dxa"/>
          </w:tcPr>
          <w:p>
            <w:pPr>
              <w:pStyle w:val="nTable"/>
              <w:spacing w:after="40"/>
            </w:pPr>
            <w:r>
              <w:t>24 Jun 2016 p. 2325</w:t>
            </w:r>
            <w:r>
              <w:noBreakHyphen/>
              <w:t>34</w:t>
            </w:r>
          </w:p>
        </w:tc>
        <w:tc>
          <w:tcPr>
            <w:tcW w:w="2693" w:type="dxa"/>
          </w:tcPr>
          <w:p>
            <w:pPr>
              <w:pStyle w:val="nTable"/>
              <w:spacing w:after="40"/>
            </w:pPr>
            <w: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 xml:space="preserve">Mines and Petroleum Regulations Amendment (Fees and Charges) Regulations 2018 </w:t>
            </w:r>
            <w:r>
              <w:t>Pt. 14</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13</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8</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ins w:id="622" w:author="Master Repository Process" w:date="2022-01-13T15:47:00Z"/>
        </w:trPr>
        <w:tc>
          <w:tcPr>
            <w:tcW w:w="3119" w:type="dxa"/>
            <w:tcBorders>
              <w:top w:val="nil"/>
              <w:bottom w:val="single" w:sz="4" w:space="0" w:color="auto"/>
            </w:tcBorders>
          </w:tcPr>
          <w:p>
            <w:pPr>
              <w:pStyle w:val="nTable"/>
              <w:spacing w:after="40"/>
              <w:rPr>
                <w:ins w:id="623" w:author="Master Repository Process" w:date="2022-01-13T15:47:00Z"/>
              </w:rPr>
            </w:pPr>
            <w:ins w:id="624" w:author="Master Repository Process" w:date="2022-01-13T15:47:00Z">
              <w:r>
                <w:rPr>
                  <w:i/>
                </w:rPr>
                <w:t>Mines and Petroleum Regulations Amendment (Royalty Information) Regulations 2022</w:t>
              </w:r>
              <w:r>
                <w:t xml:space="preserve"> Pt. 3</w:t>
              </w:r>
            </w:ins>
          </w:p>
        </w:tc>
        <w:tc>
          <w:tcPr>
            <w:tcW w:w="1276" w:type="dxa"/>
            <w:tcBorders>
              <w:top w:val="nil"/>
              <w:bottom w:val="single" w:sz="4" w:space="0" w:color="auto"/>
            </w:tcBorders>
          </w:tcPr>
          <w:p>
            <w:pPr>
              <w:pStyle w:val="nTable"/>
              <w:spacing w:after="40"/>
              <w:rPr>
                <w:ins w:id="625" w:author="Master Repository Process" w:date="2022-01-13T15:47:00Z"/>
              </w:rPr>
            </w:pPr>
            <w:ins w:id="626" w:author="Master Repository Process" w:date="2022-01-13T15:47:00Z">
              <w:r>
                <w:t>SL 2022/1 14 Jan 2022</w:t>
              </w:r>
            </w:ins>
          </w:p>
        </w:tc>
        <w:tc>
          <w:tcPr>
            <w:tcW w:w="2693" w:type="dxa"/>
            <w:tcBorders>
              <w:top w:val="nil"/>
              <w:bottom w:val="single" w:sz="4" w:space="0" w:color="auto"/>
            </w:tcBorders>
          </w:tcPr>
          <w:p>
            <w:pPr>
              <w:pStyle w:val="nTable"/>
              <w:spacing w:after="40"/>
              <w:rPr>
                <w:ins w:id="627" w:author="Master Repository Process" w:date="2022-01-13T15:47:00Z"/>
              </w:rPr>
            </w:pPr>
            <w:ins w:id="628" w:author="Master Repository Process" w:date="2022-01-13T15:47:00Z">
              <w:r>
                <w:t>15 Jan 2022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29" w:name="Compilation"/>
    <w:bookmarkEnd w:id="62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0" w:name="Coversheet"/>
    <w:bookmarkEnd w:id="6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pStyle w:val="Header"/>
                </w:pPr>
                <w:r>
                  <w:rPr>
                    <w:b/>
                  </w:rPr>
                  <w:t>r.</w:t>
                </w:r>
                <w: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613" w:name="Schedule"/>
    <w:bookmarkEnd w:id="6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 w:numId="20">
    <w:abstractNumId w:val="19"/>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11131206"/>
    <w:docVar w:name="WAFER_20141015125937" w:val="RemoveTocBookmarks,RemoveUnusedBookmarks,RemoveLanguageTags,UsedStyles,ResetPageSize"/>
    <w:docVar w:name="WAFER_20141015125937_GUID" w:val="c397edae-aec5-4a9e-8ebe-27c4cbacb9f4"/>
    <w:docVar w:name="WAFER_20141020110302" w:val="RemoveTocBookmarks,RemoveUnusedBookmarks,RemoveLanguageTags,UsedStyles,ResetPageSize,RunningHeaders"/>
    <w:docVar w:name="WAFER_20141020110302_GUID" w:val="421bccec-ed0f-42bc-96ff-7a2f37766c49"/>
    <w:docVar w:name="WAFER_20141020112115" w:val="RemoveTocBookmarks,RemoveUnusedBookmarks,RemoveLanguageTags,UsedStyles,ResetPageSize,RunningHeaders"/>
    <w:docVar w:name="WAFER_20141020112115_GUID" w:val="c2971c57-68fb-4dec-a6e6-40e048ed4518"/>
    <w:docVar w:name="WAFER_20150219213810" w:val="ResetPageSize,UpdateArrangement,UpdateNTable"/>
    <w:docVar w:name="WAFER_20150219213810_GUID" w:val="50f4b831-056d-4f21-9996-358ba72c7b41"/>
    <w:docVar w:name="WAFER_20150401091125" w:val="RemoveTocBookmarks,RemoveUnusedBookmarks,RemoveLanguageTags,UsedStyles,ResetPageSize"/>
    <w:docVar w:name="WAFER_20150401091125_GUID" w:val="34a1b2c1-d77e-48f1-8ae1-a3525a8a3ebc"/>
    <w:docVar w:name="WAFER_20150630115914" w:val="ResetPageSize,UpdateArrangement,UpdateNTable"/>
    <w:docVar w:name="WAFER_20150630115914_GUID" w:val="15fe6455-43e1-4a46-b7bc-3e6b5d4c6c34"/>
    <w:docVar w:name="WAFER_20151109113902" w:val="UpdateStyles,UsedStyles"/>
    <w:docVar w:name="WAFER_20151109113902_GUID" w:val="3d845d1a-2663-4a66-af3d-f99215c2be5b"/>
    <w:docVar w:name="WAFER_202006260916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618_GUID" w:val="02f15509-e525-4813-99da-dbc8b3296088"/>
    <w:docVar w:name="WAFER_202201111312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31206_GUID" w:val="317fe684-ff03-4c62-af41-568f7753dc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E7C53A-854E-4E44-988E-8B0D6E36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1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719B-6F11-4531-91A9-ACCC3AEA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21243</Words>
  <Characters>106641</Characters>
  <Application>Microsoft Office Word</Application>
  <DocSecurity>0</DocSecurity>
  <Lines>3677</Lines>
  <Paragraphs>2459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(Resource Management and Administration) Regulations 2015 00-g0-00 - 00-h0-00</dc:title>
  <dc:subject/>
  <dc:creator/>
  <cp:keywords/>
  <dc:description/>
  <cp:lastModifiedBy>Master Repository Process</cp:lastModifiedBy>
  <cp:revision>2</cp:revision>
  <cp:lastPrinted>2015-06-11T06:42:00Z</cp:lastPrinted>
  <dcterms:created xsi:type="dcterms:W3CDTF">2022-01-13T07:47:00Z</dcterms:created>
  <dcterms:modified xsi:type="dcterms:W3CDTF">2022-01-13T07:48:00Z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30 Jun 2015 p 2405-531</vt:lpwstr>
  </property>
  <property fmtid="{D5CDD505-2E9C-101B-9397-08002B2CF9AE}" pid="4" name="CommencementDate">
    <vt:lpwstr>20220115</vt:lpwstr>
  </property>
  <property fmtid="{D5CDD505-2E9C-101B-9397-08002B2CF9AE}" pid="5" name="FromSuffix">
    <vt:lpwstr>00-g0-00</vt:lpwstr>
  </property>
  <property fmtid="{D5CDD505-2E9C-101B-9397-08002B2CF9AE}" pid="6" name="FromAsAtDate">
    <vt:lpwstr>01 Jul 2020</vt:lpwstr>
  </property>
  <property fmtid="{D5CDD505-2E9C-101B-9397-08002B2CF9AE}" pid="7" name="ToSuffix">
    <vt:lpwstr>00-h0-00</vt:lpwstr>
  </property>
  <property fmtid="{D5CDD505-2E9C-101B-9397-08002B2CF9AE}" pid="8" name="ToAsAtDate">
    <vt:lpwstr>15 Jan 2022</vt:lpwstr>
  </property>
</Properties>
</file>