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(Occupational Safety and Health)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Petroleum Pipelines Act 1969</w:t>
      </w:r>
    </w:p>
    <w:p>
      <w:pPr>
        <w:pStyle w:val="NameofActReg"/>
      </w:pPr>
      <w:r>
        <w:t>Petroleum Pipelines (Occupational Safety and Health) Regulations 2010</w:t>
      </w:r>
    </w:p>
    <w:p>
      <w:pPr>
        <w:pStyle w:val="Heading2"/>
        <w:pageBreakBefore w:val="0"/>
        <w:spacing w:before="240"/>
      </w:pPr>
      <w:bookmarkStart w:id="1" w:name="_Toc98765925"/>
      <w:bookmarkStart w:id="2" w:name="_Toc98766262"/>
      <w:bookmarkStart w:id="3" w:name="_Toc99022238"/>
      <w:bookmarkStart w:id="4" w:name="_Toc97287380"/>
      <w:bookmarkStart w:id="5" w:name="_Toc97287458"/>
      <w:bookmarkStart w:id="6" w:name="_Toc9762609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9022239"/>
      <w:bookmarkStart w:id="9" w:name="_Toc97626100"/>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Petroleum Pipelines (Occupational Safety and Health) Regulations 2010</w:t>
      </w:r>
      <w:r>
        <w:t>.</w:t>
      </w:r>
    </w:p>
    <w:p>
      <w:pPr>
        <w:pStyle w:val="Heading5"/>
        <w:rPr>
          <w:spacing w:val="-2"/>
        </w:rPr>
      </w:pPr>
      <w:bookmarkStart w:id="11" w:name="_Toc99022240"/>
      <w:bookmarkStart w:id="12" w:name="_Toc9762610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13" w:name="_Toc99022241"/>
      <w:bookmarkStart w:id="14" w:name="_Toc97626102"/>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a licensee for a pipeline operation; or</w:t>
      </w:r>
    </w:p>
    <w:p>
      <w:pPr>
        <w:pStyle w:val="Defpara"/>
      </w:pPr>
      <w:r>
        <w:tab/>
        <w:t>(b)</w:t>
      </w:r>
      <w:r>
        <w:tab/>
        <w:t>an employer; or</w:t>
      </w:r>
    </w:p>
    <w:p>
      <w:pPr>
        <w:pStyle w:val="Defpara"/>
      </w:pPr>
      <w:r>
        <w:tab/>
        <w:t>(c)</w:t>
      </w:r>
      <w:r>
        <w:tab/>
        <w:t xml:space="preserve">any other person in control of — </w:t>
      </w:r>
    </w:p>
    <w:p>
      <w:pPr>
        <w:pStyle w:val="Defsubpara"/>
      </w:pPr>
      <w:r>
        <w:tab/>
        <w:t>(i)</w:t>
      </w:r>
      <w:r>
        <w:tab/>
        <w:t>a pipeline operation; or</w:t>
      </w:r>
    </w:p>
    <w:p>
      <w:pPr>
        <w:pStyle w:val="Defsubpara"/>
      </w:pPr>
      <w:r>
        <w:tab/>
        <w:t>(ii)</w:t>
      </w:r>
      <w:r>
        <w:tab/>
        <w:t>a part of a pipeline operation; or</w:t>
      </w:r>
    </w:p>
    <w:p>
      <w:pPr>
        <w:pStyle w:val="Defsubpara"/>
      </w:pPr>
      <w:r>
        <w:tab/>
        <w:t>(iii)</w:t>
      </w:r>
      <w:r>
        <w:tab/>
        <w:t>particular work of persons engaged in a pipeline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15" w:name="_Toc98765929"/>
      <w:bookmarkStart w:id="16" w:name="_Toc98766266"/>
      <w:bookmarkStart w:id="17" w:name="_Toc99022242"/>
      <w:bookmarkStart w:id="18" w:name="_Toc97287384"/>
      <w:bookmarkStart w:id="19" w:name="_Toc97287462"/>
      <w:bookmarkStart w:id="20" w:name="_Toc97626103"/>
      <w:r>
        <w:rPr>
          <w:rStyle w:val="CharPartNo"/>
        </w:rPr>
        <w:t>Part 2</w:t>
      </w:r>
      <w:r>
        <w:rPr>
          <w:rStyle w:val="CharDivNo"/>
        </w:rPr>
        <w:t> </w:t>
      </w:r>
      <w:r>
        <w:t>—</w:t>
      </w:r>
      <w:r>
        <w:rPr>
          <w:rStyle w:val="CharDivText"/>
        </w:rPr>
        <w:t> </w:t>
      </w:r>
      <w:r>
        <w:rPr>
          <w:rStyle w:val="CharPartText"/>
        </w:rPr>
        <w:t>Matters prescribed for particular provisions of the Act</w:t>
      </w:r>
      <w:bookmarkEnd w:id="15"/>
      <w:bookmarkEnd w:id="16"/>
      <w:bookmarkEnd w:id="17"/>
      <w:bookmarkEnd w:id="18"/>
      <w:bookmarkEnd w:id="19"/>
      <w:bookmarkEnd w:id="20"/>
    </w:p>
    <w:p>
      <w:pPr>
        <w:pStyle w:val="Heading5"/>
      </w:pPr>
      <w:bookmarkStart w:id="21" w:name="_Toc99022243"/>
      <w:bookmarkStart w:id="22" w:name="_Toc97626104"/>
      <w:r>
        <w:rPr>
          <w:rStyle w:val="CharSectno"/>
        </w:rPr>
        <w:t>4</w:t>
      </w:r>
      <w:r>
        <w:t>.</w:t>
      </w:r>
      <w:r>
        <w:tab/>
        <w:t>Occupational safety and health laws that do not apply to pipeline operations etc.</w:t>
      </w:r>
      <w:bookmarkEnd w:id="21"/>
      <w:bookmarkEnd w:id="22"/>
    </w:p>
    <w:p>
      <w:pPr>
        <w:pStyle w:val="Subsection"/>
      </w:pPr>
      <w:r>
        <w:tab/>
      </w:r>
      <w:r>
        <w:tab/>
        <w:t>The enactments mentioned in the Table are prescribed for the purposes of section 5AA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blHeader/>
        </w:trPr>
        <w:tc>
          <w:tcPr>
            <w:tcW w:w="6067" w:type="dxa"/>
            <w:tcBorders>
              <w:left w:val="nil"/>
              <w:bottom w:val="single" w:sz="4" w:space="0" w:color="auto"/>
              <w:right w:val="nil"/>
            </w:tcBorders>
          </w:tcPr>
          <w:p>
            <w:pPr>
              <w:pStyle w:val="TableNAm"/>
              <w:jc w:val="center"/>
              <w:rPr>
                <w:b/>
                <w:bCs/>
              </w:rPr>
            </w:pPr>
            <w:r>
              <w:rPr>
                <w:b/>
                <w:bCs/>
              </w:rPr>
              <w:t>Enactment</w:t>
            </w:r>
          </w:p>
        </w:tc>
      </w:tr>
      <w:tr>
        <w:trPr>
          <w:cantSplit/>
        </w:trPr>
        <w:tc>
          <w:tcPr>
            <w:tcW w:w="6067" w:type="dxa"/>
            <w:tcBorders>
              <w:left w:val="nil"/>
              <w:bottom w:val="nil"/>
              <w:right w:val="nil"/>
            </w:tcBorders>
          </w:tcPr>
          <w:p>
            <w:pPr>
              <w:pStyle w:val="TableNAm"/>
            </w:pPr>
            <w:r>
              <w:rPr>
                <w:i/>
                <w:iCs/>
              </w:rPr>
              <w:t>Dangerous Goods Safety Act 2004</w:t>
            </w:r>
            <w:r>
              <w:t xml:space="preserve"> to the extent that it relates to occupational safety and health</w:t>
            </w:r>
          </w:p>
        </w:tc>
      </w:tr>
      <w:tr>
        <w:trPr>
          <w:cantSplit/>
        </w:trPr>
        <w:tc>
          <w:tcPr>
            <w:tcW w:w="6067" w:type="dxa"/>
            <w:tcBorders>
              <w:top w:val="nil"/>
              <w:left w:val="nil"/>
              <w:right w:val="nil"/>
            </w:tcBorders>
          </w:tcPr>
          <w:p>
            <w:pPr>
              <w:pStyle w:val="TableNAm"/>
            </w:pPr>
            <w:r>
              <w:rPr>
                <w:i/>
                <w:iCs/>
              </w:rPr>
              <w:t>Electricity Act 1945</w:t>
            </w:r>
            <w:r>
              <w:t xml:space="preserve"> to the extent that it relates to occupational safety and health</w:t>
            </w:r>
          </w:p>
        </w:tc>
      </w:tr>
    </w:tbl>
    <w:p>
      <w:pPr>
        <w:pStyle w:val="Heading5"/>
      </w:pPr>
      <w:bookmarkStart w:id="23" w:name="_Toc99022244"/>
      <w:bookmarkStart w:id="24" w:name="_Toc97626105"/>
      <w:r>
        <w:rPr>
          <w:rStyle w:val="CharSectno"/>
        </w:rPr>
        <w:t>5</w:t>
      </w:r>
      <w:r>
        <w:t>.</w:t>
      </w:r>
      <w:r>
        <w:tab/>
        <w:t>Reviewing authority</w:t>
      </w:r>
      <w:bookmarkEnd w:id="23"/>
      <w:bookmarkEnd w:id="24"/>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25" w:name="_Toc99022245"/>
      <w:bookmarkStart w:id="26" w:name="_Toc97626106"/>
      <w:r>
        <w:rPr>
          <w:rStyle w:val="CharSectno"/>
        </w:rPr>
        <w:t>6</w:t>
      </w:r>
      <w:r>
        <w:t>.</w:t>
      </w:r>
      <w:r>
        <w:tab/>
        <w:t>Exemption orders under Sch. 1 cl. 44</w:t>
      </w:r>
      <w:bookmarkEnd w:id="25"/>
      <w:bookmarkEnd w:id="26"/>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27" w:name="_Toc98765933"/>
      <w:bookmarkStart w:id="28" w:name="_Toc98766270"/>
      <w:bookmarkStart w:id="29" w:name="_Toc99022246"/>
      <w:bookmarkStart w:id="30" w:name="_Toc97287388"/>
      <w:bookmarkStart w:id="31" w:name="_Toc97287466"/>
      <w:bookmarkStart w:id="32" w:name="_Toc97626107"/>
      <w:r>
        <w:rPr>
          <w:rStyle w:val="CharPartNo"/>
        </w:rPr>
        <w:t>Part 3</w:t>
      </w:r>
      <w:r>
        <w:t> — </w:t>
      </w:r>
      <w:r>
        <w:rPr>
          <w:rStyle w:val="CharPartText"/>
        </w:rPr>
        <w:t>Election of safety and health representatives</w:t>
      </w:r>
      <w:bookmarkEnd w:id="27"/>
      <w:bookmarkEnd w:id="28"/>
      <w:bookmarkEnd w:id="29"/>
      <w:bookmarkEnd w:id="30"/>
      <w:bookmarkEnd w:id="31"/>
      <w:bookmarkEnd w:id="32"/>
    </w:p>
    <w:p>
      <w:pPr>
        <w:pStyle w:val="Heading3"/>
      </w:pPr>
      <w:bookmarkStart w:id="33" w:name="_Toc98765934"/>
      <w:bookmarkStart w:id="34" w:name="_Toc98766271"/>
      <w:bookmarkStart w:id="35" w:name="_Toc99022247"/>
      <w:bookmarkStart w:id="36" w:name="_Toc97287389"/>
      <w:bookmarkStart w:id="37" w:name="_Toc97287467"/>
      <w:bookmarkStart w:id="38" w:name="_Toc97626108"/>
      <w:r>
        <w:rPr>
          <w:rStyle w:val="CharDivNo"/>
        </w:rPr>
        <w:t>Division 1</w:t>
      </w:r>
      <w:r>
        <w:t> — </w:t>
      </w:r>
      <w:r>
        <w:rPr>
          <w:rStyle w:val="CharDivText"/>
        </w:rPr>
        <w:t>Returning officer</w:t>
      </w:r>
      <w:bookmarkEnd w:id="33"/>
      <w:bookmarkEnd w:id="34"/>
      <w:bookmarkEnd w:id="35"/>
      <w:bookmarkEnd w:id="36"/>
      <w:bookmarkEnd w:id="37"/>
      <w:bookmarkEnd w:id="38"/>
    </w:p>
    <w:p>
      <w:pPr>
        <w:pStyle w:val="Heading5"/>
      </w:pPr>
      <w:bookmarkStart w:id="39" w:name="_Toc99022248"/>
      <w:bookmarkStart w:id="40" w:name="_Toc97626109"/>
      <w:r>
        <w:rPr>
          <w:rStyle w:val="CharSectno"/>
        </w:rPr>
        <w:t>7</w:t>
      </w:r>
      <w:r>
        <w:t>.</w:t>
      </w:r>
      <w:r>
        <w:tab/>
        <w:t>Appointment of returning officer</w:t>
      </w:r>
      <w:bookmarkEnd w:id="39"/>
      <w:bookmarkEnd w:id="40"/>
    </w:p>
    <w:p>
      <w:pPr>
        <w:pStyle w:val="Subsection"/>
      </w:pPr>
      <w:r>
        <w:tab/>
        <w:t>(1)</w:t>
      </w:r>
      <w:r>
        <w:tab/>
        <w:t>If, under Schedule 1 clause 24(3), a licensee is required to conduct, or arrange for the conduct of, an election the licensee must nominate a person to act as the returning officer for the election.</w:t>
      </w:r>
    </w:p>
    <w:p>
      <w:pPr>
        <w:pStyle w:val="Subsection"/>
      </w:pPr>
      <w:r>
        <w:tab/>
        <w:t>(2)</w:t>
      </w:r>
      <w:r>
        <w:tab/>
        <w:t>The licensee must give the Minister written notification of the nomination.</w:t>
      </w:r>
    </w:p>
    <w:p>
      <w:pPr>
        <w:pStyle w:val="Heading3"/>
      </w:pPr>
      <w:bookmarkStart w:id="41" w:name="_Toc98765936"/>
      <w:bookmarkStart w:id="42" w:name="_Toc98766273"/>
      <w:bookmarkStart w:id="43" w:name="_Toc99022249"/>
      <w:bookmarkStart w:id="44" w:name="_Toc97287391"/>
      <w:bookmarkStart w:id="45" w:name="_Toc97287469"/>
      <w:bookmarkStart w:id="46" w:name="_Toc97626110"/>
      <w:r>
        <w:rPr>
          <w:rStyle w:val="CharDivNo"/>
        </w:rPr>
        <w:t>Division 2</w:t>
      </w:r>
      <w:r>
        <w:t> — </w:t>
      </w:r>
      <w:r>
        <w:rPr>
          <w:rStyle w:val="CharDivText"/>
        </w:rPr>
        <w:t>The poll</w:t>
      </w:r>
      <w:bookmarkEnd w:id="41"/>
      <w:bookmarkEnd w:id="42"/>
      <w:bookmarkEnd w:id="43"/>
      <w:bookmarkEnd w:id="44"/>
      <w:bookmarkEnd w:id="45"/>
      <w:bookmarkEnd w:id="46"/>
    </w:p>
    <w:p>
      <w:pPr>
        <w:pStyle w:val="Heading5"/>
      </w:pPr>
      <w:bookmarkStart w:id="47" w:name="_Toc99022250"/>
      <w:bookmarkStart w:id="48" w:name="_Toc97626111"/>
      <w:r>
        <w:rPr>
          <w:rStyle w:val="CharSectno"/>
        </w:rPr>
        <w:t>8</w:t>
      </w:r>
      <w:r>
        <w:t>.</w:t>
      </w:r>
      <w:r>
        <w:tab/>
        <w:t>Number of votes</w:t>
      </w:r>
      <w:bookmarkEnd w:id="47"/>
      <w:bookmarkEnd w:id="48"/>
    </w:p>
    <w:p>
      <w:pPr>
        <w:pStyle w:val="Subsection"/>
      </w:pPr>
      <w:r>
        <w:tab/>
      </w:r>
      <w:r>
        <w:tab/>
        <w:t>Each voter in relation to an election is entitled to one vote only in the election.</w:t>
      </w:r>
    </w:p>
    <w:p>
      <w:pPr>
        <w:pStyle w:val="Heading5"/>
      </w:pPr>
      <w:bookmarkStart w:id="49" w:name="_Toc99022251"/>
      <w:bookmarkStart w:id="50" w:name="_Toc97626112"/>
      <w:r>
        <w:rPr>
          <w:rStyle w:val="CharSectno"/>
        </w:rPr>
        <w:t>9</w:t>
      </w:r>
      <w:r>
        <w:t>.</w:t>
      </w:r>
      <w:r>
        <w:tab/>
        <w:t>Right to secret ballot</w:t>
      </w:r>
      <w:bookmarkEnd w:id="49"/>
      <w:bookmarkEnd w:id="50"/>
    </w:p>
    <w:p>
      <w:pPr>
        <w:pStyle w:val="Subsection"/>
      </w:pPr>
      <w:r>
        <w:tab/>
      </w:r>
      <w:r>
        <w:tab/>
        <w:t>A voter in relation to an election may request the returning officer for the election to conduct the poll for the election by secret ballot.</w:t>
      </w:r>
    </w:p>
    <w:p>
      <w:pPr>
        <w:pStyle w:val="Heading5"/>
      </w:pPr>
      <w:bookmarkStart w:id="51" w:name="_Toc99022252"/>
      <w:bookmarkStart w:id="52" w:name="_Toc97626113"/>
      <w:r>
        <w:rPr>
          <w:rStyle w:val="CharSectno"/>
        </w:rPr>
        <w:t>10</w:t>
      </w:r>
      <w:r>
        <w:t>.</w:t>
      </w:r>
      <w:r>
        <w:tab/>
        <w:t>Conduct of poll by secret ballot</w:t>
      </w:r>
      <w:bookmarkEnd w:id="51"/>
      <w:bookmarkEnd w:id="52"/>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53" w:name="_Toc99022253"/>
      <w:bookmarkStart w:id="54" w:name="_Toc97626114"/>
      <w:r>
        <w:rPr>
          <w:rStyle w:val="CharSectno"/>
        </w:rPr>
        <w:t>11</w:t>
      </w:r>
      <w:r>
        <w:t>.</w:t>
      </w:r>
      <w:r>
        <w:tab/>
        <w:t>Conduct of poll if no request made for secret ballot</w:t>
      </w:r>
      <w:bookmarkEnd w:id="53"/>
      <w:bookmarkEnd w:id="54"/>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55" w:name="_Toc99022254"/>
      <w:bookmarkStart w:id="56" w:name="_Toc97626115"/>
      <w:r>
        <w:rPr>
          <w:rStyle w:val="CharSectno"/>
        </w:rPr>
        <w:t>12</w:t>
      </w:r>
      <w:r>
        <w:t>.</w:t>
      </w:r>
      <w:r>
        <w:tab/>
        <w:t>If no candidate is elected</w:t>
      </w:r>
      <w:bookmarkEnd w:id="55"/>
      <w:bookmarkEnd w:id="56"/>
    </w:p>
    <w:p>
      <w:pPr>
        <w:pStyle w:val="Subsection"/>
      </w:pPr>
      <w:r>
        <w:tab/>
      </w:r>
      <w:r>
        <w:tab/>
        <w:t>An election is to be taken to have failed if no candidate is elected in the election.</w:t>
      </w:r>
    </w:p>
    <w:p>
      <w:pPr>
        <w:pStyle w:val="Heading3"/>
      </w:pPr>
      <w:bookmarkStart w:id="57" w:name="_Toc98765942"/>
      <w:bookmarkStart w:id="58" w:name="_Toc98766279"/>
      <w:bookmarkStart w:id="59" w:name="_Toc99022255"/>
      <w:bookmarkStart w:id="60" w:name="_Toc97287397"/>
      <w:bookmarkStart w:id="61" w:name="_Toc97287475"/>
      <w:bookmarkStart w:id="62" w:name="_Toc97626116"/>
      <w:r>
        <w:rPr>
          <w:rStyle w:val="CharDivNo"/>
        </w:rPr>
        <w:t>Division 3</w:t>
      </w:r>
      <w:r>
        <w:t> — </w:t>
      </w:r>
      <w:r>
        <w:rPr>
          <w:rStyle w:val="CharDivText"/>
        </w:rPr>
        <w:t>Polling by secret ballot</w:t>
      </w:r>
      <w:bookmarkEnd w:id="57"/>
      <w:bookmarkEnd w:id="58"/>
      <w:bookmarkEnd w:id="59"/>
      <w:bookmarkEnd w:id="60"/>
      <w:bookmarkEnd w:id="61"/>
      <w:bookmarkEnd w:id="62"/>
    </w:p>
    <w:p>
      <w:pPr>
        <w:pStyle w:val="Heading5"/>
      </w:pPr>
      <w:bookmarkStart w:id="63" w:name="_Toc99022256"/>
      <w:bookmarkStart w:id="64" w:name="_Toc97626117"/>
      <w:r>
        <w:rPr>
          <w:rStyle w:val="CharSectno"/>
        </w:rPr>
        <w:t>13</w:t>
      </w:r>
      <w:r>
        <w:t>.</w:t>
      </w:r>
      <w:r>
        <w:tab/>
        <w:t>Ballot papers</w:t>
      </w:r>
      <w:bookmarkEnd w:id="63"/>
      <w:bookmarkEnd w:id="64"/>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65" w:name="_Toc99022257"/>
      <w:bookmarkStart w:id="66" w:name="_Toc97626118"/>
      <w:r>
        <w:rPr>
          <w:rStyle w:val="CharSectno"/>
        </w:rPr>
        <w:t>14</w:t>
      </w:r>
      <w:r>
        <w:t>.</w:t>
      </w:r>
      <w:r>
        <w:tab/>
        <w:t>Distribution of ballot papers</w:t>
      </w:r>
      <w:bookmarkEnd w:id="65"/>
      <w:bookmarkEnd w:id="66"/>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67" w:name="_Toc99022258"/>
      <w:bookmarkStart w:id="68" w:name="_Toc97626119"/>
      <w:r>
        <w:rPr>
          <w:rStyle w:val="CharSectno"/>
        </w:rPr>
        <w:t>15</w:t>
      </w:r>
      <w:r>
        <w:t>.</w:t>
      </w:r>
      <w:r>
        <w:tab/>
        <w:t>Manner of voting by secret ballot</w:t>
      </w:r>
      <w:bookmarkEnd w:id="67"/>
      <w:bookmarkEnd w:id="68"/>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69" w:name="_Toc98765946"/>
      <w:bookmarkStart w:id="70" w:name="_Toc98766283"/>
      <w:bookmarkStart w:id="71" w:name="_Toc99022259"/>
      <w:bookmarkStart w:id="72" w:name="_Toc97287401"/>
      <w:bookmarkStart w:id="73" w:name="_Toc97287479"/>
      <w:bookmarkStart w:id="74" w:name="_Toc97626120"/>
      <w:r>
        <w:rPr>
          <w:rStyle w:val="CharDivNo"/>
        </w:rPr>
        <w:t>Division 4</w:t>
      </w:r>
      <w:r>
        <w:t> — </w:t>
      </w:r>
      <w:r>
        <w:rPr>
          <w:rStyle w:val="CharDivText"/>
        </w:rPr>
        <w:t>The count</w:t>
      </w:r>
      <w:bookmarkEnd w:id="69"/>
      <w:bookmarkEnd w:id="70"/>
      <w:bookmarkEnd w:id="71"/>
      <w:bookmarkEnd w:id="72"/>
      <w:bookmarkEnd w:id="73"/>
      <w:bookmarkEnd w:id="74"/>
    </w:p>
    <w:p>
      <w:pPr>
        <w:pStyle w:val="Heading5"/>
      </w:pPr>
      <w:bookmarkStart w:id="75" w:name="_Toc99022260"/>
      <w:bookmarkStart w:id="76" w:name="_Toc97626121"/>
      <w:r>
        <w:rPr>
          <w:rStyle w:val="CharSectno"/>
        </w:rPr>
        <w:t>16</w:t>
      </w:r>
      <w:r>
        <w:t>.</w:t>
      </w:r>
      <w:r>
        <w:tab/>
        <w:t>Envelopes given to returning officer</w:t>
      </w:r>
      <w:bookmarkEnd w:id="75"/>
      <w:bookmarkEnd w:id="76"/>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77" w:name="_Toc99022261"/>
      <w:bookmarkStart w:id="78" w:name="_Toc97626122"/>
      <w:r>
        <w:rPr>
          <w:rStyle w:val="CharSectno"/>
        </w:rPr>
        <w:t>17</w:t>
      </w:r>
      <w:r>
        <w:t>.</w:t>
      </w:r>
      <w:r>
        <w:tab/>
        <w:t>Scrutineers</w:t>
      </w:r>
      <w:bookmarkEnd w:id="77"/>
      <w:bookmarkEnd w:id="78"/>
    </w:p>
    <w:p>
      <w:pPr>
        <w:pStyle w:val="Subsection"/>
      </w:pPr>
      <w:r>
        <w:tab/>
      </w:r>
      <w:r>
        <w:tab/>
        <w:t>Each candidate in a poll conducted by secret ballot may appoint one scrutineer to represent the candidate at the count.</w:t>
      </w:r>
    </w:p>
    <w:p>
      <w:pPr>
        <w:pStyle w:val="Heading5"/>
      </w:pPr>
      <w:bookmarkStart w:id="79" w:name="_Toc99022262"/>
      <w:bookmarkStart w:id="80" w:name="_Toc97626123"/>
      <w:r>
        <w:rPr>
          <w:rStyle w:val="CharSectno"/>
        </w:rPr>
        <w:t>18</w:t>
      </w:r>
      <w:r>
        <w:t>.</w:t>
      </w:r>
      <w:r>
        <w:tab/>
        <w:t>Returning officer to be advised of scrutineers</w:t>
      </w:r>
      <w:bookmarkEnd w:id="79"/>
      <w:bookmarkEnd w:id="80"/>
    </w:p>
    <w:p>
      <w:pPr>
        <w:pStyle w:val="Subsection"/>
      </w:pPr>
      <w:r>
        <w:tab/>
      </w:r>
      <w:r>
        <w:tab/>
        <w:t>A candidate must tell the returning officer for the election the name of the candidate’s scrutineer (if any) before the commencement of the count.</w:t>
      </w:r>
    </w:p>
    <w:p>
      <w:pPr>
        <w:pStyle w:val="Heading5"/>
      </w:pPr>
      <w:bookmarkStart w:id="81" w:name="_Toc99022263"/>
      <w:bookmarkStart w:id="82" w:name="_Toc97626124"/>
      <w:r>
        <w:rPr>
          <w:rStyle w:val="CharSectno"/>
        </w:rPr>
        <w:t>19</w:t>
      </w:r>
      <w:r>
        <w:t>.</w:t>
      </w:r>
      <w:r>
        <w:tab/>
        <w:t>Persons present at the count</w:t>
      </w:r>
      <w:bookmarkEnd w:id="81"/>
      <w:bookmarkEnd w:id="82"/>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83" w:name="_Toc99022264"/>
      <w:bookmarkStart w:id="84" w:name="_Toc97626125"/>
      <w:r>
        <w:rPr>
          <w:rStyle w:val="CharSectno"/>
        </w:rPr>
        <w:t>20</w:t>
      </w:r>
      <w:r>
        <w:t>.</w:t>
      </w:r>
      <w:r>
        <w:tab/>
        <w:t>Conduct of the count</w:t>
      </w:r>
      <w:bookmarkEnd w:id="83"/>
      <w:bookmarkEnd w:id="84"/>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85" w:name="_Toc99022265"/>
      <w:bookmarkStart w:id="86" w:name="_Toc97626126"/>
      <w:r>
        <w:rPr>
          <w:rStyle w:val="CharSectno"/>
        </w:rPr>
        <w:t>21</w:t>
      </w:r>
      <w:r>
        <w:t>.</w:t>
      </w:r>
      <w:r>
        <w:tab/>
        <w:t>Informal ballot papers</w:t>
      </w:r>
      <w:bookmarkEnd w:id="85"/>
      <w:bookmarkEnd w:id="86"/>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87" w:name="_Toc99022266"/>
      <w:bookmarkStart w:id="88" w:name="_Toc97626127"/>
      <w:r>
        <w:rPr>
          <w:rStyle w:val="CharSectno"/>
        </w:rPr>
        <w:t>22</w:t>
      </w:r>
      <w:r>
        <w:t>.</w:t>
      </w:r>
      <w:r>
        <w:tab/>
        <w:t>Completion of the count</w:t>
      </w:r>
      <w:bookmarkEnd w:id="87"/>
      <w:bookmarkEnd w:id="88"/>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89" w:name="_Toc99022267"/>
      <w:bookmarkStart w:id="90" w:name="_Toc97626128"/>
      <w:r>
        <w:rPr>
          <w:rStyle w:val="CharSectno"/>
        </w:rPr>
        <w:t>23</w:t>
      </w:r>
      <w:r>
        <w:t>.</w:t>
      </w:r>
      <w:r>
        <w:tab/>
        <w:t>Destruction of election material</w:t>
      </w:r>
      <w:bookmarkEnd w:id="89"/>
      <w:bookmarkEnd w:id="90"/>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91" w:name="_Toc98765955"/>
      <w:bookmarkStart w:id="92" w:name="_Toc98766292"/>
      <w:bookmarkStart w:id="93" w:name="_Toc99022268"/>
      <w:bookmarkStart w:id="94" w:name="_Toc97287410"/>
      <w:bookmarkStart w:id="95" w:name="_Toc97287488"/>
      <w:bookmarkStart w:id="96" w:name="_Toc97626129"/>
      <w:r>
        <w:rPr>
          <w:rStyle w:val="CharDivNo"/>
        </w:rPr>
        <w:t>Division 5</w:t>
      </w:r>
      <w:r>
        <w:t> — </w:t>
      </w:r>
      <w:r>
        <w:rPr>
          <w:rStyle w:val="CharDivText"/>
        </w:rPr>
        <w:t>Result of election</w:t>
      </w:r>
      <w:bookmarkEnd w:id="91"/>
      <w:bookmarkEnd w:id="92"/>
      <w:bookmarkEnd w:id="93"/>
      <w:bookmarkEnd w:id="94"/>
      <w:bookmarkEnd w:id="95"/>
      <w:bookmarkEnd w:id="96"/>
    </w:p>
    <w:p>
      <w:pPr>
        <w:pStyle w:val="Heading5"/>
      </w:pPr>
      <w:bookmarkStart w:id="97" w:name="_Toc99022269"/>
      <w:bookmarkStart w:id="98" w:name="_Toc97626130"/>
      <w:r>
        <w:rPr>
          <w:rStyle w:val="CharSectno"/>
        </w:rPr>
        <w:t>24</w:t>
      </w:r>
      <w:r>
        <w:t>.</w:t>
      </w:r>
      <w:r>
        <w:tab/>
        <w:t>Request for recount</w:t>
      </w:r>
      <w:bookmarkEnd w:id="97"/>
      <w:bookmarkEnd w:id="98"/>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keepNext/>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99" w:name="_Toc99022270"/>
      <w:bookmarkStart w:id="100" w:name="_Toc97626131"/>
      <w:r>
        <w:rPr>
          <w:rStyle w:val="CharSectno"/>
        </w:rPr>
        <w:t>25</w:t>
      </w:r>
      <w:r>
        <w:t>.</w:t>
      </w:r>
      <w:r>
        <w:tab/>
        <w:t>Irregularities at election</w:t>
      </w:r>
      <w:bookmarkEnd w:id="99"/>
      <w:bookmarkEnd w:id="100"/>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101" w:name="_Toc99022271"/>
      <w:bookmarkStart w:id="102" w:name="_Toc97626132"/>
      <w:r>
        <w:rPr>
          <w:rStyle w:val="CharSectno"/>
        </w:rPr>
        <w:t>26</w:t>
      </w:r>
      <w:r>
        <w:t>.</w:t>
      </w:r>
      <w:r>
        <w:tab/>
        <w:t>Result of poll</w:t>
      </w:r>
      <w:bookmarkEnd w:id="101"/>
      <w:bookmarkEnd w:id="102"/>
    </w:p>
    <w:p>
      <w:pPr>
        <w:pStyle w:val="Subsection"/>
        <w:keepNext/>
      </w:pPr>
      <w:r>
        <w:tab/>
        <w:t>(1)</w:t>
      </w:r>
      <w:r>
        <w:tab/>
        <w:t xml:space="preserve">As soon as practicable after the failure of an election, a returning officer must notify in writing — </w:t>
      </w:r>
    </w:p>
    <w:p>
      <w:pPr>
        <w:pStyle w:val="Indenta"/>
      </w:pPr>
      <w:r>
        <w:tab/>
        <w:t>(a)</w:t>
      </w:r>
      <w:r>
        <w:tab/>
        <w:t>the licensee for the pipeline operation to which the election relates of the failure of the election; and</w:t>
      </w:r>
    </w:p>
    <w:p>
      <w:pPr>
        <w:pStyle w:val="Indenta"/>
      </w:pPr>
      <w:r>
        <w:tab/>
        <w:t>(b)</w:t>
      </w:r>
      <w:r>
        <w:tab/>
        <w:t>the Minister of the failure of the election.</w:t>
      </w:r>
    </w:p>
    <w:p>
      <w:pPr>
        <w:pStyle w:val="Subsection"/>
        <w:keepLines/>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103" w:name="_Toc98765959"/>
      <w:bookmarkStart w:id="104" w:name="_Toc98766296"/>
      <w:bookmarkStart w:id="105" w:name="_Toc99022272"/>
      <w:bookmarkStart w:id="106" w:name="_Toc97287414"/>
      <w:bookmarkStart w:id="107" w:name="_Toc97287492"/>
      <w:bookmarkStart w:id="108" w:name="_Toc97626133"/>
      <w:r>
        <w:rPr>
          <w:rStyle w:val="CharPartNo"/>
        </w:rPr>
        <w:t>Part 4</w:t>
      </w:r>
      <w:r>
        <w:rPr>
          <w:rStyle w:val="CharDivNo"/>
        </w:rPr>
        <w:t> </w:t>
      </w:r>
      <w:r>
        <w:t>—</w:t>
      </w:r>
      <w:r>
        <w:rPr>
          <w:rStyle w:val="CharDivText"/>
        </w:rPr>
        <w:t> </w:t>
      </w:r>
      <w:r>
        <w:rPr>
          <w:rStyle w:val="CharPartText"/>
        </w:rPr>
        <w:t>Matters relating to occupational safety and health generally</w:t>
      </w:r>
      <w:bookmarkEnd w:id="103"/>
      <w:bookmarkEnd w:id="104"/>
      <w:bookmarkEnd w:id="105"/>
      <w:bookmarkEnd w:id="106"/>
      <w:bookmarkEnd w:id="107"/>
      <w:bookmarkEnd w:id="108"/>
    </w:p>
    <w:p>
      <w:pPr>
        <w:pStyle w:val="Heading5"/>
      </w:pPr>
      <w:bookmarkStart w:id="109" w:name="_Toc99022273"/>
      <w:bookmarkStart w:id="110" w:name="_Toc97626134"/>
      <w:r>
        <w:rPr>
          <w:rStyle w:val="CharSectno"/>
        </w:rPr>
        <w:t>27</w:t>
      </w:r>
      <w:r>
        <w:t>.</w:t>
      </w:r>
      <w:r>
        <w:tab/>
        <w:t>Training of safety and health representatives</w:t>
      </w:r>
      <w:bookmarkEnd w:id="109"/>
      <w:bookmarkEnd w:id="110"/>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111" w:name="_Toc99022274"/>
      <w:bookmarkStart w:id="112" w:name="_Toc97626135"/>
      <w:r>
        <w:rPr>
          <w:rStyle w:val="CharSectno"/>
        </w:rPr>
        <w:t>28</w:t>
      </w:r>
      <w:r>
        <w:t>.</w:t>
      </w:r>
      <w:r>
        <w:tab/>
        <w:t>Avoiding fatigue</w:t>
      </w:r>
      <w:bookmarkEnd w:id="111"/>
      <w:bookmarkEnd w:id="112"/>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pipeline operation or other protected person.</w:t>
      </w:r>
    </w:p>
    <w:p>
      <w:pPr>
        <w:pStyle w:val="Penstart"/>
      </w:pPr>
      <w:r>
        <w:tab/>
        <w:t>Penalty: a fine of $1 100.</w:t>
      </w:r>
    </w:p>
    <w:p>
      <w:pPr>
        <w:pStyle w:val="Heading5"/>
      </w:pPr>
      <w:bookmarkStart w:id="113" w:name="_Toc99022275"/>
      <w:bookmarkStart w:id="114" w:name="_Toc97626136"/>
      <w:r>
        <w:rPr>
          <w:rStyle w:val="CharSectno"/>
        </w:rPr>
        <w:t>29</w:t>
      </w:r>
      <w:r>
        <w:t>.</w:t>
      </w:r>
      <w:r>
        <w:tab/>
        <w:t>Possession or control of drugs or intoxicants</w:t>
      </w:r>
      <w:bookmarkEnd w:id="113"/>
      <w:bookmarkEnd w:id="114"/>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keepNex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A person, while engaged in a pipeline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licensee for </w:t>
      </w:r>
      <w:r>
        <w:t>a pipeline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keepNext/>
        <w:rPr>
          <w:snapToGrid w:val="0"/>
        </w:rPr>
      </w:pPr>
      <w:r>
        <w:rPr>
          <w:snapToGrid w:val="0"/>
        </w:rPr>
        <w:tab/>
        <w:t>(b)</w:t>
      </w:r>
      <w:r>
        <w:rPr>
          <w:snapToGrid w:val="0"/>
        </w:rPr>
        <w:tab/>
        <w:t>consume any intoxicant while engaged in the operation.</w:t>
      </w:r>
    </w:p>
    <w:p>
      <w:pPr>
        <w:pStyle w:val="Penstart"/>
      </w:pPr>
      <w:r>
        <w:rPr>
          <w:snapToGrid w:val="0"/>
        </w:rPr>
        <w:tab/>
        <w:t xml:space="preserve">Penalty: </w:t>
      </w:r>
      <w:r>
        <w:t>a fine of $1 100.</w:t>
      </w:r>
    </w:p>
    <w:p>
      <w:pPr>
        <w:pStyle w:val="Footnotesection"/>
      </w:pPr>
      <w:r>
        <w:tab/>
        <w:t>[Regulation 29 amended: Gazette 10 Jan 2017 p. 220.]</w:t>
      </w:r>
    </w:p>
    <w:p>
      <w:pPr>
        <w:pStyle w:val="Heading5"/>
      </w:pPr>
      <w:bookmarkStart w:id="115" w:name="_Toc99022276"/>
      <w:bookmarkStart w:id="116" w:name="_Toc97626137"/>
      <w:r>
        <w:rPr>
          <w:rStyle w:val="CharSectno"/>
        </w:rPr>
        <w:t>30</w:t>
      </w:r>
      <w:r>
        <w:t>.</w:t>
      </w:r>
      <w:r>
        <w:tab/>
        <w:t>Person must leave pipeline operation when required to do so</w:t>
      </w:r>
      <w:bookmarkEnd w:id="115"/>
      <w:bookmarkEnd w:id="116"/>
    </w:p>
    <w:p>
      <w:pPr>
        <w:pStyle w:val="Subsection"/>
      </w:pPr>
      <w:r>
        <w:tab/>
        <w:t>(1)</w:t>
      </w:r>
      <w:r>
        <w:tab/>
        <w:t xml:space="preserve">A person engaged in a pipeline operation or other protected person must leave the operation if required to do so by — </w:t>
      </w:r>
    </w:p>
    <w:p>
      <w:pPr>
        <w:pStyle w:val="Indenta"/>
      </w:pPr>
      <w:r>
        <w:tab/>
        <w:t>(a)</w:t>
      </w:r>
      <w:r>
        <w:tab/>
        <w:t>the licensee for the pipeline operation; or</w:t>
      </w:r>
    </w:p>
    <w:p>
      <w:pPr>
        <w:pStyle w:val="Indenta"/>
      </w:pPr>
      <w:r>
        <w:tab/>
        <w:t>(b)</w:t>
      </w:r>
      <w:r>
        <w:tab/>
        <w:t>a person in control of the part of the pipeline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117" w:name="_Toc99022277"/>
      <w:bookmarkStart w:id="118" w:name="_Toc97626138"/>
      <w:r>
        <w:rPr>
          <w:rStyle w:val="CharSectno"/>
        </w:rPr>
        <w:t>31</w:t>
      </w:r>
      <w:r>
        <w:t>.</w:t>
      </w:r>
      <w:r>
        <w:tab/>
        <w:t>Prohibition on use of certain hazardous substances</w:t>
      </w:r>
      <w:bookmarkEnd w:id="117"/>
      <w:bookmarkEnd w:id="118"/>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119" w:name="_Toc99022278"/>
      <w:bookmarkStart w:id="120" w:name="_Toc97626139"/>
      <w:r>
        <w:rPr>
          <w:rStyle w:val="CharSectno"/>
        </w:rPr>
        <w:t>32</w:t>
      </w:r>
      <w:r>
        <w:t>.</w:t>
      </w:r>
      <w:r>
        <w:tab/>
        <w:t>Limitations on exposure to certain hazardous substances</w:t>
      </w:r>
      <w:bookmarkEnd w:id="119"/>
      <w:bookmarkEnd w:id="120"/>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121" w:name="_Toc99022279"/>
      <w:bookmarkStart w:id="122" w:name="_Toc97626140"/>
      <w:r>
        <w:rPr>
          <w:rStyle w:val="CharSectno"/>
        </w:rPr>
        <w:t>33</w:t>
      </w:r>
      <w:r>
        <w:t>.</w:t>
      </w:r>
      <w:r>
        <w:tab/>
        <w:t>Exposure to noise</w:t>
      </w:r>
      <w:bookmarkEnd w:id="121"/>
      <w:bookmarkEnd w:id="122"/>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123" w:name="_Toc99022280"/>
      <w:bookmarkStart w:id="124" w:name="_Toc97626141"/>
      <w:r>
        <w:rPr>
          <w:rStyle w:val="CharSectno"/>
        </w:rPr>
        <w:t>34</w:t>
      </w:r>
      <w:r>
        <w:t>.</w:t>
      </w:r>
      <w:r>
        <w:tab/>
        <w:t>Exemptions from hazardous substances and noise requirements</w:t>
      </w:r>
      <w:bookmarkEnd w:id="123"/>
      <w:bookmarkEnd w:id="124"/>
    </w:p>
    <w:p>
      <w:pPr>
        <w:pStyle w:val="Subsection"/>
      </w:pPr>
      <w:r>
        <w:tab/>
      </w:r>
      <w:r>
        <w:tab/>
        <w:t xml:space="preserve">On the application by a responsible person to the Minister for an exemption from compliance with regulation 31(1), 32(2) and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125" w:name="_Toc99022281"/>
      <w:bookmarkStart w:id="126" w:name="_Toc97626142"/>
      <w:r>
        <w:rPr>
          <w:rStyle w:val="CharSectno"/>
        </w:rPr>
        <w:t>35</w:t>
      </w:r>
      <w:r>
        <w:t>.</w:t>
      </w:r>
      <w:r>
        <w:tab/>
        <w:t>Taking samples for testing etc.</w:t>
      </w:r>
      <w:bookmarkEnd w:id="125"/>
      <w:bookmarkEnd w:id="126"/>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licensee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keepNext/>
      </w:pPr>
      <w:r>
        <w:tab/>
        <w:t>(3)</w:t>
      </w:r>
      <w:r>
        <w:tab/>
        <w:t xml:space="preserve">An inspector who, under Schedule 1 clause 56(1) — </w:t>
      </w:r>
    </w:p>
    <w:p>
      <w:pPr>
        <w:pStyle w:val="Indenta"/>
        <w:keepNext/>
      </w:pPr>
      <w:r>
        <w:tab/>
        <w:t>(a)</w:t>
      </w:r>
      <w:r>
        <w:tab/>
        <w:t>has taken possession of any plant, substance or thing; or</w:t>
      </w:r>
    </w:p>
    <w:p>
      <w:pPr>
        <w:pStyle w:val="Indenta"/>
        <w:keepNext/>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127" w:name="_Toc99022282"/>
      <w:bookmarkStart w:id="128" w:name="_Toc97626143"/>
      <w:r>
        <w:rPr>
          <w:rStyle w:val="CharSectno"/>
        </w:rPr>
        <w:t>36</w:t>
      </w:r>
      <w:r>
        <w:t>.</w:t>
      </w:r>
      <w:r>
        <w:tab/>
        <w:t>Form of certain notices</w:t>
      </w:r>
      <w:bookmarkEnd w:id="127"/>
      <w:bookmarkEnd w:id="128"/>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129" w:name="_Toc99022283"/>
      <w:bookmarkStart w:id="130" w:name="_Toc97626144"/>
      <w:r>
        <w:rPr>
          <w:rStyle w:val="CharSectno"/>
        </w:rPr>
        <w:t>37</w:t>
      </w:r>
      <w:r>
        <w:t>.</w:t>
      </w:r>
      <w:r>
        <w:tab/>
        <w:t>Forms, notices and reports</w:t>
      </w:r>
      <w:bookmarkEnd w:id="129"/>
      <w:bookmarkEnd w:id="130"/>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keepNext/>
        <w:keepLines/>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131" w:name="_Toc99022284"/>
      <w:bookmarkStart w:id="132" w:name="_Toc97626145"/>
      <w:r>
        <w:rPr>
          <w:rStyle w:val="CharSectno"/>
        </w:rPr>
        <w:t>38</w:t>
      </w:r>
      <w:r>
        <w:t>.</w:t>
      </w:r>
      <w:r>
        <w:tab/>
        <w:t>Service of Schedule 1 notices</w:t>
      </w:r>
      <w:bookmarkEnd w:id="131"/>
      <w:bookmarkEnd w:id="132"/>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 xml:space="preserve">by electronic facsimile message transmitted to a facsimile facility that is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t>(b)</w:t>
      </w:r>
      <w:r>
        <w:tab/>
        <w:t xml:space="preserve">by a message transmitted to a computer system that is known to be in use by the person and installed — </w:t>
      </w:r>
    </w:p>
    <w:p>
      <w:pPr>
        <w:pStyle w:val="Indenti"/>
      </w:pPr>
      <w:r>
        <w:tab/>
        <w:t>(i)</w:t>
      </w:r>
      <w:r>
        <w:tab/>
        <w:t xml:space="preserve">in the case of a licensee, at the licensee’s address for service given to the Minister under section 60 of the Act; </w:t>
      </w:r>
    </w:p>
    <w:p>
      <w:pPr>
        <w:pStyle w:val="Indenti"/>
        <w:keepNext/>
      </w:pPr>
      <w:r>
        <w:tab/>
        <w:t>(ii)</w:t>
      </w:r>
      <w:r>
        <w:tab/>
        <w:t xml:space="preserve">in any other case, at the address of the person last known to the person transmitting the message, </w:t>
      </w:r>
    </w:p>
    <w:p>
      <w:pPr>
        <w:pStyle w:val="Indenta"/>
      </w:pPr>
      <w:r>
        <w:tab/>
      </w:r>
      <w:r>
        <w:tab/>
        <w:t>being a message that is in a form compatible with the computer system and capable of being recorded by the computer system.</w:t>
      </w:r>
    </w:p>
    <w:p>
      <w:pPr>
        <w:pStyle w:val="Subsection"/>
        <w:keepNext/>
      </w:pPr>
      <w:r>
        <w:tab/>
        <w:t>(3)</w:t>
      </w:r>
      <w:r>
        <w:tab/>
        <w:t>A person who, under subregulation (2), serves a notice on another person (</w:t>
      </w:r>
      <w:r>
        <w:rPr>
          <w:rStyle w:val="CharDefText"/>
        </w:rPr>
        <w:t>person 2</w:t>
      </w:r>
      <w:r>
        <w:t xml:space="preserve">) — </w:t>
      </w:r>
    </w:p>
    <w:p>
      <w:pPr>
        <w:pStyle w:val="Indenta"/>
        <w:keepNext/>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mentioned in subregulation (2)(a)(i) or (ii) or (b)(i) or (ii), as is applicable in the case.</w:t>
      </w:r>
    </w:p>
    <w:p>
      <w:pPr>
        <w:pStyle w:val="Heading2"/>
      </w:pPr>
      <w:bookmarkStart w:id="133" w:name="_Toc98765972"/>
      <w:bookmarkStart w:id="134" w:name="_Toc98766309"/>
      <w:bookmarkStart w:id="135" w:name="_Toc99022285"/>
      <w:bookmarkStart w:id="136" w:name="_Toc97287427"/>
      <w:bookmarkStart w:id="137" w:name="_Toc97287505"/>
      <w:bookmarkStart w:id="138" w:name="_Toc97626146"/>
      <w:r>
        <w:rPr>
          <w:rStyle w:val="CharPartNo"/>
        </w:rPr>
        <w:t>Part 5</w:t>
      </w:r>
      <w:r>
        <w:rPr>
          <w:rStyle w:val="CharDivNo"/>
        </w:rPr>
        <w:t> </w:t>
      </w:r>
      <w:r>
        <w:t>—</w:t>
      </w:r>
      <w:r>
        <w:rPr>
          <w:rStyle w:val="CharDivText"/>
        </w:rPr>
        <w:t> </w:t>
      </w:r>
      <w:r>
        <w:rPr>
          <w:rStyle w:val="CharPartText"/>
        </w:rPr>
        <w:t>Transitional</w:t>
      </w:r>
      <w:bookmarkEnd w:id="133"/>
      <w:bookmarkEnd w:id="134"/>
      <w:bookmarkEnd w:id="135"/>
      <w:bookmarkEnd w:id="136"/>
      <w:bookmarkEnd w:id="137"/>
      <w:bookmarkEnd w:id="138"/>
    </w:p>
    <w:p>
      <w:pPr>
        <w:pStyle w:val="Heading5"/>
      </w:pPr>
      <w:bookmarkStart w:id="139" w:name="_Toc99022286"/>
      <w:bookmarkStart w:id="140" w:name="_Toc97626147"/>
      <w:r>
        <w:rPr>
          <w:rStyle w:val="CharSectno"/>
        </w:rPr>
        <w:t>39</w:t>
      </w:r>
      <w:r>
        <w:t>.</w:t>
      </w:r>
      <w:r>
        <w:tab/>
        <w:t>Election commenced but not completed before commencement of regulations</w:t>
      </w:r>
      <w:bookmarkEnd w:id="139"/>
      <w:bookmarkEnd w:id="140"/>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1" w:name="_Toc98765974"/>
      <w:bookmarkStart w:id="142" w:name="_Toc98766311"/>
      <w:bookmarkStart w:id="143" w:name="_Toc99022287"/>
      <w:bookmarkStart w:id="144" w:name="_Toc97287429"/>
      <w:bookmarkStart w:id="145" w:name="_Toc97287507"/>
      <w:bookmarkStart w:id="146" w:name="_Toc97626148"/>
      <w:r>
        <w:rPr>
          <w:rStyle w:val="CharSchNo"/>
        </w:rPr>
        <w:t>Schedule 1</w:t>
      </w:r>
      <w:r>
        <w:rPr>
          <w:rStyle w:val="CharSDivNo"/>
        </w:rPr>
        <w:t> </w:t>
      </w:r>
      <w:r>
        <w:t>—</w:t>
      </w:r>
      <w:r>
        <w:rPr>
          <w:rStyle w:val="CharSDivText"/>
        </w:rPr>
        <w:t> </w:t>
      </w:r>
      <w:r>
        <w:rPr>
          <w:rStyle w:val="CharSchText"/>
        </w:rPr>
        <w:t>Forms</w:t>
      </w:r>
      <w:bookmarkEnd w:id="141"/>
      <w:bookmarkEnd w:id="142"/>
      <w:bookmarkEnd w:id="143"/>
      <w:bookmarkEnd w:id="144"/>
      <w:bookmarkEnd w:id="145"/>
      <w:bookmarkEnd w:id="146"/>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Pipelines Act 1969</w:t>
      </w:r>
    </w:p>
    <w:p>
      <w:pPr>
        <w:pStyle w:val="yMiscellaneousBody"/>
        <w:jc w:val="center"/>
        <w:rPr>
          <w:i/>
          <w:iCs/>
        </w:rPr>
      </w:pPr>
      <w:r>
        <w:rPr>
          <w:i/>
          <w:iCs/>
        </w:rPr>
        <w:t>Petroleum Pipelines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pPr>
      <w:r>
        <w:t xml:space="preserve">I, </w:t>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 after consultation in accordance with clause 36(1)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ind w:left="567" w:hanging="567"/>
      </w:pPr>
      <w:r>
        <w:t>3.</w:t>
      </w:r>
      <w:r>
        <w:tab/>
        <w:t xml:space="preserve">Under clause 37(6) of Schedule 1 to the Act, a provisional improvement notice ceases to have effect when: </w:t>
      </w:r>
    </w:p>
    <w:p>
      <w:pPr>
        <w:pStyle w:val="yMiscellaneousBody"/>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licensee for the pipeline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keepNext w:val="0"/>
        <w:pageBreakBefore/>
        <w:rPr>
          <w:b/>
          <w:bCs/>
        </w:rPr>
      </w:pPr>
      <w:r>
        <w:rPr>
          <w:b/>
          <w:bCs/>
        </w:rPr>
        <w:t>Form 2</w:t>
      </w:r>
      <w:r>
        <w:rPr>
          <w:b/>
          <w:bCs/>
        </w:rPr>
        <w:tab/>
        <w:t>Notice of removal of plant or sample</w:t>
      </w:r>
    </w:p>
    <w:p>
      <w:pPr>
        <w:pStyle w:val="yMiscellaneousHeading"/>
        <w:keepLines/>
        <w:rPr>
          <w:i/>
          <w:iCs/>
        </w:rPr>
      </w:pPr>
      <w:r>
        <w:rPr>
          <w:i/>
          <w:iCs/>
        </w:rPr>
        <w:t>Petroleum Pipelines Act 1969</w:t>
      </w:r>
    </w:p>
    <w:p>
      <w:pPr>
        <w:pStyle w:val="yMiscellaneousHeading"/>
        <w:keepLines/>
        <w:rPr>
          <w:i/>
          <w:iCs/>
        </w:rPr>
      </w:pPr>
      <w:r>
        <w:rPr>
          <w:i/>
          <w:iCs/>
        </w:rPr>
        <w:t>Petroleum Pipelines (Occupational Safety and Health) Regulations 2010</w:t>
      </w:r>
    </w:p>
    <w:p>
      <w:pPr>
        <w:pStyle w:val="yMiscellaneousHeading"/>
        <w:keepLines/>
        <w:rPr>
          <w:b/>
          <w:bCs/>
        </w:rPr>
      </w:pPr>
      <w:r>
        <w:rPr>
          <w:b/>
          <w:bCs/>
        </w:rPr>
        <w:t xml:space="preserve">NOTICE OF REMOVAL OF PLANT OR SAMPLE </w:t>
      </w:r>
    </w:p>
    <w:p>
      <w:pPr>
        <w:pStyle w:val="yMiscellaneousHeading"/>
        <w:keepLines/>
      </w:pPr>
      <w:r>
        <w:t>(clause 56 of Schedule 1 to the Act)</w:t>
      </w:r>
    </w:p>
    <w:p>
      <w:pPr>
        <w:pStyle w:val="yMiscellaneousBody"/>
        <w:keepLines/>
      </w:pPr>
    </w:p>
    <w:p>
      <w:pPr>
        <w:pStyle w:val="yMiscellaneousBody"/>
        <w:ind w:left="567" w:hanging="567"/>
      </w:pPr>
      <w:r>
        <w:t>To:</w:t>
      </w:r>
      <w:r>
        <w:tab/>
      </w:r>
      <w:r>
        <w:rPr>
          <w:i/>
          <w:iCs/>
        </w:rPr>
        <w:t>(name of licensee for the pipeline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licensee for the pipeline operation, the licensee’s representative must cause the notice to be displayed in a prominent place at the workplace from which the item was removed. </w:t>
      </w:r>
    </w:p>
    <w:p>
      <w:pPr>
        <w:pStyle w:val="yMiscellaneousBody"/>
        <w:ind w:left="567" w:hanging="567"/>
      </w:pPr>
      <w:r>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licensee for the pipeline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t>Form 3</w:t>
      </w:r>
      <w:r>
        <w:rPr>
          <w:b/>
          <w:bCs/>
        </w:rPr>
        <w:tab/>
        <w:t>Do not disturb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licensee for the pipeline operation)</w:t>
      </w:r>
    </w:p>
    <w:p>
      <w:pPr>
        <w:pStyle w:val="yMiscellaneousBody"/>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57(7) of Schedule 1 to the Act, the licensee for a pipeline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licensee’s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8"/>
        </w:numPr>
      </w:pPr>
      <w:r>
        <w:t xml:space="preserve">the licensee for the pipeline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t>Form 4</w:t>
      </w:r>
      <w:r>
        <w:rPr>
          <w:b/>
          <w:bCs/>
        </w:rPr>
        <w:tab/>
        <w:t>Prohibition notice</w:t>
      </w:r>
    </w:p>
    <w:p>
      <w:pPr>
        <w:pStyle w:val="yMiscellaneousHeading"/>
        <w:rPr>
          <w:i/>
          <w:iCs/>
        </w:rPr>
      </w:pPr>
      <w:r>
        <w:rPr>
          <w:i/>
          <w:iCs/>
        </w:rPr>
        <w:t>Petroleum Pipelines Act 1969</w:t>
      </w:r>
    </w:p>
    <w:p>
      <w:pPr>
        <w:pStyle w:val="yMiscellaneousHeading"/>
        <w:rPr>
          <w:i/>
          <w:iCs/>
        </w:rPr>
      </w:pPr>
      <w:r>
        <w:rPr>
          <w:i/>
          <w:iCs/>
        </w:rPr>
        <w:t>Petroleum Pipelines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licensee for the pipeline operation)</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licensee of </w:t>
      </w:r>
      <w:r>
        <w:rPr>
          <w:i/>
          <w:iCs/>
        </w:rPr>
        <w:t>(name of pipeline operation)</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licensee to ensure that the activity specified above is not engaged in.</w:t>
      </w:r>
    </w:p>
    <w:p>
      <w:pPr>
        <w:pStyle w:val="yMiscellaneousBody"/>
      </w:pPr>
      <w:r>
        <w:t>OR</w:t>
      </w:r>
    </w:p>
    <w:p>
      <w:pPr>
        <w:pStyle w:val="yMiscellaneousBody"/>
      </w:pPr>
      <w:r>
        <w:t xml:space="preserve">I THEREFORE DIRECT the licensee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59 of Schedule 1 to the Act, a licensee who fails to ensure that a prohibition notice issued to the licensee is complied with may be liable to a penalty of $27 500.</w:t>
      </w:r>
    </w:p>
    <w:p>
      <w:pPr>
        <w:pStyle w:val="yMiscellaneousBody"/>
        <w:ind w:left="567" w:hanging="567"/>
      </w:pPr>
      <w:r>
        <w:t>2.</w:t>
      </w:r>
      <w:r>
        <w:tab/>
        <w:t>Under clause 58(6) of Schedule 1 to the Act, the representative of the licensee of the pipeline operation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9"/>
        </w:numPr>
      </w:pPr>
      <w:r>
        <w:t xml:space="preserve">the licensee for the pipeline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licensee that the inspector is satisfied that the licensee had taken adequate action to remove the threat to safety or health that is the subject of the notice.</w:t>
      </w:r>
    </w:p>
    <w:p>
      <w:pPr>
        <w:pStyle w:val="yMiscellaneousHeading"/>
        <w:keepNext w:val="0"/>
        <w:pageBreakBefore/>
        <w:rPr>
          <w:b/>
          <w:bCs/>
        </w:rPr>
      </w:pPr>
      <w:r>
        <w:rPr>
          <w:b/>
          <w:bCs/>
        </w:rPr>
        <w:t>Form 5</w:t>
      </w:r>
      <w:r>
        <w:rPr>
          <w:b/>
          <w:bCs/>
        </w:rPr>
        <w:tab/>
        <w:t>Improvement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representative of the licensee for the pipeline operation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20"/>
        </w:numPr>
      </w:pPr>
      <w:r>
        <w:t xml:space="preserve">the licensee of the pipeline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r>
        <w:t>the owner of any workplace, plant, substance or thing to which that decision relates.</w:t>
      </w:r>
    </w:p>
    <w:p>
      <w:pPr>
        <w:pStyle w:val="yScheduleHeading"/>
      </w:pPr>
      <w:bookmarkStart w:id="148" w:name="_Toc98765975"/>
      <w:bookmarkStart w:id="149" w:name="_Toc98766312"/>
      <w:bookmarkStart w:id="150" w:name="_Toc99022288"/>
      <w:bookmarkStart w:id="151" w:name="_Toc97287430"/>
      <w:bookmarkStart w:id="152" w:name="_Toc97287508"/>
      <w:bookmarkStart w:id="153" w:name="_Toc97626149"/>
      <w:r>
        <w:rPr>
          <w:rStyle w:val="CharSchNo"/>
        </w:rPr>
        <w:t>Schedule 2</w:t>
      </w:r>
      <w:r>
        <w:t> — </w:t>
      </w:r>
      <w:r>
        <w:rPr>
          <w:rStyle w:val="CharSchText"/>
        </w:rPr>
        <w:t>Hazardous substances</w:t>
      </w:r>
      <w:bookmarkEnd w:id="148"/>
      <w:bookmarkEnd w:id="149"/>
      <w:bookmarkEnd w:id="150"/>
      <w:bookmarkEnd w:id="151"/>
      <w:bookmarkEnd w:id="152"/>
      <w:bookmarkEnd w:id="153"/>
    </w:p>
    <w:p>
      <w:pPr>
        <w:pStyle w:val="yHeading3"/>
      </w:pPr>
      <w:bookmarkStart w:id="154" w:name="_Toc98765976"/>
      <w:bookmarkStart w:id="155" w:name="_Toc98766313"/>
      <w:bookmarkStart w:id="156" w:name="_Toc99022289"/>
      <w:bookmarkStart w:id="157" w:name="_Toc97287431"/>
      <w:bookmarkStart w:id="158" w:name="_Toc97287509"/>
      <w:bookmarkStart w:id="159" w:name="_Toc97626150"/>
      <w:r>
        <w:rPr>
          <w:rStyle w:val="CharSDivNo"/>
        </w:rPr>
        <w:t>Division 1</w:t>
      </w:r>
      <w:r>
        <w:t> — </w:t>
      </w:r>
      <w:r>
        <w:rPr>
          <w:rStyle w:val="CharSDivText"/>
        </w:rPr>
        <w:t>Preliminary</w:t>
      </w:r>
      <w:bookmarkEnd w:id="154"/>
      <w:bookmarkEnd w:id="155"/>
      <w:bookmarkEnd w:id="156"/>
      <w:bookmarkEnd w:id="157"/>
      <w:bookmarkEnd w:id="158"/>
      <w:bookmarkEnd w:id="159"/>
    </w:p>
    <w:p>
      <w:pPr>
        <w:pStyle w:val="yShoulderClause"/>
      </w:pPr>
      <w:r>
        <w:t>[r. 31, 32]</w:t>
      </w:r>
    </w:p>
    <w:p>
      <w:pPr>
        <w:pStyle w:val="yHeading5"/>
      </w:pPr>
      <w:bookmarkStart w:id="160" w:name="_Toc99022290"/>
      <w:bookmarkStart w:id="161" w:name="_Toc97626151"/>
      <w:r>
        <w:tab/>
        <w:t>Terms used</w:t>
      </w:r>
      <w:bookmarkEnd w:id="160"/>
      <w:bookmarkEnd w:id="161"/>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Defpara"/>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Heading3"/>
        <w:spacing w:after="240"/>
      </w:pPr>
      <w:bookmarkStart w:id="162" w:name="_Toc98765978"/>
      <w:bookmarkStart w:id="163" w:name="_Toc98766315"/>
      <w:bookmarkStart w:id="164" w:name="_Toc99022291"/>
      <w:bookmarkStart w:id="165" w:name="_Toc97287433"/>
      <w:bookmarkStart w:id="166" w:name="_Toc97287511"/>
      <w:bookmarkStart w:id="167" w:name="_Toc97626152"/>
      <w:r>
        <w:rPr>
          <w:rStyle w:val="CharSDivNo"/>
        </w:rPr>
        <w:t>Division 2</w:t>
      </w:r>
      <w:r>
        <w:t> — </w:t>
      </w:r>
      <w:r>
        <w:rPr>
          <w:rStyle w:val="CharSDivText"/>
        </w:rPr>
        <w:t>Permitted circumstances for using certain hazardous substances</w:t>
      </w:r>
      <w:bookmarkEnd w:id="162"/>
      <w:bookmarkEnd w:id="163"/>
      <w:bookmarkEnd w:id="164"/>
      <w:bookmarkEnd w:id="165"/>
      <w:bookmarkEnd w:id="166"/>
      <w:bookmarkEnd w:id="167"/>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rPr>
                <w:b/>
                <w:bCs/>
              </w:rPr>
            </w:pPr>
            <w:r>
              <w:rPr>
                <w:b/>
                <w:bCs/>
              </w:rPr>
              <w:t>Permitted circumstance</w:t>
            </w:r>
          </w:p>
        </w:tc>
      </w:tr>
      <w:tr>
        <w:tc>
          <w:tcPr>
            <w:tcW w:w="709" w:type="dxa"/>
            <w:tcBorders>
              <w:top w:val="single" w:sz="4" w:space="0" w:color="auto"/>
            </w:tcBorders>
          </w:tcPr>
          <w:p>
            <w:pPr>
              <w:pStyle w:val="yTableNAm"/>
            </w:pPr>
            <w:r>
              <w:t>1.</w:t>
            </w:r>
          </w:p>
        </w:tc>
        <w:tc>
          <w:tcPr>
            <w:tcW w:w="2552"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552"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168" w:name="_Toc98765979"/>
      <w:bookmarkStart w:id="169" w:name="_Toc98766316"/>
      <w:bookmarkStart w:id="170" w:name="_Toc99022292"/>
      <w:bookmarkStart w:id="171" w:name="_Toc97287434"/>
      <w:bookmarkStart w:id="172" w:name="_Toc97287512"/>
      <w:bookmarkStart w:id="173" w:name="_Toc97626153"/>
      <w:r>
        <w:rPr>
          <w:rStyle w:val="CharSDivNo"/>
        </w:rPr>
        <w:t>Division 3</w:t>
      </w:r>
      <w:r>
        <w:t> — </w:t>
      </w:r>
      <w:r>
        <w:rPr>
          <w:rStyle w:val="CharSDivText"/>
        </w:rPr>
        <w:t>Permitted circumstances for using certain hazardous substances with carcinogenic properties</w:t>
      </w:r>
      <w:bookmarkEnd w:id="168"/>
      <w:bookmarkEnd w:id="169"/>
      <w:bookmarkEnd w:id="170"/>
      <w:bookmarkEnd w:id="171"/>
      <w:bookmarkEnd w:id="172"/>
      <w:bookmarkEnd w:id="173"/>
    </w:p>
    <w:tbl>
      <w:tblPr>
        <w:tblW w:w="0" w:type="auto"/>
        <w:tblInd w:w="675" w:type="dxa"/>
        <w:tblLayout w:type="fixed"/>
        <w:tblLook w:val="0000" w:firstRow="0" w:lastRow="0" w:firstColumn="0" w:lastColumn="0" w:noHBand="0" w:noVBand="0"/>
      </w:tblPr>
      <w:tblGrid>
        <w:gridCol w:w="709"/>
        <w:gridCol w:w="2552"/>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552" w:type="dxa"/>
          </w:tcPr>
          <w:p>
            <w:pPr>
              <w:pStyle w:val="yTableNAm"/>
            </w:pPr>
            <w:r>
              <w:t>2</w:t>
            </w:r>
            <w:r>
              <w:noBreakHyphen/>
              <w:t>Acetylaminofluorene [53</w:t>
            </w:r>
            <w:r>
              <w:noBreakHyphen/>
              <w:t>96</w:t>
            </w:r>
            <w:r>
              <w:noBreakHyphen/>
              <w:t>3]</w:t>
            </w:r>
          </w:p>
        </w:tc>
        <w:tc>
          <w:tcPr>
            <w:tcW w:w="3260" w:type="dxa"/>
          </w:tcPr>
          <w:p>
            <w:pPr>
              <w:pStyle w:val="yTableNAm"/>
            </w:pPr>
            <w:r>
              <w:t>Bona fide research.</w:t>
            </w:r>
          </w:p>
        </w:tc>
      </w:tr>
      <w:tr>
        <w:trPr>
          <w:cantSplit/>
        </w:trPr>
        <w:tc>
          <w:tcPr>
            <w:tcW w:w="709" w:type="dxa"/>
          </w:tcPr>
          <w:p>
            <w:pPr>
              <w:pStyle w:val="yTableNAm"/>
            </w:pPr>
            <w:r>
              <w:t>2.</w:t>
            </w:r>
          </w:p>
        </w:tc>
        <w:tc>
          <w:tcPr>
            <w:tcW w:w="2552" w:type="dxa"/>
          </w:tcPr>
          <w:p>
            <w:pPr>
              <w:pStyle w:val="yTableNAm"/>
            </w:pPr>
            <w:r>
              <w:t>Aflatoxins</w:t>
            </w:r>
          </w:p>
        </w:tc>
        <w:tc>
          <w:tcPr>
            <w:tcW w:w="3260" w:type="dxa"/>
          </w:tcPr>
          <w:p>
            <w:pPr>
              <w:pStyle w:val="yTableNAm"/>
            </w:pPr>
            <w:r>
              <w:t>Bona fide research.</w:t>
            </w:r>
          </w:p>
        </w:tc>
      </w:tr>
      <w:tr>
        <w:trPr>
          <w:cantSplit/>
        </w:trPr>
        <w:tc>
          <w:tcPr>
            <w:tcW w:w="709" w:type="dxa"/>
          </w:tcPr>
          <w:p>
            <w:pPr>
              <w:pStyle w:val="yTableNAm"/>
            </w:pPr>
            <w:r>
              <w:t>3.</w:t>
            </w:r>
          </w:p>
        </w:tc>
        <w:tc>
          <w:tcPr>
            <w:tcW w:w="2552" w:type="dxa"/>
          </w:tcPr>
          <w:p>
            <w:pPr>
              <w:pStyle w:val="yTableNAm"/>
            </w:pPr>
            <w:r>
              <w:t>4</w:t>
            </w:r>
            <w:r>
              <w:noBreakHyphen/>
              <w:t>Aminodiphenyl [92</w:t>
            </w:r>
            <w:r>
              <w:noBreakHyphen/>
              <w:t>67</w:t>
            </w:r>
            <w:r>
              <w:noBreakHyphen/>
              <w:t>1]</w:t>
            </w:r>
          </w:p>
        </w:tc>
        <w:tc>
          <w:tcPr>
            <w:tcW w:w="3260" w:type="dxa"/>
          </w:tcPr>
          <w:p>
            <w:pPr>
              <w:pStyle w:val="yTableNAm"/>
            </w:pPr>
            <w:r>
              <w:t>Bona fide research.</w:t>
            </w:r>
          </w:p>
        </w:tc>
      </w:tr>
      <w:tr>
        <w:trPr>
          <w:cantSplit/>
        </w:trPr>
        <w:tc>
          <w:tcPr>
            <w:tcW w:w="709" w:type="dxa"/>
          </w:tcPr>
          <w:p>
            <w:pPr>
              <w:pStyle w:val="yTableNAm"/>
            </w:pPr>
            <w:r>
              <w:t>4.</w:t>
            </w:r>
          </w:p>
        </w:tc>
        <w:tc>
          <w:tcPr>
            <w:tcW w:w="2552"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552"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552"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552"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552"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552"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552"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552"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552"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552" w:type="dxa"/>
          </w:tcPr>
          <w:p>
            <w:pPr>
              <w:pStyle w:val="yTableNAm"/>
            </w:pPr>
            <w:r>
              <w:t>Anthophyllite asbestos [77536</w:t>
            </w:r>
            <w:r>
              <w:noBreakHyphen/>
              <w:t>67</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552"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552" w:type="dxa"/>
          </w:tcPr>
          <w:p>
            <w:pPr>
              <w:pStyle w:val="yTableNAm"/>
            </w:pPr>
            <w:r>
              <w:t>Tremolite asbestos [77536</w:t>
            </w:r>
            <w:r>
              <w:noBreakHyphen/>
              <w:t>68</w:t>
            </w:r>
            <w:r>
              <w:noBreakHyphen/>
              <w:t>6]</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pStyle w:val="CentredBaseLine"/>
        <w:jc w:val="center"/>
      </w:pPr>
      <w:ins w:id="174" w:author="Master Repository Process" w:date="2022-03-30T12:3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75" w:name="_Toc98765980"/>
      <w:bookmarkStart w:id="176" w:name="_Toc98766317"/>
      <w:bookmarkStart w:id="177" w:name="_Toc99022293"/>
      <w:bookmarkStart w:id="178" w:name="_Toc97287435"/>
      <w:bookmarkStart w:id="179" w:name="_Toc97287513"/>
      <w:bookmarkStart w:id="180" w:name="_Toc97626154"/>
      <w:r>
        <w:t>Notes</w:t>
      </w:r>
      <w:bookmarkEnd w:id="175"/>
      <w:bookmarkEnd w:id="176"/>
      <w:bookmarkEnd w:id="177"/>
      <w:bookmarkEnd w:id="178"/>
      <w:bookmarkEnd w:id="179"/>
      <w:bookmarkEnd w:id="180"/>
    </w:p>
    <w:p>
      <w:pPr>
        <w:pStyle w:val="nStatement"/>
      </w:pPr>
      <w:r>
        <w:t xml:space="preserve">This is a compilation of the </w:t>
      </w:r>
      <w:r>
        <w:rPr>
          <w:i/>
          <w:noProof/>
        </w:rPr>
        <w:t>Petroleum Pipelines (Occupational Safety and Health) Regulations 2010</w:t>
      </w:r>
      <w:r>
        <w:t xml:space="preserve"> and includes amendments made by other written laws. For provisions that have come into operation see the compilation table.</w:t>
      </w:r>
      <w:del w:id="181" w:author="Master Repository Process" w:date="2022-03-30T12:35:00Z">
        <w:r>
          <w:delText xml:space="preserve"> For provisions that have not yet come into operation see the uncommenced provisions table.</w:delText>
        </w:r>
      </w:del>
    </w:p>
    <w:p>
      <w:pPr>
        <w:pStyle w:val="nHeading3"/>
      </w:pPr>
      <w:bookmarkStart w:id="182" w:name="_Toc99022294"/>
      <w:bookmarkStart w:id="183" w:name="_Toc97626155"/>
      <w:r>
        <w:t>Compilation table</w:t>
      </w:r>
      <w:bookmarkEnd w:id="182"/>
      <w:bookmarkEnd w:id="18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Pipelines (Occupational Safety and Health) Regulations 2010</w:t>
            </w:r>
          </w:p>
        </w:tc>
        <w:tc>
          <w:tcPr>
            <w:tcW w:w="1276" w:type="dxa"/>
            <w:tcBorders>
              <w:bottom w:val="nil"/>
            </w:tcBorders>
          </w:tcPr>
          <w:p>
            <w:pPr>
              <w:pStyle w:val="nTable"/>
              <w:spacing w:after="40"/>
            </w:pPr>
            <w:r>
              <w:t>14 May 2010 p. 1959-2006</w:t>
            </w:r>
          </w:p>
        </w:tc>
        <w:tc>
          <w:tcPr>
            <w:tcW w:w="2693" w:type="dxa"/>
            <w:tcBorders>
              <w:bottom w:val="nil"/>
            </w:tcBorders>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r>
        <w:tc>
          <w:tcPr>
            <w:tcW w:w="3118" w:type="dxa"/>
            <w:tcBorders>
              <w:top w:val="nil"/>
              <w:bottom w:val="nil"/>
            </w:tcBorders>
          </w:tcPr>
          <w:p>
            <w:pPr>
              <w:pStyle w:val="nTable"/>
              <w:spacing w:after="40"/>
              <w:rPr>
                <w:i/>
              </w:rPr>
            </w:pPr>
            <w:r>
              <w:rPr>
                <w:i/>
              </w:rPr>
              <w:t>Mines and Petroleum Regulations Amendment (Public Health) Regulations 2016</w:t>
            </w:r>
            <w:r>
              <w:t xml:space="preserve"> Pt. 8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bl>
    <w:p>
      <w:pPr>
        <w:pStyle w:val="nHeading3"/>
        <w:rPr>
          <w:del w:id="184" w:author="Master Repository Process" w:date="2022-03-30T12:35:00Z"/>
        </w:rPr>
      </w:pPr>
      <w:bookmarkStart w:id="185" w:name="_Toc97626156"/>
      <w:del w:id="186" w:author="Master Repository Process" w:date="2022-03-30T12:35:00Z">
        <w:r>
          <w:delText>Uncommenced provisions table</w:delText>
        </w:r>
        <w:bookmarkEnd w:id="185"/>
      </w:del>
    </w:p>
    <w:p>
      <w:pPr>
        <w:pStyle w:val="nStatement"/>
        <w:keepNext/>
        <w:spacing w:after="240"/>
        <w:rPr>
          <w:del w:id="187" w:author="Master Repository Process" w:date="2022-03-30T12:35:00Z"/>
        </w:rPr>
      </w:pPr>
      <w:del w:id="188" w:author="Master Repository Process" w:date="2022-03-30T12:3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189" w:author="Master Repository Process" w:date="2022-03-30T12:35:00Z"/>
        </w:trPr>
        <w:tc>
          <w:tcPr>
            <w:tcW w:w="3118" w:type="dxa"/>
          </w:tcPr>
          <w:p>
            <w:pPr>
              <w:pStyle w:val="nTable"/>
              <w:spacing w:after="40"/>
              <w:rPr>
                <w:del w:id="190" w:author="Master Repository Process" w:date="2022-03-30T12:35:00Z"/>
                <w:b/>
              </w:rPr>
            </w:pPr>
            <w:del w:id="191" w:author="Master Repository Process" w:date="2022-03-30T12:35:00Z">
              <w:r>
                <w:rPr>
                  <w:b/>
                </w:rPr>
                <w:delText>Citation</w:delText>
              </w:r>
            </w:del>
          </w:p>
        </w:tc>
        <w:tc>
          <w:tcPr>
            <w:tcW w:w="1276" w:type="dxa"/>
            <w:gridSpan w:val="2"/>
          </w:tcPr>
          <w:p>
            <w:pPr>
              <w:pStyle w:val="nTable"/>
              <w:spacing w:after="40"/>
              <w:rPr>
                <w:del w:id="192" w:author="Master Repository Process" w:date="2022-03-30T12:35:00Z"/>
                <w:b/>
              </w:rPr>
            </w:pPr>
            <w:del w:id="193" w:author="Master Repository Process" w:date="2022-03-30T12:35:00Z">
              <w:r>
                <w:rPr>
                  <w:b/>
                </w:rPr>
                <w:delText>Published</w:delText>
              </w:r>
            </w:del>
          </w:p>
        </w:tc>
        <w:tc>
          <w:tcPr>
            <w:tcW w:w="2693" w:type="dxa"/>
          </w:tcPr>
          <w:p>
            <w:pPr>
              <w:pStyle w:val="nTable"/>
              <w:spacing w:after="40"/>
              <w:rPr>
                <w:del w:id="194" w:author="Master Repository Process" w:date="2022-03-30T12:35:00Z"/>
                <w:b/>
              </w:rPr>
            </w:pPr>
            <w:del w:id="195" w:author="Master Repository Process" w:date="2022-03-30T12:35:00Z">
              <w:r>
                <w:rPr>
                  <w:b/>
                </w:rPr>
                <w:delText>Commencement</w:delText>
              </w:r>
            </w:del>
          </w:p>
        </w:tc>
      </w:tr>
      <w:tr>
        <w:tc>
          <w:tcPr>
            <w:tcW w:w="4394" w:type="dxa"/>
            <w:gridSpan w:val="2"/>
            <w:cellDel w:id="196" w:author="Master Repository Process" w:date="2022-03-30T12:35:00Z"/>
          </w:tcPr>
          <w:p>
            <w:pPr>
              <w:pStyle w:val="nTable"/>
              <w:spacing w:after="40"/>
              <w:rPr>
                <w:i/>
              </w:rPr>
            </w:pPr>
            <w:del w:id="197" w:author="Master Repository Process" w:date="2022-03-30T12:35:00Z">
              <w:r>
                <w:rPr>
                  <w:i/>
                </w:rPr>
                <w:delText>Work Health and Safety Act 2020</w:delText>
              </w:r>
              <w:r>
                <w:delText xml:space="preserve"> s. 347(2) assented to 10 Nov 2020</w:delText>
              </w:r>
            </w:del>
          </w:p>
        </w:tc>
        <w:tc>
          <w:tcPr>
            <w:tcW w:w="7087" w:type="dxa"/>
            <w:gridSpan w:val="2"/>
            <w:tcBorders>
              <w:top w:val="nil"/>
              <w:bottom w:val="single" w:sz="8" w:space="0" w:color="auto"/>
            </w:tcBorders>
          </w:tcPr>
          <w:p>
            <w:pPr>
              <w:pStyle w:val="nTable"/>
              <w:spacing w:after="40"/>
              <w:rPr>
                <w:b/>
              </w:rPr>
            </w:pPr>
            <w:ins w:id="198" w:author="Master Repository Process" w:date="2022-03-30T12:35:00Z">
              <w:r>
                <w:rPr>
                  <w:b/>
                  <w:color w:val="FF0000"/>
                </w:rPr>
                <w:t xml:space="preserve">These regulations were repealed by the </w:t>
              </w:r>
              <w:r>
                <w:rPr>
                  <w:b/>
                  <w:i/>
                  <w:color w:val="FF0000"/>
                </w:rPr>
                <w:t>Work Health and Safety Act 2020</w:t>
              </w:r>
              <w:r>
                <w:rPr>
                  <w:b/>
                  <w:color w:val="FF0000"/>
                </w:rPr>
                <w:t xml:space="preserve"> s. 347(2) (No. 36 of 2020) on </w:t>
              </w:r>
            </w:ins>
            <w:r>
              <w:rPr>
                <w:b/>
                <w:color w:val="FF0000"/>
              </w:rPr>
              <w:t>31 Mar 2022 (see</w:t>
            </w:r>
            <w:del w:id="199" w:author="Master Repository Process" w:date="2022-03-30T12:35:00Z">
              <w:r>
                <w:rPr>
                  <w:snapToGrid w:val="0"/>
                </w:rPr>
                <w:delText> </w:delText>
              </w:r>
            </w:del>
            <w:ins w:id="200" w:author="Master Repository Process" w:date="2022-03-30T12:35:00Z">
              <w:r>
                <w:rPr>
                  <w:b/>
                  <w:color w:val="FF0000"/>
                </w:rPr>
                <w:t xml:space="preserve"> </w:t>
              </w:r>
            </w:ins>
            <w:r>
              <w:rPr>
                <w:b/>
                <w:color w:val="FF0000"/>
              </w:rPr>
              <w:t>s. 2(1)(c) and SL 2022/18 cl. 2)</w:t>
            </w:r>
          </w:p>
        </w:tc>
      </w:tr>
    </w:tbl>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cl. 1</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Hazardous substances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2" w:name="Coversheet"/>
    <w:bookmarkEnd w:id="2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7" w:name="Schedule"/>
    <w:bookmarkEnd w:id="1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143456"/>
    <w:docVar w:name="WAFER_20150709161214" w:val="ResetPageSize,UpdateArrangement,UpdateNTable"/>
    <w:docVar w:name="WAFER_20150709161214_GUID" w:val="bf29c2d6-835e-471f-a966-b7dcc3956c9b"/>
    <w:docVar w:name="WAFER_20151109113949" w:val="UpdateStyles,UsedStyles"/>
    <w:docVar w:name="WAFER_20151109113949_GUID" w:val="278a580d-4a8d-4f93-90ed-35768160c9fb"/>
    <w:docVar w:name="WAFER_20170111155734" w:val="RemoveTocBookmarks,RemoveUnusedBookmarks,RemoveLanguageTags,UsedStyles,ResetPageSize"/>
    <w:docVar w:name="WAFER_20170111155734_GUID" w:val="c04959e0-3e54-4a7d-80ac-edef2471faf2"/>
    <w:docVar w:name="WAFER_20201110100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0109_GUID" w:val="226dbc1e-cdb5-40a6-a16d-1bdbe076133a"/>
    <w:docVar w:name="WAFER_20220304114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4813_GUID" w:val="a551bfaa-f05f-4701-8789-814cf378a548"/>
    <w:docVar w:name="WAFER_202203211434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143456_GUID" w:val="b72a2dba-628e-4d06-bd99-652915029d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2678">
      <w:bodyDiv w:val="1"/>
      <w:marLeft w:val="0"/>
      <w:marRight w:val="0"/>
      <w:marTop w:val="0"/>
      <w:marBottom w:val="0"/>
      <w:divBdr>
        <w:top w:val="none" w:sz="0" w:space="0" w:color="auto"/>
        <w:left w:val="none" w:sz="0" w:space="0" w:color="auto"/>
        <w:bottom w:val="none" w:sz="0" w:space="0" w:color="auto"/>
        <w:right w:val="none" w:sz="0" w:space="0" w:color="auto"/>
      </w:divBdr>
    </w:div>
    <w:div w:id="11438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7937</Words>
  <Characters>38654</Characters>
  <Application>Microsoft Office Word</Application>
  <DocSecurity>0</DocSecurity>
  <Lines>1171</Lines>
  <Paragraphs>656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(Occupational Safety and Health) Regulations 2010 00-d0-01 - 00-e0-00</dc:title>
  <dc:subject/>
  <dc:creator/>
  <cp:keywords/>
  <dc:description/>
  <cp:lastModifiedBy>Master Repository Process</cp:lastModifiedBy>
  <cp:revision>2</cp:revision>
  <cp:lastPrinted>2020-11-10T03:23:00Z</cp:lastPrinted>
  <dcterms:created xsi:type="dcterms:W3CDTF">2022-03-30T04:35:00Z</dcterms:created>
  <dcterms:modified xsi:type="dcterms:W3CDTF">2022-03-30T04:35:00Z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1959-2006</vt:lpwstr>
  </property>
  <property fmtid="{D5CDD505-2E9C-101B-9397-08002B2CF9AE}" pid="3" name="DocumentType">
    <vt:lpwstr>Reg</vt:lpwstr>
  </property>
  <property fmtid="{D5CDD505-2E9C-101B-9397-08002B2CF9AE}" pid="4" name="OwlsUID">
    <vt:i4>39453</vt:i4>
  </property>
  <property fmtid="{D5CDD505-2E9C-101B-9397-08002B2CF9AE}" pid="5" name="Status">
    <vt:lpwstr>NIF</vt:lpwstr>
  </property>
  <property fmtid="{D5CDD505-2E9C-101B-9397-08002B2CF9AE}" pid="6" name="CommencementDate">
    <vt:lpwstr>20220331</vt:lpwstr>
  </property>
  <property fmtid="{D5CDD505-2E9C-101B-9397-08002B2CF9AE}" pid="7" name="FromSuffix">
    <vt:lpwstr>00-d0-01</vt:lpwstr>
  </property>
  <property fmtid="{D5CDD505-2E9C-101B-9397-08002B2CF9AE}" pid="8" name="FromAsAtDate">
    <vt:lpwstr>10 Nov 2020</vt:lpwstr>
  </property>
  <property fmtid="{D5CDD505-2E9C-101B-9397-08002B2CF9AE}" pid="9" name="ToSuffix">
    <vt:lpwstr>00-e0-00</vt:lpwstr>
  </property>
  <property fmtid="{D5CDD505-2E9C-101B-9397-08002B2CF9AE}" pid="10" name="ToAsAtDate">
    <vt:lpwstr>31 Mar 2022</vt:lpwstr>
  </property>
</Properties>
</file>