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Code Act Compilation Act 1913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Dec 2021</w:t>
      </w:r>
      <w:r>
        <w:fldChar w:fldCharType="end"/>
      </w:r>
      <w:r>
        <w:t xml:space="preserve">, </w:t>
      </w:r>
      <w:r>
        <w:fldChar w:fldCharType="begin"/>
      </w:r>
      <w:r>
        <w:instrText xml:space="preserve"> DocProperty FromSuffix </w:instrText>
      </w:r>
      <w:r>
        <w:fldChar w:fldCharType="separate"/>
      </w:r>
      <w:r>
        <w:t>19-r0-00</w:t>
      </w:r>
      <w:r>
        <w:fldChar w:fldCharType="end"/>
      </w:r>
      <w:r>
        <w:t>] and [</w:t>
      </w:r>
      <w:r>
        <w:fldChar w:fldCharType="begin"/>
      </w:r>
      <w:r>
        <w:instrText xml:space="preserve"> DocProperty ToAsAtDate</w:instrText>
      </w:r>
      <w:r>
        <w:fldChar w:fldCharType="separate"/>
      </w:r>
      <w:r>
        <w:t>18 May 2022</w:t>
      </w:r>
      <w:r>
        <w:fldChar w:fldCharType="end"/>
      </w:r>
      <w:r>
        <w:t xml:space="preserve">, </w:t>
      </w:r>
      <w:r>
        <w:fldChar w:fldCharType="begin"/>
      </w:r>
      <w:r>
        <w:instrText xml:space="preserve"> DocProperty ToSuffix</w:instrText>
      </w:r>
      <w:r>
        <w:fldChar w:fldCharType="separate"/>
      </w:r>
      <w:r>
        <w:t>19-s0-00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rFonts w:ascii="Times New Roman" w:hAnsi="Times New Roman"/>
          <w:b/>
          <w:snapToGrid w:val="0"/>
        </w:rPr>
        <w:t>Preamble</w:t>
      </w:r>
      <w:r>
        <w:rPr>
          <w:b/>
          <w:snapToGrid w:val="0"/>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Acts repealed</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Savings for things done under repealed Acts</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1"/>
          <w:headerReference w:type="default" r:id="rId22"/>
          <w:pgSz w:w="11907" w:h="16840" w:code="9"/>
          <w:pgMar w:top="2381" w:right="2409" w:bottom="3543" w:left="2409" w:header="720" w:footer="3380" w:gutter="0"/>
          <w:cols w:space="720"/>
          <w:noEndnote/>
          <w:docGrid w:linePitch="326"/>
        </w:sectPr>
      </w:pPr>
    </w:p>
    <w:p>
      <w:pPr>
        <w:pStyle w:val="MiscellaneousHeading"/>
        <w:pageBreakBefore/>
        <w:spacing w:before="0"/>
      </w:pPr>
      <w:r>
        <w:rPr>
          <w:rStyle w:val="CharPar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3"/>
          <w:headerReference w:type="default" r:id="rId24"/>
          <w:pgSz w:w="11907" w:h="16840" w:code="9"/>
          <w:pgMar w:top="2381" w:right="2409" w:bottom="3543" w:left="2409" w:header="720" w:footer="3380" w:gutter="0"/>
          <w:cols w:space="720"/>
          <w:noEndnote/>
          <w:docGrid w:linePitch="326"/>
        </w:sectPr>
      </w:pPr>
    </w:p>
    <w:p>
      <w:pPr>
        <w:pStyle w:val="MiscellaneousHeading"/>
        <w:pageBreakBefore/>
        <w:spacing w:before="0" w:after="600"/>
        <w:rPr>
          <w:b/>
        </w:rPr>
      </w:pPr>
      <w:r>
        <w:rPr>
          <w:rStyle w:val="CharPartNo"/>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rStyle w:val="CharSectno"/>
          <w:b/>
        </w:rPr>
        <w:t>1</w:t>
      </w:r>
      <w:r>
        <w:rPr>
          <w:b/>
          <w:snapToGrid w:val="0"/>
        </w:rPr>
        <w:t>.</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bCs/>
        </w:rPr>
        <w:t>2</w:t>
      </w:r>
      <w:r>
        <w:rPr>
          <w:b/>
          <w:snapToGrid w:val="0"/>
        </w:rPr>
        <w:t>.</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t xml:space="preserve">the </w:t>
      </w:r>
      <w:r>
        <w:rPr>
          <w:rStyle w:val="CharDefText"/>
        </w:rPr>
        <w:t>Code</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rStyle w:val="CharSectno"/>
          <w:b/>
          <w:bCs/>
        </w:rPr>
        <w:t>3</w:t>
      </w:r>
      <w:r>
        <w:rPr>
          <w:b/>
          <w:snapToGrid w:val="0"/>
        </w:rPr>
        <w:t>.</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 xml:space="preserve">law, or other instrument, public or private, the term </w:t>
      </w:r>
      <w:r>
        <w:rPr>
          <w:b/>
          <w:i/>
          <w:snapToGrid w:val="0"/>
        </w:rPr>
        <w:t>felony</w:t>
      </w:r>
      <w:r>
        <w:rPr>
          <w:snapToGrid w:val="0"/>
        </w:rPr>
        <w:t xml:space="preserve">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w:t>
      </w:r>
      <w:r>
        <w:rPr>
          <w:b/>
          <w:i/>
          <w:snapToGrid w:val="0"/>
        </w:rPr>
        <w:t>murder</w:t>
      </w:r>
      <w:r>
        <w:rPr>
          <w:snapToGrid w:val="0"/>
        </w:rPr>
        <w:t xml:space="preserve">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 xml:space="preserve">law, or other instrument, public or private, the term </w:t>
      </w:r>
      <w:r>
        <w:rPr>
          <w:b/>
          <w:i/>
          <w:snapToGrid w:val="0"/>
        </w:rPr>
        <w:t>larceny</w:t>
      </w:r>
      <w:r>
        <w:rPr>
          <w:snapToGrid w:val="0"/>
        </w:rPr>
        <w:t xml:space="preserve">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No. 14 of 1996 s. 4; No. 57 of 1997 s. 45; No. 29 of 2008 s. 27.]</w:t>
      </w:r>
    </w:p>
    <w:p>
      <w:pPr>
        <w:pStyle w:val="Enactment"/>
        <w:keepNext/>
        <w:tabs>
          <w:tab w:val="left" w:pos="879"/>
        </w:tabs>
        <w:spacing w:before="220"/>
        <w:ind w:left="879" w:hanging="879"/>
        <w:rPr>
          <w:b/>
          <w:snapToGrid w:val="0"/>
        </w:rPr>
      </w:pPr>
      <w:r>
        <w:rPr>
          <w:rStyle w:val="CharSectno"/>
          <w:b/>
          <w:bCs/>
        </w:rPr>
        <w:t>4</w:t>
      </w:r>
      <w:r>
        <w:rPr>
          <w:b/>
          <w:snapToGrid w:val="0"/>
        </w:rPr>
        <w:t>.</w:t>
      </w:r>
      <w:r>
        <w:rPr>
          <w:b/>
          <w:snapToGrid w:val="0"/>
        </w:rPr>
        <w:tab/>
        <w:t>Offences are only those in WA’s statute law with some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No. 4 of 2004 s. 58.]</w:t>
      </w:r>
    </w:p>
    <w:p>
      <w:pPr>
        <w:pStyle w:val="Enactment"/>
        <w:keepNext/>
        <w:tabs>
          <w:tab w:val="left" w:pos="879"/>
        </w:tabs>
        <w:spacing w:before="220"/>
        <w:ind w:left="879" w:hanging="879"/>
        <w:rPr>
          <w:b/>
          <w:snapToGrid w:val="0"/>
        </w:rPr>
      </w:pPr>
      <w:r>
        <w:rPr>
          <w:rStyle w:val="CharSectno"/>
          <w:b/>
          <w:bCs/>
        </w:rPr>
        <w:t>5</w:t>
      </w:r>
      <w:r>
        <w:rPr>
          <w:b/>
          <w:snapToGrid w:val="0"/>
        </w:rPr>
        <w:t>.</w:t>
      </w:r>
      <w:r>
        <w:rPr>
          <w:b/>
          <w:snapToGrid w:val="0"/>
        </w:rPr>
        <w:tab/>
        <w:t>No civil action for lawful acts;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pPr>
      <w:r>
        <w:t>[</w:t>
      </w:r>
      <w:r>
        <w:rPr>
          <w:b/>
        </w:rPr>
        <w:t>6.</w:t>
      </w:r>
      <w:r>
        <w:tab/>
        <w:t>Deleted: No. 78 of 1995 s. 22.]</w:t>
      </w:r>
    </w:p>
    <w:p>
      <w:pPr>
        <w:pStyle w:val="Enactment"/>
        <w:keepNext/>
        <w:tabs>
          <w:tab w:val="left" w:pos="879"/>
        </w:tabs>
        <w:spacing w:before="220"/>
        <w:ind w:left="879" w:hanging="879"/>
        <w:rPr>
          <w:b/>
          <w:snapToGrid w:val="0"/>
        </w:rPr>
      </w:pPr>
      <w:r>
        <w:rPr>
          <w:rStyle w:val="CharSectno"/>
          <w:b/>
          <w:bCs/>
        </w:rPr>
        <w:t>7</w:t>
      </w:r>
      <w:r>
        <w:rPr>
          <w:b/>
          <w:snapToGrid w:val="0"/>
        </w:rPr>
        <w:t>.</w:t>
      </w:r>
      <w:r>
        <w:rPr>
          <w:b/>
          <w:snapToGrid w:val="0"/>
        </w:rPr>
        <w:tab/>
        <w:t>Contempt of court powers not affected</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pPr>
      <w:r>
        <w:t>[</w:t>
      </w:r>
      <w:r>
        <w:rPr>
          <w:b/>
        </w:rPr>
        <w:t>8.</w:t>
      </w:r>
      <w:r>
        <w:tab/>
        <w:t>Deleted: No. 13 of 1984 s. 9.]</w:t>
      </w:r>
    </w:p>
    <w:p>
      <w:pPr>
        <w:pStyle w:val="MiscellaneousHeading"/>
        <w:rPr>
          <w:b/>
          <w:snapToGrid w:val="0"/>
          <w:sz w:val="38"/>
        </w:rPr>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NameofActReg"/>
      </w:pPr>
      <w:r>
        <w:t>Criminal Code</w:t>
      </w:r>
    </w:p>
    <w:p>
      <w:pPr>
        <w:pStyle w:val="Heading2"/>
        <w:pageBreakBefore w:val="0"/>
      </w:pPr>
      <w:bookmarkStart w:id="1" w:name="_Toc103860659"/>
      <w:bookmarkStart w:id="2" w:name="_Toc103861181"/>
      <w:bookmarkStart w:id="3" w:name="_Toc103864185"/>
      <w:bookmarkStart w:id="4" w:name="_Toc90988472"/>
      <w:bookmarkStart w:id="5" w:name="_Toc90988995"/>
      <w:bookmarkStart w:id="6" w:name="_Toc90996484"/>
      <w:r>
        <w:rPr>
          <w:rStyle w:val="CharPartNo"/>
        </w:rPr>
        <w:t>P</w:t>
      </w:r>
      <w:bookmarkStart w:id="7" w:name="_GoBack"/>
      <w:bookmarkEnd w:id="7"/>
      <w:r>
        <w:rPr>
          <w:rStyle w:val="CharPartNo"/>
        </w:rPr>
        <w:t>art I</w:t>
      </w:r>
      <w:r>
        <w:t> — </w:t>
      </w:r>
      <w:r>
        <w:rPr>
          <w:rStyle w:val="CharPartText"/>
        </w:rPr>
        <w:t>Introductory</w:t>
      </w:r>
      <w:bookmarkEnd w:id="1"/>
      <w:bookmarkEnd w:id="2"/>
      <w:bookmarkEnd w:id="3"/>
      <w:bookmarkEnd w:id="4"/>
      <w:bookmarkEnd w:id="5"/>
      <w:bookmarkEnd w:id="6"/>
    </w:p>
    <w:p>
      <w:pPr>
        <w:pStyle w:val="Heading3"/>
        <w:rPr>
          <w:snapToGrid w:val="0"/>
          <w:sz w:val="24"/>
        </w:rPr>
      </w:pPr>
      <w:bookmarkStart w:id="8" w:name="_Toc103860660"/>
      <w:bookmarkStart w:id="9" w:name="_Toc103861182"/>
      <w:bookmarkStart w:id="10" w:name="_Toc103864186"/>
      <w:bookmarkStart w:id="11" w:name="_Toc90988473"/>
      <w:bookmarkStart w:id="12" w:name="_Toc90988996"/>
      <w:bookmarkStart w:id="13" w:name="_Toc90996485"/>
      <w:r>
        <w:rPr>
          <w:snapToGrid w:val="0"/>
          <w:sz w:val="24"/>
        </w:rPr>
        <w:t>Interpretation: Application: General principles</w:t>
      </w:r>
      <w:bookmarkEnd w:id="8"/>
      <w:bookmarkEnd w:id="9"/>
      <w:bookmarkEnd w:id="10"/>
      <w:bookmarkEnd w:id="11"/>
      <w:bookmarkEnd w:id="12"/>
      <w:bookmarkEnd w:id="13"/>
    </w:p>
    <w:p>
      <w:pPr>
        <w:pStyle w:val="Heading3"/>
        <w:spacing w:after="120"/>
        <w:rPr>
          <w:snapToGrid w:val="0"/>
        </w:rPr>
      </w:pPr>
      <w:bookmarkStart w:id="14" w:name="_Toc103860661"/>
      <w:bookmarkStart w:id="15" w:name="_Toc103861183"/>
      <w:bookmarkStart w:id="16" w:name="_Toc103864187"/>
      <w:bookmarkStart w:id="17" w:name="_Toc90988474"/>
      <w:bookmarkStart w:id="18" w:name="_Toc90988997"/>
      <w:bookmarkStart w:id="19" w:name="_Toc90996486"/>
      <w:r>
        <w:rPr>
          <w:rStyle w:val="CharDivNo"/>
        </w:rPr>
        <w:t>Chapter I</w:t>
      </w:r>
      <w:r>
        <w:rPr>
          <w:snapToGrid w:val="0"/>
        </w:rPr>
        <w:t> — </w:t>
      </w:r>
      <w:r>
        <w:rPr>
          <w:rStyle w:val="CharDivText"/>
        </w:rPr>
        <w:t>Interpretation</w:t>
      </w:r>
      <w:bookmarkEnd w:id="14"/>
      <w:bookmarkEnd w:id="15"/>
      <w:bookmarkEnd w:id="16"/>
      <w:bookmarkEnd w:id="17"/>
      <w:bookmarkEnd w:id="18"/>
      <w:bookmarkEnd w:id="19"/>
    </w:p>
    <w:p>
      <w:pPr>
        <w:pStyle w:val="Heading5"/>
        <w:spacing w:before="180"/>
        <w:rPr>
          <w:snapToGrid w:val="0"/>
        </w:rPr>
      </w:pPr>
      <w:bookmarkStart w:id="20" w:name="_Toc103864188"/>
      <w:bookmarkStart w:id="21" w:name="_Toc90996487"/>
      <w:r>
        <w:rPr>
          <w:rStyle w:val="CharSectno"/>
        </w:rPr>
        <w:t>1</w:t>
      </w:r>
      <w:r>
        <w:rPr>
          <w:snapToGrid w:val="0"/>
        </w:rPr>
        <w:t>.</w:t>
      </w:r>
      <w:r>
        <w:rPr>
          <w:snapToGrid w:val="0"/>
        </w:rPr>
        <w:tab/>
        <w:t>Terms used</w:t>
      </w:r>
      <w:bookmarkEnd w:id="20"/>
      <w:bookmarkEnd w:id="21"/>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adult offender</w:t>
      </w:r>
      <w:r>
        <w:t xml:space="preserve"> means, with respect to a person convicted of an offence, a person who had reached 18 years of age when the offence was committed;</w:t>
      </w:r>
    </w:p>
    <w:p>
      <w:pPr>
        <w:pStyle w:val="Defstart"/>
      </w:pPr>
      <w:r>
        <w:tab/>
        <w:t xml:space="preserve">The term </w:t>
      </w:r>
      <w:r>
        <w:rPr>
          <w:rStyle w:val="CharDefText"/>
        </w:rPr>
        <w:t>aggravated home burglary</w:t>
      </w:r>
      <w:r>
        <w:t xml:space="preserve"> means a home burglary committed in circumstances of aggravation (within the meaning given in section 400(1));</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t>,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rPr>
          <w:b/>
        </w:rPr>
        <w:tab/>
      </w:r>
      <w:r>
        <w:t xml:space="preserve">The term </w:t>
      </w:r>
      <w:r>
        <w:rPr>
          <w:rStyle w:val="CharDefText"/>
        </w:rPr>
        <w:t>home burglary</w:t>
      </w:r>
      <w:r>
        <w:rPr>
          <w:i/>
        </w:rPr>
        <w:t xml:space="preserve"> </w:t>
      </w:r>
      <w:r>
        <w:t>means an offence against any provision of Chapter XXXIX (as enacted at any time) other than section 407 committed in respect of a place (within the meaning given in section 400(1)) ordinarily used for human habitation;</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juvenile offender</w:t>
      </w:r>
      <w:r>
        <w:t xml:space="preserve"> means, with respect to a person convicted of an offence, a person who had reached 16 but not 18 years of age when the offence was committed;</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iCs/>
        </w:rPr>
        <w:t>Road Traffic (Administration) Act 2008</w:t>
      </w:r>
      <w:r>
        <w:t xml:space="preserve"> section 4;</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spacing w:before="60"/>
      </w:pPr>
      <w:r>
        <w:tab/>
        <w:t>(a)</w:t>
      </w:r>
      <w:r>
        <w:tab/>
        <w:t>a police officer;</w:t>
      </w:r>
    </w:p>
    <w:p>
      <w:pPr>
        <w:pStyle w:val="Defpara"/>
        <w:spacing w:before="60"/>
      </w:pPr>
      <w:r>
        <w:tab/>
        <w:t>(aa)</w:t>
      </w:r>
      <w:r>
        <w:tab/>
        <w:t>a Minister of the Crown;</w:t>
      </w:r>
    </w:p>
    <w:p>
      <w:pPr>
        <w:pStyle w:val="Defpara"/>
        <w:spacing w:before="60"/>
      </w:pPr>
      <w:r>
        <w:tab/>
        <w:t>(ab)</w:t>
      </w:r>
      <w:r>
        <w:tab/>
        <w:t xml:space="preserve">a Parliamentary Secretary appointed under section 44A of the </w:t>
      </w:r>
      <w:r>
        <w:rPr>
          <w:i/>
        </w:rPr>
        <w:t>Constitution Acts Amendment Act 1899</w:t>
      </w:r>
      <w:r>
        <w:t>;</w:t>
      </w:r>
    </w:p>
    <w:p>
      <w:pPr>
        <w:pStyle w:val="Defpara"/>
        <w:spacing w:before="60"/>
      </w:pPr>
      <w:r>
        <w:tab/>
        <w:t>(ac)</w:t>
      </w:r>
      <w:r>
        <w:tab/>
        <w:t>a member of either House of Parliament;</w:t>
      </w:r>
    </w:p>
    <w:p>
      <w:pPr>
        <w:pStyle w:val="Defpara"/>
        <w:spacing w:before="60"/>
      </w:pPr>
      <w:r>
        <w:tab/>
        <w:t>(ad)</w:t>
      </w:r>
      <w:r>
        <w:tab/>
        <w:t>a person exercising authority under a written law;</w:t>
      </w:r>
    </w:p>
    <w:p>
      <w:pPr>
        <w:pStyle w:val="Defpara"/>
        <w:spacing w:before="60"/>
      </w:pPr>
      <w:r>
        <w:tab/>
        <w:t>(b)</w:t>
      </w:r>
      <w:r>
        <w:tab/>
        <w:t>a person authorised under a written law to execute or serve any process of a court or tribunal;</w:t>
      </w:r>
    </w:p>
    <w:p>
      <w:pPr>
        <w:pStyle w:val="Defpara"/>
        <w:spacing w:before="60"/>
      </w:pPr>
      <w:r>
        <w:tab/>
        <w:t>(c)</w:t>
      </w:r>
      <w:r>
        <w:tab/>
        <w:t xml:space="preserve">a public service officer or employee within the meaning of the </w:t>
      </w:r>
      <w:r>
        <w:rPr>
          <w:i/>
        </w:rPr>
        <w:t>Public Sector Management Act 1994</w:t>
      </w:r>
      <w:r>
        <w:t>;</w:t>
      </w:r>
    </w:p>
    <w:p>
      <w:pPr>
        <w:pStyle w:val="Defpara"/>
        <w:spacing w:before="60"/>
      </w:pPr>
      <w:r>
        <w:tab/>
        <w:t>(ca)</w:t>
      </w:r>
      <w:r>
        <w:tab/>
        <w:t>a person who holds a permit to do high</w:t>
      </w:r>
      <w:r>
        <w:noBreakHyphen/>
        <w:t xml:space="preserve">level security work as defined in the </w:t>
      </w:r>
      <w:r>
        <w:rPr>
          <w:i/>
        </w:rPr>
        <w:t>Court Security and Custodial Services Act 1999</w:t>
      </w:r>
      <w:r>
        <w:t>;</w:t>
      </w:r>
    </w:p>
    <w:p>
      <w:pPr>
        <w:pStyle w:val="Defpara"/>
        <w:spacing w:before="60"/>
      </w:pPr>
      <w:r>
        <w:tab/>
        <w:t>(cb)</w:t>
      </w:r>
      <w:r>
        <w:tab/>
        <w:t>a person who holds a permit to do high</w:t>
      </w:r>
      <w:r>
        <w:noBreakHyphen/>
        <w:t xml:space="preserve">level security work as defined in the </w:t>
      </w:r>
      <w:r>
        <w:rPr>
          <w:i/>
        </w:rPr>
        <w:t>Prisons Act 1981</w:t>
      </w:r>
      <w:r>
        <w:t>;</w:t>
      </w:r>
    </w:p>
    <w:p>
      <w:pPr>
        <w:pStyle w:val="Defpara"/>
        <w:spacing w:before="60"/>
      </w:pPr>
      <w:r>
        <w:tab/>
        <w:t>(d)</w:t>
      </w:r>
      <w:r>
        <w:tab/>
        <w:t>a member, officer or employee of any authority, board, corporation, commission, local government, council of a local government, council or committee or similar body established under a written law;</w:t>
      </w:r>
    </w:p>
    <w:p>
      <w:pPr>
        <w:pStyle w:val="Defpara"/>
        <w:spacing w:before="60"/>
      </w:pPr>
      <w:r>
        <w:tab/>
        <w:t>(e)</w:t>
      </w:r>
      <w:r>
        <w:tab/>
        <w:t>any other person holding office under, or employed by, the State of Western Australia,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keepNext/>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(4A)</w:t>
      </w:r>
      <w:r>
        <w:tab/>
        <w:t xml:space="preserve">In this Code, unless the context otherwise indicates — </w:t>
      </w:r>
    </w:p>
    <w:p>
      <w:pPr>
        <w:pStyle w:val="Indenta"/>
      </w:pPr>
      <w:r>
        <w:tab/>
        <w:t>(a)</w:t>
      </w:r>
      <w:r>
        <w:tab/>
        <w:t>a reference to causing or doing bodily harm to a person includes, if the person is a pregnant woman, a reference to causing or doing bodily harm to the woman’s unborn child; and</w:t>
      </w:r>
    </w:p>
    <w:p>
      <w:pPr>
        <w:pStyle w:val="Indenta"/>
      </w:pPr>
      <w:r>
        <w:tab/>
        <w:t>(b)</w:t>
      </w:r>
      <w:r>
        <w:tab/>
        <w:t>a reference to intending to cause or intending to do bodily harm to a person includes, if the person is a pregnant woman, a reference to intending to cause or intending to do bodily harm to the woman’s unborn child; and</w:t>
      </w:r>
    </w:p>
    <w:p>
      <w:pPr>
        <w:pStyle w:val="Indenta"/>
        <w:keepNext/>
      </w:pPr>
      <w:r>
        <w:tab/>
        <w:t>(c)</w:t>
      </w:r>
      <w:r>
        <w:tab/>
        <w:t xml:space="preserve">a reference to causing or doing grievous bodily harm to a person includes, if the person is a pregnant woman — </w:t>
      </w:r>
    </w:p>
    <w:p>
      <w:pPr>
        <w:pStyle w:val="Indenti"/>
      </w:pPr>
      <w:r>
        <w:tab/>
        <w:t>(i)</w:t>
      </w:r>
      <w:r>
        <w:tab/>
        <w:t>a reference to causing or doing grievous bodily harm to the woman’s unborn child; and</w:t>
      </w:r>
    </w:p>
    <w:p>
      <w:pPr>
        <w:pStyle w:val="Indenti"/>
      </w:pPr>
      <w:r>
        <w:tab/>
        <w:t>(ii)</w:t>
      </w:r>
      <w:r>
        <w:tab/>
        <w:t>a reference to causing the loss of the woman’s pregnancy;</w:t>
      </w:r>
    </w:p>
    <w:p>
      <w:pPr>
        <w:pStyle w:val="Indenta"/>
      </w:pPr>
      <w:r>
        <w:tab/>
      </w:r>
      <w:r>
        <w:tab/>
        <w:t>and</w:t>
      </w:r>
    </w:p>
    <w:p>
      <w:pPr>
        <w:pStyle w:val="Indenta"/>
      </w:pPr>
      <w:r>
        <w:tab/>
        <w:t>(d)</w:t>
      </w:r>
      <w:r>
        <w:tab/>
        <w:t xml:space="preserve">a reference to intending to cause or intending to do grievous bodily harm to a person includes, if the person is a pregnant woman — </w:t>
      </w:r>
    </w:p>
    <w:p>
      <w:pPr>
        <w:pStyle w:val="Indenti"/>
      </w:pPr>
      <w:r>
        <w:tab/>
        <w:t>(i)</w:t>
      </w:r>
      <w:r>
        <w:tab/>
        <w:t>a reference to intending to cause or intending to do grievous bodily harm to the woman’s unborn child; and</w:t>
      </w:r>
    </w:p>
    <w:p>
      <w:pPr>
        <w:pStyle w:val="Indenti"/>
      </w:pPr>
      <w:r>
        <w:tab/>
        <w:t>(ii)</w:t>
      </w:r>
      <w:r>
        <w:tab/>
        <w:t>a reference to intending to cause the loss of the woman’s pregnancy.</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No. 8 of 2012 s. 183; No. 25 of 2015 s. 4; No. 49 of 2016 s. 98.]</w:t>
      </w:r>
    </w:p>
    <w:p>
      <w:pPr>
        <w:pStyle w:val="Heading5"/>
        <w:rPr>
          <w:snapToGrid w:val="0"/>
        </w:rPr>
      </w:pPr>
      <w:bookmarkStart w:id="22" w:name="_Toc103864189"/>
      <w:bookmarkStart w:id="23" w:name="_Toc90996488"/>
      <w:r>
        <w:rPr>
          <w:rStyle w:val="CharSectno"/>
        </w:rPr>
        <w:t>2</w:t>
      </w:r>
      <w:r>
        <w:rPr>
          <w:snapToGrid w:val="0"/>
        </w:rPr>
        <w:t>.</w:t>
      </w:r>
      <w:r>
        <w:rPr>
          <w:snapToGrid w:val="0"/>
        </w:rPr>
        <w:tab/>
        <w:t xml:space="preserve">Term used: </w:t>
      </w:r>
      <w:r>
        <w:rPr>
          <w:rStyle w:val="CharDefText"/>
          <w:b/>
          <w:bCs/>
          <w:i w:val="0"/>
          <w:iCs/>
        </w:rPr>
        <w:t>offence</w:t>
      </w:r>
      <w:bookmarkEnd w:id="22"/>
      <w:bookmarkEnd w:id="23"/>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24" w:name="_Toc103864190"/>
      <w:bookmarkStart w:id="25" w:name="_Toc90996489"/>
      <w:r>
        <w:rPr>
          <w:rStyle w:val="CharSectno"/>
        </w:rPr>
        <w:t>3</w:t>
      </w:r>
      <w:r>
        <w:t>.</w:t>
      </w:r>
      <w:r>
        <w:tab/>
        <w:t>Indictable offences, general provisions as to</w:t>
      </w:r>
      <w:bookmarkEnd w:id="24"/>
      <w:bookmarkEnd w:id="25"/>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No. 4 of 2004 s. 28; amended: No. 59 of 2004 s. 80; No. 70 of 2004 s. 36(1); No. 84 of 2004 s. 28.]</w:t>
      </w:r>
    </w:p>
    <w:p>
      <w:pPr>
        <w:pStyle w:val="Heading5"/>
        <w:rPr>
          <w:snapToGrid w:val="0"/>
        </w:rPr>
      </w:pPr>
      <w:bookmarkStart w:id="26" w:name="_Toc103864191"/>
      <w:bookmarkStart w:id="27" w:name="_Toc90996490"/>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 to commit offence</w:t>
      </w:r>
      <w:bookmarkEnd w:id="26"/>
      <w:bookmarkEnd w:id="27"/>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No. 106 of 1987 s. 5.]</w:t>
      </w:r>
    </w:p>
    <w:p>
      <w:pPr>
        <w:pStyle w:val="Heading5"/>
      </w:pPr>
      <w:bookmarkStart w:id="28" w:name="_Toc103864192"/>
      <w:bookmarkStart w:id="29" w:name="_Toc90996491"/>
      <w:r>
        <w:rPr>
          <w:rStyle w:val="CharSectno"/>
        </w:rPr>
        <w:t>5</w:t>
      </w:r>
      <w:r>
        <w:t>.</w:t>
      </w:r>
      <w:r>
        <w:tab/>
      </w:r>
      <w:r>
        <w:rPr>
          <w:rStyle w:val="CharDefText"/>
          <w:b/>
          <w:i w:val="0"/>
        </w:rPr>
        <w:t>Summary conviction penalty</w:t>
      </w:r>
      <w:r>
        <w:t>, meaning and effect of</w:t>
      </w:r>
      <w:bookmarkEnd w:id="28"/>
      <w:bookmarkEnd w:id="29"/>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No. 4 of 2004 s. 29; amended: No. 59 of 2004 s. 80; No. 84 of 2004 s. 28 and 82; No. 49 of 2012 s. 173(2).]</w:t>
      </w:r>
    </w:p>
    <w:p>
      <w:pPr>
        <w:pStyle w:val="Heading5"/>
        <w:spacing w:before="180"/>
      </w:pPr>
      <w:bookmarkStart w:id="30" w:name="_Toc103864193"/>
      <w:bookmarkStart w:id="31" w:name="_Toc90996492"/>
      <w:r>
        <w:rPr>
          <w:rStyle w:val="CharSectno"/>
        </w:rPr>
        <w:t>6</w:t>
      </w:r>
      <w:r>
        <w:rPr>
          <w:snapToGrid w:val="0"/>
        </w:rPr>
        <w:t>.</w:t>
      </w:r>
      <w:r>
        <w:rPr>
          <w:snapToGrid w:val="0"/>
        </w:rPr>
        <w:tab/>
        <w:t xml:space="preserve">Terms used: </w:t>
      </w:r>
      <w:r>
        <w:t>carnal knowledge, carnal connection</w:t>
      </w:r>
      <w:bookmarkEnd w:id="30"/>
      <w:bookmarkEnd w:id="31"/>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No. 32 of 1989 s. 4.]</w:t>
      </w:r>
    </w:p>
    <w:p>
      <w:pPr>
        <w:pStyle w:val="Heading3"/>
        <w:keepLines/>
        <w:rPr>
          <w:snapToGrid w:val="0"/>
        </w:rPr>
      </w:pPr>
      <w:bookmarkStart w:id="32" w:name="_Toc103860668"/>
      <w:bookmarkStart w:id="33" w:name="_Toc103861190"/>
      <w:bookmarkStart w:id="34" w:name="_Toc103864194"/>
      <w:bookmarkStart w:id="35" w:name="_Toc90988481"/>
      <w:bookmarkStart w:id="36" w:name="_Toc90989004"/>
      <w:bookmarkStart w:id="37" w:name="_Toc90996493"/>
      <w:r>
        <w:rPr>
          <w:rStyle w:val="CharDivNo"/>
        </w:rPr>
        <w:t>Chapter II</w:t>
      </w:r>
      <w:r>
        <w:rPr>
          <w:snapToGrid w:val="0"/>
        </w:rPr>
        <w:t> — </w:t>
      </w:r>
      <w:r>
        <w:rPr>
          <w:rStyle w:val="CharDivText"/>
        </w:rPr>
        <w:t>Parties to offence</w:t>
      </w:r>
      <w:bookmarkEnd w:id="32"/>
      <w:bookmarkEnd w:id="33"/>
      <w:bookmarkEnd w:id="34"/>
      <w:bookmarkEnd w:id="35"/>
      <w:bookmarkEnd w:id="36"/>
      <w:bookmarkEnd w:id="37"/>
    </w:p>
    <w:p>
      <w:pPr>
        <w:pStyle w:val="Heading5"/>
        <w:spacing w:before="180"/>
        <w:rPr>
          <w:snapToGrid w:val="0"/>
        </w:rPr>
      </w:pPr>
      <w:bookmarkStart w:id="38" w:name="_Toc103864195"/>
      <w:bookmarkStart w:id="39" w:name="_Toc90996494"/>
      <w:r>
        <w:rPr>
          <w:rStyle w:val="CharSectno"/>
        </w:rPr>
        <w:t>7</w:t>
      </w:r>
      <w:r>
        <w:rPr>
          <w:snapToGrid w:val="0"/>
        </w:rPr>
        <w:t>.</w:t>
      </w:r>
      <w:r>
        <w:rPr>
          <w:snapToGrid w:val="0"/>
        </w:rPr>
        <w:tab/>
        <w:t>Principal offenders</w:t>
      </w:r>
      <w:bookmarkEnd w:id="38"/>
      <w:bookmarkEnd w:id="39"/>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40" w:name="_Toc103864196"/>
      <w:bookmarkStart w:id="41" w:name="_Toc90996495"/>
      <w:r>
        <w:rPr>
          <w:rStyle w:val="CharSectno"/>
        </w:rPr>
        <w:t>8</w:t>
      </w:r>
      <w:r>
        <w:rPr>
          <w:snapToGrid w:val="0"/>
        </w:rPr>
        <w:t>.</w:t>
      </w:r>
      <w:r>
        <w:rPr>
          <w:snapToGrid w:val="0"/>
        </w:rPr>
        <w:tab/>
        <w:t>Offence committed in prosecution of common purpose</w:t>
      </w:r>
      <w:bookmarkEnd w:id="40"/>
      <w:bookmarkEnd w:id="41"/>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No. 89 of 1986 s. 4.]</w:t>
      </w:r>
    </w:p>
    <w:p>
      <w:pPr>
        <w:pStyle w:val="Heading5"/>
        <w:rPr>
          <w:snapToGrid w:val="0"/>
        </w:rPr>
      </w:pPr>
      <w:bookmarkStart w:id="42" w:name="_Toc103864197"/>
      <w:bookmarkStart w:id="43" w:name="_Toc90996496"/>
      <w:r>
        <w:rPr>
          <w:rStyle w:val="CharSectno"/>
        </w:rPr>
        <w:t>9</w:t>
      </w:r>
      <w:r>
        <w:rPr>
          <w:snapToGrid w:val="0"/>
        </w:rPr>
        <w:t>.</w:t>
      </w:r>
      <w:r>
        <w:rPr>
          <w:snapToGrid w:val="0"/>
        </w:rPr>
        <w:tab/>
        <w:t>Counselled offence, mode of execution immaterial</w:t>
      </w:r>
      <w:bookmarkEnd w:id="42"/>
      <w:bookmarkEnd w:id="43"/>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keepNext w:val="0"/>
        <w:keepLines w:val="0"/>
        <w:spacing w:before="180"/>
        <w:rPr>
          <w:bCs/>
          <w:iCs/>
          <w:snapToGrid w:val="0"/>
        </w:rPr>
      </w:pPr>
      <w:bookmarkStart w:id="44" w:name="_Toc103864198"/>
      <w:bookmarkStart w:id="45" w:name="_Toc90996497"/>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44"/>
      <w:bookmarkEnd w:id="45"/>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No. 89 of 1986 s. 5.]</w:t>
      </w:r>
    </w:p>
    <w:p>
      <w:pPr>
        <w:pStyle w:val="Heading3"/>
        <w:keepLines/>
        <w:rPr>
          <w:snapToGrid w:val="0"/>
        </w:rPr>
      </w:pPr>
      <w:bookmarkStart w:id="46" w:name="_Toc103860673"/>
      <w:bookmarkStart w:id="47" w:name="_Toc103861195"/>
      <w:bookmarkStart w:id="48" w:name="_Toc103864199"/>
      <w:bookmarkStart w:id="49" w:name="_Toc90988486"/>
      <w:bookmarkStart w:id="50" w:name="_Toc90989009"/>
      <w:bookmarkStart w:id="51" w:name="_Toc90996498"/>
      <w:r>
        <w:rPr>
          <w:rStyle w:val="CharDivNo"/>
        </w:rPr>
        <w:t>Chapter IIA</w:t>
      </w:r>
      <w:r>
        <w:t> — </w:t>
      </w:r>
      <w:r>
        <w:rPr>
          <w:rStyle w:val="CharDivText"/>
        </w:rPr>
        <w:t>Alternative offences</w:t>
      </w:r>
      <w:bookmarkEnd w:id="46"/>
      <w:bookmarkEnd w:id="47"/>
      <w:bookmarkEnd w:id="48"/>
      <w:bookmarkEnd w:id="49"/>
      <w:bookmarkEnd w:id="50"/>
      <w:bookmarkEnd w:id="51"/>
    </w:p>
    <w:p>
      <w:pPr>
        <w:pStyle w:val="Footnoteheading"/>
        <w:keepNext/>
        <w:keepLines/>
      </w:pPr>
      <w:r>
        <w:tab/>
        <w:t>[Heading inserted: No. 70 of 2004 s. 36(2).]</w:t>
      </w:r>
    </w:p>
    <w:p>
      <w:pPr>
        <w:pStyle w:val="Heading5"/>
      </w:pPr>
      <w:bookmarkStart w:id="52" w:name="_Toc103864200"/>
      <w:bookmarkStart w:id="53" w:name="_Toc90996499"/>
      <w:r>
        <w:rPr>
          <w:rStyle w:val="CharSectno"/>
        </w:rPr>
        <w:t>10A</w:t>
      </w:r>
      <w:r>
        <w:t>.</w:t>
      </w:r>
      <w:r>
        <w:tab/>
        <w:t>Conviction of alternative offence, when possible</w:t>
      </w:r>
      <w:bookmarkEnd w:id="52"/>
      <w:bookmarkEnd w:id="53"/>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No. 70 of 2004 s. 36(2).]</w:t>
      </w:r>
    </w:p>
    <w:p>
      <w:pPr>
        <w:pStyle w:val="Heading5"/>
        <w:keepNext w:val="0"/>
        <w:keepLines w:val="0"/>
      </w:pPr>
      <w:bookmarkStart w:id="54" w:name="_Toc103864201"/>
      <w:bookmarkStart w:id="55" w:name="_Toc90996500"/>
      <w:r>
        <w:rPr>
          <w:rStyle w:val="CharSectno"/>
        </w:rPr>
        <w:t>10B</w:t>
      </w:r>
      <w:r>
        <w:t>.</w:t>
      </w:r>
      <w:r>
        <w:tab/>
      </w:r>
      <w:r>
        <w:rPr>
          <w:rStyle w:val="CharDefText"/>
          <w:b/>
          <w:bCs/>
          <w:i w:val="0"/>
          <w:iCs/>
        </w:rPr>
        <w:t>Alternative offence</w:t>
      </w:r>
      <w:r>
        <w:t>, meaning and effect of</w:t>
      </w:r>
      <w:bookmarkEnd w:id="54"/>
      <w:bookmarkEnd w:id="55"/>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keepNext/>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spacing w:before="180"/>
      </w:pPr>
      <w:r>
        <w:tab/>
        <w:t>(4)</w:t>
      </w:r>
      <w:r>
        <w:tab/>
        <w:t>This section does not limit the operation of the other sections in this Chapter.</w:t>
      </w:r>
    </w:p>
    <w:p>
      <w:pPr>
        <w:pStyle w:val="Footnotesection"/>
      </w:pPr>
      <w:r>
        <w:tab/>
        <w:t>[Section 10B inserted: No. 70 of 2004 s. 36(2).]</w:t>
      </w:r>
    </w:p>
    <w:p>
      <w:pPr>
        <w:pStyle w:val="Heading5"/>
        <w:spacing w:before="240"/>
      </w:pPr>
      <w:bookmarkStart w:id="56" w:name="_Toc103864202"/>
      <w:bookmarkStart w:id="57" w:name="_Toc90996501"/>
      <w:r>
        <w:rPr>
          <w:rStyle w:val="CharSectno"/>
        </w:rPr>
        <w:t>10C</w:t>
      </w:r>
      <w:r>
        <w:t>.</w:t>
      </w:r>
      <w:r>
        <w:tab/>
        <w:t>Conviction of alternative offence, consequences of</w:t>
      </w:r>
      <w:bookmarkEnd w:id="56"/>
      <w:bookmarkEnd w:id="57"/>
    </w:p>
    <w:p>
      <w:pPr>
        <w:pStyle w:val="Subsection"/>
        <w:spacing w:before="18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ind w:left="890" w:hanging="890"/>
      </w:pPr>
      <w:r>
        <w:tab/>
        <w:t>[Section 10C inserted: No. 70 of 2004 s. 36(2).]</w:t>
      </w:r>
    </w:p>
    <w:p>
      <w:pPr>
        <w:pStyle w:val="Heading5"/>
        <w:spacing w:before="240"/>
      </w:pPr>
      <w:bookmarkStart w:id="58" w:name="_Toc103864203"/>
      <w:bookmarkStart w:id="59" w:name="_Toc90996502"/>
      <w:r>
        <w:rPr>
          <w:rStyle w:val="CharSectno"/>
        </w:rPr>
        <w:t>10D</w:t>
      </w:r>
      <w:r>
        <w:t>.</w:t>
      </w:r>
      <w:r>
        <w:tab/>
        <w:t>Charge of offence, alternative convictions of attempt etc.</w:t>
      </w:r>
      <w:bookmarkEnd w:id="58"/>
      <w:bookmarkEnd w:id="59"/>
    </w:p>
    <w:p>
      <w:pPr>
        <w:pStyle w:val="Subsection"/>
        <w:spacing w:before="18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pPr>
      <w:r>
        <w:tab/>
        <w:t>(b)</w:t>
      </w:r>
      <w:r>
        <w:tab/>
        <w:t>inciting another person to commit; or</w:t>
      </w:r>
    </w:p>
    <w:p>
      <w:pPr>
        <w:pStyle w:val="Indenta"/>
        <w:keepNext/>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ind w:left="890" w:hanging="890"/>
      </w:pPr>
      <w:r>
        <w:tab/>
        <w:t>[Section 10D inserted: No. 70 of 2004 s. 36(2).]</w:t>
      </w:r>
    </w:p>
    <w:p>
      <w:pPr>
        <w:pStyle w:val="Heading5"/>
      </w:pPr>
      <w:bookmarkStart w:id="60" w:name="_Toc103864204"/>
      <w:bookmarkStart w:id="61" w:name="_Toc90996503"/>
      <w:r>
        <w:rPr>
          <w:rStyle w:val="CharSectno"/>
        </w:rPr>
        <w:t>10E</w:t>
      </w:r>
      <w:r>
        <w:t>.</w:t>
      </w:r>
      <w:r>
        <w:tab/>
        <w:t>Charge of attempt, alternative convictions on</w:t>
      </w:r>
      <w:bookmarkEnd w:id="60"/>
      <w:bookmarkEnd w:id="61"/>
    </w:p>
    <w:p>
      <w:pPr>
        <w:pStyle w:val="Subsection"/>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No. 70 of 2004 s. 36(2).]</w:t>
      </w:r>
    </w:p>
    <w:p>
      <w:pPr>
        <w:pStyle w:val="Heading5"/>
      </w:pPr>
      <w:bookmarkStart w:id="62" w:name="_Toc103864205"/>
      <w:bookmarkStart w:id="63" w:name="_Toc90996504"/>
      <w:r>
        <w:rPr>
          <w:rStyle w:val="CharSectno"/>
        </w:rPr>
        <w:t>10F</w:t>
      </w:r>
      <w:r>
        <w:t>.</w:t>
      </w:r>
      <w:r>
        <w:tab/>
        <w:t>Charge of conspiracy, alternative convictions on</w:t>
      </w:r>
      <w:bookmarkEnd w:id="62"/>
      <w:bookmarkEnd w:id="63"/>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No. 70 of 2004 s. 36(2).]</w:t>
      </w:r>
    </w:p>
    <w:p>
      <w:pPr>
        <w:pStyle w:val="Heading5"/>
      </w:pPr>
      <w:bookmarkStart w:id="64" w:name="_Toc103864206"/>
      <w:bookmarkStart w:id="65" w:name="_Toc90996505"/>
      <w:r>
        <w:rPr>
          <w:rStyle w:val="CharSectno"/>
        </w:rPr>
        <w:t>10G</w:t>
      </w:r>
      <w:r>
        <w:t>.</w:t>
      </w:r>
      <w:r>
        <w:tab/>
        <w:t>Charge of procuring, alternative convictions on</w:t>
      </w:r>
      <w:bookmarkEnd w:id="64"/>
      <w:bookmarkEnd w:id="65"/>
    </w:p>
    <w:p>
      <w:pPr>
        <w:pStyle w:val="Subsection"/>
        <w:keepNext/>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No. 70 of 2004 s. 36(2).]</w:t>
      </w:r>
    </w:p>
    <w:p>
      <w:pPr>
        <w:pStyle w:val="Heading5"/>
      </w:pPr>
      <w:bookmarkStart w:id="66" w:name="_Toc103864207"/>
      <w:bookmarkStart w:id="67" w:name="_Toc90996506"/>
      <w:r>
        <w:rPr>
          <w:rStyle w:val="CharSectno"/>
        </w:rPr>
        <w:t>10H</w:t>
      </w:r>
      <w:r>
        <w:t>.</w:t>
      </w:r>
      <w:r>
        <w:tab/>
        <w:t>Charge of attempting to procure, alternative convictions on</w:t>
      </w:r>
      <w:bookmarkEnd w:id="66"/>
      <w:bookmarkEnd w:id="67"/>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No. 70 of 2004 s. 36(2).]</w:t>
      </w:r>
    </w:p>
    <w:p>
      <w:pPr>
        <w:pStyle w:val="Heading5"/>
      </w:pPr>
      <w:bookmarkStart w:id="68" w:name="_Toc103864208"/>
      <w:bookmarkStart w:id="69" w:name="_Toc90996507"/>
      <w:r>
        <w:rPr>
          <w:rStyle w:val="CharSectno"/>
        </w:rPr>
        <w:t>10I</w:t>
      </w:r>
      <w:r>
        <w:t>.</w:t>
      </w:r>
      <w:r>
        <w:tab/>
        <w:t>Joined charges of receiving, verdicts on</w:t>
      </w:r>
      <w:bookmarkEnd w:id="68"/>
      <w:bookmarkEnd w:id="69"/>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No. 70 of 2004 s. 36(2).]</w:t>
      </w:r>
    </w:p>
    <w:p>
      <w:pPr>
        <w:pStyle w:val="Heading3"/>
      </w:pPr>
      <w:bookmarkStart w:id="70" w:name="_Toc103860683"/>
      <w:bookmarkStart w:id="71" w:name="_Toc103861205"/>
      <w:bookmarkStart w:id="72" w:name="_Toc103864209"/>
      <w:bookmarkStart w:id="73" w:name="_Toc90988496"/>
      <w:bookmarkStart w:id="74" w:name="_Toc90989019"/>
      <w:bookmarkStart w:id="75" w:name="_Toc90996508"/>
      <w:r>
        <w:rPr>
          <w:rStyle w:val="CharDivNo"/>
        </w:rPr>
        <w:t>Chapter IIB</w:t>
      </w:r>
      <w:r>
        <w:t> — </w:t>
      </w:r>
      <w:r>
        <w:rPr>
          <w:rStyle w:val="CharDivText"/>
        </w:rPr>
        <w:t>Charges where date of offence, or age of victim, is uncertain</w:t>
      </w:r>
      <w:bookmarkEnd w:id="70"/>
      <w:bookmarkEnd w:id="71"/>
      <w:bookmarkEnd w:id="72"/>
      <w:bookmarkEnd w:id="73"/>
      <w:bookmarkEnd w:id="74"/>
      <w:bookmarkEnd w:id="75"/>
    </w:p>
    <w:p>
      <w:pPr>
        <w:pStyle w:val="Footnoteheading"/>
      </w:pPr>
      <w:r>
        <w:tab/>
        <w:t>[Heading inserted: No. 47 of 2020 s. 4.]</w:t>
      </w:r>
    </w:p>
    <w:p>
      <w:pPr>
        <w:pStyle w:val="Heading5"/>
      </w:pPr>
      <w:bookmarkStart w:id="76" w:name="_Toc103864210"/>
      <w:bookmarkStart w:id="77" w:name="_Toc90996509"/>
      <w:r>
        <w:rPr>
          <w:rStyle w:val="CharSectno"/>
        </w:rPr>
        <w:t>10J</w:t>
      </w:r>
      <w:r>
        <w:t>.</w:t>
      </w:r>
      <w:r>
        <w:tab/>
        <w:t>Application of Chapter</w:t>
      </w:r>
      <w:bookmarkEnd w:id="76"/>
      <w:bookmarkEnd w:id="77"/>
    </w:p>
    <w:p>
      <w:pPr>
        <w:pStyle w:val="Subsection"/>
      </w:pPr>
      <w:r>
        <w:tab/>
      </w:r>
      <w:r>
        <w:tab/>
        <w:t xml:space="preserve">This Chapter applies to an alleged act or omission regardless of whether it is alleged to have occurred before, on or after the day on which the </w:t>
      </w:r>
      <w:r>
        <w:rPr>
          <w:i/>
        </w:rPr>
        <w:t>Criminal Law Amendment (Uncertain Dates) Act 2020</w:t>
      </w:r>
      <w:r>
        <w:t xml:space="preserve"> section 4 comes into operation.</w:t>
      </w:r>
    </w:p>
    <w:p>
      <w:pPr>
        <w:pStyle w:val="Footnotesection"/>
      </w:pPr>
      <w:r>
        <w:tab/>
        <w:t>[Section 10J inserted: No. 47 of 2020 s. 4.]</w:t>
      </w:r>
    </w:p>
    <w:p>
      <w:pPr>
        <w:pStyle w:val="Heading5"/>
      </w:pPr>
      <w:bookmarkStart w:id="78" w:name="_Toc103864211"/>
      <w:bookmarkStart w:id="79" w:name="_Toc90996510"/>
      <w:r>
        <w:rPr>
          <w:rStyle w:val="CharSectno"/>
        </w:rPr>
        <w:t>10K</w:t>
      </w:r>
      <w:r>
        <w:t>.</w:t>
      </w:r>
      <w:r>
        <w:tab/>
        <w:t>Terms used</w:t>
      </w:r>
      <w:bookmarkEnd w:id="78"/>
      <w:bookmarkEnd w:id="79"/>
    </w:p>
    <w:p>
      <w:pPr>
        <w:pStyle w:val="Subsection"/>
      </w:pPr>
      <w:r>
        <w:tab/>
      </w:r>
      <w:r>
        <w:tab/>
        <w:t>In this Chapter —</w:t>
      </w:r>
    </w:p>
    <w:p>
      <w:pPr>
        <w:pStyle w:val="Defstart"/>
      </w:pPr>
      <w:r>
        <w:tab/>
      </w:r>
      <w:r>
        <w:rPr>
          <w:rStyle w:val="CharDefText"/>
        </w:rPr>
        <w:t>amended</w:t>
      </w:r>
      <w:r>
        <w:t xml:space="preserve"> includes enacted, replaced and repealed;</w:t>
      </w:r>
    </w:p>
    <w:p>
      <w:pPr>
        <w:pStyle w:val="Defstart"/>
        <w:keepNext/>
      </w:pPr>
      <w:r>
        <w:tab/>
      </w:r>
      <w:r>
        <w:rPr>
          <w:rStyle w:val="CharDefText"/>
        </w:rPr>
        <w:t>sexual offence</w:t>
      </w:r>
      <w:r>
        <w:t xml:space="preserve"> means —</w:t>
      </w:r>
    </w:p>
    <w:p>
      <w:pPr>
        <w:pStyle w:val="Defpara"/>
      </w:pPr>
      <w:r>
        <w:tab/>
        <w:t>(a)</w:t>
      </w:r>
      <w:r>
        <w:tab/>
        <w:t>an offence of a sexual nature under Chapter XXII, XXV, XXX, XXXI, XXXIA or XXXII as in force at any time; or</w:t>
      </w:r>
    </w:p>
    <w:p>
      <w:pPr>
        <w:pStyle w:val="Defpara"/>
      </w:pPr>
      <w:r>
        <w:tab/>
        <w:t>(b)</w:t>
      </w:r>
      <w:r>
        <w:tab/>
        <w:t>an offence of attempting, inciting or conspiring to commit an offence referred to in paragraph (a); or</w:t>
      </w:r>
    </w:p>
    <w:p>
      <w:pPr>
        <w:pStyle w:val="Defpara"/>
      </w:pPr>
      <w:r>
        <w:tab/>
        <w:t>(c)</w:t>
      </w:r>
      <w:r>
        <w:tab/>
        <w:t>an offence of becoming an accessory after the fact to an offence referred to in paragraph (a).</w:t>
      </w:r>
    </w:p>
    <w:p>
      <w:pPr>
        <w:pStyle w:val="Footnotesection"/>
      </w:pPr>
      <w:r>
        <w:tab/>
        <w:t>[Section 10K inserted: No. 47 of 2020 s. 4.]</w:t>
      </w:r>
    </w:p>
    <w:p>
      <w:pPr>
        <w:pStyle w:val="Heading5"/>
      </w:pPr>
      <w:bookmarkStart w:id="80" w:name="_Toc103864212"/>
      <w:bookmarkStart w:id="81" w:name="_Toc90996511"/>
      <w:r>
        <w:rPr>
          <w:rStyle w:val="CharSectno"/>
        </w:rPr>
        <w:t>10L</w:t>
      </w:r>
      <w:r>
        <w:t>.</w:t>
      </w:r>
      <w:r>
        <w:tab/>
        <w:t>Charge of indictable offence committed in period when written law amended</w:t>
      </w:r>
      <w:bookmarkEnd w:id="80"/>
      <w:bookmarkEnd w:id="81"/>
    </w:p>
    <w:p>
      <w:pPr>
        <w:pStyle w:val="Subsection"/>
      </w:pPr>
      <w:r>
        <w:tab/>
        <w:t>(1)</w:t>
      </w:r>
      <w:r>
        <w:tab/>
        <w:t>This section applies in relation to an alleged act or omission in the following circumstances —</w:t>
      </w:r>
    </w:p>
    <w:p>
      <w:pPr>
        <w:pStyle w:val="Indenta"/>
      </w:pPr>
      <w:r>
        <w:tab/>
        <w:t>(a)</w:t>
      </w:r>
      <w:r>
        <w:tab/>
        <w:t xml:space="preserve">the alleged act or omission occurred in a period (the </w:t>
      </w:r>
      <w:r>
        <w:rPr>
          <w:rStyle w:val="CharDefText"/>
        </w:rPr>
        <w:t>relevant period</w:t>
      </w:r>
      <w:r>
        <w:t xml:space="preserve">) during which the written law making the act or omission an indictable offence (the </w:t>
      </w:r>
      <w:r>
        <w:rPr>
          <w:rStyle w:val="CharDefText"/>
        </w:rPr>
        <w:t>relevant law</w:t>
      </w:r>
      <w:r>
        <w:t>) was amended;</w:t>
      </w:r>
    </w:p>
    <w:p>
      <w:pPr>
        <w:pStyle w:val="Indenta"/>
      </w:pPr>
      <w:r>
        <w:tab/>
        <w:t>(b)</w:t>
      </w:r>
      <w:r>
        <w:tab/>
        <w:t>it is uncertain when in the relevant period the alleged act or omission occurred;</w:t>
      </w:r>
    </w:p>
    <w:p>
      <w:pPr>
        <w:pStyle w:val="Indenta"/>
      </w:pPr>
      <w:r>
        <w:tab/>
        <w:t>(c)</w:t>
      </w:r>
      <w:r>
        <w:tab/>
        <w:t xml:space="preserve">the alleged act or omission, if proved, constituted — </w:t>
      </w:r>
    </w:p>
    <w:p>
      <w:pPr>
        <w:pStyle w:val="Indenti"/>
      </w:pPr>
      <w:r>
        <w:tab/>
        <w:t>(i)</w:t>
      </w:r>
      <w:r>
        <w:tab/>
        <w:t>an indictable offence before the relevant law was amended; and</w:t>
      </w:r>
    </w:p>
    <w:p>
      <w:pPr>
        <w:pStyle w:val="Indenti"/>
      </w:pPr>
      <w:r>
        <w:tab/>
        <w:t>(ii)</w:t>
      </w:r>
      <w:r>
        <w:tab/>
        <w:t>a separate and different indictable offence after the relevant law was amended.</w:t>
      </w:r>
    </w:p>
    <w:p>
      <w:pPr>
        <w:pStyle w:val="Subsection"/>
      </w:pPr>
      <w:r>
        <w:tab/>
        <w:t>(2)</w:t>
      </w:r>
      <w:r>
        <w:tab/>
        <w:t>If the indictable offences referred to in subsection (1)(c) have the same statutory penalty, the accused person may be charged with, and convicted and sentenced in respect of, either of the offences regardless of when in the relevant period the alleged act or omission occurred.</w:t>
      </w:r>
    </w:p>
    <w:p>
      <w:pPr>
        <w:pStyle w:val="Subsection"/>
        <w:keepLines/>
      </w:pPr>
      <w:r>
        <w:tab/>
        <w:t>(3)</w:t>
      </w:r>
      <w:r>
        <w:tab/>
        <w:t>If the indictable offences referred to in subsection (1)(c) have different statutory penalties, the accused person may be charged with, and convicted and sentenced in respect of, the offence that has the lesser statutory penalty regardless of when in the relevant period the alleged act or omission occurred.</w:t>
      </w:r>
    </w:p>
    <w:p>
      <w:pPr>
        <w:pStyle w:val="Footnotesection"/>
      </w:pPr>
      <w:r>
        <w:tab/>
        <w:t>[Section 10L inserted: No. 47 of 2020 s. 4.]</w:t>
      </w:r>
    </w:p>
    <w:p>
      <w:pPr>
        <w:pStyle w:val="Heading5"/>
      </w:pPr>
      <w:bookmarkStart w:id="82" w:name="_Toc103864213"/>
      <w:bookmarkStart w:id="83" w:name="_Toc90996512"/>
      <w:r>
        <w:rPr>
          <w:rStyle w:val="CharSectno"/>
        </w:rPr>
        <w:t>10M</w:t>
      </w:r>
      <w:r>
        <w:t>.</w:t>
      </w:r>
      <w:r>
        <w:tab/>
        <w:t>Charge of sexual offence committed in period when victim has birthday</w:t>
      </w:r>
      <w:bookmarkEnd w:id="82"/>
      <w:bookmarkEnd w:id="83"/>
    </w:p>
    <w:p>
      <w:pPr>
        <w:pStyle w:val="Subsection"/>
      </w:pPr>
      <w:r>
        <w:tab/>
        <w:t>(1)</w:t>
      </w:r>
      <w:r>
        <w:tab/>
        <w:t xml:space="preserve">This section applies in relation to an alleged act or omission in respect of a person (the </w:t>
      </w:r>
      <w:r>
        <w:rPr>
          <w:rStyle w:val="CharDefText"/>
        </w:rPr>
        <w:t>victim</w:t>
      </w:r>
      <w:r>
        <w:t>) in the following circumstances —</w:t>
      </w:r>
    </w:p>
    <w:p>
      <w:pPr>
        <w:pStyle w:val="Indenta"/>
      </w:pPr>
      <w:r>
        <w:tab/>
        <w:t>(a)</w:t>
      </w:r>
      <w:r>
        <w:tab/>
        <w:t xml:space="preserve">the alleged act or omission occurred in a period (the </w:t>
      </w:r>
      <w:r>
        <w:rPr>
          <w:rStyle w:val="CharDefText"/>
        </w:rPr>
        <w:t>relevant period</w:t>
      </w:r>
      <w:r>
        <w:t xml:space="preserve">) during which the victim had a birthday (the </w:t>
      </w:r>
      <w:r>
        <w:rPr>
          <w:rStyle w:val="CharDefText"/>
        </w:rPr>
        <w:t>relevant birthday</w:t>
      </w:r>
      <w:r>
        <w:t>);</w:t>
      </w:r>
    </w:p>
    <w:p>
      <w:pPr>
        <w:pStyle w:val="Indenta"/>
      </w:pPr>
      <w:r>
        <w:tab/>
        <w:t>(b)</w:t>
      </w:r>
      <w:r>
        <w:tab/>
        <w:t>it is uncertain when in the relevant period the alleged act or omission occurred;</w:t>
      </w:r>
    </w:p>
    <w:p>
      <w:pPr>
        <w:pStyle w:val="Indenta"/>
      </w:pPr>
      <w:r>
        <w:tab/>
        <w:t>(c)</w:t>
      </w:r>
      <w:r>
        <w:tab/>
        <w:t xml:space="preserve">the alleged act or omission, if proved, constituted — </w:t>
      </w:r>
    </w:p>
    <w:p>
      <w:pPr>
        <w:pStyle w:val="Indenti"/>
      </w:pPr>
      <w:r>
        <w:tab/>
        <w:t>(i)</w:t>
      </w:r>
      <w:r>
        <w:tab/>
        <w:t>a sexual offence in respect of the victim before the relevant birthday; and</w:t>
      </w:r>
    </w:p>
    <w:p>
      <w:pPr>
        <w:pStyle w:val="Indenti"/>
      </w:pPr>
      <w:r>
        <w:tab/>
        <w:t>(ii)</w:t>
      </w:r>
      <w:r>
        <w:tab/>
        <w:t>a separate and different sexual offence in respect of the victim on or after the relevant birthday.</w:t>
      </w:r>
    </w:p>
    <w:p>
      <w:pPr>
        <w:pStyle w:val="Subsection"/>
      </w:pPr>
      <w:r>
        <w:tab/>
        <w:t>(2)</w:t>
      </w:r>
      <w:r>
        <w:tab/>
        <w:t>If the sexual offences referred to in subsection (1)(c) have the same statutory penalty, the accused person may be charged with, and convicted and sentenced in respect of, either of the offences regardless of when in the relevant period the alleged act or omission occurred.</w:t>
      </w:r>
    </w:p>
    <w:p>
      <w:pPr>
        <w:pStyle w:val="Subsection"/>
      </w:pPr>
      <w:r>
        <w:tab/>
        <w:t>(3)</w:t>
      </w:r>
      <w:r>
        <w:tab/>
        <w:t>If the sexual offences referred to in subsection (1)(c) have different statutory penalties, the accused person may be charged with, and convicted and sentenced in respect of, the offence that has the lesser statutory penalty regardless of when in the relevant period the alleged act or omission occurred.</w:t>
      </w:r>
    </w:p>
    <w:p>
      <w:pPr>
        <w:pStyle w:val="Footnotesection"/>
      </w:pPr>
      <w:r>
        <w:tab/>
        <w:t>[Section 10M inserted: No. 47 of 2020 s. 4.]</w:t>
      </w:r>
    </w:p>
    <w:p>
      <w:pPr>
        <w:pStyle w:val="Heading5"/>
      </w:pPr>
      <w:bookmarkStart w:id="84" w:name="_Toc103864214"/>
      <w:bookmarkStart w:id="85" w:name="_Toc90996513"/>
      <w:r>
        <w:rPr>
          <w:rStyle w:val="CharSectno"/>
        </w:rPr>
        <w:t>10N</w:t>
      </w:r>
      <w:r>
        <w:t>.</w:t>
      </w:r>
      <w:r>
        <w:tab/>
        <w:t>Charge of sexual offence when victim’s age uncertain</w:t>
      </w:r>
      <w:bookmarkEnd w:id="84"/>
      <w:bookmarkEnd w:id="85"/>
    </w:p>
    <w:p>
      <w:pPr>
        <w:pStyle w:val="Subsection"/>
      </w:pPr>
      <w:r>
        <w:tab/>
        <w:t>(1)</w:t>
      </w:r>
      <w:r>
        <w:tab/>
        <w:t xml:space="preserve">This section applies in relation to an alleged act or omission in respect of a person (the </w:t>
      </w:r>
      <w:r>
        <w:rPr>
          <w:rStyle w:val="CharDefText"/>
        </w:rPr>
        <w:t>victim</w:t>
      </w:r>
      <w:r>
        <w:t>) in the following circumstances —</w:t>
      </w:r>
    </w:p>
    <w:p>
      <w:pPr>
        <w:pStyle w:val="Indenta"/>
      </w:pPr>
      <w:r>
        <w:tab/>
        <w:t>(a)</w:t>
      </w:r>
      <w:r>
        <w:tab/>
        <w:t>the age of the victim at the time of the alleged act or omission is uncertain;</w:t>
      </w:r>
    </w:p>
    <w:p>
      <w:pPr>
        <w:pStyle w:val="Indenta"/>
      </w:pPr>
      <w:r>
        <w:tab/>
        <w:t>(b)</w:t>
      </w:r>
      <w:r>
        <w:tab/>
        <w:t xml:space="preserve">the alleged act or omission, if proved, constituted — </w:t>
      </w:r>
    </w:p>
    <w:p>
      <w:pPr>
        <w:pStyle w:val="Indenti"/>
      </w:pPr>
      <w:r>
        <w:tab/>
        <w:t>(i)</w:t>
      </w:r>
      <w:r>
        <w:tab/>
        <w:t>a sexual offence, if the victim was of a particular age; and</w:t>
      </w:r>
    </w:p>
    <w:p>
      <w:pPr>
        <w:pStyle w:val="Indenti"/>
      </w:pPr>
      <w:r>
        <w:tab/>
        <w:t>(ii)</w:t>
      </w:r>
      <w:r>
        <w:tab/>
        <w:t>a separate and different sexual offence, if the victim was of a different age to that referred to in subparagraph (i).</w:t>
      </w:r>
    </w:p>
    <w:p>
      <w:pPr>
        <w:pStyle w:val="Subsection"/>
      </w:pPr>
      <w:r>
        <w:tab/>
        <w:t>(2)</w:t>
      </w:r>
      <w:r>
        <w:tab/>
        <w:t>If the sexual offences referred to in subsection (1)(b) have the same statutory penalty, the accused person may be charged with, and convicted and sentenced in respect of, either of the offences regardless of the age of the victim at the time of the alleged act or omission.</w:t>
      </w:r>
    </w:p>
    <w:p>
      <w:pPr>
        <w:pStyle w:val="Subsection"/>
      </w:pPr>
      <w:r>
        <w:tab/>
        <w:t>(3)</w:t>
      </w:r>
      <w:r>
        <w:tab/>
        <w:t>If the sexual offences referred to in subsection (1)(b) have different statutory penalties, the accused person may be charged with, and convicted and sentenced in respect of, the offence that has the lesser statutory penalty regardless of the age of the victim at the time of the alleged act or omission.</w:t>
      </w:r>
    </w:p>
    <w:p>
      <w:pPr>
        <w:pStyle w:val="Footnotesection"/>
      </w:pPr>
      <w:r>
        <w:tab/>
        <w:t>[Section 10N inserted: No. 47 of 2020 s. 4.]</w:t>
      </w:r>
    </w:p>
    <w:p>
      <w:pPr>
        <w:pStyle w:val="Heading3"/>
        <w:rPr>
          <w:snapToGrid w:val="0"/>
        </w:rPr>
      </w:pPr>
      <w:bookmarkStart w:id="86" w:name="_Toc103860689"/>
      <w:bookmarkStart w:id="87" w:name="_Toc103861211"/>
      <w:bookmarkStart w:id="88" w:name="_Toc103864215"/>
      <w:bookmarkStart w:id="89" w:name="_Toc90988502"/>
      <w:bookmarkStart w:id="90" w:name="_Toc90989025"/>
      <w:bookmarkStart w:id="91" w:name="_Toc90996514"/>
      <w:r>
        <w:rPr>
          <w:rStyle w:val="CharDivNo"/>
        </w:rPr>
        <w:t>Chapter III</w:t>
      </w:r>
      <w:r>
        <w:rPr>
          <w:snapToGrid w:val="0"/>
        </w:rPr>
        <w:t> — </w:t>
      </w:r>
      <w:r>
        <w:rPr>
          <w:rStyle w:val="CharDivText"/>
        </w:rPr>
        <w:t>Application of criminal law</w:t>
      </w:r>
      <w:bookmarkEnd w:id="86"/>
      <w:bookmarkEnd w:id="87"/>
      <w:bookmarkEnd w:id="88"/>
      <w:bookmarkEnd w:id="89"/>
      <w:bookmarkEnd w:id="90"/>
      <w:bookmarkEnd w:id="91"/>
    </w:p>
    <w:p>
      <w:pPr>
        <w:pStyle w:val="Heading5"/>
        <w:rPr>
          <w:snapToGrid w:val="0"/>
        </w:rPr>
      </w:pPr>
      <w:bookmarkStart w:id="92" w:name="_Toc103864216"/>
      <w:bookmarkStart w:id="93" w:name="_Toc90996515"/>
      <w:r>
        <w:rPr>
          <w:rStyle w:val="CharSectno"/>
        </w:rPr>
        <w:t>11</w:t>
      </w:r>
      <w:r>
        <w:rPr>
          <w:snapToGrid w:val="0"/>
        </w:rPr>
        <w:t>.</w:t>
      </w:r>
      <w:r>
        <w:rPr>
          <w:snapToGrid w:val="0"/>
        </w:rPr>
        <w:tab/>
        <w:t>Effect of changes in law</w:t>
      </w:r>
      <w:bookmarkEnd w:id="92"/>
      <w:bookmarkEnd w:id="93"/>
    </w:p>
    <w:p>
      <w:pPr>
        <w:pStyle w:val="Subsection"/>
        <w:keepNext/>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No. 78 of 1995 s. 26.]</w:t>
      </w:r>
    </w:p>
    <w:p>
      <w:pPr>
        <w:pStyle w:val="Heading5"/>
        <w:keepNext w:val="0"/>
        <w:keepLines w:val="0"/>
        <w:rPr>
          <w:snapToGrid w:val="0"/>
        </w:rPr>
      </w:pPr>
      <w:bookmarkStart w:id="94" w:name="_Toc103864217"/>
      <w:bookmarkStart w:id="95" w:name="_Toc90996516"/>
      <w:r>
        <w:rPr>
          <w:rStyle w:val="CharSectno"/>
        </w:rPr>
        <w:t>12</w:t>
      </w:r>
      <w:r>
        <w:rPr>
          <w:snapToGrid w:val="0"/>
        </w:rPr>
        <w:t>.</w:t>
      </w:r>
      <w:r>
        <w:rPr>
          <w:snapToGrid w:val="0"/>
        </w:rPr>
        <w:tab/>
        <w:t>Territorial application of criminal law</w:t>
      </w:r>
      <w:bookmarkEnd w:id="94"/>
      <w:bookmarkEnd w:id="95"/>
    </w:p>
    <w:p>
      <w:pPr>
        <w:pStyle w:val="Subsection"/>
        <w:rPr>
          <w:snapToGrid w:val="0"/>
        </w:rPr>
      </w:pPr>
      <w:r>
        <w:rPr>
          <w:snapToGrid w:val="0"/>
        </w:rPr>
        <w:tab/>
        <w:t>(1)</w:t>
      </w:r>
      <w:r>
        <w:rPr>
          <w:snapToGrid w:val="0"/>
        </w:rPr>
        <w:tab/>
        <w:t>An offence under this Code or any other law of Western Australia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spacing w:before="140"/>
      </w:pPr>
      <w:r>
        <w:tab/>
        <w:t>[Section 12 inserted: No. 36 of 1996 s. 5(1)</w:t>
      </w:r>
      <w:r>
        <w:rPr>
          <w:i w:val="0"/>
          <w:iCs/>
          <w:vertAlign w:val="superscript"/>
        </w:rPr>
        <w:t> 2</w:t>
      </w:r>
      <w:r>
        <w:t>.]</w:t>
      </w:r>
    </w:p>
    <w:p>
      <w:pPr>
        <w:pStyle w:val="Heading5"/>
        <w:spacing w:before="260"/>
        <w:rPr>
          <w:snapToGrid w:val="0"/>
        </w:rPr>
      </w:pPr>
      <w:bookmarkStart w:id="96" w:name="_Toc103864218"/>
      <w:bookmarkStart w:id="97" w:name="_Toc90996517"/>
      <w:r>
        <w:rPr>
          <w:rStyle w:val="CharSectno"/>
        </w:rPr>
        <w:t>13</w:t>
      </w:r>
      <w:r>
        <w:rPr>
          <w:snapToGrid w:val="0"/>
        </w:rPr>
        <w:t>.</w:t>
      </w:r>
      <w:r>
        <w:rPr>
          <w:snapToGrid w:val="0"/>
        </w:rPr>
        <w:tab/>
        <w:t>Offence aided, counselled or procured by person out of WA</w:t>
      </w:r>
      <w:bookmarkEnd w:id="96"/>
      <w:bookmarkEnd w:id="97"/>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w:t>
      </w:r>
    </w:p>
    <w:p>
      <w:pPr>
        <w:pStyle w:val="Indenta"/>
        <w:spacing w:before="100"/>
        <w:rPr>
          <w:snapToGrid w:val="0"/>
        </w:rPr>
      </w:pPr>
      <w:r>
        <w:rPr>
          <w:snapToGrid w:val="0"/>
        </w:rPr>
        <w:tab/>
        <w:t>(a)</w:t>
      </w:r>
      <w:r>
        <w:rPr>
          <w:snapToGrid w:val="0"/>
        </w:rPr>
        <w:tab/>
        <w:t>enabling or aiding another person to commit the offence; or</w:t>
      </w:r>
    </w:p>
    <w:p>
      <w:pPr>
        <w:pStyle w:val="Indenta"/>
        <w:spacing w:before="100"/>
        <w:rPr>
          <w:snapToGrid w:val="0"/>
        </w:rPr>
      </w:pPr>
      <w:r>
        <w:rPr>
          <w:snapToGrid w:val="0"/>
        </w:rPr>
        <w:tab/>
        <w:t>(b)</w:t>
      </w:r>
      <w:r>
        <w:rPr>
          <w:snapToGrid w:val="0"/>
        </w:rPr>
        <w:tab/>
        <w:t>aiding another person in committing the offence; or</w:t>
      </w:r>
    </w:p>
    <w:p>
      <w:pPr>
        <w:pStyle w:val="Indenta"/>
        <w:keepNext/>
        <w:spacing w:before="100"/>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spacing w:before="140"/>
      </w:pPr>
      <w:r>
        <w:tab/>
        <w:t>[Section 13 inserted: No. 36 of 1996 s. 5(1)</w:t>
      </w:r>
      <w:r>
        <w:rPr>
          <w:i w:val="0"/>
          <w:iCs/>
          <w:vertAlign w:val="superscript"/>
        </w:rPr>
        <w:t> 2</w:t>
      </w:r>
      <w:r>
        <w:t>.]</w:t>
      </w:r>
    </w:p>
    <w:p>
      <w:pPr>
        <w:pStyle w:val="Heading5"/>
        <w:spacing w:before="260"/>
        <w:rPr>
          <w:snapToGrid w:val="0"/>
        </w:rPr>
      </w:pPr>
      <w:bookmarkStart w:id="98" w:name="_Toc103864219"/>
      <w:bookmarkStart w:id="99" w:name="_Toc90996518"/>
      <w:r>
        <w:rPr>
          <w:rStyle w:val="CharSectno"/>
        </w:rPr>
        <w:t>14</w:t>
      </w:r>
      <w:r>
        <w:rPr>
          <w:snapToGrid w:val="0"/>
        </w:rPr>
        <w:t>.</w:t>
      </w:r>
      <w:r>
        <w:rPr>
          <w:snapToGrid w:val="0"/>
        </w:rPr>
        <w:tab/>
        <w:t>Offence procured in WA to be committed out of WA</w:t>
      </w:r>
      <w:bookmarkEnd w:id="98"/>
      <w:bookmarkEnd w:id="99"/>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[Section 14 amended: No. 36 of 1996 s. 6(1)</w:t>
      </w:r>
      <w:r>
        <w:rPr>
          <w:i w:val="0"/>
          <w:iCs/>
          <w:vertAlign w:val="superscript"/>
        </w:rPr>
        <w:t> 3</w:t>
      </w:r>
      <w:r>
        <w:t>.]</w:t>
      </w:r>
    </w:p>
    <w:p>
      <w:pPr>
        <w:pStyle w:val="Ednotesection"/>
      </w:pPr>
      <w:r>
        <w:t>[</w:t>
      </w:r>
      <w:r>
        <w:rPr>
          <w:b/>
        </w:rPr>
        <w:t>14A.</w:t>
      </w:r>
      <w:r>
        <w:tab/>
        <w:t>Deleted: No. 101 of 1990 s. 5.]</w:t>
      </w:r>
    </w:p>
    <w:p>
      <w:pPr>
        <w:pStyle w:val="Heading5"/>
        <w:rPr>
          <w:snapToGrid w:val="0"/>
        </w:rPr>
      </w:pPr>
      <w:bookmarkStart w:id="100" w:name="_Toc103864220"/>
      <w:bookmarkStart w:id="101" w:name="_Toc90996519"/>
      <w:r>
        <w:rPr>
          <w:rStyle w:val="CharSectno"/>
        </w:rPr>
        <w:t>15</w:t>
      </w:r>
      <w:r>
        <w:rPr>
          <w:snapToGrid w:val="0"/>
        </w:rPr>
        <w:t>.</w:t>
      </w:r>
      <w:r>
        <w:rPr>
          <w:snapToGrid w:val="0"/>
        </w:rPr>
        <w:tab/>
        <w:t>Defence force not exempt from Code</w:t>
      </w:r>
      <w:bookmarkEnd w:id="100"/>
      <w:bookmarkEnd w:id="101"/>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No. 101 of 1990 s. 6.]</w:t>
      </w:r>
    </w:p>
    <w:p>
      <w:pPr>
        <w:pStyle w:val="Ednotesection"/>
      </w:pPr>
      <w:r>
        <w:t>[</w:t>
      </w:r>
      <w:r>
        <w:rPr>
          <w:b/>
        </w:rPr>
        <w:t>16.</w:t>
      </w:r>
      <w:r>
        <w:tab/>
        <w:t>Deleted: No. 78 of 1995 s. 26.]</w:t>
      </w:r>
    </w:p>
    <w:p>
      <w:pPr>
        <w:pStyle w:val="Heading5"/>
        <w:rPr>
          <w:snapToGrid w:val="0"/>
        </w:rPr>
      </w:pPr>
      <w:bookmarkStart w:id="102" w:name="_Toc103864221"/>
      <w:bookmarkStart w:id="103" w:name="_Toc90996520"/>
      <w:r>
        <w:rPr>
          <w:rStyle w:val="CharSectno"/>
        </w:rPr>
        <w:t>17</w:t>
      </w:r>
      <w:r>
        <w:rPr>
          <w:snapToGrid w:val="0"/>
        </w:rPr>
        <w:t>.</w:t>
      </w:r>
      <w:r>
        <w:rPr>
          <w:snapToGrid w:val="0"/>
        </w:rPr>
        <w:tab/>
        <w:t>Previous conviction or acquittal a defence</w:t>
      </w:r>
      <w:bookmarkEnd w:id="102"/>
      <w:bookmarkEnd w:id="103"/>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No. 101 of 1990 s. 7; No. 84 of 2004 s. 80; No. 9 of 2012 s. 6.]</w:t>
      </w:r>
    </w:p>
    <w:p>
      <w:pPr>
        <w:pStyle w:val="Ednotedivision"/>
      </w:pPr>
      <w:r>
        <w:t>[Chapter IV (s. 17A</w:t>
      </w:r>
      <w:r>
        <w:noBreakHyphen/>
        <w:t>17D, 18, 19, 19A, 19B, 20, 21, 21A) deleted: No. 78 of 1995 s. 26.]</w:t>
      </w:r>
    </w:p>
    <w:p>
      <w:pPr>
        <w:pStyle w:val="Heading3"/>
        <w:rPr>
          <w:snapToGrid w:val="0"/>
        </w:rPr>
      </w:pPr>
      <w:bookmarkStart w:id="104" w:name="_Toc103860696"/>
      <w:bookmarkStart w:id="105" w:name="_Toc103861218"/>
      <w:bookmarkStart w:id="106" w:name="_Toc103864222"/>
      <w:bookmarkStart w:id="107" w:name="_Toc90988509"/>
      <w:bookmarkStart w:id="108" w:name="_Toc90989032"/>
      <w:bookmarkStart w:id="109" w:name="_Toc90996521"/>
      <w:r>
        <w:rPr>
          <w:rStyle w:val="CharDivNo"/>
        </w:rPr>
        <w:t>Chapter V</w:t>
      </w:r>
      <w:r>
        <w:rPr>
          <w:snapToGrid w:val="0"/>
        </w:rPr>
        <w:t> — </w:t>
      </w:r>
      <w:r>
        <w:rPr>
          <w:rStyle w:val="CharDivText"/>
        </w:rPr>
        <w:t>Criminal responsibility</w:t>
      </w:r>
      <w:bookmarkEnd w:id="104"/>
      <w:bookmarkEnd w:id="105"/>
      <w:bookmarkEnd w:id="106"/>
      <w:bookmarkEnd w:id="107"/>
      <w:bookmarkEnd w:id="108"/>
      <w:bookmarkEnd w:id="109"/>
    </w:p>
    <w:p>
      <w:pPr>
        <w:pStyle w:val="Heading5"/>
        <w:rPr>
          <w:snapToGrid w:val="0"/>
        </w:rPr>
      </w:pPr>
      <w:bookmarkStart w:id="110" w:name="_Toc103864223"/>
      <w:bookmarkStart w:id="111" w:name="_Toc90996522"/>
      <w:r>
        <w:rPr>
          <w:rStyle w:val="CharSectno"/>
        </w:rPr>
        <w:t>22</w:t>
      </w:r>
      <w:r>
        <w:rPr>
          <w:snapToGrid w:val="0"/>
        </w:rPr>
        <w:t>.</w:t>
      </w:r>
      <w:r>
        <w:rPr>
          <w:snapToGrid w:val="0"/>
        </w:rPr>
        <w:tab/>
        <w:t>Ignorance of law, honest claim of right</w:t>
      </w:r>
      <w:bookmarkEnd w:id="110"/>
      <w:bookmarkEnd w:id="111"/>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spacing w:before="140"/>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112" w:name="_Toc103864224"/>
      <w:bookmarkStart w:id="113" w:name="_Toc90996523"/>
      <w:r>
        <w:rPr>
          <w:rStyle w:val="CharSectno"/>
        </w:rPr>
        <w:t>23</w:t>
      </w:r>
      <w:r>
        <w:t>.</w:t>
      </w:r>
      <w:r>
        <w:tab/>
        <w:t>Intention and motive</w:t>
      </w:r>
      <w:bookmarkEnd w:id="112"/>
      <w:bookmarkEnd w:id="113"/>
    </w:p>
    <w:p>
      <w:pPr>
        <w:pStyle w:val="Subsection"/>
        <w:spacing w:before="140"/>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pPr>
      <w:r>
        <w:tab/>
        <w:t>(2)</w:t>
      </w:r>
      <w:r>
        <w:tab/>
        <w:t>Unless otherwise expressly declared, the motive by which a person is induced to do or omit to do an act, or to form an intention, is immaterial so far as regards criminal responsibility.</w:t>
      </w:r>
    </w:p>
    <w:p>
      <w:pPr>
        <w:pStyle w:val="Footnotesection"/>
        <w:spacing w:before="100"/>
      </w:pPr>
      <w:r>
        <w:tab/>
        <w:t>[Section 23 inserted: No. 29 of 2008 s. 4.]</w:t>
      </w:r>
    </w:p>
    <w:p>
      <w:pPr>
        <w:pStyle w:val="Heading5"/>
      </w:pPr>
      <w:bookmarkStart w:id="114" w:name="_Toc103864225"/>
      <w:bookmarkStart w:id="115" w:name="_Toc90996524"/>
      <w:r>
        <w:rPr>
          <w:rStyle w:val="CharSectno"/>
        </w:rPr>
        <w:t>23A</w:t>
      </w:r>
      <w:r>
        <w:t>.</w:t>
      </w:r>
      <w:r>
        <w:tab/>
        <w:t>Unwilled acts and omissions</w:t>
      </w:r>
      <w:bookmarkEnd w:id="114"/>
      <w:bookmarkEnd w:id="115"/>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act or omission which occurs independently of the exercise of the person’s will.</w:t>
      </w:r>
    </w:p>
    <w:p>
      <w:pPr>
        <w:pStyle w:val="Footnotesection"/>
        <w:ind w:left="890" w:hanging="890"/>
      </w:pPr>
      <w:r>
        <w:tab/>
        <w:t>[Section 23A inserted: No. 29 of 2008 s. 4; amended: No. 43 of 2009 s. 6.]</w:t>
      </w:r>
    </w:p>
    <w:p>
      <w:pPr>
        <w:pStyle w:val="Heading5"/>
      </w:pPr>
      <w:bookmarkStart w:id="116" w:name="_Toc103864226"/>
      <w:bookmarkStart w:id="117" w:name="_Toc90996525"/>
      <w:r>
        <w:rPr>
          <w:rStyle w:val="CharSectno"/>
        </w:rPr>
        <w:t>23B</w:t>
      </w:r>
      <w:r>
        <w:t>.</w:t>
      </w:r>
      <w:r>
        <w:tab/>
        <w:t>Accident</w:t>
      </w:r>
      <w:bookmarkEnd w:id="116"/>
      <w:bookmarkEnd w:id="117"/>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event which occurs by accident.</w:t>
      </w:r>
    </w:p>
    <w:p>
      <w:pPr>
        <w:pStyle w:val="Subsection"/>
        <w:spacing w:before="140"/>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No. 29 of 2008 s. 4; amended: No. 43 of 2009 s. 7.]</w:t>
      </w:r>
    </w:p>
    <w:p>
      <w:pPr>
        <w:pStyle w:val="Heading5"/>
        <w:rPr>
          <w:snapToGrid w:val="0"/>
        </w:rPr>
      </w:pPr>
      <w:bookmarkStart w:id="118" w:name="_Toc103864227"/>
      <w:bookmarkStart w:id="119" w:name="_Toc90996526"/>
      <w:r>
        <w:rPr>
          <w:rStyle w:val="CharSectno"/>
        </w:rPr>
        <w:t>24</w:t>
      </w:r>
      <w:r>
        <w:rPr>
          <w:snapToGrid w:val="0"/>
        </w:rPr>
        <w:t>.</w:t>
      </w:r>
      <w:r>
        <w:rPr>
          <w:snapToGrid w:val="0"/>
        </w:rPr>
        <w:tab/>
        <w:t>Mistake of fact</w:t>
      </w:r>
      <w:bookmarkEnd w:id="118"/>
      <w:bookmarkEnd w:id="119"/>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120" w:name="_Toc103864228"/>
      <w:bookmarkStart w:id="121" w:name="_Toc90996527"/>
      <w:r>
        <w:rPr>
          <w:rStyle w:val="CharSectno"/>
        </w:rPr>
        <w:t>25</w:t>
      </w:r>
      <w:r>
        <w:t>.</w:t>
      </w:r>
      <w:r>
        <w:tab/>
        <w:t>Emergency</w:t>
      </w:r>
      <w:bookmarkEnd w:id="120"/>
      <w:bookmarkEnd w:id="121"/>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No. 29 of 2008 s. 5.]</w:t>
      </w:r>
    </w:p>
    <w:p>
      <w:pPr>
        <w:pStyle w:val="Heading5"/>
        <w:spacing w:before="180"/>
        <w:rPr>
          <w:snapToGrid w:val="0"/>
        </w:rPr>
      </w:pPr>
      <w:bookmarkStart w:id="122" w:name="_Toc103864229"/>
      <w:bookmarkStart w:id="123" w:name="_Toc90996528"/>
      <w:r>
        <w:rPr>
          <w:rStyle w:val="CharSectno"/>
        </w:rPr>
        <w:t>26</w:t>
      </w:r>
      <w:r>
        <w:rPr>
          <w:snapToGrid w:val="0"/>
        </w:rPr>
        <w:t>.</w:t>
      </w:r>
      <w:r>
        <w:rPr>
          <w:snapToGrid w:val="0"/>
        </w:rPr>
        <w:tab/>
        <w:t>Presumption of sanity</w:t>
      </w:r>
      <w:bookmarkEnd w:id="122"/>
      <w:bookmarkEnd w:id="123"/>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spacing w:before="180"/>
        <w:rPr>
          <w:snapToGrid w:val="0"/>
        </w:rPr>
      </w:pPr>
      <w:bookmarkStart w:id="124" w:name="_Toc103864230"/>
      <w:bookmarkStart w:id="125" w:name="_Toc90996529"/>
      <w:r>
        <w:rPr>
          <w:rStyle w:val="CharSectno"/>
        </w:rPr>
        <w:t>27</w:t>
      </w:r>
      <w:r>
        <w:rPr>
          <w:snapToGrid w:val="0"/>
        </w:rPr>
        <w:t>.</w:t>
      </w:r>
      <w:r>
        <w:rPr>
          <w:snapToGrid w:val="0"/>
        </w:rPr>
        <w:tab/>
        <w:t>Insanity</w:t>
      </w:r>
      <w:bookmarkEnd w:id="124"/>
      <w:bookmarkEnd w:id="125"/>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No. 69 of 1996 s. 7; No. 44 of 2009 s. 9.]</w:t>
      </w:r>
    </w:p>
    <w:p>
      <w:pPr>
        <w:pStyle w:val="Heading5"/>
        <w:rPr>
          <w:snapToGrid w:val="0"/>
        </w:rPr>
      </w:pPr>
      <w:bookmarkStart w:id="126" w:name="_Toc103864231"/>
      <w:bookmarkStart w:id="127" w:name="_Toc90996530"/>
      <w:r>
        <w:rPr>
          <w:rStyle w:val="CharSectno"/>
        </w:rPr>
        <w:t>28</w:t>
      </w:r>
      <w:r>
        <w:rPr>
          <w:snapToGrid w:val="0"/>
        </w:rPr>
        <w:t>.</w:t>
      </w:r>
      <w:r>
        <w:rPr>
          <w:snapToGrid w:val="0"/>
        </w:rPr>
        <w:tab/>
        <w:t>Intoxication</w:t>
      </w:r>
      <w:bookmarkEnd w:id="126"/>
      <w:bookmarkEnd w:id="127"/>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No. 44 of 2009 s. 10.]</w:t>
      </w:r>
    </w:p>
    <w:p>
      <w:pPr>
        <w:pStyle w:val="Heading5"/>
        <w:rPr>
          <w:snapToGrid w:val="0"/>
        </w:rPr>
      </w:pPr>
      <w:bookmarkStart w:id="128" w:name="_Toc103864232"/>
      <w:bookmarkStart w:id="129" w:name="_Toc90996531"/>
      <w:r>
        <w:rPr>
          <w:rStyle w:val="CharSectno"/>
        </w:rPr>
        <w:t>29</w:t>
      </w:r>
      <w:r>
        <w:rPr>
          <w:snapToGrid w:val="0"/>
        </w:rPr>
        <w:t>.</w:t>
      </w:r>
      <w:r>
        <w:rPr>
          <w:snapToGrid w:val="0"/>
        </w:rPr>
        <w:tab/>
        <w:t>Immature age</w:t>
      </w:r>
      <w:bookmarkEnd w:id="128"/>
      <w:bookmarkEnd w:id="129"/>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ind w:left="890" w:hanging="890"/>
      </w:pPr>
      <w:r>
        <w:tab/>
        <w:t>[Section 29 amended: No. 74 of 1985 s. 4; No. 49 of 1988 s. 44.]</w:t>
      </w:r>
    </w:p>
    <w:p>
      <w:pPr>
        <w:pStyle w:val="Heading5"/>
        <w:rPr>
          <w:snapToGrid w:val="0"/>
        </w:rPr>
      </w:pPr>
      <w:bookmarkStart w:id="130" w:name="_Toc103864233"/>
      <w:bookmarkStart w:id="131" w:name="_Toc90996532"/>
      <w:r>
        <w:rPr>
          <w:rStyle w:val="CharSectno"/>
        </w:rPr>
        <w:t>30</w:t>
      </w:r>
      <w:r>
        <w:rPr>
          <w:snapToGrid w:val="0"/>
        </w:rPr>
        <w:t>.</w:t>
      </w:r>
      <w:r>
        <w:rPr>
          <w:snapToGrid w:val="0"/>
        </w:rPr>
        <w:tab/>
        <w:t>Judicial officers</w:t>
      </w:r>
      <w:bookmarkEnd w:id="130"/>
      <w:bookmarkEnd w:id="131"/>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132" w:name="_Toc103864234"/>
      <w:bookmarkStart w:id="133" w:name="_Toc90996533"/>
      <w:r>
        <w:rPr>
          <w:rStyle w:val="CharSectno"/>
        </w:rPr>
        <w:t>31</w:t>
      </w:r>
      <w:r>
        <w:t>.</w:t>
      </w:r>
      <w:r>
        <w:tab/>
        <w:t>Lawful authority</w:t>
      </w:r>
      <w:bookmarkEnd w:id="132"/>
      <w:bookmarkEnd w:id="133"/>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No. 29 of 2008 s. 6.]</w:t>
      </w:r>
    </w:p>
    <w:p>
      <w:pPr>
        <w:pStyle w:val="Heading5"/>
      </w:pPr>
      <w:bookmarkStart w:id="134" w:name="_Toc103864235"/>
      <w:bookmarkStart w:id="135" w:name="_Toc90996534"/>
      <w:r>
        <w:rPr>
          <w:rStyle w:val="CharSectno"/>
        </w:rPr>
        <w:t>32</w:t>
      </w:r>
      <w:r>
        <w:t>.</w:t>
      </w:r>
      <w:r>
        <w:tab/>
        <w:t>Duress</w:t>
      </w:r>
      <w:bookmarkEnd w:id="134"/>
      <w:bookmarkEnd w:id="135"/>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No. 29 of 2008 s. 6.]</w:t>
      </w:r>
    </w:p>
    <w:p>
      <w:pPr>
        <w:pStyle w:val="Ednotesection"/>
      </w:pPr>
      <w:r>
        <w:t>[</w:t>
      </w:r>
      <w:r>
        <w:rPr>
          <w:b/>
        </w:rPr>
        <w:t>33</w:t>
      </w:r>
      <w:r>
        <w:rPr>
          <w:b/>
          <w:bCs/>
        </w:rPr>
        <w:t>.</w:t>
      </w:r>
      <w:r>
        <w:tab/>
        <w:t>Deleted: No. 106 of 1987 s. 6.]</w:t>
      </w:r>
    </w:p>
    <w:p>
      <w:pPr>
        <w:pStyle w:val="Heading5"/>
        <w:rPr>
          <w:snapToGrid w:val="0"/>
        </w:rPr>
      </w:pPr>
      <w:bookmarkStart w:id="136" w:name="_Toc103864236"/>
      <w:bookmarkStart w:id="137" w:name="_Toc90996535"/>
      <w:r>
        <w:rPr>
          <w:rStyle w:val="CharSectno"/>
        </w:rPr>
        <w:t>34</w:t>
      </w:r>
      <w:r>
        <w:rPr>
          <w:snapToGrid w:val="0"/>
        </w:rPr>
        <w:t>.</w:t>
      </w:r>
      <w:r>
        <w:rPr>
          <w:snapToGrid w:val="0"/>
        </w:rPr>
        <w:tab/>
        <w:t>Offences by partners and members of companies with respect to partnership or corporate property</w:t>
      </w:r>
      <w:bookmarkEnd w:id="136"/>
      <w:bookmarkEnd w:id="137"/>
    </w:p>
    <w:p>
      <w:pPr>
        <w:pStyle w:val="Subsection"/>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No. 28 of 2003 s. 118(3).]</w:t>
      </w:r>
    </w:p>
    <w:p>
      <w:pPr>
        <w:pStyle w:val="Heading5"/>
        <w:rPr>
          <w:snapToGrid w:val="0"/>
        </w:rPr>
      </w:pPr>
      <w:bookmarkStart w:id="138" w:name="_Toc103864237"/>
      <w:bookmarkStart w:id="139" w:name="_Toc90996536"/>
      <w:r>
        <w:rPr>
          <w:rStyle w:val="CharSectno"/>
        </w:rPr>
        <w:t>36</w:t>
      </w:r>
      <w:r>
        <w:rPr>
          <w:snapToGrid w:val="0"/>
        </w:rPr>
        <w:t>.</w:t>
      </w:r>
      <w:r>
        <w:rPr>
          <w:snapToGrid w:val="0"/>
        </w:rPr>
        <w:tab/>
        <w:t>Application of Chapter V</w:t>
      </w:r>
      <w:bookmarkEnd w:id="138"/>
      <w:bookmarkEnd w:id="139"/>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2"/>
      </w:pPr>
      <w:bookmarkStart w:id="140" w:name="_Toc103860712"/>
      <w:bookmarkStart w:id="141" w:name="_Toc103861234"/>
      <w:bookmarkStart w:id="142" w:name="_Toc103864238"/>
      <w:bookmarkStart w:id="143" w:name="_Toc90988525"/>
      <w:bookmarkStart w:id="144" w:name="_Toc90989048"/>
      <w:bookmarkStart w:id="145" w:name="_Toc90996537"/>
      <w:r>
        <w:rPr>
          <w:rStyle w:val="CharPartNo"/>
        </w:rPr>
        <w:t>Part II</w:t>
      </w:r>
      <w:r>
        <w:t> — </w:t>
      </w:r>
      <w:r>
        <w:rPr>
          <w:rStyle w:val="CharPartText"/>
        </w:rPr>
        <w:t>Offences against public order</w:t>
      </w:r>
      <w:bookmarkEnd w:id="140"/>
      <w:bookmarkEnd w:id="141"/>
      <w:bookmarkEnd w:id="142"/>
      <w:bookmarkEnd w:id="143"/>
      <w:bookmarkEnd w:id="144"/>
      <w:bookmarkEnd w:id="145"/>
    </w:p>
    <w:p>
      <w:pPr>
        <w:pStyle w:val="Ednotedivision"/>
        <w:spacing w:before="240"/>
      </w:pPr>
      <w:r>
        <w:t>[Chapter VI (s. 37</w:t>
      </w:r>
      <w:r>
        <w:noBreakHyphen/>
        <w:t>43) deleted: No. 70 of 1988 s. 8(1).]</w:t>
      </w:r>
    </w:p>
    <w:p>
      <w:pPr>
        <w:pStyle w:val="Heading3"/>
        <w:spacing w:before="260"/>
        <w:rPr>
          <w:snapToGrid w:val="0"/>
        </w:rPr>
      </w:pPr>
      <w:bookmarkStart w:id="146" w:name="_Toc103860713"/>
      <w:bookmarkStart w:id="147" w:name="_Toc103861235"/>
      <w:bookmarkStart w:id="148" w:name="_Toc103864239"/>
      <w:bookmarkStart w:id="149" w:name="_Toc90988526"/>
      <w:bookmarkStart w:id="150" w:name="_Toc90989049"/>
      <w:bookmarkStart w:id="151" w:name="_Toc90996538"/>
      <w:r>
        <w:rPr>
          <w:rStyle w:val="CharDivNo"/>
        </w:rPr>
        <w:t>Chapter VII</w:t>
      </w:r>
      <w:r>
        <w:rPr>
          <w:snapToGrid w:val="0"/>
        </w:rPr>
        <w:t> — </w:t>
      </w:r>
      <w:r>
        <w:rPr>
          <w:rStyle w:val="CharDivText"/>
        </w:rPr>
        <w:t>Sedition</w:t>
      </w:r>
      <w:bookmarkEnd w:id="146"/>
      <w:bookmarkEnd w:id="147"/>
      <w:bookmarkEnd w:id="148"/>
      <w:bookmarkEnd w:id="149"/>
      <w:bookmarkEnd w:id="150"/>
      <w:bookmarkEnd w:id="151"/>
    </w:p>
    <w:p>
      <w:pPr>
        <w:pStyle w:val="Heading5"/>
        <w:spacing w:before="240"/>
        <w:rPr>
          <w:snapToGrid w:val="0"/>
        </w:rPr>
      </w:pPr>
      <w:bookmarkStart w:id="152" w:name="_Toc103864240"/>
      <w:bookmarkStart w:id="153" w:name="_Toc90996539"/>
      <w:r>
        <w:rPr>
          <w:rStyle w:val="CharSectno"/>
        </w:rPr>
        <w:t>44</w:t>
      </w:r>
      <w:r>
        <w:rPr>
          <w:snapToGrid w:val="0"/>
        </w:rPr>
        <w:t>.</w:t>
      </w:r>
      <w:r>
        <w:rPr>
          <w:snapToGrid w:val="0"/>
        </w:rPr>
        <w:tab/>
        <w:t xml:space="preserve">Term used: </w:t>
      </w:r>
      <w:r>
        <w:rPr>
          <w:rStyle w:val="CharDefText"/>
          <w:b/>
          <w:bCs/>
          <w:i w:val="0"/>
          <w:iCs/>
        </w:rPr>
        <w:t>seditious intention</w:t>
      </w:r>
      <w:bookmarkEnd w:id="152"/>
      <w:bookmarkEnd w:id="153"/>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No. 44 of 2009 s. 11.]</w:t>
      </w:r>
    </w:p>
    <w:p>
      <w:pPr>
        <w:pStyle w:val="Heading5"/>
        <w:spacing w:before="240"/>
        <w:rPr>
          <w:snapToGrid w:val="0"/>
        </w:rPr>
      </w:pPr>
      <w:bookmarkStart w:id="154" w:name="_Toc103864241"/>
      <w:bookmarkStart w:id="155" w:name="_Toc90996540"/>
      <w:r>
        <w:rPr>
          <w:rStyle w:val="CharSectno"/>
        </w:rPr>
        <w:t>45</w:t>
      </w:r>
      <w:r>
        <w:rPr>
          <w:snapToGrid w:val="0"/>
        </w:rPr>
        <w:t>.</w:t>
      </w:r>
      <w:r>
        <w:rPr>
          <w:snapToGrid w:val="0"/>
        </w:rPr>
        <w:tab/>
        <w:t>Acts excepted from s. 44</w:t>
      </w:r>
      <w:bookmarkEnd w:id="154"/>
      <w:bookmarkEnd w:id="155"/>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156" w:name="_Toc103864242"/>
      <w:bookmarkStart w:id="157" w:name="_Toc90996541"/>
      <w:r>
        <w:rPr>
          <w:rStyle w:val="CharSectno"/>
        </w:rPr>
        <w:t>46</w:t>
      </w:r>
      <w:r>
        <w:rPr>
          <w:snapToGrid w:val="0"/>
        </w:rPr>
        <w:t>.</w:t>
      </w:r>
      <w:r>
        <w:rPr>
          <w:snapToGrid w:val="0"/>
        </w:rPr>
        <w:tab/>
        <w:t xml:space="preserve">Terms used: </w:t>
      </w:r>
      <w:r>
        <w:rPr>
          <w:rStyle w:val="CharDefText"/>
          <w:b/>
          <w:bCs/>
          <w:i w:val="0"/>
          <w:iCs/>
        </w:rPr>
        <w:t>seditious enterprise</w:t>
      </w:r>
      <w:r>
        <w:t xml:space="preserve">, </w:t>
      </w:r>
      <w:r>
        <w:rPr>
          <w:rStyle w:val="CharDefText"/>
          <w:b/>
          <w:bCs/>
          <w:i w:val="0"/>
          <w:iCs/>
        </w:rPr>
        <w:t>seditious words</w:t>
      </w:r>
      <w:r>
        <w:t>, seditious writing</w:t>
      </w:r>
      <w:bookmarkEnd w:id="156"/>
      <w:bookmarkEnd w:id="157"/>
    </w:p>
    <w:p>
      <w:pPr>
        <w:pStyle w:val="Subsection"/>
        <w:spacing w:before="12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20"/>
        <w:rPr>
          <w:snapToGrid w:val="0"/>
        </w:rPr>
      </w:pPr>
      <w:r>
        <w:rPr>
          <w:snapToGrid w:val="0"/>
        </w:rPr>
        <w:tab/>
      </w:r>
      <w:r>
        <w:rPr>
          <w:snapToGrid w:val="0"/>
        </w:rPr>
        <w:tab/>
        <w:t>Seditious words are words expressive of a seditious intention.</w:t>
      </w:r>
    </w:p>
    <w:p>
      <w:pPr>
        <w:pStyle w:val="Subsection"/>
        <w:spacing w:before="12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158" w:name="_Toc103864243"/>
      <w:bookmarkStart w:id="159" w:name="_Toc90996542"/>
      <w:r>
        <w:rPr>
          <w:rStyle w:val="CharSectno"/>
        </w:rPr>
        <w:t>47</w:t>
      </w:r>
      <w:r>
        <w:rPr>
          <w:snapToGrid w:val="0"/>
        </w:rPr>
        <w:t>.</w:t>
      </w:r>
      <w:r>
        <w:rPr>
          <w:snapToGrid w:val="0"/>
        </w:rPr>
        <w:tab/>
        <w:t>Oath to kill person</w:t>
      </w:r>
      <w:bookmarkEnd w:id="158"/>
      <w:bookmarkEnd w:id="159"/>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No. 118 of 1981 s. 4; No. 52 of 1984 s. 10; No. 51 of 1992 s. 16(2); No. 29 of 2008 s. 16(1).]</w:t>
      </w:r>
    </w:p>
    <w:p>
      <w:pPr>
        <w:pStyle w:val="Heading5"/>
        <w:spacing w:before="180"/>
        <w:rPr>
          <w:snapToGrid w:val="0"/>
        </w:rPr>
      </w:pPr>
      <w:bookmarkStart w:id="160" w:name="_Toc103864244"/>
      <w:bookmarkStart w:id="161" w:name="_Toc90996543"/>
      <w:r>
        <w:rPr>
          <w:rStyle w:val="CharSectno"/>
        </w:rPr>
        <w:t>48</w:t>
      </w:r>
      <w:r>
        <w:rPr>
          <w:snapToGrid w:val="0"/>
        </w:rPr>
        <w:t>.</w:t>
      </w:r>
      <w:r>
        <w:rPr>
          <w:snapToGrid w:val="0"/>
        </w:rPr>
        <w:tab/>
        <w:t>Other unlawful oaths</w:t>
      </w:r>
      <w:bookmarkEnd w:id="160"/>
      <w:bookmarkEnd w:id="161"/>
    </w:p>
    <w:p>
      <w:pPr>
        <w:pStyle w:val="Subsection"/>
        <w:keepNext/>
        <w:keepLines/>
        <w:spacing w:before="120"/>
        <w:rPr>
          <w:snapToGrid w:val="0"/>
        </w:rPr>
      </w:pPr>
      <w:r>
        <w:rPr>
          <w:snapToGrid w:val="0"/>
        </w:rPr>
        <w:tab/>
      </w:r>
      <w:r>
        <w:rPr>
          <w:snapToGrid w:val="0"/>
        </w:rPr>
        <w:tab/>
        <w:t>Any person who —</w:t>
      </w:r>
    </w:p>
    <w:p>
      <w:pPr>
        <w:pStyle w:val="Indenta"/>
        <w:spacing w:before="1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4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6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No. 52 of 1984 s. 11; No. 70 of 1988 s. 8(2); No. 51 of 1992 s. 16(2); No. 29 of 2008 s. 16(2).]</w:t>
      </w:r>
    </w:p>
    <w:p>
      <w:pPr>
        <w:pStyle w:val="Heading5"/>
        <w:spacing w:before="240"/>
        <w:rPr>
          <w:snapToGrid w:val="0"/>
        </w:rPr>
      </w:pPr>
      <w:bookmarkStart w:id="162" w:name="_Toc103864245"/>
      <w:bookmarkStart w:id="163" w:name="_Toc90996544"/>
      <w:r>
        <w:rPr>
          <w:rStyle w:val="CharSectno"/>
        </w:rPr>
        <w:t>49</w:t>
      </w:r>
      <w:r>
        <w:rPr>
          <w:snapToGrid w:val="0"/>
        </w:rPr>
        <w:t>.</w:t>
      </w:r>
      <w:r>
        <w:rPr>
          <w:snapToGrid w:val="0"/>
        </w:rPr>
        <w:tab/>
        <w:t>Compulsion, how far a defence to s. 47 and 48</w:t>
      </w:r>
      <w:bookmarkEnd w:id="162"/>
      <w:bookmarkEnd w:id="163"/>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No. 44 of 2009 s. 12.]</w:t>
      </w:r>
    </w:p>
    <w:p>
      <w:pPr>
        <w:pStyle w:val="Ednotesection"/>
        <w:spacing w:before="240"/>
        <w:ind w:left="890" w:hanging="890"/>
      </w:pPr>
      <w:r>
        <w:t>[</w:t>
      </w:r>
      <w:r>
        <w:rPr>
          <w:b/>
        </w:rPr>
        <w:t>50</w:t>
      </w:r>
      <w:r>
        <w:rPr>
          <w:b/>
          <w:bCs/>
        </w:rPr>
        <w:t>.</w:t>
      </w:r>
      <w:r>
        <w:tab/>
        <w:t>Deleted: No. 70 of 1988 s. 8(1).]</w:t>
      </w:r>
    </w:p>
    <w:p>
      <w:pPr>
        <w:pStyle w:val="Heading5"/>
        <w:spacing w:before="240"/>
        <w:rPr>
          <w:snapToGrid w:val="0"/>
        </w:rPr>
      </w:pPr>
      <w:bookmarkStart w:id="164" w:name="_Toc103864246"/>
      <w:bookmarkStart w:id="165" w:name="_Toc90996545"/>
      <w:r>
        <w:rPr>
          <w:rStyle w:val="CharSectno"/>
        </w:rPr>
        <w:t>51</w:t>
      </w:r>
      <w:r>
        <w:rPr>
          <w:snapToGrid w:val="0"/>
        </w:rPr>
        <w:t>.</w:t>
      </w:r>
      <w:r>
        <w:rPr>
          <w:snapToGrid w:val="0"/>
        </w:rPr>
        <w:tab/>
        <w:t>Unlawful military activities</w:t>
      </w:r>
      <w:bookmarkEnd w:id="164"/>
      <w:bookmarkEnd w:id="165"/>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No. 119 of 1985 s. 30; No. 51 of 1992 s. 16(2); No. 70 of 2004 s. 34(1).]</w:t>
      </w:r>
    </w:p>
    <w:p>
      <w:pPr>
        <w:pStyle w:val="Heading5"/>
        <w:spacing w:before="240"/>
        <w:rPr>
          <w:snapToGrid w:val="0"/>
        </w:rPr>
      </w:pPr>
      <w:bookmarkStart w:id="166" w:name="_Toc103864247"/>
      <w:bookmarkStart w:id="167" w:name="_Toc90996546"/>
      <w:r>
        <w:rPr>
          <w:rStyle w:val="CharSectno"/>
        </w:rPr>
        <w:t>52</w:t>
      </w:r>
      <w:r>
        <w:rPr>
          <w:snapToGrid w:val="0"/>
        </w:rPr>
        <w:t>.</w:t>
      </w:r>
      <w:r>
        <w:rPr>
          <w:snapToGrid w:val="0"/>
        </w:rPr>
        <w:tab/>
        <w:t>Sedition</w:t>
      </w:r>
      <w:bookmarkEnd w:id="166"/>
      <w:bookmarkEnd w:id="167"/>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spacing w:before="180"/>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spacing w:before="180"/>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No. 70 of 1988 s. 31; No. 51 of 1992 s. 16(2); No. 70 of 2004 s. 34(1); No. 84 of 2004 s. 27(1).]</w:t>
      </w:r>
    </w:p>
    <w:p>
      <w:pPr>
        <w:pStyle w:val="Ednotesection"/>
      </w:pPr>
      <w:r>
        <w:t>[</w:t>
      </w:r>
      <w:r>
        <w:rPr>
          <w:b/>
          <w:bCs/>
        </w:rPr>
        <w:t>53.</w:t>
      </w:r>
      <w:r>
        <w:tab/>
        <w:t>Deleted: No. 44 of 2005 s. 47.]</w:t>
      </w:r>
    </w:p>
    <w:p>
      <w:pPr>
        <w:pStyle w:val="Heading3"/>
        <w:keepNext w:val="0"/>
        <w:pageBreakBefore/>
        <w:spacing w:before="0"/>
        <w:rPr>
          <w:snapToGrid w:val="0"/>
        </w:rPr>
      </w:pPr>
      <w:bookmarkStart w:id="168" w:name="_Toc103860722"/>
      <w:bookmarkStart w:id="169" w:name="_Toc103861244"/>
      <w:bookmarkStart w:id="170" w:name="_Toc103864248"/>
      <w:bookmarkStart w:id="171" w:name="_Toc90988535"/>
      <w:bookmarkStart w:id="172" w:name="_Toc90989058"/>
      <w:bookmarkStart w:id="173" w:name="_Toc90996547"/>
      <w:r>
        <w:rPr>
          <w:rStyle w:val="CharDivNo"/>
        </w:rPr>
        <w:t>Chapter VIII</w:t>
      </w:r>
      <w:r>
        <w:rPr>
          <w:snapToGrid w:val="0"/>
        </w:rPr>
        <w:t> — </w:t>
      </w:r>
      <w:r>
        <w:rPr>
          <w:rStyle w:val="CharDivText"/>
        </w:rPr>
        <w:t>Offences against the executive and legislative power</w:t>
      </w:r>
      <w:bookmarkEnd w:id="168"/>
      <w:bookmarkEnd w:id="169"/>
      <w:bookmarkEnd w:id="170"/>
      <w:bookmarkEnd w:id="171"/>
      <w:bookmarkEnd w:id="172"/>
      <w:bookmarkEnd w:id="173"/>
    </w:p>
    <w:p>
      <w:pPr>
        <w:pStyle w:val="Heading5"/>
        <w:rPr>
          <w:snapToGrid w:val="0"/>
        </w:rPr>
      </w:pPr>
      <w:bookmarkStart w:id="174" w:name="_Toc103864249"/>
      <w:bookmarkStart w:id="175" w:name="_Toc90996548"/>
      <w:r>
        <w:rPr>
          <w:rStyle w:val="CharSectno"/>
        </w:rPr>
        <w:t>54</w:t>
      </w:r>
      <w:r>
        <w:rPr>
          <w:snapToGrid w:val="0"/>
        </w:rPr>
        <w:t>.</w:t>
      </w:r>
      <w:r>
        <w:rPr>
          <w:snapToGrid w:val="0"/>
        </w:rPr>
        <w:tab/>
        <w:t>Interfering with Governor or Ministers</w:t>
      </w:r>
      <w:bookmarkEnd w:id="174"/>
      <w:bookmarkEnd w:id="17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No. 70 of 1988 s. 9; No. 82 of 1994 s. 12; No. 70 of 2004 s. 34(1) and 35(2).]</w:t>
      </w:r>
    </w:p>
    <w:p>
      <w:pPr>
        <w:pStyle w:val="Heading5"/>
        <w:spacing w:before="240"/>
        <w:rPr>
          <w:snapToGrid w:val="0"/>
        </w:rPr>
      </w:pPr>
      <w:bookmarkStart w:id="176" w:name="_Toc103864250"/>
      <w:bookmarkStart w:id="177" w:name="_Toc90996549"/>
      <w:r>
        <w:rPr>
          <w:rStyle w:val="CharSectno"/>
        </w:rPr>
        <w:t>55</w:t>
      </w:r>
      <w:r>
        <w:rPr>
          <w:snapToGrid w:val="0"/>
        </w:rPr>
        <w:t>.</w:t>
      </w:r>
      <w:r>
        <w:rPr>
          <w:snapToGrid w:val="0"/>
        </w:rPr>
        <w:tab/>
        <w:t>Interfering with legislature</w:t>
      </w:r>
      <w:bookmarkEnd w:id="176"/>
      <w:bookmarkEnd w:id="177"/>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No. 70 of 1988 s. 9; No. 82 of 1994 s. 12; No. 70 of 2004 s. 34(1) and 35(2).]</w:t>
      </w:r>
    </w:p>
    <w:p>
      <w:pPr>
        <w:pStyle w:val="Heading5"/>
        <w:spacing w:before="240"/>
        <w:rPr>
          <w:snapToGrid w:val="0"/>
        </w:rPr>
      </w:pPr>
      <w:bookmarkStart w:id="178" w:name="_Toc103864251"/>
      <w:bookmarkStart w:id="179" w:name="_Toc90996550"/>
      <w:r>
        <w:rPr>
          <w:rStyle w:val="CharSectno"/>
        </w:rPr>
        <w:t>56</w:t>
      </w:r>
      <w:r>
        <w:rPr>
          <w:snapToGrid w:val="0"/>
        </w:rPr>
        <w:t>.</w:t>
      </w:r>
      <w:r>
        <w:rPr>
          <w:snapToGrid w:val="0"/>
        </w:rPr>
        <w:tab/>
        <w:t>Disturbing Parliament</w:t>
      </w:r>
      <w:bookmarkEnd w:id="178"/>
      <w:bookmarkEnd w:id="179"/>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No. 70 of 1988 s. 10; No. 70 of 2004 s. 34(1) and 35(1).]</w:t>
      </w:r>
    </w:p>
    <w:p>
      <w:pPr>
        <w:pStyle w:val="Heading5"/>
        <w:rPr>
          <w:snapToGrid w:val="0"/>
        </w:rPr>
      </w:pPr>
      <w:bookmarkStart w:id="180" w:name="_Toc103864252"/>
      <w:bookmarkStart w:id="181" w:name="_Toc90996551"/>
      <w:r>
        <w:rPr>
          <w:rStyle w:val="CharSectno"/>
        </w:rPr>
        <w:t>57</w:t>
      </w:r>
      <w:r>
        <w:rPr>
          <w:snapToGrid w:val="0"/>
        </w:rPr>
        <w:t>.</w:t>
      </w:r>
      <w:r>
        <w:rPr>
          <w:snapToGrid w:val="0"/>
        </w:rPr>
        <w:tab/>
        <w:t>False evidence before Parliament</w:t>
      </w:r>
      <w:bookmarkEnd w:id="180"/>
      <w:bookmarkEnd w:id="181"/>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No. 119 of 1985 s. 30; No. 70 of 1988 s. 31; No. 51 of 1992 s. 16(2).]</w:t>
      </w:r>
    </w:p>
    <w:p>
      <w:pPr>
        <w:pStyle w:val="Heading5"/>
        <w:rPr>
          <w:snapToGrid w:val="0"/>
        </w:rPr>
      </w:pPr>
      <w:bookmarkStart w:id="182" w:name="_Toc103864253"/>
      <w:bookmarkStart w:id="183" w:name="_Toc90996552"/>
      <w:r>
        <w:rPr>
          <w:rStyle w:val="CharSectno"/>
        </w:rPr>
        <w:t>58</w:t>
      </w:r>
      <w:r>
        <w:rPr>
          <w:snapToGrid w:val="0"/>
        </w:rPr>
        <w:t>.</w:t>
      </w:r>
      <w:r>
        <w:rPr>
          <w:snapToGrid w:val="0"/>
        </w:rPr>
        <w:tab/>
        <w:t>Threatening witness before Parliament</w:t>
      </w:r>
      <w:bookmarkEnd w:id="182"/>
      <w:bookmarkEnd w:id="18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spacing w:before="120"/>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No. 70 of 1988 s. 11; No. 51 of 1992 s. 16(2); No. 82 of 1994 s. 12; No. 70 of 2004 s. 35(2).]</w:t>
      </w:r>
    </w:p>
    <w:p>
      <w:pPr>
        <w:pStyle w:val="Heading5"/>
        <w:keepNext w:val="0"/>
        <w:keepLines w:val="0"/>
        <w:spacing w:before="180"/>
        <w:rPr>
          <w:snapToGrid w:val="0"/>
        </w:rPr>
      </w:pPr>
      <w:bookmarkStart w:id="184" w:name="_Toc103864254"/>
      <w:bookmarkStart w:id="185" w:name="_Toc90996553"/>
      <w:r>
        <w:rPr>
          <w:rStyle w:val="CharSectno"/>
        </w:rPr>
        <w:t>59</w:t>
      </w:r>
      <w:r>
        <w:rPr>
          <w:snapToGrid w:val="0"/>
        </w:rPr>
        <w:t>.</w:t>
      </w:r>
      <w:r>
        <w:rPr>
          <w:snapToGrid w:val="0"/>
        </w:rPr>
        <w:tab/>
        <w:t>Witness not attending or giving evidence before Parliament</w:t>
      </w:r>
      <w:bookmarkEnd w:id="184"/>
      <w:bookmarkEnd w:id="185"/>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ind w:left="890" w:hanging="890"/>
      </w:pPr>
      <w:r>
        <w:tab/>
        <w:t>[Section 59 amended: No. 70 of 1988 s. 12; No. 82 of 1994 s. 12; No. 70 of 2004 s. 35(4).]</w:t>
      </w:r>
    </w:p>
    <w:p>
      <w:pPr>
        <w:pStyle w:val="Heading5"/>
        <w:keepNext w:val="0"/>
        <w:keepLines w:val="0"/>
        <w:spacing w:before="180"/>
        <w:rPr>
          <w:snapToGrid w:val="0"/>
        </w:rPr>
      </w:pPr>
      <w:bookmarkStart w:id="186" w:name="_Toc103864255"/>
      <w:bookmarkStart w:id="187" w:name="_Toc90996554"/>
      <w:r>
        <w:rPr>
          <w:rStyle w:val="CharSectno"/>
        </w:rPr>
        <w:t>60</w:t>
      </w:r>
      <w:r>
        <w:rPr>
          <w:snapToGrid w:val="0"/>
        </w:rPr>
        <w:t>.</w:t>
      </w:r>
      <w:r>
        <w:rPr>
          <w:snapToGrid w:val="0"/>
        </w:rPr>
        <w:tab/>
        <w:t>Member of Parliament receiving bribe</w:t>
      </w:r>
      <w:bookmarkEnd w:id="186"/>
      <w:bookmarkEnd w:id="187"/>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ind w:left="890" w:hanging="890"/>
      </w:pPr>
      <w:r>
        <w:tab/>
        <w:t>[Section 60 amended: No. 119 of 1985 s. 30; No. 70 of 1988 s. 13; No. 51 of 1992 s. 16(2).]</w:t>
      </w:r>
    </w:p>
    <w:p>
      <w:pPr>
        <w:pStyle w:val="Heading5"/>
        <w:rPr>
          <w:snapToGrid w:val="0"/>
        </w:rPr>
      </w:pPr>
      <w:bookmarkStart w:id="188" w:name="_Toc103864256"/>
      <w:bookmarkStart w:id="189" w:name="_Toc90996555"/>
      <w:r>
        <w:rPr>
          <w:rStyle w:val="CharSectno"/>
        </w:rPr>
        <w:t>61</w:t>
      </w:r>
      <w:r>
        <w:rPr>
          <w:snapToGrid w:val="0"/>
        </w:rPr>
        <w:t>.</w:t>
      </w:r>
      <w:r>
        <w:rPr>
          <w:snapToGrid w:val="0"/>
        </w:rPr>
        <w:tab/>
        <w:t>Bribery of member of Parliament</w:t>
      </w:r>
      <w:bookmarkEnd w:id="188"/>
      <w:bookmarkEnd w:id="18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No. 119 of 1985 s. 30; No. 70 of 1988 s. 14; No. 51 of 1992 s. 16(2).]</w:t>
      </w:r>
    </w:p>
    <w:p>
      <w:pPr>
        <w:pStyle w:val="Heading3"/>
        <w:keepNext w:val="0"/>
        <w:pageBreakBefore/>
        <w:spacing w:before="0"/>
        <w:rPr>
          <w:snapToGrid w:val="0"/>
        </w:rPr>
      </w:pPr>
      <w:bookmarkStart w:id="190" w:name="_Toc103860731"/>
      <w:bookmarkStart w:id="191" w:name="_Toc103861253"/>
      <w:bookmarkStart w:id="192" w:name="_Toc103864257"/>
      <w:bookmarkStart w:id="193" w:name="_Toc90988544"/>
      <w:bookmarkStart w:id="194" w:name="_Toc90989067"/>
      <w:bookmarkStart w:id="195" w:name="_Toc90996556"/>
      <w:r>
        <w:rPr>
          <w:rStyle w:val="CharDivNo"/>
        </w:rPr>
        <w:t>Chapter IX</w:t>
      </w:r>
      <w:r>
        <w:rPr>
          <w:snapToGrid w:val="0"/>
        </w:rPr>
        <w:t> — </w:t>
      </w:r>
      <w:r>
        <w:rPr>
          <w:rStyle w:val="CharDivText"/>
        </w:rPr>
        <w:t>Unlawful assemblies: Breaches of the peace</w:t>
      </w:r>
      <w:bookmarkEnd w:id="190"/>
      <w:bookmarkEnd w:id="191"/>
      <w:bookmarkEnd w:id="192"/>
      <w:bookmarkEnd w:id="193"/>
      <w:bookmarkEnd w:id="194"/>
      <w:bookmarkEnd w:id="195"/>
    </w:p>
    <w:p>
      <w:pPr>
        <w:pStyle w:val="Heading5"/>
        <w:rPr>
          <w:snapToGrid w:val="0"/>
        </w:rPr>
      </w:pPr>
      <w:bookmarkStart w:id="196" w:name="_Toc103864258"/>
      <w:bookmarkStart w:id="197" w:name="_Toc90996557"/>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196"/>
      <w:bookmarkEnd w:id="197"/>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No. 4 of 2004 s. 7.]</w:t>
      </w:r>
    </w:p>
    <w:p>
      <w:pPr>
        <w:pStyle w:val="Heading5"/>
      </w:pPr>
      <w:bookmarkStart w:id="198" w:name="_Toc103864259"/>
      <w:bookmarkStart w:id="199" w:name="_Toc90996558"/>
      <w:r>
        <w:rPr>
          <w:rStyle w:val="CharSectno"/>
        </w:rPr>
        <w:t>63</w:t>
      </w:r>
      <w:r>
        <w:t>.</w:t>
      </w:r>
      <w:r>
        <w:tab/>
        <w:t>Taking part in an unlawful assembly</w:t>
      </w:r>
      <w:bookmarkEnd w:id="198"/>
      <w:bookmarkEnd w:id="199"/>
    </w:p>
    <w:p>
      <w:pPr>
        <w:pStyle w:val="Subsection"/>
      </w:pPr>
      <w:r>
        <w:tab/>
      </w:r>
      <w:r>
        <w:tab/>
        <w:t>Any person who takes part in an unlawful assembly is guilty of an offence and is liable to imprisonment for 12 months and a fine of $12 000.</w:t>
      </w:r>
    </w:p>
    <w:p>
      <w:pPr>
        <w:pStyle w:val="Footnotesection"/>
      </w:pPr>
      <w:r>
        <w:tab/>
        <w:t>[Section 63 inserted: No. 70 of 2004 s. 5.]</w:t>
      </w:r>
    </w:p>
    <w:p>
      <w:pPr>
        <w:pStyle w:val="Heading5"/>
        <w:keepLines w:val="0"/>
      </w:pPr>
      <w:bookmarkStart w:id="200" w:name="_Toc103864260"/>
      <w:bookmarkStart w:id="201" w:name="_Toc90996559"/>
      <w:r>
        <w:rPr>
          <w:rStyle w:val="CharSectno"/>
        </w:rPr>
        <w:t>64</w:t>
      </w:r>
      <w:r>
        <w:t>.</w:t>
      </w:r>
      <w:r>
        <w:tab/>
        <w:t>Unlawful assembly may be ordered to disperse</w:t>
      </w:r>
      <w:bookmarkEnd w:id="200"/>
      <w:bookmarkEnd w:id="201"/>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No. 70 of 2004 s. 5.]</w:t>
      </w:r>
    </w:p>
    <w:p>
      <w:pPr>
        <w:pStyle w:val="Heading5"/>
        <w:spacing w:before="180"/>
      </w:pPr>
      <w:bookmarkStart w:id="202" w:name="_Toc103864261"/>
      <w:bookmarkStart w:id="203" w:name="_Toc90996560"/>
      <w:r>
        <w:rPr>
          <w:rStyle w:val="CharSectno"/>
        </w:rPr>
        <w:t>65</w:t>
      </w:r>
      <w:r>
        <w:t>.</w:t>
      </w:r>
      <w:r>
        <w:tab/>
        <w:t>Taking part in riot</w:t>
      </w:r>
      <w:bookmarkEnd w:id="202"/>
      <w:bookmarkEnd w:id="203"/>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No. 70 of 2004 s. 5.]</w:t>
      </w:r>
    </w:p>
    <w:p>
      <w:pPr>
        <w:pStyle w:val="Heading5"/>
        <w:spacing w:before="180"/>
      </w:pPr>
      <w:bookmarkStart w:id="204" w:name="_Toc103864262"/>
      <w:bookmarkStart w:id="205" w:name="_Toc90996561"/>
      <w:r>
        <w:rPr>
          <w:rStyle w:val="CharSectno"/>
        </w:rPr>
        <w:t>66</w:t>
      </w:r>
      <w:r>
        <w:t>.</w:t>
      </w:r>
      <w:r>
        <w:tab/>
        <w:t>Rioters may be ordered to disperse</w:t>
      </w:r>
      <w:bookmarkEnd w:id="204"/>
      <w:bookmarkEnd w:id="205"/>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spacing w:before="120"/>
      </w:pPr>
      <w:r>
        <w:tab/>
        <w:t>(4)</w:t>
      </w:r>
      <w:r>
        <w:tab/>
        <w:t>If 12 or more persons are riotously assembled, each person who continues to be so assembled knowing that a person has been forcibly prevented from ordering them to disperse is guilty of a crime.</w:t>
      </w:r>
    </w:p>
    <w:p>
      <w:pPr>
        <w:pStyle w:val="Subsection"/>
        <w:keepNext/>
        <w:spacing w:before="120"/>
      </w:pPr>
      <w:r>
        <w:tab/>
        <w:t>(5)</w:t>
      </w:r>
      <w:r>
        <w:tab/>
        <w:t>A person who is guilty of a crime under this section is liable to imprisonment for 10 years.</w:t>
      </w:r>
    </w:p>
    <w:p>
      <w:pPr>
        <w:pStyle w:val="Footnotesection"/>
      </w:pPr>
      <w:r>
        <w:tab/>
        <w:t>[Section 66 inserted: No. 70 of 2004 s. 5.]</w:t>
      </w:r>
    </w:p>
    <w:p>
      <w:pPr>
        <w:pStyle w:val="Heading5"/>
        <w:keepNext w:val="0"/>
        <w:keepLines w:val="0"/>
        <w:spacing w:before="180"/>
      </w:pPr>
      <w:bookmarkStart w:id="206" w:name="_Toc103864263"/>
      <w:bookmarkStart w:id="207" w:name="_Toc90996562"/>
      <w:r>
        <w:rPr>
          <w:rStyle w:val="CharSectno"/>
        </w:rPr>
        <w:t>67</w:t>
      </w:r>
      <w:r>
        <w:t>.</w:t>
      </w:r>
      <w:r>
        <w:tab/>
        <w:t>Rioters causing damage</w:t>
      </w:r>
      <w:bookmarkEnd w:id="206"/>
      <w:bookmarkEnd w:id="207"/>
    </w:p>
    <w:p>
      <w:pPr>
        <w:pStyle w:val="Subsection"/>
        <w:spacing w:before="120"/>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No. 70 of 2004 s. 5.]</w:t>
      </w:r>
    </w:p>
    <w:p>
      <w:pPr>
        <w:pStyle w:val="Heading5"/>
      </w:pPr>
      <w:bookmarkStart w:id="208" w:name="_Toc103864264"/>
      <w:bookmarkStart w:id="209" w:name="_Toc90996563"/>
      <w:r>
        <w:rPr>
          <w:rStyle w:val="CharSectno"/>
        </w:rPr>
        <w:t>68A</w:t>
      </w:r>
      <w:r>
        <w:t>.</w:t>
      </w:r>
      <w:r>
        <w:tab/>
        <w:t>Provisions about lawful excuses under s. 68B, 68C, 68D and 68E</w:t>
      </w:r>
      <w:bookmarkEnd w:id="208"/>
      <w:bookmarkEnd w:id="209"/>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r>
        <w:tab/>
        <w:t>[Section 68A inserted: No. 34 of 2009 s. 4.]</w:t>
      </w:r>
    </w:p>
    <w:p>
      <w:pPr>
        <w:pStyle w:val="Heading5"/>
        <w:spacing w:before="180"/>
      </w:pPr>
      <w:bookmarkStart w:id="210" w:name="_Toc103864265"/>
      <w:bookmarkStart w:id="211" w:name="_Toc90996564"/>
      <w:r>
        <w:rPr>
          <w:rStyle w:val="CharSectno"/>
        </w:rPr>
        <w:t>68B</w:t>
      </w:r>
      <w:r>
        <w:t>.</w:t>
      </w:r>
      <w:r>
        <w:tab/>
        <w:t>Being armed in or near place of public entertainment</w:t>
      </w:r>
      <w:bookmarkEnd w:id="210"/>
      <w:bookmarkEnd w:id="211"/>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r>
        <w:tab/>
        <w:t>[Section 68B inserted: No. 34 of 2009 s. 4.]</w:t>
      </w:r>
    </w:p>
    <w:p>
      <w:pPr>
        <w:pStyle w:val="Heading5"/>
        <w:spacing w:before="180"/>
      </w:pPr>
      <w:bookmarkStart w:id="212" w:name="_Toc103864266"/>
      <w:bookmarkStart w:id="213" w:name="_Toc90996565"/>
      <w:r>
        <w:rPr>
          <w:rStyle w:val="CharSectno"/>
        </w:rPr>
        <w:t>68C</w:t>
      </w:r>
      <w:r>
        <w:t>.</w:t>
      </w:r>
      <w:r>
        <w:tab/>
        <w:t>Being armed in public in company</w:t>
      </w:r>
      <w:bookmarkEnd w:id="212"/>
      <w:bookmarkEnd w:id="213"/>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spacing w:before="100"/>
      </w:pPr>
      <w:r>
        <w:tab/>
        <w:t>Summary conviction penalty: imprisonment for 3 years and a fine of $36 000.</w:t>
      </w:r>
    </w:p>
    <w:p>
      <w:pPr>
        <w:pStyle w:val="Footnotesection"/>
      </w:pPr>
      <w:r>
        <w:tab/>
        <w:t>[Section 68C inserted: No. 34 of 2009 s. 4.]</w:t>
      </w:r>
    </w:p>
    <w:p>
      <w:pPr>
        <w:pStyle w:val="Heading5"/>
        <w:spacing w:before="240"/>
      </w:pPr>
      <w:bookmarkStart w:id="214" w:name="_Toc103864267"/>
      <w:bookmarkStart w:id="215" w:name="_Toc90996566"/>
      <w:r>
        <w:rPr>
          <w:rStyle w:val="CharSectno"/>
        </w:rPr>
        <w:t>68D</w:t>
      </w:r>
      <w:r>
        <w:t>.</w:t>
      </w:r>
      <w:r>
        <w:tab/>
        <w:t>Having ready access to both weapon and cash</w:t>
      </w:r>
      <w:bookmarkEnd w:id="214"/>
      <w:bookmarkEnd w:id="215"/>
    </w:p>
    <w:p>
      <w:pPr>
        <w:pStyle w:val="Subsection"/>
        <w:spacing w:before="180"/>
      </w:pPr>
      <w:r>
        <w:tab/>
        <w:t>(1)</w:t>
      </w:r>
      <w:r>
        <w:tab/>
        <w:t>In this section —</w:t>
      </w:r>
    </w:p>
    <w:p>
      <w:pPr>
        <w:pStyle w:val="Defstart"/>
        <w:spacing w:before="100"/>
      </w:pPr>
      <w:r>
        <w:tab/>
      </w:r>
      <w:r>
        <w:rPr>
          <w:rStyle w:val="CharDefText"/>
        </w:rPr>
        <w:t>lawful excuse</w:t>
      </w:r>
      <w:r>
        <w:t xml:space="preserve"> has a meaning affected by section 68A;</w:t>
      </w:r>
    </w:p>
    <w:p>
      <w:pPr>
        <w:pStyle w:val="Defstart"/>
        <w:spacing w:before="100"/>
      </w:pPr>
      <w:r>
        <w:tab/>
      </w:r>
      <w:r>
        <w:rPr>
          <w:rStyle w:val="CharDefText"/>
        </w:rPr>
        <w:t>prescribed amount</w:t>
      </w:r>
      <w:r>
        <w:t xml:space="preserve"> means the amount prescribed for the purposes of the </w:t>
      </w:r>
      <w:r>
        <w:rPr>
          <w:i/>
          <w:iCs/>
        </w:rPr>
        <w:t xml:space="preserve">Firearms Act 1973 </w:t>
      </w:r>
      <w:r>
        <w:t>section 19(1ab)(a)(ii)</w:t>
      </w:r>
      <w:r>
        <w:rPr>
          <w:vertAlign w:val="superscript"/>
        </w:rPr>
        <w:t> 4</w:t>
      </w:r>
      <w:r>
        <w:t>.</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cash equal to or more than the prescribed amount,</w:t>
      </w:r>
    </w:p>
    <w:p>
      <w:pPr>
        <w:pStyle w:val="Subsection"/>
        <w:spacing w:before="180"/>
      </w:pPr>
      <w:r>
        <w:tab/>
      </w:r>
      <w:r>
        <w:tab/>
        <w:t>is guilty of a crime and is liable to imprisonment for 5 years.</w:t>
      </w:r>
    </w:p>
    <w:p>
      <w:pPr>
        <w:pStyle w:val="Penstart"/>
        <w:spacing w:before="100"/>
      </w:pPr>
      <w:r>
        <w:tab/>
        <w:t>Summary conviction penalty: imprisonment for 3 years and a fine of $36 000.</w:t>
      </w:r>
    </w:p>
    <w:p>
      <w:pPr>
        <w:pStyle w:val="Footnotesection"/>
      </w:pPr>
      <w:r>
        <w:tab/>
        <w:t>[Section 68D inserted: No. 34 of 2009 s. 4.]</w:t>
      </w:r>
    </w:p>
    <w:p>
      <w:pPr>
        <w:pStyle w:val="Heading5"/>
        <w:spacing w:before="240"/>
      </w:pPr>
      <w:bookmarkStart w:id="216" w:name="_Toc103864268"/>
      <w:bookmarkStart w:id="217" w:name="_Toc90996567"/>
      <w:r>
        <w:rPr>
          <w:rStyle w:val="CharSectno"/>
        </w:rPr>
        <w:t>68E</w:t>
      </w:r>
      <w:r>
        <w:t>.</w:t>
      </w:r>
      <w:r>
        <w:tab/>
        <w:t>Having ready access to both weapon and illegal drug</w:t>
      </w:r>
      <w:bookmarkEnd w:id="216"/>
      <w:bookmarkEnd w:id="217"/>
    </w:p>
    <w:p>
      <w:pPr>
        <w:pStyle w:val="Subsection"/>
        <w:spacing w:before="180"/>
      </w:pPr>
      <w:r>
        <w:tab/>
        <w:t>(1)</w:t>
      </w:r>
      <w:r>
        <w:tab/>
        <w:t>In this section, being armed for defence is not a lawful excuse.</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No. 34 of 2009 s. 4.]</w:t>
      </w:r>
    </w:p>
    <w:p>
      <w:pPr>
        <w:pStyle w:val="Heading5"/>
        <w:spacing w:before="240"/>
      </w:pPr>
      <w:bookmarkStart w:id="218" w:name="_Toc103864269"/>
      <w:bookmarkStart w:id="219" w:name="_Toc90996568"/>
      <w:r>
        <w:rPr>
          <w:rStyle w:val="CharSectno"/>
        </w:rPr>
        <w:t>68</w:t>
      </w:r>
      <w:r>
        <w:t>.</w:t>
      </w:r>
      <w:r>
        <w:tab/>
        <w:t>Being armed in a way that may cause fear</w:t>
      </w:r>
      <w:bookmarkEnd w:id="218"/>
      <w:bookmarkEnd w:id="219"/>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No. 4 of 2004 s. 8; amended: No. 70 of 2004 s. 35(3).]</w:t>
      </w:r>
    </w:p>
    <w:p>
      <w:pPr>
        <w:pStyle w:val="Heading5"/>
        <w:spacing w:before="180"/>
        <w:rPr>
          <w:snapToGrid w:val="0"/>
        </w:rPr>
      </w:pPr>
      <w:bookmarkStart w:id="220" w:name="_Toc103864270"/>
      <w:bookmarkStart w:id="221" w:name="_Toc90996569"/>
      <w:r>
        <w:rPr>
          <w:rStyle w:val="CharSectno"/>
        </w:rPr>
        <w:t>69</w:t>
      </w:r>
      <w:r>
        <w:rPr>
          <w:snapToGrid w:val="0"/>
        </w:rPr>
        <w:t>.</w:t>
      </w:r>
      <w:r>
        <w:rPr>
          <w:snapToGrid w:val="0"/>
        </w:rPr>
        <w:tab/>
        <w:t>Forcibly entering land</w:t>
      </w:r>
      <w:bookmarkEnd w:id="220"/>
      <w:bookmarkEnd w:id="221"/>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pPr>
      <w:r>
        <w:tab/>
        <w:t>Summary conviction penalty: $6 000.</w:t>
      </w:r>
    </w:p>
    <w:p>
      <w:pPr>
        <w:pStyle w:val="Subsection"/>
        <w:keepNext/>
        <w:rPr>
          <w:snapToGrid w:val="0"/>
          <w:spacing w:val="2"/>
        </w:rPr>
      </w:pPr>
      <w:r>
        <w:rPr>
          <w:snapToGrid w:val="0"/>
          <w:spacing w:val="2"/>
        </w:rPr>
        <w:tab/>
        <w:t>(2)</w:t>
      </w:r>
      <w:r>
        <w:rPr>
          <w:snapToGrid w:val="0"/>
          <w:spacing w:val="2"/>
        </w:rPr>
        <w:tab/>
        <w:t>It is immaterial whether he is entitled to enter on the land or not.</w:t>
      </w:r>
    </w:p>
    <w:p>
      <w:pPr>
        <w:pStyle w:val="Footnotesection"/>
        <w:ind w:left="890" w:hanging="890"/>
        <w:rPr>
          <w:spacing w:val="2"/>
        </w:rPr>
      </w:pPr>
      <w:r>
        <w:tab/>
        <w:t>[Section 69 amended: No. 4 of 2004 s. 9.]</w:t>
      </w:r>
    </w:p>
    <w:p>
      <w:pPr>
        <w:pStyle w:val="Heading5"/>
        <w:rPr>
          <w:snapToGrid w:val="0"/>
        </w:rPr>
      </w:pPr>
      <w:bookmarkStart w:id="222" w:name="_Toc103864271"/>
      <w:bookmarkStart w:id="223" w:name="_Toc90996570"/>
      <w:r>
        <w:rPr>
          <w:rStyle w:val="CharSectno"/>
        </w:rPr>
        <w:t>70</w:t>
      </w:r>
      <w:r>
        <w:rPr>
          <w:snapToGrid w:val="0"/>
        </w:rPr>
        <w:t>.</w:t>
      </w:r>
      <w:r>
        <w:rPr>
          <w:snapToGrid w:val="0"/>
        </w:rPr>
        <w:tab/>
        <w:t>Forcibly keeping possession of land</w:t>
      </w:r>
      <w:bookmarkEnd w:id="222"/>
      <w:bookmarkEnd w:id="223"/>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spacing w:before="100"/>
      </w:pPr>
      <w:r>
        <w:tab/>
        <w:t>[Section 70 amended: No. 4 of 2004 s. 10.]</w:t>
      </w:r>
    </w:p>
    <w:p>
      <w:pPr>
        <w:pStyle w:val="Heading5"/>
      </w:pPr>
      <w:bookmarkStart w:id="224" w:name="_Toc103864272"/>
      <w:bookmarkStart w:id="225" w:name="_Toc90996571"/>
      <w:r>
        <w:rPr>
          <w:rStyle w:val="CharSectno"/>
        </w:rPr>
        <w:t>70A</w:t>
      </w:r>
      <w:r>
        <w:t>.</w:t>
      </w:r>
      <w:r>
        <w:tab/>
        <w:t>Trespass</w:t>
      </w:r>
      <w:bookmarkEnd w:id="224"/>
      <w:bookmarkEnd w:id="225"/>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spacing w:before="60"/>
      </w:pPr>
      <w:r>
        <w:tab/>
        <w:t>(a)</w:t>
      </w:r>
      <w:r>
        <w:tab/>
        <w:t>in the case of a place owned by the Crown, or an agency or instrumentality of the Crown — the occupier or person having control or management of the place or a police officer; or</w:t>
      </w:r>
    </w:p>
    <w:p>
      <w:pPr>
        <w:pStyle w:val="Defpara"/>
        <w:spacing w:before="60"/>
      </w:pPr>
      <w:r>
        <w:tab/>
        <w:t>(b)</w:t>
      </w:r>
      <w:r>
        <w:tab/>
        <w:t>in any other case —</w:t>
      </w:r>
    </w:p>
    <w:p>
      <w:pPr>
        <w:pStyle w:val="Defsubpara"/>
        <w:spacing w:before="60"/>
      </w:pPr>
      <w:r>
        <w:tab/>
        <w:t>(i)</w:t>
      </w:r>
      <w:r>
        <w:tab/>
        <w:t>the owner, occupier or person having control or management of the place; or</w:t>
      </w:r>
    </w:p>
    <w:p>
      <w:pPr>
        <w:pStyle w:val="Defsubpara"/>
        <w:spacing w:before="60"/>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spacing w:before="60"/>
      </w:pPr>
      <w:r>
        <w:tab/>
        <w:t>(b)</w:t>
      </w:r>
      <w:r>
        <w:tab/>
        <w:t>to remain in the place after being requested by a person in authority to leave the place; or</w:t>
      </w:r>
    </w:p>
    <w:p>
      <w:pPr>
        <w:pStyle w:val="Defpara"/>
        <w:spacing w:before="60"/>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No. 70 of 2004 s. 6; amended: No. 59 of 2006 s. 17; No. 42 of 2009 s. 14.]</w:t>
      </w:r>
    </w:p>
    <w:p>
      <w:pPr>
        <w:pStyle w:val="Heading5"/>
        <w:spacing w:before="240"/>
      </w:pPr>
      <w:bookmarkStart w:id="226" w:name="_Toc103864273"/>
      <w:bookmarkStart w:id="227" w:name="_Toc90996572"/>
      <w:r>
        <w:rPr>
          <w:rStyle w:val="CharSectno"/>
        </w:rPr>
        <w:t>70B</w:t>
      </w:r>
      <w:r>
        <w:t>.</w:t>
      </w:r>
      <w:r>
        <w:tab/>
        <w:t>Trespasser may be asked for name and address</w:t>
      </w:r>
      <w:bookmarkEnd w:id="226"/>
      <w:bookmarkEnd w:id="227"/>
    </w:p>
    <w:p>
      <w:pPr>
        <w:pStyle w:val="Subsection"/>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pPr>
      <w:r>
        <w:tab/>
        <w:t>(2)</w:t>
      </w:r>
      <w:r>
        <w:tab/>
        <w:t>If the owner of any enclosed land finds a person on the land who has entered the land without the owner’s consent, the owner may request the person to give the person’s name and address to the owner.</w:t>
      </w:r>
    </w:p>
    <w:p>
      <w:pPr>
        <w:pStyle w:val="Subsection"/>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No. 70 of 2004 s. 6.]</w:t>
      </w:r>
    </w:p>
    <w:p>
      <w:pPr>
        <w:pStyle w:val="Heading5"/>
        <w:keepNext w:val="0"/>
        <w:keepLines w:val="0"/>
        <w:pageBreakBefore/>
        <w:spacing w:before="0"/>
      </w:pPr>
      <w:bookmarkStart w:id="228" w:name="_Toc103864274"/>
      <w:bookmarkStart w:id="229" w:name="_Toc90996573"/>
      <w:r>
        <w:rPr>
          <w:rStyle w:val="CharSectno"/>
        </w:rPr>
        <w:t>71</w:t>
      </w:r>
      <w:r>
        <w:t>.</w:t>
      </w:r>
      <w:r>
        <w:tab/>
        <w:t>Fighting in public causing fear</w:t>
      </w:r>
      <w:bookmarkEnd w:id="228"/>
      <w:bookmarkEnd w:id="229"/>
    </w:p>
    <w:p>
      <w:pPr>
        <w:pStyle w:val="Subsection"/>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ind w:left="890" w:hanging="890"/>
      </w:pPr>
      <w:r>
        <w:tab/>
        <w:t>[Section 71 inserted: No. 4 of 2004 s. 11.]</w:t>
      </w:r>
    </w:p>
    <w:p>
      <w:pPr>
        <w:pStyle w:val="Heading5"/>
        <w:rPr>
          <w:snapToGrid w:val="0"/>
        </w:rPr>
      </w:pPr>
      <w:bookmarkStart w:id="230" w:name="_Toc103864275"/>
      <w:bookmarkStart w:id="231" w:name="_Toc90996574"/>
      <w:r>
        <w:rPr>
          <w:rStyle w:val="CharSectno"/>
        </w:rPr>
        <w:t>72</w:t>
      </w:r>
      <w:r>
        <w:rPr>
          <w:snapToGrid w:val="0"/>
        </w:rPr>
        <w:t>.</w:t>
      </w:r>
      <w:r>
        <w:rPr>
          <w:snapToGrid w:val="0"/>
        </w:rPr>
        <w:tab/>
        <w:t>Challenge to fight duel</w:t>
      </w:r>
      <w:bookmarkEnd w:id="230"/>
      <w:bookmarkEnd w:id="231"/>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No. 51 of 1992 s. 16(2); No. 4 of 2004 s. 12.]</w:t>
      </w:r>
    </w:p>
    <w:p>
      <w:pPr>
        <w:pStyle w:val="Heading5"/>
        <w:spacing w:before="180"/>
        <w:rPr>
          <w:snapToGrid w:val="0"/>
        </w:rPr>
      </w:pPr>
      <w:bookmarkStart w:id="232" w:name="_Toc103864276"/>
      <w:bookmarkStart w:id="233" w:name="_Toc90996575"/>
      <w:r>
        <w:rPr>
          <w:rStyle w:val="CharSectno"/>
        </w:rPr>
        <w:t>73</w:t>
      </w:r>
      <w:r>
        <w:rPr>
          <w:snapToGrid w:val="0"/>
        </w:rPr>
        <w:t>.</w:t>
      </w:r>
      <w:r>
        <w:rPr>
          <w:snapToGrid w:val="0"/>
        </w:rPr>
        <w:tab/>
        <w:t>Prize fight</w:t>
      </w:r>
      <w:bookmarkEnd w:id="232"/>
      <w:bookmarkEnd w:id="233"/>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No. 4 of 2004 s. 13.]</w:t>
      </w:r>
    </w:p>
    <w:p>
      <w:pPr>
        <w:pStyle w:val="Heading5"/>
        <w:spacing w:before="180"/>
        <w:rPr>
          <w:snapToGrid w:val="0"/>
        </w:rPr>
      </w:pPr>
      <w:bookmarkStart w:id="234" w:name="_Toc103864277"/>
      <w:bookmarkStart w:id="235" w:name="_Toc90996576"/>
      <w:r>
        <w:rPr>
          <w:rStyle w:val="CharSectno"/>
        </w:rPr>
        <w:t>74</w:t>
      </w:r>
      <w:r>
        <w:rPr>
          <w:snapToGrid w:val="0"/>
        </w:rPr>
        <w:t>.</w:t>
      </w:r>
      <w:r>
        <w:rPr>
          <w:snapToGrid w:val="0"/>
        </w:rPr>
        <w:tab/>
      </w:r>
      <w:r>
        <w:t>Threat toward dwelling</w:t>
      </w:r>
      <w:bookmarkEnd w:id="234"/>
      <w:bookmarkEnd w:id="23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80"/>
        <w:ind w:left="890" w:hanging="890"/>
      </w:pPr>
      <w:r>
        <w:tab/>
        <w:t>[Section 74 amended: No. 51 of 1992 s. 16(2); No. 36 of 1996 s. 7; No. 4 of 2004 s. 14; No. 70 of 2004 s. 35(1).]</w:t>
      </w:r>
    </w:p>
    <w:p>
      <w:pPr>
        <w:pStyle w:val="Heading5"/>
        <w:spacing w:before="240"/>
      </w:pPr>
      <w:bookmarkStart w:id="236" w:name="_Toc103864278"/>
      <w:bookmarkStart w:id="237" w:name="_Toc90996577"/>
      <w:r>
        <w:rPr>
          <w:rStyle w:val="CharSectno"/>
        </w:rPr>
        <w:t>74A</w:t>
      </w:r>
      <w:r>
        <w:t>.</w:t>
      </w:r>
      <w:r>
        <w:tab/>
        <w:t>Disorderly behaviour in public</w:t>
      </w:r>
      <w:bookmarkEnd w:id="236"/>
      <w:bookmarkEnd w:id="237"/>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No. 70 of 2004 s. 7; amended: No. 59 of 2006 s. 18.]</w:t>
      </w:r>
    </w:p>
    <w:p>
      <w:pPr>
        <w:pStyle w:val="Heading5"/>
      </w:pPr>
      <w:bookmarkStart w:id="238" w:name="_Toc103864279"/>
      <w:bookmarkStart w:id="239" w:name="_Toc90996578"/>
      <w:r>
        <w:rPr>
          <w:rStyle w:val="CharSectno"/>
        </w:rPr>
        <w:t>74B</w:t>
      </w:r>
      <w:r>
        <w:t>.</w:t>
      </w:r>
      <w:r>
        <w:tab/>
        <w:t>Causing fear or alarm to driver of conveyance or others</w:t>
      </w:r>
      <w:bookmarkEnd w:id="238"/>
      <w:bookmarkEnd w:id="239"/>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No. 44 of 2009 s. 4.]</w:t>
      </w:r>
    </w:p>
    <w:p>
      <w:pPr>
        <w:pStyle w:val="Heading5"/>
      </w:pPr>
      <w:bookmarkStart w:id="240" w:name="_Toc103864280"/>
      <w:bookmarkStart w:id="241" w:name="_Toc90996579"/>
      <w:r>
        <w:rPr>
          <w:rStyle w:val="CharSectno"/>
        </w:rPr>
        <w:t>75A</w:t>
      </w:r>
      <w:r>
        <w:t>.</w:t>
      </w:r>
      <w:r>
        <w:tab/>
        <w:t>Term used: out</w:t>
      </w:r>
      <w:r>
        <w:noBreakHyphen/>
        <w:t>of</w:t>
      </w:r>
      <w:r>
        <w:noBreakHyphen/>
        <w:t>control gathering</w:t>
      </w:r>
      <w:bookmarkEnd w:id="240"/>
      <w:bookmarkEnd w:id="241"/>
    </w:p>
    <w:p>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pPr>
        <w:pStyle w:val="Indenta"/>
      </w:pPr>
      <w:r>
        <w:tab/>
        <w:t>(a)</w:t>
      </w:r>
      <w:r>
        <w:tab/>
        <w:t>the gathering is a gathering of 12 or more persons; and</w:t>
      </w:r>
    </w:p>
    <w:p>
      <w:pPr>
        <w:pStyle w:val="Indenta"/>
      </w:pPr>
      <w:r>
        <w:tab/>
        <w:t>(b)</w:t>
      </w:r>
      <w:r>
        <w:tab/>
        <w:t xml:space="preserve">2 or more persons associated with the gathering engage in conduct of any of the following kinds — </w:t>
      </w:r>
    </w:p>
    <w:p>
      <w:pPr>
        <w:pStyle w:val="Indenti"/>
      </w:pPr>
      <w:r>
        <w:tab/>
        <w:t>(i)</w:t>
      </w:r>
      <w:r>
        <w:tab/>
        <w:t>trespassing on a place (as defined in section 70A(1));</w:t>
      </w:r>
    </w:p>
    <w:p>
      <w:pPr>
        <w:pStyle w:val="Indenti"/>
      </w:pPr>
      <w:r>
        <w:tab/>
        <w:t>(ii)</w:t>
      </w:r>
      <w:r>
        <w:tab/>
        <w:t>behaving in a disorderly manner (as defined in section 74A(1));</w:t>
      </w:r>
    </w:p>
    <w:p>
      <w:pPr>
        <w:pStyle w:val="Indenti"/>
      </w:pPr>
      <w:r>
        <w:tab/>
        <w:t>(iii)</w:t>
      </w:r>
      <w:r>
        <w:tab/>
        <w:t>unlawfully destroying or damaging property or threatening to do so;</w:t>
      </w:r>
    </w:p>
    <w:p>
      <w:pPr>
        <w:pStyle w:val="Indenti"/>
      </w:pPr>
      <w:r>
        <w:tab/>
        <w:t>(iv)</w:t>
      </w:r>
      <w:r>
        <w:tab/>
        <w:t>assaulting or threatening to assault another person or taking part in a fight;</w:t>
      </w:r>
    </w:p>
    <w:p>
      <w:pPr>
        <w:pStyle w:val="Indenti"/>
      </w:pPr>
      <w:r>
        <w:tab/>
        <w:t>(v)</w:t>
      </w:r>
      <w:r>
        <w:tab/>
        <w:t>doing an obscene act or indecent act in a public place or in the sight of any person who is in a public place;</w:t>
      </w:r>
    </w:p>
    <w:p>
      <w:pPr>
        <w:pStyle w:val="Indenti"/>
      </w:pPr>
      <w:r>
        <w:tab/>
        <w:t>(vi)</w:t>
      </w:r>
      <w:r>
        <w:tab/>
        <w:t xml:space="preserve">emitting, or causing to be emitted, unreasonable noise (as defined in the </w:t>
      </w:r>
      <w:r>
        <w:rPr>
          <w:i/>
        </w:rPr>
        <w:t>Environmental Protection Act 1986</w:t>
      </w:r>
      <w:r>
        <w:t xml:space="preserve"> section 3(1));</w:t>
      </w:r>
    </w:p>
    <w:p>
      <w:pPr>
        <w:pStyle w:val="Indenti"/>
      </w:pPr>
      <w:r>
        <w:tab/>
        <w:t>(vii)</w:t>
      </w:r>
      <w:r>
        <w:tab/>
        <w:t xml:space="preserve">driving a motor vehicle so as to cause excessive noise or smoke in contravention of the </w:t>
      </w:r>
      <w:r>
        <w:rPr>
          <w:i/>
        </w:rPr>
        <w:t>Road Traffic Act 1974</w:t>
      </w:r>
      <w:r>
        <w:t xml:space="preserve"> section 62A;</w:t>
      </w:r>
    </w:p>
    <w:p>
      <w:pPr>
        <w:pStyle w:val="Indenti"/>
      </w:pPr>
      <w:r>
        <w:tab/>
        <w:t>(viii)</w:t>
      </w:r>
      <w:r>
        <w:tab/>
        <w:t>unlawfully lighting fires or unlawfully using fireworks;</w:t>
      </w:r>
    </w:p>
    <w:p>
      <w:pPr>
        <w:pStyle w:val="Indenti"/>
      </w:pPr>
      <w:r>
        <w:tab/>
        <w:t>(ix)</w:t>
      </w:r>
      <w:r>
        <w:tab/>
        <w:t>throwing any object or releasing any material or thing in a manner that is likely to endanger the life, health or safety of any person;</w:t>
      </w:r>
    </w:p>
    <w:p>
      <w:pPr>
        <w:pStyle w:val="Indenti"/>
      </w:pPr>
      <w:r>
        <w:tab/>
        <w:t>(x)</w:t>
      </w:r>
      <w:r>
        <w:tab/>
        <w:t>causing an obstruction to traffic or to the movement of pedestrians;</w:t>
      </w:r>
    </w:p>
    <w:p>
      <w:pPr>
        <w:pStyle w:val="Indenti"/>
      </w:pPr>
      <w:r>
        <w:tab/>
        <w:t>(xi)</w:t>
      </w:r>
      <w:r>
        <w:tab/>
        <w:t>depositing litter or breaking glass or other material;</w:t>
      </w:r>
    </w:p>
    <w:p>
      <w:pPr>
        <w:pStyle w:val="Indenti"/>
      </w:pPr>
      <w:r>
        <w:tab/>
        <w:t>(xii)</w:t>
      </w:r>
      <w:r>
        <w:tab/>
        <w:t xml:space="preserve">contravening the </w:t>
      </w:r>
      <w:r>
        <w:rPr>
          <w:i/>
        </w:rPr>
        <w:t>Liquor Control Act 1988</w:t>
      </w:r>
      <w:r>
        <w:t xml:space="preserve"> or the </w:t>
      </w:r>
      <w:r>
        <w:rPr>
          <w:i/>
        </w:rPr>
        <w:t>Misuse of Drugs Act 1981</w:t>
      </w:r>
      <w:r>
        <w:t>;</w:t>
      </w:r>
    </w:p>
    <w:p>
      <w:pPr>
        <w:pStyle w:val="Indenti"/>
      </w:pPr>
      <w:r>
        <w:tab/>
        <w:t>(xiii)</w:t>
      </w:r>
      <w:r>
        <w:tab/>
        <w:t>being intoxicated by liquor or an intoxicant (as defined in section 206(1)) in a public place;</w:t>
      </w:r>
    </w:p>
    <w:p>
      <w:pPr>
        <w:pStyle w:val="Indenti"/>
      </w:pPr>
      <w:r>
        <w:tab/>
        <w:t>(xiv)</w:t>
      </w:r>
      <w:r>
        <w:tab/>
        <w:t>any other conduct prescribed by the regulations;</w:t>
      </w:r>
    </w:p>
    <w:p>
      <w:pPr>
        <w:pStyle w:val="Indenta"/>
      </w:pPr>
      <w:r>
        <w:tab/>
      </w:r>
      <w:r>
        <w:tab/>
        <w:t>and</w:t>
      </w:r>
    </w:p>
    <w:p>
      <w:pPr>
        <w:pStyle w:val="Indenta"/>
      </w:pPr>
      <w:r>
        <w:tab/>
        <w:t>(c)</w:t>
      </w:r>
      <w:r>
        <w:tab/>
        <w:t xml:space="preserve">the gathering, or the conduct of persons associated with the gathering (taken together), causes or is likely to cause — </w:t>
      </w:r>
    </w:p>
    <w:p>
      <w:pPr>
        <w:pStyle w:val="Indenti"/>
      </w:pPr>
      <w:r>
        <w:tab/>
        <w:t>(i)</w:t>
      </w:r>
      <w:r>
        <w:tab/>
        <w:t>fear or alarm to any person who is not associated with the gathering; or</w:t>
      </w:r>
    </w:p>
    <w:p>
      <w:pPr>
        <w:pStyle w:val="Indenti"/>
      </w:pPr>
      <w:r>
        <w:tab/>
        <w:t>(ii)</w:t>
      </w:r>
      <w:r>
        <w:tab/>
        <w:t>a substantial interference with the lawful activities of any person; or</w:t>
      </w:r>
    </w:p>
    <w:p>
      <w:pPr>
        <w:pStyle w:val="Indenti"/>
      </w:pPr>
      <w:r>
        <w:tab/>
        <w:t>(iii)</w:t>
      </w:r>
      <w:r>
        <w:tab/>
        <w:t>a substantial interference with the peaceful passage through, or enjoyment of, a place by any person who has lawful access to that place;</w:t>
      </w:r>
    </w:p>
    <w:p>
      <w:pPr>
        <w:pStyle w:val="Indenta"/>
      </w:pPr>
      <w:r>
        <w:tab/>
      </w:r>
      <w:r>
        <w:tab/>
        <w:t>and</w:t>
      </w:r>
    </w:p>
    <w:p>
      <w:pPr>
        <w:pStyle w:val="Indenta"/>
      </w:pPr>
      <w:r>
        <w:tab/>
        <w:t>(d)</w:t>
      </w:r>
      <w:r>
        <w:tab/>
        <w:t>the gathering is not excluded under subsection (3).</w:t>
      </w:r>
    </w:p>
    <w:p>
      <w:pPr>
        <w:pStyle w:val="Subsection"/>
      </w:pPr>
      <w:r>
        <w:tab/>
        <w:t>(2)</w:t>
      </w:r>
      <w:r>
        <w:tab/>
        <w:t xml:space="preserve">In subsection (1) — </w:t>
      </w:r>
    </w:p>
    <w:p>
      <w:pPr>
        <w:pStyle w:val="Defstart"/>
      </w:pPr>
      <w:r>
        <w:tab/>
      </w:r>
      <w:r>
        <w:rPr>
          <w:rStyle w:val="CharDefText"/>
        </w:rPr>
        <w:t>vehicle</w:t>
      </w:r>
      <w:r>
        <w:t xml:space="preserve"> has the meaning given in the </w:t>
      </w:r>
      <w:r>
        <w:rPr>
          <w:i/>
        </w:rPr>
        <w:t>Criminal Investigation Act 2006</w:t>
      </w:r>
      <w:r>
        <w:t xml:space="preserve"> section 3(1).</w:t>
      </w:r>
    </w:p>
    <w:p>
      <w:pPr>
        <w:pStyle w:val="Subsection"/>
      </w:pPr>
      <w:r>
        <w:tab/>
        <w:t>(3)</w:t>
      </w:r>
      <w:r>
        <w:tab/>
        <w:t xml:space="preserve">For the purposes of subsection (1)(d), a gathering of any of the following kinds is excluded — </w:t>
      </w:r>
    </w:p>
    <w:p>
      <w:pPr>
        <w:pStyle w:val="Indenta"/>
      </w:pPr>
      <w:r>
        <w:tab/>
        <w:t>(a)</w:t>
      </w:r>
      <w:r>
        <w:tab/>
        <w:t>a gathering on licensed premises;</w:t>
      </w:r>
    </w:p>
    <w:p>
      <w:pPr>
        <w:pStyle w:val="Indenta"/>
      </w:pPr>
      <w:r>
        <w:tab/>
        <w:t>(b)</w:t>
      </w:r>
      <w:r>
        <w:tab/>
        <w:t xml:space="preserve">a public meeting or procession for which a permit under the </w:t>
      </w:r>
      <w:r>
        <w:rPr>
          <w:i/>
        </w:rPr>
        <w:t>Public Order in Streets Act 1984</w:t>
      </w:r>
      <w:r>
        <w:t xml:space="preserve"> has been issued;</w:t>
      </w:r>
    </w:p>
    <w:p>
      <w:pPr>
        <w:pStyle w:val="Indenta"/>
      </w:pPr>
      <w:r>
        <w:tab/>
        <w:t>(c)</w:t>
      </w:r>
      <w:r>
        <w:tab/>
        <w:t>a gathering that is primarily for the purposes of political advocacy, protest or industrial action;</w:t>
      </w:r>
    </w:p>
    <w:p>
      <w:pPr>
        <w:pStyle w:val="Indenta"/>
      </w:pPr>
      <w:r>
        <w:tab/>
        <w:t>(d)</w:t>
      </w:r>
      <w:r>
        <w:tab/>
        <w:t>a gathering of a kind prescribed by the regulations.</w:t>
      </w:r>
    </w:p>
    <w:p>
      <w:pPr>
        <w:pStyle w:val="Subsection"/>
      </w:pPr>
      <w:r>
        <w:tab/>
        <w:t>(4)</w:t>
      </w:r>
      <w:r>
        <w:tab/>
        <w:t xml:space="preserve">In subsection (3) — </w:t>
      </w:r>
    </w:p>
    <w:p>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pPr>
        <w:pStyle w:val="Subsection"/>
      </w:pPr>
      <w:r>
        <w:tab/>
        <w:t>(5)</w:t>
      </w:r>
      <w:r>
        <w:tab/>
        <w:t xml:space="preserve">For the purposes of subsection (1), a person is associated with a gathering if the person — </w:t>
      </w:r>
    </w:p>
    <w:p>
      <w:pPr>
        <w:pStyle w:val="Indenta"/>
      </w:pPr>
      <w:r>
        <w:tab/>
        <w:t>(a)</w:t>
      </w:r>
      <w:r>
        <w:tab/>
        <w:t>is attending the gathering; or</w:t>
      </w:r>
    </w:p>
    <w:p>
      <w:pPr>
        <w:pStyle w:val="Indenta"/>
      </w:pPr>
      <w:r>
        <w:tab/>
        <w:t>(b)</w:t>
      </w:r>
      <w:r>
        <w:tab/>
        <w:t>is in the vicinity of the gathering and has attended or is proposing to attend the gathering.</w:t>
      </w:r>
    </w:p>
    <w:p>
      <w:pPr>
        <w:pStyle w:val="Footnotesection"/>
      </w:pPr>
      <w:r>
        <w:tab/>
        <w:t>[Section 75A inserted: No. 56 of 2012 s. 4.]</w:t>
      </w:r>
    </w:p>
    <w:p>
      <w:pPr>
        <w:pStyle w:val="Heading5"/>
      </w:pPr>
      <w:bookmarkStart w:id="242" w:name="_Toc103864281"/>
      <w:bookmarkStart w:id="243" w:name="_Toc90996580"/>
      <w:r>
        <w:rPr>
          <w:rStyle w:val="CharSectno"/>
        </w:rPr>
        <w:t>75B</w:t>
      </w:r>
      <w:r>
        <w:t>.</w:t>
      </w:r>
      <w:r>
        <w:tab/>
        <w:t>Organising out</w:t>
      </w:r>
      <w:r>
        <w:noBreakHyphen/>
        <w:t>of</w:t>
      </w:r>
      <w:r>
        <w:noBreakHyphen/>
        <w:t>control gathering</w:t>
      </w:r>
      <w:bookmarkEnd w:id="242"/>
      <w:bookmarkEnd w:id="243"/>
    </w:p>
    <w:p>
      <w:pPr>
        <w:pStyle w:val="Subsection"/>
      </w:pPr>
      <w:r>
        <w:tab/>
        <w:t>(1)</w:t>
      </w:r>
      <w:r>
        <w:tab/>
        <w:t xml:space="preserve">In this section — </w:t>
      </w:r>
    </w:p>
    <w:p>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pPr>
        <w:pStyle w:val="Defstart"/>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pPr>
        <w:pStyle w:val="Subsection"/>
      </w:pPr>
      <w:r>
        <w:tab/>
        <w:t>(2)</w:t>
      </w:r>
      <w:r>
        <w:tab/>
        <w:t xml:space="preserve">A person — </w:t>
      </w:r>
    </w:p>
    <w:p>
      <w:pPr>
        <w:pStyle w:val="Indenta"/>
        <w:spacing w:before="120"/>
      </w:pPr>
      <w:r>
        <w:tab/>
        <w:t>(a)</w:t>
      </w:r>
      <w:r>
        <w:tab/>
        <w:t>who organises a gathering that becomes an out</w:t>
      </w:r>
      <w:r>
        <w:noBreakHyphen/>
        <w:t>of</w:t>
      </w:r>
      <w:r>
        <w:noBreakHyphen/>
        <w:t>control gathering; or</w:t>
      </w:r>
    </w:p>
    <w:p>
      <w:pPr>
        <w:pStyle w:val="Indenta"/>
        <w:spacing w:before="120"/>
      </w:pPr>
      <w:r>
        <w:tab/>
        <w:t>(b)</w:t>
      </w:r>
      <w:r>
        <w:tab/>
        <w:t xml:space="preserve">who — </w:t>
      </w:r>
    </w:p>
    <w:p>
      <w:pPr>
        <w:pStyle w:val="Indenti"/>
        <w:spacing w:before="120"/>
      </w:pPr>
      <w:r>
        <w:tab/>
        <w:t>(i)</w:t>
      </w:r>
      <w:r>
        <w:tab/>
        <w:t>is a responsible adult in relation to a child who organises a gathering that becomes an out</w:t>
      </w:r>
      <w:r>
        <w:noBreakHyphen/>
        <w:t>of</w:t>
      </w:r>
      <w:r>
        <w:noBreakHyphen/>
        <w:t>control gathering; and</w:t>
      </w:r>
    </w:p>
    <w:p>
      <w:pPr>
        <w:pStyle w:val="Indenti"/>
        <w:spacing w:before="120"/>
      </w:pPr>
      <w:r>
        <w:tab/>
        <w:t>(ii)</w:t>
      </w:r>
      <w:r>
        <w:tab/>
        <w:t>gives the child permission to organise the gathering or permits the gathering to occur,</w:t>
      </w:r>
    </w:p>
    <w:p>
      <w:pPr>
        <w:pStyle w:val="Subsection"/>
        <w:spacing w:before="200"/>
      </w:pPr>
      <w:r>
        <w:tab/>
      </w:r>
      <w:r>
        <w:tab/>
        <w:t>is guilty of an offence and is liable to imprisonment for 12 months and a fine of $12 000.</w:t>
      </w:r>
    </w:p>
    <w:p>
      <w:pPr>
        <w:pStyle w:val="Subsection"/>
        <w:spacing w:before="200"/>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pPr>
        <w:pStyle w:val="Subsection"/>
        <w:spacing w:before="200"/>
      </w:pPr>
      <w:r>
        <w:tab/>
        <w:t>(4)</w:t>
      </w:r>
      <w:r>
        <w:tab/>
        <w:t>Without limiting subsection (3), the following are examples of steps that could be taken to ensure that a gathering does not become an out</w:t>
      </w:r>
      <w:r>
        <w:noBreakHyphen/>
        <w:t>of</w:t>
      </w:r>
      <w:r>
        <w:noBreakHyphen/>
        <w:t xml:space="preserve">control gathering — </w:t>
      </w:r>
    </w:p>
    <w:p>
      <w:pPr>
        <w:pStyle w:val="Indenta"/>
        <w:spacing w:before="120"/>
      </w:pPr>
      <w:r>
        <w:tab/>
        <w:t>(a)</w:t>
      </w:r>
      <w:r>
        <w:tab/>
        <w:t>engaging persons to provide security services at the gathering;</w:t>
      </w:r>
    </w:p>
    <w:p>
      <w:pPr>
        <w:pStyle w:val="Indenta"/>
        <w:spacing w:before="120"/>
      </w:pPr>
      <w:r>
        <w:tab/>
        <w:t>(b)</w:t>
      </w:r>
      <w:r>
        <w:tab/>
        <w:t>organising the gathering in a manner that indicates that only persons invited to the gathering may attend;</w:t>
      </w:r>
    </w:p>
    <w:p>
      <w:pPr>
        <w:pStyle w:val="Indenta"/>
        <w:spacing w:before="120"/>
      </w:pPr>
      <w:r>
        <w:tab/>
        <w:t>(c)</w:t>
      </w:r>
      <w:r>
        <w:tab/>
        <w:t>giving notice of the gathering to the Commissioner of Police in a manner approved by the Commissioner of Police;</w:t>
      </w:r>
    </w:p>
    <w:p>
      <w:pPr>
        <w:pStyle w:val="Indenta"/>
        <w:spacing w:before="120"/>
      </w:pPr>
      <w:r>
        <w:tab/>
        <w:t>(d)</w:t>
      </w:r>
      <w:r>
        <w:tab/>
        <w:t xml:space="preserve">taking steps to request the attendance of police officers at the gathering as soon as practicable after becoming aware that — </w:t>
      </w:r>
    </w:p>
    <w:p>
      <w:pPr>
        <w:pStyle w:val="Indenti"/>
        <w:spacing w:before="120"/>
      </w:pPr>
      <w:r>
        <w:tab/>
        <w:t>(i)</w:t>
      </w:r>
      <w:r>
        <w:tab/>
        <w:t>the gathering is likely to become an out</w:t>
      </w:r>
      <w:r>
        <w:noBreakHyphen/>
        <w:t>of</w:t>
      </w:r>
      <w:r>
        <w:noBreakHyphen/>
        <w:t>control gathering; or</w:t>
      </w:r>
    </w:p>
    <w:p>
      <w:pPr>
        <w:pStyle w:val="Indenti"/>
      </w:pPr>
      <w:r>
        <w:tab/>
        <w:t>(ii)</w:t>
      </w:r>
      <w:r>
        <w:tab/>
        <w:t>any person is trespassing on a place where the gathering is occurring.</w:t>
      </w:r>
    </w:p>
    <w:p>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pPr>
        <w:pStyle w:val="Subsection"/>
      </w:pPr>
      <w:r>
        <w:tab/>
        <w:t>(6)</w:t>
      </w:r>
      <w:r>
        <w:tab/>
        <w:t>The order must specify that the amount is to be paid to the Commissioner of Police.</w:t>
      </w:r>
    </w:p>
    <w:p>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pPr>
        <w:pStyle w:val="Footnotesection"/>
      </w:pPr>
      <w:r>
        <w:tab/>
        <w:t>[Section 75B inserted: No. 56 of 2012 s. 4.]</w:t>
      </w:r>
    </w:p>
    <w:p>
      <w:pPr>
        <w:pStyle w:val="Heading3"/>
        <w:rPr>
          <w:snapToGrid w:val="0"/>
        </w:rPr>
      </w:pPr>
      <w:bookmarkStart w:id="244" w:name="_Toc103860756"/>
      <w:bookmarkStart w:id="245" w:name="_Toc103861278"/>
      <w:bookmarkStart w:id="246" w:name="_Toc103864282"/>
      <w:bookmarkStart w:id="247" w:name="_Toc90988569"/>
      <w:bookmarkStart w:id="248" w:name="_Toc90989092"/>
      <w:bookmarkStart w:id="249" w:name="_Toc90996581"/>
      <w:r>
        <w:rPr>
          <w:rStyle w:val="CharDivNo"/>
        </w:rPr>
        <w:t>Chapter X</w:t>
      </w:r>
      <w:r>
        <w:rPr>
          <w:snapToGrid w:val="0"/>
        </w:rPr>
        <w:t> — </w:t>
      </w:r>
      <w:r>
        <w:rPr>
          <w:rStyle w:val="CharDivText"/>
        </w:rPr>
        <w:t>Offences against political liberty</w:t>
      </w:r>
      <w:bookmarkEnd w:id="244"/>
      <w:bookmarkEnd w:id="245"/>
      <w:bookmarkEnd w:id="246"/>
      <w:bookmarkEnd w:id="247"/>
      <w:bookmarkEnd w:id="248"/>
      <w:bookmarkEnd w:id="249"/>
    </w:p>
    <w:p>
      <w:pPr>
        <w:pStyle w:val="Heading5"/>
        <w:rPr>
          <w:snapToGrid w:val="0"/>
        </w:rPr>
      </w:pPr>
      <w:bookmarkStart w:id="250" w:name="_Toc103864283"/>
      <w:bookmarkStart w:id="251" w:name="_Toc90996582"/>
      <w:r>
        <w:rPr>
          <w:rStyle w:val="CharSectno"/>
        </w:rPr>
        <w:t>75</w:t>
      </w:r>
      <w:r>
        <w:rPr>
          <w:snapToGrid w:val="0"/>
        </w:rPr>
        <w:t>.</w:t>
      </w:r>
      <w:r>
        <w:rPr>
          <w:snapToGrid w:val="0"/>
        </w:rPr>
        <w:tab/>
        <w:t>Interfering with political liberty</w:t>
      </w:r>
      <w:bookmarkEnd w:id="250"/>
      <w:bookmarkEnd w:id="251"/>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No. 70 of 1988 s. 15; No. 51 of 1992 s. 16(2); No. 70 of 2004 s. 34(1) and 35(1).]</w:t>
      </w:r>
    </w:p>
    <w:p>
      <w:pPr>
        <w:pStyle w:val="Heading3"/>
      </w:pPr>
      <w:bookmarkStart w:id="252" w:name="_Toc103860758"/>
      <w:bookmarkStart w:id="253" w:name="_Toc103861280"/>
      <w:bookmarkStart w:id="254" w:name="_Toc103864284"/>
      <w:bookmarkStart w:id="255" w:name="_Toc90988571"/>
      <w:bookmarkStart w:id="256" w:name="_Toc90989094"/>
      <w:bookmarkStart w:id="257" w:name="_Toc90996583"/>
      <w:r>
        <w:rPr>
          <w:rStyle w:val="CharDivNo"/>
        </w:rPr>
        <w:t>Chapter XI</w:t>
      </w:r>
      <w:r>
        <w:t> — </w:t>
      </w:r>
      <w:r>
        <w:rPr>
          <w:rStyle w:val="CharDivText"/>
        </w:rPr>
        <w:t>Racist harassment and incitement to racial hatred</w:t>
      </w:r>
      <w:bookmarkEnd w:id="252"/>
      <w:bookmarkEnd w:id="253"/>
      <w:bookmarkEnd w:id="254"/>
      <w:bookmarkEnd w:id="255"/>
      <w:bookmarkEnd w:id="256"/>
      <w:bookmarkEnd w:id="257"/>
    </w:p>
    <w:p>
      <w:pPr>
        <w:pStyle w:val="Footnoteheading"/>
        <w:ind w:left="851"/>
        <w:rPr>
          <w:snapToGrid w:val="0"/>
        </w:rPr>
      </w:pPr>
      <w:r>
        <w:rPr>
          <w:snapToGrid w:val="0"/>
        </w:rPr>
        <w:tab/>
        <w:t>[Heading inserted: No. 33 of 1990 s. 3.]</w:t>
      </w:r>
    </w:p>
    <w:p>
      <w:pPr>
        <w:pStyle w:val="Heading5"/>
        <w:rPr>
          <w:snapToGrid w:val="0"/>
        </w:rPr>
      </w:pPr>
      <w:bookmarkStart w:id="258" w:name="_Toc103864285"/>
      <w:bookmarkStart w:id="259" w:name="_Toc90996584"/>
      <w:r>
        <w:rPr>
          <w:rStyle w:val="CharSectno"/>
        </w:rPr>
        <w:t>76</w:t>
      </w:r>
      <w:r>
        <w:rPr>
          <w:snapToGrid w:val="0"/>
        </w:rPr>
        <w:t>.</w:t>
      </w:r>
      <w:r>
        <w:rPr>
          <w:snapToGrid w:val="0"/>
        </w:rPr>
        <w:tab/>
        <w:t>Terms used</w:t>
      </w:r>
      <w:bookmarkEnd w:id="258"/>
      <w:bookmarkEnd w:id="259"/>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No. 33 of 1990 s. 3; amended: No. 80 of 2004 s. 5.]</w:t>
      </w:r>
    </w:p>
    <w:p>
      <w:pPr>
        <w:pStyle w:val="Heading5"/>
        <w:spacing w:before="240"/>
      </w:pPr>
      <w:bookmarkStart w:id="260" w:name="_Toc103864286"/>
      <w:bookmarkStart w:id="261" w:name="_Toc90996585"/>
      <w:r>
        <w:rPr>
          <w:rStyle w:val="CharSectno"/>
        </w:rPr>
        <w:t>77</w:t>
      </w:r>
      <w:r>
        <w:t>.</w:t>
      </w:r>
      <w:r>
        <w:tab/>
        <w:t>Conduct intended to incite racial animosity or racist harassment</w:t>
      </w:r>
      <w:bookmarkEnd w:id="260"/>
      <w:bookmarkEnd w:id="261"/>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No. 80 of 2004 s. 6; amended: No. 70 of 2004 s. 38(3).]</w:t>
      </w:r>
    </w:p>
    <w:p>
      <w:pPr>
        <w:pStyle w:val="Heading5"/>
        <w:spacing w:before="240"/>
      </w:pPr>
      <w:bookmarkStart w:id="262" w:name="_Toc103864287"/>
      <w:bookmarkStart w:id="263" w:name="_Toc90996586"/>
      <w:r>
        <w:rPr>
          <w:rStyle w:val="CharSectno"/>
        </w:rPr>
        <w:t>78</w:t>
      </w:r>
      <w:r>
        <w:t>.</w:t>
      </w:r>
      <w:r>
        <w:tab/>
        <w:t>Conduct likely to incite racial animosity or racist harassment</w:t>
      </w:r>
      <w:bookmarkEnd w:id="262"/>
      <w:bookmarkEnd w:id="263"/>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No. 80 of 2004 s. 6; amended: No. 70 of 2004 s. 38(1) and (3).]</w:t>
      </w:r>
    </w:p>
    <w:p>
      <w:pPr>
        <w:pStyle w:val="Heading5"/>
        <w:keepNext w:val="0"/>
        <w:keepLines w:val="0"/>
        <w:spacing w:before="180"/>
      </w:pPr>
      <w:bookmarkStart w:id="264" w:name="_Toc103864288"/>
      <w:bookmarkStart w:id="265" w:name="_Toc90996587"/>
      <w:r>
        <w:rPr>
          <w:rStyle w:val="CharSectno"/>
        </w:rPr>
        <w:t>79</w:t>
      </w:r>
      <w:r>
        <w:t>.</w:t>
      </w:r>
      <w:r>
        <w:tab/>
        <w:t>Possession of material for dissemination with intent to incite racial animosity or racist harassment</w:t>
      </w:r>
      <w:bookmarkEnd w:id="264"/>
      <w:bookmarkEnd w:id="265"/>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No. 80 of 2004 s. 6; amended: No. 70 of 2004 s. 38(3).]</w:t>
      </w:r>
    </w:p>
    <w:p>
      <w:pPr>
        <w:pStyle w:val="Heading5"/>
      </w:pPr>
      <w:bookmarkStart w:id="266" w:name="_Toc103864289"/>
      <w:bookmarkStart w:id="267" w:name="_Toc90996588"/>
      <w:r>
        <w:rPr>
          <w:rStyle w:val="CharSectno"/>
        </w:rPr>
        <w:t>80</w:t>
      </w:r>
      <w:r>
        <w:t>.</w:t>
      </w:r>
      <w:r>
        <w:tab/>
        <w:t>Possession of material for dissemination that is likely to incite racial animosity or racist harassment</w:t>
      </w:r>
      <w:bookmarkEnd w:id="266"/>
      <w:bookmarkEnd w:id="267"/>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No. 80 of 2004 s. 6; amended: No. 70 of 2004 s. 38(1) and (3).]</w:t>
      </w:r>
    </w:p>
    <w:p>
      <w:pPr>
        <w:pStyle w:val="Heading5"/>
        <w:keepNext w:val="0"/>
        <w:keepLines w:val="0"/>
      </w:pPr>
      <w:bookmarkStart w:id="268" w:name="_Toc103864290"/>
      <w:bookmarkStart w:id="269" w:name="_Toc90996589"/>
      <w:r>
        <w:rPr>
          <w:rStyle w:val="CharSectno"/>
        </w:rPr>
        <w:t>80A</w:t>
      </w:r>
      <w:r>
        <w:t>.</w:t>
      </w:r>
      <w:r>
        <w:tab/>
        <w:t>Conduct intended to racially harass</w:t>
      </w:r>
      <w:bookmarkEnd w:id="268"/>
      <w:bookmarkEnd w:id="269"/>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No. 80 of 2004 s. 6; amended: No. 70 of 2004 s. 38(1) and (3).]</w:t>
      </w:r>
    </w:p>
    <w:p>
      <w:pPr>
        <w:pStyle w:val="Heading5"/>
      </w:pPr>
      <w:bookmarkStart w:id="270" w:name="_Toc103864291"/>
      <w:bookmarkStart w:id="271" w:name="_Toc90996590"/>
      <w:r>
        <w:rPr>
          <w:rStyle w:val="CharSectno"/>
        </w:rPr>
        <w:t>80B</w:t>
      </w:r>
      <w:r>
        <w:t>.</w:t>
      </w:r>
      <w:r>
        <w:tab/>
        <w:t>Conduct likely to racially harass</w:t>
      </w:r>
      <w:bookmarkEnd w:id="270"/>
      <w:bookmarkEnd w:id="271"/>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No. 80 of 2004 s. 6; amended: No. 70 of 2004 s. 38(2).]</w:t>
      </w:r>
    </w:p>
    <w:p>
      <w:pPr>
        <w:pStyle w:val="Heading5"/>
        <w:rPr>
          <w:snapToGrid w:val="0"/>
        </w:rPr>
      </w:pPr>
      <w:bookmarkStart w:id="272" w:name="_Toc103864292"/>
      <w:bookmarkStart w:id="273" w:name="_Toc90996591"/>
      <w:r>
        <w:rPr>
          <w:rStyle w:val="CharSectno"/>
        </w:rPr>
        <w:t>80C</w:t>
      </w:r>
      <w:r>
        <w:t>.</w:t>
      </w:r>
      <w:r>
        <w:tab/>
        <w:t>Possession</w:t>
      </w:r>
      <w:r>
        <w:rPr>
          <w:snapToGrid w:val="0"/>
        </w:rPr>
        <w:t xml:space="preserve"> of material for display with intent to racially harass</w:t>
      </w:r>
      <w:bookmarkEnd w:id="272"/>
      <w:bookmarkEnd w:id="273"/>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No. 80 of 2004 s. 6; amended: No. 70 of 2004 s. 38(1) and (3).]</w:t>
      </w:r>
    </w:p>
    <w:p>
      <w:pPr>
        <w:pStyle w:val="Heading5"/>
        <w:rPr>
          <w:snapToGrid w:val="0"/>
        </w:rPr>
      </w:pPr>
      <w:bookmarkStart w:id="274" w:name="_Toc103864293"/>
      <w:bookmarkStart w:id="275" w:name="_Toc90996592"/>
      <w:r>
        <w:rPr>
          <w:rStyle w:val="CharSectno"/>
        </w:rPr>
        <w:t>80D</w:t>
      </w:r>
      <w:r>
        <w:t>.</w:t>
      </w:r>
      <w:r>
        <w:tab/>
        <w:t>Possession</w:t>
      </w:r>
      <w:r>
        <w:rPr>
          <w:snapToGrid w:val="0"/>
        </w:rPr>
        <w:t xml:space="preserve"> of material for display that is likely to racially harass</w:t>
      </w:r>
      <w:bookmarkEnd w:id="274"/>
      <w:bookmarkEnd w:id="275"/>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No. 80 of 2004 s. 6; amended: No. 70 of 2004 s. 38(2).]</w:t>
      </w:r>
    </w:p>
    <w:p>
      <w:pPr>
        <w:pStyle w:val="Heading5"/>
      </w:pPr>
      <w:bookmarkStart w:id="276" w:name="_Toc103864294"/>
      <w:bookmarkStart w:id="277" w:name="_Toc90996593"/>
      <w:r>
        <w:rPr>
          <w:rStyle w:val="CharSectno"/>
        </w:rPr>
        <w:t>80E</w:t>
      </w:r>
      <w:r>
        <w:t>.</w:t>
      </w:r>
      <w:r>
        <w:tab/>
        <w:t>Conduct and private conduct, meaning of in s. 77, 78, 80A and 80B</w:t>
      </w:r>
      <w:bookmarkEnd w:id="276"/>
      <w:bookmarkEnd w:id="277"/>
    </w:p>
    <w:p>
      <w:pPr>
        <w:pStyle w:val="Subsection"/>
        <w:spacing w:before="140"/>
      </w:pPr>
      <w:r>
        <w:tab/>
        <w:t>(1)</w:t>
      </w:r>
      <w:r>
        <w:tab/>
        <w:t>A reference in section 77, 78, 80A or 80B to conduct includes a reference to conduct occurring on a number of occasions over a period of time.</w:t>
      </w:r>
    </w:p>
    <w:p>
      <w:pPr>
        <w:pStyle w:val="Subsection"/>
        <w:spacing w:before="140"/>
      </w:pPr>
      <w:r>
        <w:tab/>
        <w:t>(2)</w:t>
      </w:r>
      <w:r>
        <w:tab/>
        <w:t>For the purposes of sections 77, 78, 80A and 80B conduct is taken not to occur in private if it —</w:t>
      </w:r>
    </w:p>
    <w:p>
      <w:pPr>
        <w:pStyle w:val="Indenta"/>
        <w:spacing w:before="60"/>
        <w:rPr>
          <w:snapToGrid w:val="0"/>
        </w:rPr>
      </w:pPr>
      <w:r>
        <w:rPr>
          <w:snapToGrid w:val="0"/>
        </w:rPr>
        <w:tab/>
        <w:t>(a)</w:t>
      </w:r>
      <w:r>
        <w:rPr>
          <w:snapToGrid w:val="0"/>
        </w:rPr>
        <w:tab/>
        <w:t>consists of any form of communication with the public or a section of the public; or</w:t>
      </w:r>
    </w:p>
    <w:p>
      <w:pPr>
        <w:pStyle w:val="Indenta"/>
        <w:spacing w:before="60"/>
        <w:rPr>
          <w:snapToGrid w:val="0"/>
        </w:rPr>
      </w:pPr>
      <w:r>
        <w:rPr>
          <w:snapToGrid w:val="0"/>
        </w:rPr>
        <w:tab/>
        <w:t>(b)</w:t>
      </w:r>
      <w:r>
        <w:rPr>
          <w:snapToGrid w:val="0"/>
        </w:rPr>
        <w:tab/>
        <w:t>occurs in a public place or in the sight or hearing of people who are in a public place.</w:t>
      </w:r>
    </w:p>
    <w:p>
      <w:pPr>
        <w:pStyle w:val="Footnotesection"/>
        <w:spacing w:before="100"/>
      </w:pPr>
      <w:r>
        <w:tab/>
        <w:t>[Section 80E inserted: No. 80 of 2004 s. 6.]</w:t>
      </w:r>
    </w:p>
    <w:p>
      <w:pPr>
        <w:pStyle w:val="Heading5"/>
      </w:pPr>
      <w:bookmarkStart w:id="278" w:name="_Toc103864295"/>
      <w:bookmarkStart w:id="279" w:name="_Toc90996594"/>
      <w:r>
        <w:rPr>
          <w:rStyle w:val="CharSectno"/>
        </w:rPr>
        <w:t>80F</w:t>
      </w:r>
      <w:r>
        <w:t>.</w:t>
      </w:r>
      <w:r>
        <w:tab/>
        <w:t>Belief as to existence or membership of racial group</w:t>
      </w:r>
      <w:bookmarkEnd w:id="278"/>
      <w:bookmarkEnd w:id="279"/>
    </w:p>
    <w:p>
      <w:pPr>
        <w:pStyle w:val="Subsection"/>
        <w:spacing w:before="140"/>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spacing w:before="100"/>
      </w:pPr>
      <w:r>
        <w:tab/>
        <w:t>[Section 80F inserted: No. 80 of 2004 s. 6.]</w:t>
      </w:r>
    </w:p>
    <w:p>
      <w:pPr>
        <w:pStyle w:val="Heading5"/>
      </w:pPr>
      <w:bookmarkStart w:id="280" w:name="_Toc103864296"/>
      <w:bookmarkStart w:id="281" w:name="_Toc90996595"/>
      <w:r>
        <w:rPr>
          <w:rStyle w:val="CharSectno"/>
        </w:rPr>
        <w:t>80G</w:t>
      </w:r>
      <w:r>
        <w:t>.</w:t>
      </w:r>
      <w:r>
        <w:tab/>
        <w:t>Defences to s. 78, 80, 80B or 80D charge</w:t>
      </w:r>
      <w:bookmarkEnd w:id="280"/>
      <w:bookmarkEnd w:id="281"/>
    </w:p>
    <w:p>
      <w:pPr>
        <w:pStyle w:val="Subsection"/>
        <w:spacing w:before="140"/>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spacing w:before="60"/>
        <w:rPr>
          <w:snapToGrid w:val="0"/>
        </w:rPr>
      </w:pPr>
      <w:r>
        <w:rPr>
          <w:snapToGrid w:val="0"/>
        </w:rPr>
        <w:tab/>
        <w:t>(a)</w:t>
      </w:r>
      <w:r>
        <w:rPr>
          <w:snapToGrid w:val="0"/>
        </w:rPr>
        <w:tab/>
        <w:t>in the performance, exhibition or distribution of an artistic work; or</w:t>
      </w:r>
    </w:p>
    <w:p>
      <w:pPr>
        <w:pStyle w:val="Indenta"/>
        <w:spacing w:before="60"/>
        <w:rPr>
          <w:snapToGrid w:val="0"/>
        </w:rPr>
      </w:pPr>
      <w:r>
        <w:rPr>
          <w:snapToGrid w:val="0"/>
        </w:rPr>
        <w:tab/>
        <w:t>(b)</w:t>
      </w:r>
      <w:r>
        <w:rPr>
          <w:snapToGrid w:val="0"/>
        </w:rPr>
        <w:tab/>
        <w:t>in the course of any statement, publication, discussion or debate made or held, or any other conduct engaged in, for —</w:t>
      </w:r>
    </w:p>
    <w:p>
      <w:pPr>
        <w:pStyle w:val="Indenti"/>
        <w:spacing w:before="60"/>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No. 80 of 2004 s. 6.]</w:t>
      </w:r>
    </w:p>
    <w:p>
      <w:pPr>
        <w:pStyle w:val="Heading5"/>
        <w:spacing w:before="180"/>
      </w:pPr>
      <w:bookmarkStart w:id="282" w:name="_Toc103864297"/>
      <w:bookmarkStart w:id="283" w:name="_Toc90996596"/>
      <w:r>
        <w:rPr>
          <w:rStyle w:val="CharSectno"/>
        </w:rPr>
        <w:t>80H</w:t>
      </w:r>
      <w:r>
        <w:t>.</w:t>
      </w:r>
      <w:r>
        <w:tab/>
        <w:t>Consent to prosecution under s. 77, 78, 79 or 80 required</w:t>
      </w:r>
      <w:bookmarkEnd w:id="282"/>
      <w:bookmarkEnd w:id="283"/>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No. 80 of 2004 s. 6.]</w:t>
      </w:r>
    </w:p>
    <w:p>
      <w:pPr>
        <w:pStyle w:val="Heading5"/>
        <w:spacing w:before="180"/>
      </w:pPr>
      <w:bookmarkStart w:id="284" w:name="_Toc103864298"/>
      <w:bookmarkStart w:id="285" w:name="_Toc90996597"/>
      <w:r>
        <w:t>80I.</w:t>
      </w:r>
      <w:r>
        <w:tab/>
        <w:t xml:space="preserve">Term used: </w:t>
      </w:r>
      <w:r>
        <w:rPr>
          <w:snapToGrid w:val="0"/>
        </w:rPr>
        <w:t>circumstances of racial aggravation</w:t>
      </w:r>
      <w:bookmarkEnd w:id="284"/>
      <w:bookmarkEnd w:id="285"/>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No. 80 of 2004 s. 6.]</w:t>
      </w:r>
    </w:p>
    <w:p>
      <w:pPr>
        <w:pStyle w:val="Heading5"/>
      </w:pPr>
      <w:bookmarkStart w:id="286" w:name="_Toc103864299"/>
      <w:bookmarkStart w:id="287" w:name="_Toc90996598"/>
      <w:r>
        <w:rPr>
          <w:rStyle w:val="CharSectno"/>
        </w:rPr>
        <w:t>80J</w:t>
      </w:r>
      <w:r>
        <w:t>.</w:t>
      </w:r>
      <w:r>
        <w:tab/>
        <w:t>Unlawful material, forfeiture of</w:t>
      </w:r>
      <w:bookmarkEnd w:id="286"/>
      <w:bookmarkEnd w:id="287"/>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No. 59 of 2006 s. 19.]</w:t>
      </w:r>
    </w:p>
    <w:p>
      <w:pPr>
        <w:pStyle w:val="Heading2"/>
      </w:pPr>
      <w:bookmarkStart w:id="288" w:name="_Toc103860774"/>
      <w:bookmarkStart w:id="289" w:name="_Toc103861296"/>
      <w:bookmarkStart w:id="290" w:name="_Toc103864300"/>
      <w:bookmarkStart w:id="291" w:name="_Toc90988587"/>
      <w:bookmarkStart w:id="292" w:name="_Toc90989110"/>
      <w:bookmarkStart w:id="293" w:name="_Toc90996599"/>
      <w:r>
        <w:rPr>
          <w:rStyle w:val="CharPartNo"/>
        </w:rPr>
        <w:t>Part III</w:t>
      </w:r>
      <w:r>
        <w:t> — </w:t>
      </w:r>
      <w:r>
        <w:rPr>
          <w:rStyle w:val="CharPartText"/>
        </w:rPr>
        <w:t>Offences against the administration of law and justice and against public authority</w:t>
      </w:r>
      <w:bookmarkEnd w:id="288"/>
      <w:bookmarkEnd w:id="289"/>
      <w:bookmarkEnd w:id="290"/>
      <w:bookmarkEnd w:id="291"/>
      <w:bookmarkEnd w:id="292"/>
      <w:bookmarkEnd w:id="293"/>
    </w:p>
    <w:p>
      <w:pPr>
        <w:pStyle w:val="Heading3"/>
        <w:rPr>
          <w:snapToGrid w:val="0"/>
        </w:rPr>
      </w:pPr>
      <w:bookmarkStart w:id="294" w:name="_Toc103860775"/>
      <w:bookmarkStart w:id="295" w:name="_Toc103861297"/>
      <w:bookmarkStart w:id="296" w:name="_Toc103864301"/>
      <w:bookmarkStart w:id="297" w:name="_Toc90988588"/>
      <w:bookmarkStart w:id="298" w:name="_Toc90989111"/>
      <w:bookmarkStart w:id="299" w:name="_Toc90996600"/>
      <w:r>
        <w:rPr>
          <w:rStyle w:val="CharDivNo"/>
        </w:rPr>
        <w:t>Chapter XII</w:t>
      </w:r>
      <w:r>
        <w:rPr>
          <w:snapToGrid w:val="0"/>
        </w:rPr>
        <w:t> — </w:t>
      </w:r>
      <w:r>
        <w:rPr>
          <w:rStyle w:val="CharDivText"/>
        </w:rPr>
        <w:t>Disclosing official secrets</w:t>
      </w:r>
      <w:bookmarkEnd w:id="294"/>
      <w:bookmarkEnd w:id="295"/>
      <w:bookmarkEnd w:id="296"/>
      <w:bookmarkEnd w:id="297"/>
      <w:bookmarkEnd w:id="298"/>
      <w:bookmarkEnd w:id="299"/>
    </w:p>
    <w:p>
      <w:pPr>
        <w:pStyle w:val="Heading5"/>
      </w:pPr>
      <w:bookmarkStart w:id="300" w:name="_Toc103864302"/>
      <w:bookmarkStart w:id="301" w:name="_Toc90996601"/>
      <w:r>
        <w:rPr>
          <w:rStyle w:val="CharSectno"/>
        </w:rPr>
        <w:t>81</w:t>
      </w:r>
      <w:r>
        <w:t>.</w:t>
      </w:r>
      <w:r>
        <w:tab/>
        <w:t>Disclosing official secrets</w:t>
      </w:r>
      <w:bookmarkEnd w:id="300"/>
      <w:bookmarkEnd w:id="301"/>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the State of Western Australia; or</w:t>
      </w:r>
    </w:p>
    <w:p>
      <w:pPr>
        <w:pStyle w:val="Defpara"/>
      </w:pPr>
      <w:r>
        <w:tab/>
        <w:t>(b)</w:t>
      </w:r>
      <w:r>
        <w:tab/>
        <w:t>the Public Service; or</w:t>
      </w:r>
    </w:p>
    <w:p>
      <w:pPr>
        <w:pStyle w:val="Defpara"/>
      </w:pPr>
      <w:r>
        <w:tab/>
        <w:t>(c)</w:t>
      </w:r>
      <w:r>
        <w:tab/>
        <w:t>the Police Force of Western Australia;</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No. 4 of 2004 s. 59; amended: No. 70 of 2004 s. 35(1).]</w:t>
      </w:r>
    </w:p>
    <w:p>
      <w:pPr>
        <w:pStyle w:val="Heading3"/>
        <w:keepLines/>
        <w:rPr>
          <w:snapToGrid w:val="0"/>
        </w:rPr>
      </w:pPr>
      <w:bookmarkStart w:id="302" w:name="_Toc103860777"/>
      <w:bookmarkStart w:id="303" w:name="_Toc103861299"/>
      <w:bookmarkStart w:id="304" w:name="_Toc103864303"/>
      <w:bookmarkStart w:id="305" w:name="_Toc90988590"/>
      <w:bookmarkStart w:id="306" w:name="_Toc90989113"/>
      <w:bookmarkStart w:id="307" w:name="_Toc90996602"/>
      <w:r>
        <w:rPr>
          <w:rStyle w:val="CharDivNo"/>
        </w:rPr>
        <w:t>Chapter XIII</w:t>
      </w:r>
      <w:r>
        <w:rPr>
          <w:snapToGrid w:val="0"/>
        </w:rPr>
        <w:t> — </w:t>
      </w:r>
      <w:r>
        <w:rPr>
          <w:rStyle w:val="CharDivText"/>
        </w:rPr>
        <w:t>Corruption and abuse of office</w:t>
      </w:r>
      <w:bookmarkEnd w:id="302"/>
      <w:bookmarkEnd w:id="303"/>
      <w:bookmarkEnd w:id="304"/>
      <w:bookmarkEnd w:id="305"/>
      <w:bookmarkEnd w:id="306"/>
      <w:bookmarkEnd w:id="307"/>
    </w:p>
    <w:p>
      <w:pPr>
        <w:pStyle w:val="Footnoteheading"/>
        <w:keepNext/>
        <w:keepLines/>
        <w:ind w:left="851"/>
        <w:rPr>
          <w:snapToGrid w:val="0"/>
        </w:rPr>
      </w:pPr>
      <w:r>
        <w:rPr>
          <w:snapToGrid w:val="0"/>
        </w:rPr>
        <w:tab/>
        <w:t>[Heading inserted: No. 70 of 1988 s. 16.]</w:t>
      </w:r>
    </w:p>
    <w:p>
      <w:pPr>
        <w:pStyle w:val="Heading5"/>
        <w:rPr>
          <w:snapToGrid w:val="0"/>
        </w:rPr>
      </w:pPr>
      <w:bookmarkStart w:id="308" w:name="_Toc103864304"/>
      <w:bookmarkStart w:id="309" w:name="_Toc90996603"/>
      <w:r>
        <w:rPr>
          <w:rStyle w:val="CharSectno"/>
        </w:rPr>
        <w:t>82</w:t>
      </w:r>
      <w:r>
        <w:rPr>
          <w:snapToGrid w:val="0"/>
        </w:rPr>
        <w:t>.</w:t>
      </w:r>
      <w:r>
        <w:rPr>
          <w:snapToGrid w:val="0"/>
        </w:rPr>
        <w:tab/>
        <w:t>Bribery of public officer</w:t>
      </w:r>
      <w:bookmarkEnd w:id="308"/>
      <w:bookmarkEnd w:id="309"/>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No. 70 of 1988 s. 16.]</w:t>
      </w:r>
    </w:p>
    <w:p>
      <w:pPr>
        <w:pStyle w:val="Heading5"/>
        <w:rPr>
          <w:snapToGrid w:val="0"/>
        </w:rPr>
      </w:pPr>
      <w:bookmarkStart w:id="310" w:name="_Toc103864305"/>
      <w:bookmarkStart w:id="311" w:name="_Toc90996604"/>
      <w:r>
        <w:rPr>
          <w:rStyle w:val="CharSectno"/>
        </w:rPr>
        <w:t>83</w:t>
      </w:r>
      <w:r>
        <w:rPr>
          <w:snapToGrid w:val="0"/>
        </w:rPr>
        <w:t>.</w:t>
      </w:r>
      <w:r>
        <w:rPr>
          <w:snapToGrid w:val="0"/>
        </w:rPr>
        <w:tab/>
        <w:t>Corruption</w:t>
      </w:r>
      <w:bookmarkEnd w:id="310"/>
      <w:bookmarkEnd w:id="311"/>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No. 70 of 1988 s. 16; amended: No. 8 of 2002 s. 4.]</w:t>
      </w:r>
    </w:p>
    <w:p>
      <w:pPr>
        <w:pStyle w:val="Heading5"/>
        <w:rPr>
          <w:snapToGrid w:val="0"/>
        </w:rPr>
      </w:pPr>
      <w:bookmarkStart w:id="312" w:name="_Toc103864306"/>
      <w:bookmarkStart w:id="313" w:name="_Toc90996605"/>
      <w:r>
        <w:rPr>
          <w:rStyle w:val="CharSectno"/>
        </w:rPr>
        <w:t>84</w:t>
      </w:r>
      <w:r>
        <w:rPr>
          <w:snapToGrid w:val="0"/>
        </w:rPr>
        <w:t>.</w:t>
      </w:r>
      <w:r>
        <w:rPr>
          <w:snapToGrid w:val="0"/>
        </w:rPr>
        <w:tab/>
        <w:t>Judicial officer, s. 82 and 83 do not apply to</w:t>
      </w:r>
      <w:bookmarkEnd w:id="312"/>
      <w:bookmarkEnd w:id="313"/>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No. 70 of 1988 s. 16.]</w:t>
      </w:r>
    </w:p>
    <w:p>
      <w:pPr>
        <w:pStyle w:val="Heading5"/>
        <w:rPr>
          <w:snapToGrid w:val="0"/>
        </w:rPr>
      </w:pPr>
      <w:bookmarkStart w:id="314" w:name="_Toc103864307"/>
      <w:bookmarkStart w:id="315" w:name="_Toc90996606"/>
      <w:r>
        <w:rPr>
          <w:rStyle w:val="CharSectno"/>
        </w:rPr>
        <w:t>85</w:t>
      </w:r>
      <w:r>
        <w:rPr>
          <w:snapToGrid w:val="0"/>
        </w:rPr>
        <w:t>.</w:t>
      </w:r>
      <w:r>
        <w:rPr>
          <w:snapToGrid w:val="0"/>
        </w:rPr>
        <w:tab/>
        <w:t>Falsification of record by public officer</w:t>
      </w:r>
      <w:bookmarkEnd w:id="314"/>
      <w:bookmarkEnd w:id="315"/>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No. 70 of 1988 s. 16; amended: No. 8 of 2002 s. 5; No. 70 of 2004 s. 8.]</w:t>
      </w:r>
    </w:p>
    <w:p>
      <w:pPr>
        <w:pStyle w:val="Heading5"/>
        <w:rPr>
          <w:snapToGrid w:val="0"/>
        </w:rPr>
      </w:pPr>
      <w:bookmarkStart w:id="316" w:name="_Toc103864308"/>
      <w:bookmarkStart w:id="317" w:name="_Toc90996607"/>
      <w:r>
        <w:rPr>
          <w:rStyle w:val="CharSectno"/>
        </w:rPr>
        <w:t>86</w:t>
      </w:r>
      <w:r>
        <w:rPr>
          <w:snapToGrid w:val="0"/>
        </w:rPr>
        <w:t>.</w:t>
      </w:r>
      <w:r>
        <w:rPr>
          <w:snapToGrid w:val="0"/>
        </w:rPr>
        <w:tab/>
        <w:t>Administering oath without authority</w:t>
      </w:r>
      <w:bookmarkEnd w:id="316"/>
      <w:bookmarkEnd w:id="317"/>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No. 70 of 1988 s. 16; amended: No. 70 of 2004 s. 34(1).]</w:t>
      </w:r>
    </w:p>
    <w:p>
      <w:pPr>
        <w:pStyle w:val="Heading5"/>
        <w:spacing w:before="180"/>
      </w:pPr>
      <w:bookmarkStart w:id="318" w:name="_Toc103864309"/>
      <w:bookmarkStart w:id="319" w:name="_Toc90996608"/>
      <w:r>
        <w:rPr>
          <w:rStyle w:val="CharSectno"/>
        </w:rPr>
        <w:t>87</w:t>
      </w:r>
      <w:r>
        <w:t>.</w:t>
      </w:r>
      <w:r>
        <w:tab/>
        <w:t>Impersonating public officer</w:t>
      </w:r>
      <w:bookmarkEnd w:id="318"/>
      <w:bookmarkEnd w:id="319"/>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No. 70 of 2004 s. 9.]</w:t>
      </w:r>
    </w:p>
    <w:p>
      <w:pPr>
        <w:pStyle w:val="Heading5"/>
        <w:rPr>
          <w:snapToGrid w:val="0"/>
        </w:rPr>
      </w:pPr>
      <w:bookmarkStart w:id="320" w:name="_Toc103864310"/>
      <w:bookmarkStart w:id="321" w:name="_Toc90996609"/>
      <w:r>
        <w:rPr>
          <w:rStyle w:val="CharSectno"/>
        </w:rPr>
        <w:t>88</w:t>
      </w:r>
      <w:r>
        <w:rPr>
          <w:snapToGrid w:val="0"/>
        </w:rPr>
        <w:t>.</w:t>
      </w:r>
      <w:r>
        <w:rPr>
          <w:snapToGrid w:val="0"/>
        </w:rPr>
        <w:tab/>
        <w:t>Bargaining for public office</w:t>
      </w:r>
      <w:bookmarkEnd w:id="320"/>
      <w:bookmarkEnd w:id="321"/>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No. 70 of 1988 s. 16; amended: No. 8 of 2002 s. 6.]</w:t>
      </w:r>
    </w:p>
    <w:p>
      <w:pPr>
        <w:pStyle w:val="Ednotesection"/>
        <w:ind w:left="890" w:hanging="890"/>
      </w:pPr>
      <w:r>
        <w:t>[</w:t>
      </w:r>
      <w:r>
        <w:rPr>
          <w:b/>
        </w:rPr>
        <w:t>89</w:t>
      </w:r>
      <w:r>
        <w:rPr>
          <w:b/>
        </w:rPr>
        <w:noBreakHyphen/>
        <w:t>92.</w:t>
      </w:r>
      <w:r>
        <w:tab/>
        <w:t>Deleted: No. 70 of 1988 s. 16.]</w:t>
      </w:r>
    </w:p>
    <w:p>
      <w:pPr>
        <w:pStyle w:val="Heading3"/>
        <w:keepLines/>
        <w:rPr>
          <w:snapToGrid w:val="0"/>
        </w:rPr>
      </w:pPr>
      <w:bookmarkStart w:id="322" w:name="_Toc103860785"/>
      <w:bookmarkStart w:id="323" w:name="_Toc103861307"/>
      <w:bookmarkStart w:id="324" w:name="_Toc103864311"/>
      <w:bookmarkStart w:id="325" w:name="_Toc90988598"/>
      <w:bookmarkStart w:id="326" w:name="_Toc90989121"/>
      <w:bookmarkStart w:id="327" w:name="_Toc90996610"/>
      <w:r>
        <w:rPr>
          <w:rStyle w:val="CharDivNo"/>
        </w:rPr>
        <w:t>Chapter XIV</w:t>
      </w:r>
      <w:r>
        <w:t> — </w:t>
      </w:r>
      <w:r>
        <w:rPr>
          <w:rStyle w:val="CharDivText"/>
        </w:rPr>
        <w:t>Offences at elections</w:t>
      </w:r>
      <w:bookmarkEnd w:id="322"/>
      <w:bookmarkEnd w:id="323"/>
      <w:bookmarkEnd w:id="324"/>
      <w:bookmarkEnd w:id="325"/>
      <w:bookmarkEnd w:id="326"/>
      <w:bookmarkEnd w:id="327"/>
    </w:p>
    <w:p>
      <w:pPr>
        <w:pStyle w:val="Footnoteheading"/>
        <w:keepNext/>
        <w:keepLines/>
      </w:pPr>
      <w:r>
        <w:tab/>
        <w:t>[Heading inserted: No. 70 of 2004 s. 10.]</w:t>
      </w:r>
    </w:p>
    <w:p>
      <w:pPr>
        <w:pStyle w:val="Heading5"/>
      </w:pPr>
      <w:bookmarkStart w:id="328" w:name="_Toc103864312"/>
      <w:bookmarkStart w:id="329" w:name="_Toc90996611"/>
      <w:r>
        <w:rPr>
          <w:rStyle w:val="CharSectno"/>
        </w:rPr>
        <w:t>93</w:t>
      </w:r>
      <w:r>
        <w:t>.</w:t>
      </w:r>
      <w:r>
        <w:tab/>
        <w:t>Terms used</w:t>
      </w:r>
      <w:bookmarkEnd w:id="328"/>
      <w:bookmarkEnd w:id="329"/>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No. 70 of 2004 s. 10.]</w:t>
      </w:r>
    </w:p>
    <w:p>
      <w:pPr>
        <w:pStyle w:val="Heading5"/>
      </w:pPr>
      <w:bookmarkStart w:id="330" w:name="_Toc103864313"/>
      <w:bookmarkStart w:id="331" w:name="_Toc90996612"/>
      <w:r>
        <w:rPr>
          <w:rStyle w:val="CharSectno"/>
        </w:rPr>
        <w:t>94</w:t>
      </w:r>
      <w:r>
        <w:t>.</w:t>
      </w:r>
      <w:r>
        <w:tab/>
        <w:t>Application of this Chapter</w:t>
      </w:r>
      <w:bookmarkEnd w:id="330"/>
      <w:bookmarkEnd w:id="331"/>
    </w:p>
    <w:p>
      <w:pPr>
        <w:pStyle w:val="Subsection"/>
      </w:pPr>
      <w:r>
        <w:tab/>
      </w:r>
      <w:r>
        <w:tab/>
        <w:t>This Chapter does not apply to or in respect of parliamentary or local government elections.</w:t>
      </w:r>
    </w:p>
    <w:p>
      <w:pPr>
        <w:pStyle w:val="Footnotesection"/>
        <w:ind w:left="890" w:hanging="890"/>
      </w:pPr>
      <w:r>
        <w:tab/>
        <w:t>[Section 94 inserted: No. 70 of 2004 s. 10.]</w:t>
      </w:r>
    </w:p>
    <w:p>
      <w:pPr>
        <w:pStyle w:val="Heading5"/>
      </w:pPr>
      <w:bookmarkStart w:id="332" w:name="_Toc103864314"/>
      <w:bookmarkStart w:id="333" w:name="_Toc90996613"/>
      <w:r>
        <w:rPr>
          <w:rStyle w:val="CharSectno"/>
        </w:rPr>
        <w:t>95</w:t>
      </w:r>
      <w:r>
        <w:t>.</w:t>
      </w:r>
      <w:r>
        <w:tab/>
        <w:t>Liability for acts of others</w:t>
      </w:r>
      <w:bookmarkEnd w:id="332"/>
      <w:bookmarkEnd w:id="333"/>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No. 70 of 2004 s. 10.]</w:t>
      </w:r>
    </w:p>
    <w:p>
      <w:pPr>
        <w:pStyle w:val="Heading5"/>
      </w:pPr>
      <w:bookmarkStart w:id="334" w:name="_Toc103864315"/>
      <w:bookmarkStart w:id="335" w:name="_Toc90996614"/>
      <w:r>
        <w:rPr>
          <w:rStyle w:val="CharSectno"/>
        </w:rPr>
        <w:t>96</w:t>
      </w:r>
      <w:r>
        <w:t>.</w:t>
      </w:r>
      <w:r>
        <w:tab/>
        <w:t>Bribery</w:t>
      </w:r>
      <w:bookmarkEnd w:id="334"/>
      <w:bookmarkEnd w:id="335"/>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No. 70 of 2004 s. 10.]</w:t>
      </w:r>
    </w:p>
    <w:p>
      <w:pPr>
        <w:pStyle w:val="Heading5"/>
      </w:pPr>
      <w:bookmarkStart w:id="336" w:name="_Toc103864316"/>
      <w:bookmarkStart w:id="337" w:name="_Toc90996615"/>
      <w:r>
        <w:rPr>
          <w:rStyle w:val="CharSectno"/>
        </w:rPr>
        <w:t>97</w:t>
      </w:r>
      <w:r>
        <w:t>.</w:t>
      </w:r>
      <w:r>
        <w:tab/>
        <w:t>Undue influence</w:t>
      </w:r>
      <w:bookmarkEnd w:id="336"/>
      <w:bookmarkEnd w:id="337"/>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No. 70 of 2004 s. 10.]</w:t>
      </w:r>
    </w:p>
    <w:p>
      <w:pPr>
        <w:pStyle w:val="Heading5"/>
      </w:pPr>
      <w:bookmarkStart w:id="338" w:name="_Toc103864317"/>
      <w:bookmarkStart w:id="339" w:name="_Toc90996616"/>
      <w:r>
        <w:rPr>
          <w:rStyle w:val="CharSectno"/>
        </w:rPr>
        <w:t>98</w:t>
      </w:r>
      <w:r>
        <w:t>.</w:t>
      </w:r>
      <w:r>
        <w:tab/>
        <w:t>Electoral material, printing and publication of</w:t>
      </w:r>
      <w:bookmarkEnd w:id="338"/>
      <w:bookmarkEnd w:id="339"/>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No. 70 of 2004 s. 10.]</w:t>
      </w:r>
    </w:p>
    <w:p>
      <w:pPr>
        <w:pStyle w:val="Heading5"/>
      </w:pPr>
      <w:bookmarkStart w:id="340" w:name="_Toc103864318"/>
      <w:bookmarkStart w:id="341" w:name="_Toc90996617"/>
      <w:r>
        <w:rPr>
          <w:rStyle w:val="CharSectno"/>
        </w:rPr>
        <w:t>99</w:t>
      </w:r>
      <w:r>
        <w:t>.</w:t>
      </w:r>
      <w:r>
        <w:tab/>
        <w:t>False or defamatory statements or deceptive material, publication of</w:t>
      </w:r>
      <w:bookmarkEnd w:id="340"/>
      <w:bookmarkEnd w:id="341"/>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No. 70 of 2004 s. 10.]</w:t>
      </w:r>
    </w:p>
    <w:p>
      <w:pPr>
        <w:pStyle w:val="Heading5"/>
      </w:pPr>
      <w:bookmarkStart w:id="342" w:name="_Toc103864319"/>
      <w:bookmarkStart w:id="343" w:name="_Toc90996618"/>
      <w:r>
        <w:rPr>
          <w:rStyle w:val="CharSectno"/>
        </w:rPr>
        <w:t>100</w:t>
      </w:r>
      <w:r>
        <w:t>.</w:t>
      </w:r>
      <w:r>
        <w:tab/>
        <w:t>Postal voting, offences in connection with</w:t>
      </w:r>
      <w:bookmarkEnd w:id="342"/>
      <w:bookmarkEnd w:id="343"/>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No. 70 of 2004 s. 10.]</w:t>
      </w:r>
    </w:p>
    <w:p>
      <w:pPr>
        <w:pStyle w:val="Heading5"/>
      </w:pPr>
      <w:bookmarkStart w:id="344" w:name="_Toc103864320"/>
      <w:bookmarkStart w:id="345" w:name="_Toc90996619"/>
      <w:r>
        <w:rPr>
          <w:rStyle w:val="CharSectno"/>
        </w:rPr>
        <w:t>101</w:t>
      </w:r>
      <w:r>
        <w:t>.</w:t>
      </w:r>
      <w:r>
        <w:tab/>
        <w:t>Polling place, offences at or near</w:t>
      </w:r>
      <w:bookmarkEnd w:id="344"/>
      <w:bookmarkEnd w:id="345"/>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No. 70 of 2004 s. 10.]</w:t>
      </w:r>
    </w:p>
    <w:p>
      <w:pPr>
        <w:pStyle w:val="Heading5"/>
        <w:keepLines w:val="0"/>
      </w:pPr>
      <w:bookmarkStart w:id="346" w:name="_Toc103864321"/>
      <w:bookmarkStart w:id="347" w:name="_Toc90996620"/>
      <w:r>
        <w:rPr>
          <w:rStyle w:val="CharSectno"/>
        </w:rPr>
        <w:t>102</w:t>
      </w:r>
      <w:r>
        <w:t>.</w:t>
      </w:r>
      <w:r>
        <w:tab/>
        <w:t>Voting offences</w:t>
      </w:r>
      <w:bookmarkEnd w:id="346"/>
      <w:bookmarkEnd w:id="347"/>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No. 70 of 2004 s. 10.]</w:t>
      </w:r>
    </w:p>
    <w:p>
      <w:pPr>
        <w:pStyle w:val="Heading5"/>
        <w:spacing w:before="240"/>
      </w:pPr>
      <w:bookmarkStart w:id="348" w:name="_Toc103864322"/>
      <w:bookmarkStart w:id="349" w:name="_Toc90996621"/>
      <w:r>
        <w:rPr>
          <w:rStyle w:val="CharSectno"/>
        </w:rPr>
        <w:t>103</w:t>
      </w:r>
      <w:r>
        <w:t>.</w:t>
      </w:r>
      <w:r>
        <w:tab/>
        <w:t>Ballot paper and ballot box offences</w:t>
      </w:r>
      <w:bookmarkEnd w:id="348"/>
      <w:bookmarkEnd w:id="349"/>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No. 70 of 2004 s. 10.]</w:t>
      </w:r>
    </w:p>
    <w:p>
      <w:pPr>
        <w:pStyle w:val="Heading5"/>
      </w:pPr>
      <w:bookmarkStart w:id="350" w:name="_Toc103864323"/>
      <w:bookmarkStart w:id="351" w:name="_Toc90996622"/>
      <w:r>
        <w:rPr>
          <w:rStyle w:val="CharSectno"/>
        </w:rPr>
        <w:t>104</w:t>
      </w:r>
      <w:r>
        <w:t>.</w:t>
      </w:r>
      <w:r>
        <w:tab/>
        <w:t>Secrecy offences</w:t>
      </w:r>
      <w:bookmarkEnd w:id="350"/>
      <w:bookmarkEnd w:id="351"/>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No. 70 of 2004 s. 10.]</w:t>
      </w:r>
    </w:p>
    <w:p>
      <w:pPr>
        <w:pStyle w:val="Heading5"/>
      </w:pPr>
      <w:bookmarkStart w:id="352" w:name="_Toc103864324"/>
      <w:bookmarkStart w:id="353" w:name="_Toc90996623"/>
      <w:r>
        <w:rPr>
          <w:rStyle w:val="CharSectno"/>
        </w:rPr>
        <w:t>105</w:t>
      </w:r>
      <w:r>
        <w:t>.</w:t>
      </w:r>
      <w:r>
        <w:tab/>
        <w:t>Electoral officer, offences by</w:t>
      </w:r>
      <w:bookmarkEnd w:id="352"/>
      <w:bookmarkEnd w:id="353"/>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No. 70 of 2004 s. 10.]</w:t>
      </w:r>
    </w:p>
    <w:p>
      <w:pPr>
        <w:pStyle w:val="Heading5"/>
      </w:pPr>
      <w:bookmarkStart w:id="354" w:name="_Toc103864325"/>
      <w:bookmarkStart w:id="355" w:name="_Toc90996624"/>
      <w:r>
        <w:rPr>
          <w:rStyle w:val="CharSectno"/>
        </w:rPr>
        <w:t>106</w:t>
      </w:r>
      <w:r>
        <w:t>.</w:t>
      </w:r>
      <w:r>
        <w:tab/>
        <w:t>False statements in connection with an election</w:t>
      </w:r>
      <w:bookmarkEnd w:id="354"/>
      <w:bookmarkEnd w:id="355"/>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No. 70 of 2004 s. 10.]</w:t>
      </w:r>
    </w:p>
    <w:p>
      <w:pPr>
        <w:pStyle w:val="Heading5"/>
      </w:pPr>
      <w:bookmarkStart w:id="356" w:name="_Toc103864326"/>
      <w:bookmarkStart w:id="357" w:name="_Toc90996625"/>
      <w:r>
        <w:rPr>
          <w:rStyle w:val="CharSectno"/>
        </w:rPr>
        <w:t>107</w:t>
      </w:r>
      <w:r>
        <w:t>.</w:t>
      </w:r>
      <w:r>
        <w:tab/>
        <w:t>Evidentiary matters</w:t>
      </w:r>
      <w:bookmarkEnd w:id="356"/>
      <w:bookmarkEnd w:id="357"/>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No. 70 of 2004 s. 10.]</w:t>
      </w:r>
    </w:p>
    <w:p>
      <w:pPr>
        <w:pStyle w:val="Ednotesection"/>
        <w:ind w:left="890" w:hanging="890"/>
      </w:pPr>
      <w:r>
        <w:t>[</w:t>
      </w:r>
      <w:r>
        <w:rPr>
          <w:b/>
          <w:bCs/>
        </w:rPr>
        <w:t>108</w:t>
      </w:r>
      <w:r>
        <w:rPr>
          <w:b/>
          <w:bCs/>
        </w:rPr>
        <w:noBreakHyphen/>
        <w:t>118.</w:t>
      </w:r>
      <w:r>
        <w:tab/>
        <w:t>Deleted: No. 70 of 2004 s. 10.]</w:t>
      </w:r>
    </w:p>
    <w:p>
      <w:pPr>
        <w:pStyle w:val="Ednotedivision"/>
      </w:pPr>
      <w:r>
        <w:t>[Chapter XV (s. 119) deleted: No. 70 of 1988 s. 17.]</w:t>
      </w:r>
    </w:p>
    <w:p>
      <w:pPr>
        <w:pStyle w:val="Heading3"/>
        <w:rPr>
          <w:snapToGrid w:val="0"/>
        </w:rPr>
      </w:pPr>
      <w:bookmarkStart w:id="358" w:name="_Toc103860801"/>
      <w:bookmarkStart w:id="359" w:name="_Toc103861323"/>
      <w:bookmarkStart w:id="360" w:name="_Toc103864327"/>
      <w:bookmarkStart w:id="361" w:name="_Toc90988614"/>
      <w:bookmarkStart w:id="362" w:name="_Toc90989137"/>
      <w:bookmarkStart w:id="363" w:name="_Toc90996626"/>
      <w:r>
        <w:rPr>
          <w:rStyle w:val="CharDivNo"/>
        </w:rPr>
        <w:t>Chapter XVI</w:t>
      </w:r>
      <w:r>
        <w:rPr>
          <w:snapToGrid w:val="0"/>
        </w:rPr>
        <w:t> — </w:t>
      </w:r>
      <w:r>
        <w:rPr>
          <w:rStyle w:val="CharDivText"/>
        </w:rPr>
        <w:t>Offences relating to the administration of justice</w:t>
      </w:r>
      <w:bookmarkEnd w:id="358"/>
      <w:bookmarkEnd w:id="359"/>
      <w:bookmarkEnd w:id="360"/>
      <w:bookmarkEnd w:id="361"/>
      <w:bookmarkEnd w:id="362"/>
      <w:bookmarkEnd w:id="363"/>
    </w:p>
    <w:p>
      <w:pPr>
        <w:pStyle w:val="Heading5"/>
        <w:rPr>
          <w:snapToGrid w:val="0"/>
        </w:rPr>
      </w:pPr>
      <w:bookmarkStart w:id="364" w:name="_Toc103864328"/>
      <w:bookmarkStart w:id="365" w:name="_Toc90996627"/>
      <w:r>
        <w:rPr>
          <w:rStyle w:val="CharSectno"/>
        </w:rPr>
        <w:t>120</w:t>
      </w:r>
      <w:r>
        <w:rPr>
          <w:snapToGrid w:val="0"/>
        </w:rPr>
        <w:t>.</w:t>
      </w:r>
      <w:r>
        <w:rPr>
          <w:snapToGrid w:val="0"/>
        </w:rPr>
        <w:tab/>
      </w:r>
      <w:r>
        <w:t>Term used: judicial proceeding</w:t>
      </w:r>
      <w:bookmarkEnd w:id="364"/>
      <w:bookmarkEnd w:id="365"/>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366" w:name="_Toc103864329"/>
      <w:bookmarkStart w:id="367" w:name="_Toc90996628"/>
      <w:r>
        <w:rPr>
          <w:rStyle w:val="CharSectno"/>
        </w:rPr>
        <w:t>121</w:t>
      </w:r>
      <w:r>
        <w:rPr>
          <w:snapToGrid w:val="0"/>
        </w:rPr>
        <w:t>.</w:t>
      </w:r>
      <w:r>
        <w:rPr>
          <w:snapToGrid w:val="0"/>
        </w:rPr>
        <w:tab/>
        <w:t>Judicial corruption</w:t>
      </w:r>
      <w:bookmarkEnd w:id="366"/>
      <w:bookmarkEnd w:id="367"/>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No. 119 of 1985 s. 30; No. 101 of 1990 s. 8; No. 51 of 1992 s. 16(2); No. 73 of 1994 s. 4.]</w:t>
      </w:r>
    </w:p>
    <w:p>
      <w:pPr>
        <w:pStyle w:val="Heading5"/>
        <w:rPr>
          <w:snapToGrid w:val="0"/>
        </w:rPr>
      </w:pPr>
      <w:bookmarkStart w:id="368" w:name="_Toc103864330"/>
      <w:bookmarkStart w:id="369" w:name="_Toc90996629"/>
      <w:r>
        <w:rPr>
          <w:rStyle w:val="CharSectno"/>
        </w:rPr>
        <w:t>122</w:t>
      </w:r>
      <w:r>
        <w:rPr>
          <w:snapToGrid w:val="0"/>
        </w:rPr>
        <w:t>.</w:t>
      </w:r>
      <w:r>
        <w:rPr>
          <w:snapToGrid w:val="0"/>
        </w:rPr>
        <w:tab/>
        <w:t>Official corruption not judicial but relating to offences</w:t>
      </w:r>
      <w:bookmarkEnd w:id="368"/>
      <w:bookmarkEnd w:id="369"/>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No. 119 of 1985 s. 30; No. 51 of 1992 s. 16(2); No. 73 of 1994 s. 4.]</w:t>
      </w:r>
    </w:p>
    <w:p>
      <w:pPr>
        <w:pStyle w:val="Heading5"/>
        <w:rPr>
          <w:snapToGrid w:val="0"/>
        </w:rPr>
      </w:pPr>
      <w:bookmarkStart w:id="370" w:name="_Toc103864331"/>
      <w:bookmarkStart w:id="371" w:name="_Toc90996630"/>
      <w:r>
        <w:rPr>
          <w:rStyle w:val="CharSectno"/>
        </w:rPr>
        <w:t>123</w:t>
      </w:r>
      <w:r>
        <w:rPr>
          <w:snapToGrid w:val="0"/>
        </w:rPr>
        <w:t>.</w:t>
      </w:r>
      <w:r>
        <w:rPr>
          <w:snapToGrid w:val="0"/>
        </w:rPr>
        <w:tab/>
        <w:t>Corrupting or threatening juror</w:t>
      </w:r>
      <w:bookmarkEnd w:id="370"/>
      <w:bookmarkEnd w:id="37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No. 101 of 1990 s. 9; No. 51 of 1992 s. 16(2); No. 70 of 2004 s. 34(1).]</w:t>
      </w:r>
    </w:p>
    <w:p>
      <w:pPr>
        <w:pStyle w:val="Heading5"/>
        <w:spacing w:before="180"/>
        <w:rPr>
          <w:snapToGrid w:val="0"/>
        </w:rPr>
      </w:pPr>
      <w:bookmarkStart w:id="372" w:name="_Toc103864332"/>
      <w:bookmarkStart w:id="373" w:name="_Toc90996631"/>
      <w:r>
        <w:rPr>
          <w:rStyle w:val="CharSectno"/>
        </w:rPr>
        <w:t>124</w:t>
      </w:r>
      <w:r>
        <w:rPr>
          <w:snapToGrid w:val="0"/>
        </w:rPr>
        <w:t>.</w:t>
      </w:r>
      <w:r>
        <w:rPr>
          <w:snapToGrid w:val="0"/>
        </w:rPr>
        <w:tab/>
        <w:t>Perjury</w:t>
      </w:r>
      <w:bookmarkEnd w:id="372"/>
      <w:bookmarkEnd w:id="373"/>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No. 119 of 1985 s. 30.]</w:t>
      </w:r>
    </w:p>
    <w:p>
      <w:pPr>
        <w:pStyle w:val="Heading5"/>
        <w:rPr>
          <w:snapToGrid w:val="0"/>
        </w:rPr>
      </w:pPr>
      <w:bookmarkStart w:id="374" w:name="_Toc103864333"/>
      <w:bookmarkStart w:id="375" w:name="_Toc90996632"/>
      <w:r>
        <w:rPr>
          <w:rStyle w:val="CharSectno"/>
        </w:rPr>
        <w:t>125</w:t>
      </w:r>
      <w:r>
        <w:rPr>
          <w:snapToGrid w:val="0"/>
        </w:rPr>
        <w:t>.</w:t>
      </w:r>
      <w:r>
        <w:rPr>
          <w:snapToGrid w:val="0"/>
        </w:rPr>
        <w:tab/>
        <w:t>Perjury, penalty for</w:t>
      </w:r>
      <w:bookmarkEnd w:id="374"/>
      <w:bookmarkEnd w:id="375"/>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No. 52 of 1984 s. 14; No. 51 of 1992 s. 16(2); No. 29 of 2008 s. 16(3).]</w:t>
      </w:r>
    </w:p>
    <w:p>
      <w:pPr>
        <w:pStyle w:val="Ednotesection"/>
        <w:keepNext/>
      </w:pPr>
      <w:r>
        <w:t>[</w:t>
      </w:r>
      <w:r>
        <w:rPr>
          <w:b/>
        </w:rPr>
        <w:t>126.</w:t>
      </w:r>
      <w:r>
        <w:tab/>
        <w:t>Deleted: No. 70 of 1988 s. 31.]</w:t>
      </w:r>
    </w:p>
    <w:p>
      <w:pPr>
        <w:pStyle w:val="Heading5"/>
        <w:rPr>
          <w:snapToGrid w:val="0"/>
        </w:rPr>
      </w:pPr>
      <w:bookmarkStart w:id="376" w:name="_Toc103864334"/>
      <w:bookmarkStart w:id="377" w:name="_Toc90996633"/>
      <w:r>
        <w:rPr>
          <w:rStyle w:val="CharSectno"/>
        </w:rPr>
        <w:t>127</w:t>
      </w:r>
      <w:r>
        <w:rPr>
          <w:snapToGrid w:val="0"/>
        </w:rPr>
        <w:t>.</w:t>
      </w:r>
      <w:r>
        <w:rPr>
          <w:snapToGrid w:val="0"/>
        </w:rPr>
        <w:tab/>
      </w:r>
      <w:r>
        <w:t>False</w:t>
      </w:r>
      <w:r>
        <w:rPr>
          <w:snapToGrid w:val="0"/>
        </w:rPr>
        <w:t xml:space="preserve"> evidence before Royal Commission</w:t>
      </w:r>
      <w:bookmarkEnd w:id="376"/>
      <w:bookmarkEnd w:id="377"/>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No. 119 of 1985 s. 30; No. 70 of 1988 s. 31; No. 51 of 1992 s. 16(2).]</w:t>
      </w:r>
    </w:p>
    <w:p>
      <w:pPr>
        <w:pStyle w:val="Heading5"/>
        <w:keepNext w:val="0"/>
        <w:keepLines w:val="0"/>
        <w:rPr>
          <w:snapToGrid w:val="0"/>
        </w:rPr>
      </w:pPr>
      <w:bookmarkStart w:id="378" w:name="_Toc103864335"/>
      <w:bookmarkStart w:id="379" w:name="_Toc90996634"/>
      <w:r>
        <w:rPr>
          <w:rStyle w:val="CharSectno"/>
        </w:rPr>
        <w:t>128</w:t>
      </w:r>
      <w:r>
        <w:rPr>
          <w:snapToGrid w:val="0"/>
        </w:rPr>
        <w:t>.</w:t>
      </w:r>
      <w:r>
        <w:rPr>
          <w:snapToGrid w:val="0"/>
        </w:rPr>
        <w:tab/>
        <w:t>Threatening witness before Royal Commission etc.</w:t>
      </w:r>
      <w:bookmarkEnd w:id="378"/>
      <w:bookmarkEnd w:id="379"/>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No. 51 of 1992 s. 16(2); No. 70 of 2004 s. 34(1).]</w:t>
      </w:r>
    </w:p>
    <w:p>
      <w:pPr>
        <w:pStyle w:val="Heading5"/>
        <w:rPr>
          <w:snapToGrid w:val="0"/>
        </w:rPr>
      </w:pPr>
      <w:bookmarkStart w:id="380" w:name="_Toc103864336"/>
      <w:bookmarkStart w:id="381" w:name="_Toc90996635"/>
      <w:r>
        <w:rPr>
          <w:rStyle w:val="CharSectno"/>
        </w:rPr>
        <w:t>129</w:t>
      </w:r>
      <w:r>
        <w:rPr>
          <w:snapToGrid w:val="0"/>
        </w:rPr>
        <w:t>.</w:t>
      </w:r>
      <w:r>
        <w:rPr>
          <w:snapToGrid w:val="0"/>
        </w:rPr>
        <w:tab/>
        <w:t>Fabricating evidence</w:t>
      </w:r>
      <w:bookmarkEnd w:id="380"/>
      <w:bookmarkEnd w:id="381"/>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No. 119 of 1985 s. 30; No. 51 of 1992 s. 16(2).]</w:t>
      </w:r>
    </w:p>
    <w:p>
      <w:pPr>
        <w:pStyle w:val="Heading5"/>
        <w:rPr>
          <w:snapToGrid w:val="0"/>
        </w:rPr>
      </w:pPr>
      <w:bookmarkStart w:id="382" w:name="_Toc103864337"/>
      <w:bookmarkStart w:id="383" w:name="_Toc90996636"/>
      <w:r>
        <w:rPr>
          <w:rStyle w:val="CharSectno"/>
        </w:rPr>
        <w:t>130</w:t>
      </w:r>
      <w:r>
        <w:rPr>
          <w:snapToGrid w:val="0"/>
        </w:rPr>
        <w:t>.</w:t>
      </w:r>
      <w:r>
        <w:rPr>
          <w:snapToGrid w:val="0"/>
        </w:rPr>
        <w:tab/>
        <w:t>Corruption of witness</w:t>
      </w:r>
      <w:bookmarkEnd w:id="382"/>
      <w:bookmarkEnd w:id="38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No. 119 of 1985 s. 30; No. 51 of 1992 s. 16(2).]</w:t>
      </w:r>
    </w:p>
    <w:p>
      <w:pPr>
        <w:pStyle w:val="Heading5"/>
        <w:keepLines w:val="0"/>
        <w:rPr>
          <w:snapToGrid w:val="0"/>
        </w:rPr>
      </w:pPr>
      <w:bookmarkStart w:id="384" w:name="_Toc103864338"/>
      <w:bookmarkStart w:id="385" w:name="_Toc90996637"/>
      <w:r>
        <w:rPr>
          <w:rStyle w:val="CharSectno"/>
        </w:rPr>
        <w:t>131</w:t>
      </w:r>
      <w:r>
        <w:rPr>
          <w:snapToGrid w:val="0"/>
        </w:rPr>
        <w:t>.</w:t>
      </w:r>
      <w:r>
        <w:rPr>
          <w:snapToGrid w:val="0"/>
        </w:rPr>
        <w:tab/>
        <w:t>Deceiving witness</w:t>
      </w:r>
      <w:bookmarkEnd w:id="384"/>
      <w:bookmarkEnd w:id="385"/>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No. 51 of 1992 s. 16(2); No. 70 of 2004 s. 34(1).]</w:t>
      </w:r>
    </w:p>
    <w:p>
      <w:pPr>
        <w:pStyle w:val="Heading5"/>
        <w:rPr>
          <w:snapToGrid w:val="0"/>
        </w:rPr>
      </w:pPr>
      <w:bookmarkStart w:id="386" w:name="_Toc103864339"/>
      <w:bookmarkStart w:id="387" w:name="_Toc90996638"/>
      <w:r>
        <w:rPr>
          <w:rStyle w:val="CharSectno"/>
        </w:rPr>
        <w:t>132</w:t>
      </w:r>
      <w:r>
        <w:rPr>
          <w:snapToGrid w:val="0"/>
        </w:rPr>
        <w:t>.</w:t>
      </w:r>
      <w:r>
        <w:rPr>
          <w:snapToGrid w:val="0"/>
        </w:rPr>
        <w:tab/>
        <w:t>Destroying evidence</w:t>
      </w:r>
      <w:bookmarkEnd w:id="386"/>
      <w:bookmarkEnd w:id="387"/>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No. 51 of 1992 s. 16(2); No. 8 of 2002 s. 7.]</w:t>
      </w:r>
    </w:p>
    <w:p>
      <w:pPr>
        <w:pStyle w:val="Heading5"/>
        <w:rPr>
          <w:snapToGrid w:val="0"/>
        </w:rPr>
      </w:pPr>
      <w:bookmarkStart w:id="388" w:name="_Toc103864340"/>
      <w:bookmarkStart w:id="389" w:name="_Toc90996639"/>
      <w:r>
        <w:rPr>
          <w:rStyle w:val="CharSectno"/>
        </w:rPr>
        <w:t>133</w:t>
      </w:r>
      <w:r>
        <w:rPr>
          <w:snapToGrid w:val="0"/>
        </w:rPr>
        <w:t>.</w:t>
      </w:r>
      <w:r>
        <w:rPr>
          <w:snapToGrid w:val="0"/>
        </w:rPr>
        <w:tab/>
        <w:t>Preventing witness from attending</w:t>
      </w:r>
      <w:bookmarkEnd w:id="388"/>
      <w:bookmarkEnd w:id="389"/>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No. 70 of 2004 s. 34(1).]</w:t>
      </w:r>
    </w:p>
    <w:p>
      <w:pPr>
        <w:pStyle w:val="Heading5"/>
      </w:pPr>
      <w:bookmarkStart w:id="390" w:name="_Toc103864341"/>
      <w:bookmarkStart w:id="391" w:name="_Toc90996640"/>
      <w:r>
        <w:rPr>
          <w:rStyle w:val="CharSectno"/>
        </w:rPr>
        <w:t>133A</w:t>
      </w:r>
      <w:r>
        <w:t>.</w:t>
      </w:r>
      <w:r>
        <w:tab/>
        <w:t xml:space="preserve">False </w:t>
      </w:r>
      <w:r>
        <w:rPr>
          <w:snapToGrid w:val="0"/>
        </w:rPr>
        <w:t>prosecution, commencing</w:t>
      </w:r>
      <w:bookmarkEnd w:id="390"/>
      <w:bookmarkEnd w:id="391"/>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No. 10 of 1999 s. 3; amended: No. 59 of 2004 s. 80; No. 84 of 2004 s. 28.]</w:t>
      </w:r>
    </w:p>
    <w:p>
      <w:pPr>
        <w:pStyle w:val="Heading5"/>
        <w:keepLines w:val="0"/>
        <w:rPr>
          <w:snapToGrid w:val="0"/>
        </w:rPr>
      </w:pPr>
      <w:bookmarkStart w:id="392" w:name="_Toc103864342"/>
      <w:bookmarkStart w:id="393" w:name="_Toc90996641"/>
      <w:r>
        <w:rPr>
          <w:rStyle w:val="CharSectno"/>
        </w:rPr>
        <w:t>134</w:t>
      </w:r>
      <w:r>
        <w:rPr>
          <w:snapToGrid w:val="0"/>
        </w:rPr>
        <w:t>.</w:t>
      </w:r>
      <w:r>
        <w:rPr>
          <w:snapToGrid w:val="0"/>
        </w:rPr>
        <w:tab/>
        <w:t>Conspiracy to commence false prosecution</w:t>
      </w:r>
      <w:bookmarkEnd w:id="392"/>
      <w:bookmarkEnd w:id="393"/>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No. 118 of 1981 s. 5; No. 52 of 1984 s. 15; No. 119 of 1985 s. 30; No. 51 of 1992 s. 16(2); No. 29 of 2008 s. 16(4).]</w:t>
      </w:r>
    </w:p>
    <w:p>
      <w:pPr>
        <w:pStyle w:val="Heading5"/>
        <w:rPr>
          <w:snapToGrid w:val="0"/>
        </w:rPr>
      </w:pPr>
      <w:bookmarkStart w:id="394" w:name="_Toc103864343"/>
      <w:bookmarkStart w:id="395" w:name="_Toc90996642"/>
      <w:r>
        <w:rPr>
          <w:rStyle w:val="CharSectno"/>
        </w:rPr>
        <w:t>135</w:t>
      </w:r>
      <w:r>
        <w:rPr>
          <w:snapToGrid w:val="0"/>
        </w:rPr>
        <w:t>.</w:t>
      </w:r>
      <w:r>
        <w:rPr>
          <w:snapToGrid w:val="0"/>
        </w:rPr>
        <w:tab/>
        <w:t>Conspiring to pervert etc. course of justice</w:t>
      </w:r>
      <w:bookmarkEnd w:id="394"/>
      <w:bookmarkEnd w:id="395"/>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No. 119 of 1985 s. 30; No. 51 of 1992 s. 16(2).]</w:t>
      </w:r>
    </w:p>
    <w:p>
      <w:pPr>
        <w:pStyle w:val="Heading5"/>
      </w:pPr>
      <w:bookmarkStart w:id="396" w:name="_Toc103864344"/>
      <w:bookmarkStart w:id="397" w:name="_Toc90996643"/>
      <w:r>
        <w:rPr>
          <w:rStyle w:val="CharSectno"/>
        </w:rPr>
        <w:t>136</w:t>
      </w:r>
      <w:r>
        <w:t>.</w:t>
      </w:r>
      <w:r>
        <w:tab/>
        <w:t>Compounding or concealing offence</w:t>
      </w:r>
      <w:bookmarkEnd w:id="396"/>
      <w:bookmarkEnd w:id="397"/>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No. 70 of 2004 s. 11.]</w:t>
      </w:r>
    </w:p>
    <w:p>
      <w:pPr>
        <w:pStyle w:val="Heading5"/>
      </w:pPr>
      <w:bookmarkStart w:id="398" w:name="_Toc103864345"/>
      <w:bookmarkStart w:id="399" w:name="_Toc90996644"/>
      <w:r>
        <w:rPr>
          <w:rStyle w:val="CharSectno"/>
        </w:rPr>
        <w:t>138</w:t>
      </w:r>
      <w:r>
        <w:t>.</w:t>
      </w:r>
      <w:r>
        <w:tab/>
        <w:t>Advertising reward etc. for stolen property</w:t>
      </w:r>
      <w:bookmarkEnd w:id="398"/>
      <w:bookmarkEnd w:id="399"/>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No. 70 of 2004 s. 12.]</w:t>
      </w:r>
    </w:p>
    <w:p>
      <w:pPr>
        <w:pStyle w:val="Heading5"/>
        <w:spacing w:before="240"/>
        <w:rPr>
          <w:snapToGrid w:val="0"/>
        </w:rPr>
      </w:pPr>
      <w:bookmarkStart w:id="400" w:name="_Toc103864346"/>
      <w:bookmarkStart w:id="401" w:name="_Toc90996645"/>
      <w:r>
        <w:rPr>
          <w:rStyle w:val="CharSectno"/>
        </w:rPr>
        <w:t>139</w:t>
      </w:r>
      <w:r>
        <w:rPr>
          <w:snapToGrid w:val="0"/>
        </w:rPr>
        <w:t>.</w:t>
      </w:r>
      <w:r>
        <w:rPr>
          <w:snapToGrid w:val="0"/>
        </w:rPr>
        <w:tab/>
        <w:t>Justice acting when personally interested</w:t>
      </w:r>
      <w:bookmarkEnd w:id="400"/>
      <w:bookmarkEnd w:id="401"/>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No. 87 of 1982 s. 31; No. 73 of 1994 s. 4; No. 70 of 2004 s. 34(1).]</w:t>
      </w:r>
    </w:p>
    <w:p>
      <w:pPr>
        <w:pStyle w:val="Ednotesection"/>
        <w:ind w:left="890" w:hanging="890"/>
      </w:pPr>
      <w:r>
        <w:t>[</w:t>
      </w:r>
      <w:r>
        <w:rPr>
          <w:b/>
        </w:rPr>
        <w:t>140.</w:t>
      </w:r>
      <w:r>
        <w:tab/>
      </w:r>
      <w:r>
        <w:tab/>
        <w:t>Deleted: No. 87 of 1982 s. 32.]</w:t>
      </w:r>
    </w:p>
    <w:p>
      <w:pPr>
        <w:pStyle w:val="Heading5"/>
        <w:rPr>
          <w:snapToGrid w:val="0"/>
        </w:rPr>
      </w:pPr>
      <w:bookmarkStart w:id="402" w:name="_Toc103864347"/>
      <w:bookmarkStart w:id="403" w:name="_Toc90996646"/>
      <w:r>
        <w:rPr>
          <w:rStyle w:val="CharSectno"/>
        </w:rPr>
        <w:t>141</w:t>
      </w:r>
      <w:r>
        <w:rPr>
          <w:snapToGrid w:val="0"/>
        </w:rPr>
        <w:t>.</w:t>
      </w:r>
      <w:r>
        <w:rPr>
          <w:snapToGrid w:val="0"/>
        </w:rPr>
        <w:tab/>
        <w:t>Bringing fictitious action on penal statute</w:t>
      </w:r>
      <w:bookmarkEnd w:id="402"/>
      <w:bookmarkEnd w:id="403"/>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No. 70 of 2004 s. 34(1).]</w:t>
      </w:r>
    </w:p>
    <w:p>
      <w:pPr>
        <w:pStyle w:val="Heading5"/>
        <w:rPr>
          <w:snapToGrid w:val="0"/>
        </w:rPr>
      </w:pPr>
      <w:bookmarkStart w:id="404" w:name="_Toc103864348"/>
      <w:bookmarkStart w:id="405" w:name="_Toc90996647"/>
      <w:r>
        <w:rPr>
          <w:rStyle w:val="CharSectno"/>
        </w:rPr>
        <w:t>142</w:t>
      </w:r>
      <w:r>
        <w:rPr>
          <w:snapToGrid w:val="0"/>
        </w:rPr>
        <w:t>.</w:t>
      </w:r>
      <w:r>
        <w:rPr>
          <w:snapToGrid w:val="0"/>
        </w:rPr>
        <w:tab/>
        <w:t>Inserting advertisement without authority of court</w:t>
      </w:r>
      <w:bookmarkEnd w:id="404"/>
      <w:bookmarkEnd w:id="405"/>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No. 51 of 1992 s. 16(2); No. 70 of 2004 s. 34(1).]</w:t>
      </w:r>
    </w:p>
    <w:p>
      <w:pPr>
        <w:pStyle w:val="Heading5"/>
        <w:rPr>
          <w:snapToGrid w:val="0"/>
        </w:rPr>
      </w:pPr>
      <w:bookmarkStart w:id="406" w:name="_Toc103864349"/>
      <w:bookmarkStart w:id="407" w:name="_Toc90996648"/>
      <w:r>
        <w:rPr>
          <w:rStyle w:val="CharSectno"/>
        </w:rPr>
        <w:t>143</w:t>
      </w:r>
      <w:r>
        <w:rPr>
          <w:snapToGrid w:val="0"/>
        </w:rPr>
        <w:t>.</w:t>
      </w:r>
      <w:r>
        <w:rPr>
          <w:snapToGrid w:val="0"/>
        </w:rPr>
        <w:tab/>
        <w:t>Attempting to pervert etc. course of justice</w:t>
      </w:r>
      <w:bookmarkEnd w:id="406"/>
      <w:bookmarkEnd w:id="407"/>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No. 106 of 1987 s. 26.]</w:t>
      </w:r>
    </w:p>
    <w:p>
      <w:pPr>
        <w:pStyle w:val="Heading3"/>
        <w:rPr>
          <w:snapToGrid w:val="0"/>
        </w:rPr>
      </w:pPr>
      <w:bookmarkStart w:id="408" w:name="_Toc103860824"/>
      <w:bookmarkStart w:id="409" w:name="_Toc103861346"/>
      <w:bookmarkStart w:id="410" w:name="_Toc103864350"/>
      <w:bookmarkStart w:id="411" w:name="_Toc90988637"/>
      <w:bookmarkStart w:id="412" w:name="_Toc90989160"/>
      <w:bookmarkStart w:id="413" w:name="_Toc90996649"/>
      <w:r>
        <w:rPr>
          <w:rStyle w:val="CharDivNo"/>
        </w:rPr>
        <w:t>Chapter XVII</w:t>
      </w:r>
      <w:r>
        <w:rPr>
          <w:snapToGrid w:val="0"/>
        </w:rPr>
        <w:t> — </w:t>
      </w:r>
      <w:r>
        <w:rPr>
          <w:rStyle w:val="CharDivText"/>
        </w:rPr>
        <w:t>Escapes: Rescues: Obstructing officers of courts</w:t>
      </w:r>
      <w:bookmarkEnd w:id="408"/>
      <w:bookmarkEnd w:id="409"/>
      <w:bookmarkEnd w:id="410"/>
      <w:bookmarkEnd w:id="411"/>
      <w:bookmarkEnd w:id="412"/>
      <w:bookmarkEnd w:id="413"/>
    </w:p>
    <w:p>
      <w:pPr>
        <w:pStyle w:val="Heading5"/>
      </w:pPr>
      <w:bookmarkStart w:id="414" w:name="_Toc103864351"/>
      <w:bookmarkStart w:id="415" w:name="_Toc90996650"/>
      <w:r>
        <w:rPr>
          <w:rStyle w:val="CharSectno"/>
        </w:rPr>
        <w:t>144</w:t>
      </w:r>
      <w:r>
        <w:t>.</w:t>
      </w:r>
      <w:r>
        <w:tab/>
        <w:t>Forcibly freeing person from lawful custody</w:t>
      </w:r>
      <w:bookmarkEnd w:id="414"/>
      <w:bookmarkEnd w:id="415"/>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No. 29 of 2008 s. 15.]</w:t>
      </w:r>
    </w:p>
    <w:p>
      <w:pPr>
        <w:pStyle w:val="Heading5"/>
      </w:pPr>
      <w:bookmarkStart w:id="416" w:name="_Toc103864352"/>
      <w:bookmarkStart w:id="417" w:name="_Toc90996651"/>
      <w:r>
        <w:rPr>
          <w:rStyle w:val="CharSectno"/>
        </w:rPr>
        <w:t>145</w:t>
      </w:r>
      <w:r>
        <w:t>.</w:t>
      </w:r>
      <w:r>
        <w:tab/>
        <w:t>Aiding escape from lawful custody</w:t>
      </w:r>
      <w:bookmarkEnd w:id="416"/>
      <w:bookmarkEnd w:id="417"/>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No. 70 of 2004 s. 13.]</w:t>
      </w:r>
    </w:p>
    <w:p>
      <w:pPr>
        <w:pStyle w:val="Heading5"/>
      </w:pPr>
      <w:bookmarkStart w:id="418" w:name="_Toc103864353"/>
      <w:bookmarkStart w:id="419" w:name="_Toc90996652"/>
      <w:r>
        <w:rPr>
          <w:rStyle w:val="CharSectno"/>
        </w:rPr>
        <w:t>146</w:t>
      </w:r>
      <w:r>
        <w:t>.</w:t>
      </w:r>
      <w:r>
        <w:tab/>
        <w:t>Escaping from lawful custody</w:t>
      </w:r>
      <w:bookmarkEnd w:id="418"/>
      <w:bookmarkEnd w:id="419"/>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No. 70 of 2004 s. 13.]</w:t>
      </w:r>
    </w:p>
    <w:p>
      <w:pPr>
        <w:pStyle w:val="Heading5"/>
        <w:rPr>
          <w:snapToGrid w:val="0"/>
        </w:rPr>
      </w:pPr>
      <w:bookmarkStart w:id="420" w:name="_Toc103864354"/>
      <w:bookmarkStart w:id="421" w:name="_Toc90996653"/>
      <w:r>
        <w:rPr>
          <w:rStyle w:val="CharSectno"/>
        </w:rPr>
        <w:t>147</w:t>
      </w:r>
      <w:r>
        <w:rPr>
          <w:snapToGrid w:val="0"/>
        </w:rPr>
        <w:t>.</w:t>
      </w:r>
      <w:r>
        <w:rPr>
          <w:snapToGrid w:val="0"/>
        </w:rPr>
        <w:tab/>
        <w:t>Permitting escape from lawful custody</w:t>
      </w:r>
      <w:bookmarkEnd w:id="420"/>
      <w:bookmarkEnd w:id="421"/>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No. 51 of 1992 s. 16(2); No. 70 of 2004 s. 34(1).]</w:t>
      </w:r>
    </w:p>
    <w:p>
      <w:pPr>
        <w:pStyle w:val="Heading5"/>
      </w:pPr>
      <w:bookmarkStart w:id="422" w:name="_Toc103864355"/>
      <w:bookmarkStart w:id="423" w:name="_Toc90996654"/>
      <w:r>
        <w:rPr>
          <w:rStyle w:val="CharSectno"/>
        </w:rPr>
        <w:t>148</w:t>
      </w:r>
      <w:r>
        <w:t>.</w:t>
      </w:r>
      <w:r>
        <w:tab/>
        <w:t>Aiding escapee from lawful custody</w:t>
      </w:r>
      <w:bookmarkEnd w:id="422"/>
      <w:bookmarkEnd w:id="423"/>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No. 70 of 2004 s. 14.]</w:t>
      </w:r>
    </w:p>
    <w:p>
      <w:pPr>
        <w:pStyle w:val="Heading5"/>
        <w:rPr>
          <w:snapToGrid w:val="0"/>
        </w:rPr>
      </w:pPr>
      <w:bookmarkStart w:id="424" w:name="_Toc103864356"/>
      <w:bookmarkStart w:id="425" w:name="_Toc90996655"/>
      <w:r>
        <w:rPr>
          <w:rStyle w:val="CharSectno"/>
        </w:rPr>
        <w:t>149</w:t>
      </w:r>
      <w:r>
        <w:rPr>
          <w:snapToGrid w:val="0"/>
        </w:rPr>
        <w:t>.</w:t>
      </w:r>
      <w:r>
        <w:rPr>
          <w:snapToGrid w:val="0"/>
        </w:rPr>
        <w:tab/>
        <w:t>Rescuing, permitting escape of or concealing a person subject to any law relating to mental disorder</w:t>
      </w:r>
      <w:bookmarkEnd w:id="424"/>
      <w:bookmarkEnd w:id="425"/>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2014</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2014</w:t>
      </w:r>
      <w:r>
        <w:rPr>
          <w:snapToGrid w:val="0"/>
        </w:rPr>
        <w:t xml:space="preserve"> section 97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No. 35 of 1962 s. 3; amended: No. 51 of 1992 s. 16(2); No. 69 of 1996 s. 8; No. 70 of 2004 s. 34(1); No. 25 of 2014 s. 48.]</w:t>
      </w:r>
    </w:p>
    <w:p>
      <w:pPr>
        <w:pStyle w:val="Heading5"/>
        <w:keepNext w:val="0"/>
        <w:keepLines w:val="0"/>
        <w:spacing w:before="180"/>
        <w:rPr>
          <w:snapToGrid w:val="0"/>
        </w:rPr>
      </w:pPr>
      <w:bookmarkStart w:id="426" w:name="_Toc103864357"/>
      <w:bookmarkStart w:id="427" w:name="_Toc90996656"/>
      <w:r>
        <w:rPr>
          <w:rStyle w:val="CharSectno"/>
        </w:rPr>
        <w:t>150</w:t>
      </w:r>
      <w:r>
        <w:rPr>
          <w:snapToGrid w:val="0"/>
        </w:rPr>
        <w:t>.</w:t>
      </w:r>
      <w:r>
        <w:rPr>
          <w:snapToGrid w:val="0"/>
        </w:rPr>
        <w:tab/>
        <w:t>Removing etc. property under lawful seizure</w:t>
      </w:r>
      <w:bookmarkEnd w:id="426"/>
      <w:bookmarkEnd w:id="427"/>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No. 51 of 1992 s. 16(2); No. 36 of 1996 s. 8; No. 70 of 2004 s. 34(1) and 35(1).]</w:t>
      </w:r>
    </w:p>
    <w:p>
      <w:pPr>
        <w:pStyle w:val="Heading5"/>
        <w:keepNext w:val="0"/>
        <w:keepLines w:val="0"/>
        <w:spacing w:before="180"/>
        <w:rPr>
          <w:snapToGrid w:val="0"/>
        </w:rPr>
      </w:pPr>
      <w:bookmarkStart w:id="428" w:name="_Toc103864358"/>
      <w:bookmarkStart w:id="429" w:name="_Toc90996657"/>
      <w:r>
        <w:rPr>
          <w:rStyle w:val="CharSectno"/>
        </w:rPr>
        <w:t>151</w:t>
      </w:r>
      <w:r>
        <w:rPr>
          <w:snapToGrid w:val="0"/>
        </w:rPr>
        <w:t>.</w:t>
      </w:r>
      <w:r>
        <w:rPr>
          <w:snapToGrid w:val="0"/>
        </w:rPr>
        <w:tab/>
        <w:t>Obstructing court officer</w:t>
      </w:r>
      <w:bookmarkEnd w:id="428"/>
      <w:bookmarkEnd w:id="429"/>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No. 113 of 1965 s. 8(1); No. 21 of 1972 s. 6; No. 51 of 1992 s. 16(2); No. 36 of 1996 s. 9; No. 50 of 2003 s. 51(10); No. 70 of 2004 s. 34(1) and 35(4).]</w:t>
      </w:r>
    </w:p>
    <w:p>
      <w:pPr>
        <w:pStyle w:val="Ednotedivision"/>
        <w:spacing w:before="160"/>
      </w:pPr>
      <w:r>
        <w:t>[Chapter XVIII (s. 152</w:t>
      </w:r>
      <w:r>
        <w:noBreakHyphen/>
        <w:t>166) deleted: No. 70 of 1988 s. 18.]</w:t>
      </w:r>
    </w:p>
    <w:p>
      <w:pPr>
        <w:pStyle w:val="Ednotedivision"/>
        <w:spacing w:before="160"/>
      </w:pPr>
      <w:r>
        <w:t>[Chapter XIX (s. 167) deleted: No. 70 of 1988 s. 19(1).]</w:t>
      </w:r>
    </w:p>
    <w:p>
      <w:pPr>
        <w:pStyle w:val="Heading3"/>
        <w:keepNext w:val="0"/>
        <w:keepLines/>
        <w:rPr>
          <w:snapToGrid w:val="0"/>
        </w:rPr>
      </w:pPr>
      <w:bookmarkStart w:id="430" w:name="_Toc103860833"/>
      <w:bookmarkStart w:id="431" w:name="_Toc103861355"/>
      <w:bookmarkStart w:id="432" w:name="_Toc103864359"/>
      <w:bookmarkStart w:id="433" w:name="_Toc90988646"/>
      <w:bookmarkStart w:id="434" w:name="_Toc90989169"/>
      <w:bookmarkStart w:id="435" w:name="_Toc90996658"/>
      <w:r>
        <w:rPr>
          <w:rStyle w:val="CharDivNo"/>
        </w:rPr>
        <w:t>Chapter XX</w:t>
      </w:r>
      <w:r>
        <w:rPr>
          <w:snapToGrid w:val="0"/>
        </w:rPr>
        <w:t> — </w:t>
      </w:r>
      <w:r>
        <w:rPr>
          <w:rStyle w:val="CharDivText"/>
        </w:rPr>
        <w:t>Miscellaneous offences against public authority</w:t>
      </w:r>
      <w:bookmarkEnd w:id="430"/>
      <w:bookmarkEnd w:id="431"/>
      <w:bookmarkEnd w:id="432"/>
      <w:bookmarkEnd w:id="433"/>
      <w:bookmarkEnd w:id="434"/>
      <w:bookmarkEnd w:id="435"/>
    </w:p>
    <w:p>
      <w:pPr>
        <w:pStyle w:val="Ednotesection"/>
        <w:keepLines/>
        <w:ind w:left="890" w:hanging="890"/>
      </w:pPr>
      <w:r>
        <w:t>[</w:t>
      </w:r>
      <w:r>
        <w:rPr>
          <w:b/>
        </w:rPr>
        <w:t>168.</w:t>
      </w:r>
      <w:r>
        <w:rPr>
          <w:b/>
        </w:rPr>
        <w:tab/>
      </w:r>
      <w:r>
        <w:rPr>
          <w:b/>
        </w:rPr>
        <w:tab/>
      </w:r>
      <w:r>
        <w:t>Deleted: No. 52 of 1984 s. 18.]</w:t>
      </w:r>
    </w:p>
    <w:p>
      <w:pPr>
        <w:pStyle w:val="Heading5"/>
      </w:pPr>
      <w:bookmarkStart w:id="436" w:name="_Toc103864360"/>
      <w:bookmarkStart w:id="437" w:name="_Toc90996659"/>
      <w:r>
        <w:rPr>
          <w:rStyle w:val="CharSectno"/>
        </w:rPr>
        <w:t>169</w:t>
      </w:r>
      <w:r>
        <w:t>.</w:t>
      </w:r>
      <w:r>
        <w:tab/>
        <w:t>False statement on oath</w:t>
      </w:r>
      <w:bookmarkEnd w:id="436"/>
      <w:bookmarkEnd w:id="437"/>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No. 24 of 2005 s. 41.]</w:t>
      </w:r>
    </w:p>
    <w:p>
      <w:pPr>
        <w:pStyle w:val="Heading5"/>
      </w:pPr>
      <w:bookmarkStart w:id="438" w:name="_Toc103864361"/>
      <w:bookmarkStart w:id="439" w:name="_Toc90996660"/>
      <w:r>
        <w:rPr>
          <w:rStyle w:val="CharSectno"/>
        </w:rPr>
        <w:t>170</w:t>
      </w:r>
      <w:r>
        <w:t>.</w:t>
      </w:r>
      <w:r>
        <w:tab/>
        <w:t>False information to official etc.</w:t>
      </w:r>
      <w:bookmarkEnd w:id="438"/>
      <w:bookmarkEnd w:id="439"/>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No. 24 of 2005 s. 42.]</w:t>
      </w:r>
    </w:p>
    <w:p>
      <w:pPr>
        <w:pStyle w:val="Heading5"/>
      </w:pPr>
      <w:bookmarkStart w:id="440" w:name="_Toc103864362"/>
      <w:bookmarkStart w:id="441" w:name="_Toc90996661"/>
      <w:r>
        <w:rPr>
          <w:rStyle w:val="CharSectno"/>
        </w:rPr>
        <w:t>171</w:t>
      </w:r>
      <w:r>
        <w:t>.</w:t>
      </w:r>
      <w:r>
        <w:tab/>
        <w:t>Creating false belief</w:t>
      </w:r>
      <w:bookmarkEnd w:id="440"/>
      <w:bookmarkEnd w:id="441"/>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No. 70 of 2004 s. 15.]</w:t>
      </w:r>
    </w:p>
    <w:p>
      <w:pPr>
        <w:pStyle w:val="Heading5"/>
      </w:pPr>
      <w:bookmarkStart w:id="442" w:name="_Toc103864363"/>
      <w:bookmarkStart w:id="443" w:name="_Toc90996662"/>
      <w:r>
        <w:rPr>
          <w:rStyle w:val="CharSectno"/>
        </w:rPr>
        <w:t>172</w:t>
      </w:r>
      <w:r>
        <w:t>.</w:t>
      </w:r>
      <w:r>
        <w:tab/>
        <w:t>Obstructing public officer</w:t>
      </w:r>
      <w:bookmarkEnd w:id="442"/>
      <w:bookmarkEnd w:id="443"/>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No. 70 of 2004 s. 16.]</w:t>
      </w:r>
    </w:p>
    <w:p>
      <w:pPr>
        <w:pStyle w:val="Heading5"/>
        <w:rPr>
          <w:snapToGrid w:val="0"/>
        </w:rPr>
      </w:pPr>
      <w:bookmarkStart w:id="444" w:name="_Toc103864364"/>
      <w:bookmarkStart w:id="445" w:name="_Toc90996663"/>
      <w:r>
        <w:rPr>
          <w:rStyle w:val="CharSectno"/>
        </w:rPr>
        <w:t>173</w:t>
      </w:r>
      <w:r>
        <w:rPr>
          <w:snapToGrid w:val="0"/>
        </w:rPr>
        <w:t>.</w:t>
      </w:r>
      <w:r>
        <w:rPr>
          <w:snapToGrid w:val="0"/>
        </w:rPr>
        <w:tab/>
        <w:t>Public officer refusing to perform duty</w:t>
      </w:r>
      <w:bookmarkEnd w:id="444"/>
      <w:bookmarkEnd w:id="445"/>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No. 73 of 1994 s. 4; No. 70 of 2004 s. 34(1).]</w:t>
      </w:r>
    </w:p>
    <w:p>
      <w:pPr>
        <w:pStyle w:val="Ednotesection"/>
        <w:ind w:left="890" w:hanging="890"/>
      </w:pPr>
      <w:r>
        <w:t>[</w:t>
      </w:r>
      <w:r>
        <w:rPr>
          <w:b/>
        </w:rPr>
        <w:t>174, 175.</w:t>
      </w:r>
      <w:r>
        <w:rPr>
          <w:b/>
        </w:rPr>
        <w:tab/>
      </w:r>
      <w:r>
        <w:t>Deleted: No. 4 of 2004 s. 15.]</w:t>
      </w:r>
    </w:p>
    <w:p>
      <w:pPr>
        <w:pStyle w:val="Heading5"/>
        <w:rPr>
          <w:snapToGrid w:val="0"/>
        </w:rPr>
      </w:pPr>
      <w:bookmarkStart w:id="446" w:name="_Toc103864365"/>
      <w:bookmarkStart w:id="447" w:name="_Toc90996664"/>
      <w:r>
        <w:rPr>
          <w:rStyle w:val="CharSectno"/>
        </w:rPr>
        <w:t>176</w:t>
      </w:r>
      <w:r>
        <w:rPr>
          <w:snapToGrid w:val="0"/>
        </w:rPr>
        <w:t>.</w:t>
      </w:r>
      <w:r>
        <w:rPr>
          <w:snapToGrid w:val="0"/>
        </w:rPr>
        <w:tab/>
        <w:t>Disobeying request to help arrest person</w:t>
      </w:r>
      <w:bookmarkEnd w:id="446"/>
      <w:bookmarkEnd w:id="447"/>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No. 70 of 2004 s. 34(1).]</w:t>
      </w:r>
    </w:p>
    <w:p>
      <w:pPr>
        <w:pStyle w:val="Heading5"/>
        <w:rPr>
          <w:snapToGrid w:val="0"/>
        </w:rPr>
      </w:pPr>
      <w:bookmarkStart w:id="448" w:name="_Toc103864366"/>
      <w:bookmarkStart w:id="449" w:name="_Toc90996665"/>
      <w:r>
        <w:rPr>
          <w:rStyle w:val="CharSectno"/>
        </w:rPr>
        <w:t>177</w:t>
      </w:r>
      <w:r>
        <w:rPr>
          <w:snapToGrid w:val="0"/>
        </w:rPr>
        <w:t>.</w:t>
      </w:r>
      <w:r>
        <w:rPr>
          <w:snapToGrid w:val="0"/>
        </w:rPr>
        <w:tab/>
        <w:t>Disobeying statute law</w:t>
      </w:r>
      <w:bookmarkEnd w:id="448"/>
      <w:bookmarkEnd w:id="449"/>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No. 70 of 2004 s. 34(1).]</w:t>
      </w:r>
    </w:p>
    <w:p>
      <w:pPr>
        <w:pStyle w:val="Heading5"/>
        <w:rPr>
          <w:snapToGrid w:val="0"/>
        </w:rPr>
      </w:pPr>
      <w:bookmarkStart w:id="450" w:name="_Toc103864367"/>
      <w:bookmarkStart w:id="451" w:name="_Toc90996666"/>
      <w:r>
        <w:rPr>
          <w:rStyle w:val="CharSectno"/>
        </w:rPr>
        <w:t>178</w:t>
      </w:r>
      <w:r>
        <w:rPr>
          <w:snapToGrid w:val="0"/>
        </w:rPr>
        <w:t>.</w:t>
      </w:r>
      <w:r>
        <w:rPr>
          <w:snapToGrid w:val="0"/>
        </w:rPr>
        <w:tab/>
        <w:t>Disobeying lawful order issued by statutory authority</w:t>
      </w:r>
      <w:bookmarkEnd w:id="450"/>
      <w:bookmarkEnd w:id="451"/>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No. 70 of 2004 s. 34(1).]</w:t>
      </w:r>
    </w:p>
    <w:p>
      <w:pPr>
        <w:pStyle w:val="Heading2"/>
      </w:pPr>
      <w:bookmarkStart w:id="452" w:name="_Toc103860842"/>
      <w:bookmarkStart w:id="453" w:name="_Toc103861364"/>
      <w:bookmarkStart w:id="454" w:name="_Toc103864368"/>
      <w:bookmarkStart w:id="455" w:name="_Toc90988655"/>
      <w:bookmarkStart w:id="456" w:name="_Toc90989178"/>
      <w:bookmarkStart w:id="457" w:name="_Toc90996667"/>
      <w:r>
        <w:rPr>
          <w:rStyle w:val="CharPartNo"/>
        </w:rPr>
        <w:t>Part IV</w:t>
      </w:r>
      <w:r>
        <w:t> — </w:t>
      </w:r>
      <w:r>
        <w:rPr>
          <w:rStyle w:val="CharPartText"/>
        </w:rPr>
        <w:t>Acts injurious to the public in general</w:t>
      </w:r>
      <w:bookmarkEnd w:id="452"/>
      <w:bookmarkEnd w:id="453"/>
      <w:bookmarkEnd w:id="454"/>
      <w:bookmarkEnd w:id="455"/>
      <w:bookmarkEnd w:id="456"/>
      <w:bookmarkEnd w:id="457"/>
    </w:p>
    <w:p>
      <w:pPr>
        <w:pStyle w:val="Ednotedivision"/>
      </w:pPr>
      <w:r>
        <w:t>[Chapter XXI (s. 179, 180) deleted: No. 70 of 1988 s. 20.]</w:t>
      </w:r>
    </w:p>
    <w:p>
      <w:pPr>
        <w:pStyle w:val="Heading3"/>
        <w:rPr>
          <w:snapToGrid w:val="0"/>
        </w:rPr>
      </w:pPr>
      <w:bookmarkStart w:id="458" w:name="_Toc103860843"/>
      <w:bookmarkStart w:id="459" w:name="_Toc103861365"/>
      <w:bookmarkStart w:id="460" w:name="_Toc103864369"/>
      <w:bookmarkStart w:id="461" w:name="_Toc90988656"/>
      <w:bookmarkStart w:id="462" w:name="_Toc90989179"/>
      <w:bookmarkStart w:id="463" w:name="_Toc90996668"/>
      <w:r>
        <w:rPr>
          <w:rStyle w:val="CharDivNo"/>
        </w:rPr>
        <w:t>Chapter XXII</w:t>
      </w:r>
      <w:r>
        <w:rPr>
          <w:snapToGrid w:val="0"/>
        </w:rPr>
        <w:t> — </w:t>
      </w:r>
      <w:r>
        <w:rPr>
          <w:rStyle w:val="CharDivText"/>
        </w:rPr>
        <w:t>Offences against morality</w:t>
      </w:r>
      <w:bookmarkEnd w:id="458"/>
      <w:bookmarkEnd w:id="459"/>
      <w:bookmarkEnd w:id="460"/>
      <w:bookmarkEnd w:id="461"/>
      <w:bookmarkEnd w:id="462"/>
      <w:bookmarkEnd w:id="463"/>
    </w:p>
    <w:p>
      <w:pPr>
        <w:pStyle w:val="Heading5"/>
        <w:rPr>
          <w:snapToGrid w:val="0"/>
        </w:rPr>
      </w:pPr>
      <w:bookmarkStart w:id="464" w:name="_Toc103864370"/>
      <w:bookmarkStart w:id="465" w:name="_Toc90996669"/>
      <w:r>
        <w:rPr>
          <w:rStyle w:val="CharSectno"/>
        </w:rPr>
        <w:t>181</w:t>
      </w:r>
      <w:r>
        <w:rPr>
          <w:snapToGrid w:val="0"/>
        </w:rPr>
        <w:t>.</w:t>
      </w:r>
      <w:r>
        <w:rPr>
          <w:snapToGrid w:val="0"/>
        </w:rPr>
        <w:tab/>
        <w:t>Carnal knowledge of animal</w:t>
      </w:r>
      <w:bookmarkEnd w:id="464"/>
      <w:bookmarkEnd w:id="465"/>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No. 32 of 1989 s. 5.]</w:t>
      </w:r>
    </w:p>
    <w:p>
      <w:pPr>
        <w:pStyle w:val="Ednotesection"/>
        <w:ind w:left="890" w:hanging="890"/>
      </w:pPr>
      <w:r>
        <w:t>[</w:t>
      </w:r>
      <w:r>
        <w:rPr>
          <w:b/>
        </w:rPr>
        <w:t>182</w:t>
      </w:r>
      <w:r>
        <w:rPr>
          <w:b/>
          <w:bCs/>
        </w:rPr>
        <w:t>.</w:t>
      </w:r>
      <w:r>
        <w:tab/>
        <w:t>Deleted: No. 106 of 1987 s. 14(5).]</w:t>
      </w:r>
    </w:p>
    <w:p>
      <w:pPr>
        <w:pStyle w:val="Ednotesection"/>
        <w:ind w:left="890" w:hanging="890"/>
      </w:pPr>
      <w:r>
        <w:t>[</w:t>
      </w:r>
      <w:r>
        <w:rPr>
          <w:b/>
        </w:rPr>
        <w:t>183</w:t>
      </w:r>
      <w:r>
        <w:rPr>
          <w:b/>
          <w:bCs/>
        </w:rPr>
        <w:t>.</w:t>
      </w:r>
      <w:r>
        <w:tab/>
        <w:t>Deleted: No. 32 of 1989 s. 6.]</w:t>
      </w:r>
    </w:p>
    <w:p>
      <w:pPr>
        <w:pStyle w:val="Ednotesection"/>
        <w:ind w:left="890" w:hanging="890"/>
      </w:pPr>
      <w:r>
        <w:t>[</w:t>
      </w:r>
      <w:r>
        <w:rPr>
          <w:b/>
        </w:rPr>
        <w:t>184.</w:t>
      </w:r>
      <w:r>
        <w:tab/>
        <w:t>Deleted: No. 3 of 2002 s. 35(1).]</w:t>
      </w:r>
    </w:p>
    <w:p>
      <w:pPr>
        <w:pStyle w:val="Ednotesection"/>
        <w:ind w:left="890" w:hanging="890"/>
      </w:pPr>
      <w:r>
        <w:t>[</w:t>
      </w:r>
      <w:r>
        <w:rPr>
          <w:b/>
        </w:rPr>
        <w:t>185</w:t>
      </w:r>
      <w:r>
        <w:rPr>
          <w:b/>
          <w:bCs/>
        </w:rPr>
        <w:t>.</w:t>
      </w:r>
      <w:r>
        <w:tab/>
        <w:t>Deleted: No. 14 of 1992 s. 6(2).]</w:t>
      </w:r>
    </w:p>
    <w:p>
      <w:pPr>
        <w:pStyle w:val="Heading5"/>
        <w:rPr>
          <w:snapToGrid w:val="0"/>
        </w:rPr>
      </w:pPr>
      <w:bookmarkStart w:id="466" w:name="_Toc103864371"/>
      <w:bookmarkStart w:id="467" w:name="_Toc90996670"/>
      <w:r>
        <w:rPr>
          <w:rStyle w:val="CharSectno"/>
        </w:rPr>
        <w:t>186</w:t>
      </w:r>
      <w:r>
        <w:rPr>
          <w:snapToGrid w:val="0"/>
        </w:rPr>
        <w:t>.</w:t>
      </w:r>
      <w:r>
        <w:rPr>
          <w:snapToGrid w:val="0"/>
        </w:rPr>
        <w:tab/>
        <w:t>Occupier or owner allowing young person to be on premises for unlawful carnal knowledge</w:t>
      </w:r>
      <w:bookmarkEnd w:id="466"/>
      <w:bookmarkEnd w:id="467"/>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No. 32 of 1989 s. 9; amended: No. 3 of 2002 s. 36; No. 70 of 2004 s. 17 and 36(3).]</w:t>
      </w:r>
    </w:p>
    <w:p>
      <w:pPr>
        <w:pStyle w:val="Heading5"/>
      </w:pPr>
      <w:bookmarkStart w:id="468" w:name="_Toc103864372"/>
      <w:bookmarkStart w:id="469" w:name="_Toc90996671"/>
      <w:r>
        <w:rPr>
          <w:rStyle w:val="CharSectno"/>
        </w:rPr>
        <w:t>187</w:t>
      </w:r>
      <w:r>
        <w:t>.</w:t>
      </w:r>
      <w:r>
        <w:tab/>
        <w:t>Facilitating sexual offence against child outside WA</w:t>
      </w:r>
      <w:bookmarkEnd w:id="468"/>
      <w:bookmarkEnd w:id="469"/>
    </w:p>
    <w:p>
      <w:pPr>
        <w:pStyle w:val="Subsection"/>
      </w:pPr>
      <w:r>
        <w:tab/>
        <w:t>(1)</w:t>
      </w:r>
      <w:r>
        <w:tab/>
        <w:t xml:space="preserve">In this section — </w:t>
      </w:r>
    </w:p>
    <w:p>
      <w:pPr>
        <w:pStyle w:val="Defstart"/>
      </w:pPr>
      <w:r>
        <w:tab/>
      </w:r>
      <w:r>
        <w:rPr>
          <w:rStyle w:val="CharDefText"/>
        </w:rPr>
        <w:t>prohibited conduct</w:t>
      </w:r>
      <w:r>
        <w:t xml:space="preserve"> means the doing of an act in a place outside Western Australia in respect of a child that, if done in Western Australia, would constitute an offence under Chapter XXXI.</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No. 4 of 2004 s. 4; amended: No. 5 of 2014 s. 4.]</w:t>
      </w:r>
    </w:p>
    <w:p>
      <w:pPr>
        <w:pStyle w:val="Ednotesection"/>
      </w:pPr>
      <w:r>
        <w:t>[</w:t>
      </w:r>
      <w:r>
        <w:rPr>
          <w:b/>
        </w:rPr>
        <w:t>188, 189.</w:t>
      </w:r>
      <w:r>
        <w:tab/>
        <w:t>Deleted: No. 14 of 1992 s. 6(2).]</w:t>
      </w:r>
    </w:p>
    <w:p>
      <w:pPr>
        <w:pStyle w:val="Heading5"/>
      </w:pPr>
      <w:bookmarkStart w:id="470" w:name="_Toc103864373"/>
      <w:bookmarkStart w:id="471" w:name="_Toc90996672"/>
      <w:r>
        <w:rPr>
          <w:rStyle w:val="CharSectno"/>
        </w:rPr>
        <w:t>190</w:t>
      </w:r>
      <w:r>
        <w:t>.</w:t>
      </w:r>
      <w:r>
        <w:tab/>
        <w:t>Being involved with prostitution</w:t>
      </w:r>
      <w:bookmarkEnd w:id="470"/>
      <w:bookmarkEnd w:id="471"/>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No. 70 of 2004 s. 18.]</w:t>
      </w:r>
    </w:p>
    <w:p>
      <w:pPr>
        <w:pStyle w:val="Heading5"/>
        <w:rPr>
          <w:snapToGrid w:val="0"/>
        </w:rPr>
      </w:pPr>
      <w:bookmarkStart w:id="472" w:name="_Toc103864374"/>
      <w:bookmarkStart w:id="473" w:name="_Toc90996673"/>
      <w:r>
        <w:rPr>
          <w:rStyle w:val="CharSectno"/>
        </w:rPr>
        <w:t>191</w:t>
      </w:r>
      <w:r>
        <w:rPr>
          <w:snapToGrid w:val="0"/>
        </w:rPr>
        <w:t>.</w:t>
      </w:r>
      <w:r>
        <w:rPr>
          <w:snapToGrid w:val="0"/>
        </w:rPr>
        <w:tab/>
        <w:t>Procuring person to be prostitute etc.</w:t>
      </w:r>
      <w:bookmarkEnd w:id="472"/>
      <w:bookmarkEnd w:id="473"/>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rPr>
          <w:snapToGrid w:val="0"/>
        </w:rPr>
      </w:pPr>
      <w:r>
        <w:rPr>
          <w:snapToGrid w:val="0"/>
        </w:rPr>
        <w:tab/>
        <w:t>(b)</w:t>
      </w:r>
      <w:r>
        <w:rPr>
          <w:snapToGrid w:val="0"/>
        </w:rPr>
        <w:tab/>
        <w:t>Procures a woman or girl to become a common prostitute either in Western Australia or elsewhere; or</w:t>
      </w:r>
    </w:p>
    <w:p>
      <w:pPr>
        <w:pStyle w:val="Indenta"/>
        <w:rPr>
          <w:snapToGrid w:val="0"/>
        </w:rPr>
      </w:pPr>
      <w:r>
        <w:rPr>
          <w:snapToGrid w:val="0"/>
        </w:rPr>
        <w:tab/>
        <w:t>(c)</w:t>
      </w:r>
      <w:r>
        <w:rPr>
          <w:snapToGrid w:val="0"/>
        </w:rPr>
        <w:tab/>
        <w:t>Procures a woman or girl to leave Western Australia,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No. 70 of 1988 s. 31; No. 32 of 1989 s. 12; No. 48 of 1991 s. 12(7); No. 51 of 1992 s. 16(2); No. 70 of 2004 s. 19(1), 19(2), 34(1) and 36(4).]</w:t>
      </w:r>
    </w:p>
    <w:p>
      <w:pPr>
        <w:pStyle w:val="Heading5"/>
        <w:rPr>
          <w:snapToGrid w:val="0"/>
        </w:rPr>
      </w:pPr>
      <w:bookmarkStart w:id="474" w:name="_Toc103864375"/>
      <w:bookmarkStart w:id="475" w:name="_Toc90996674"/>
      <w:r>
        <w:rPr>
          <w:rStyle w:val="CharSectno"/>
        </w:rPr>
        <w:t>192</w:t>
      </w:r>
      <w:r>
        <w:rPr>
          <w:snapToGrid w:val="0"/>
        </w:rPr>
        <w:t>.</w:t>
      </w:r>
      <w:r>
        <w:rPr>
          <w:snapToGrid w:val="0"/>
        </w:rPr>
        <w:tab/>
        <w:t>Procuring person to have unlawful carnal knowledge by threat, fraud or administering drug</w:t>
      </w:r>
      <w:bookmarkEnd w:id="474"/>
      <w:bookmarkEnd w:id="475"/>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spacing w:before="120"/>
        <w:rPr>
          <w:snapToGrid w:val="0"/>
        </w:rPr>
      </w:pPr>
      <w:r>
        <w:rPr>
          <w:snapToGrid w:val="0"/>
        </w:rPr>
        <w:tab/>
      </w:r>
      <w:r>
        <w:rPr>
          <w:snapToGrid w:val="0"/>
        </w:rPr>
        <w:tab/>
        <w:t>is guilty of a crime, and is liable to imprisonment for 2 years.</w:t>
      </w:r>
    </w:p>
    <w:p>
      <w:pPr>
        <w:pStyle w:val="Subsection"/>
        <w:spacing w:before="120"/>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No. 70 of 1988 s. 31; No. 32 of 1989 s. 13; No. 48 of 1991 s. 12(7); No. 51 of 1992 s. 16(2); No. 70 of 2004 s. 20 and 34(1).]</w:t>
      </w:r>
    </w:p>
    <w:p>
      <w:pPr>
        <w:pStyle w:val="Ednotesection"/>
        <w:spacing w:before="180"/>
        <w:ind w:left="890" w:hanging="890"/>
      </w:pPr>
      <w:r>
        <w:t>[</w:t>
      </w:r>
      <w:r>
        <w:rPr>
          <w:b/>
        </w:rPr>
        <w:t>193, 194.</w:t>
      </w:r>
      <w:r>
        <w:rPr>
          <w:b/>
        </w:rPr>
        <w:tab/>
      </w:r>
      <w:r>
        <w:t>Deleted: No. 101 of 1990 s. 10.]</w:t>
      </w:r>
    </w:p>
    <w:p>
      <w:pPr>
        <w:pStyle w:val="Ednotesection"/>
        <w:spacing w:before="180"/>
        <w:ind w:left="890" w:hanging="890"/>
      </w:pPr>
      <w:r>
        <w:t>[</w:t>
      </w:r>
      <w:r>
        <w:rPr>
          <w:b/>
        </w:rPr>
        <w:t>195.</w:t>
      </w:r>
      <w:r>
        <w:tab/>
      </w:r>
      <w:r>
        <w:tab/>
        <w:t>Deleted: No. 17 of 2000 s. 64.]</w:t>
      </w:r>
    </w:p>
    <w:p>
      <w:pPr>
        <w:pStyle w:val="Ednotesection"/>
        <w:spacing w:before="180"/>
        <w:ind w:left="890" w:hanging="890"/>
      </w:pPr>
      <w:r>
        <w:t>[</w:t>
      </w:r>
      <w:r>
        <w:rPr>
          <w:b/>
        </w:rPr>
        <w:t>196</w:t>
      </w:r>
      <w:r>
        <w:rPr>
          <w:b/>
        </w:rPr>
        <w:noBreakHyphen/>
        <w:t>198.</w:t>
      </w:r>
      <w:r>
        <w:tab/>
        <w:t>Deleted: No. 14 of 1992 s. 6(2).]</w:t>
      </w:r>
    </w:p>
    <w:p>
      <w:pPr>
        <w:pStyle w:val="Heading5"/>
        <w:keepLines w:val="0"/>
      </w:pPr>
      <w:bookmarkStart w:id="476" w:name="_Toc103864376"/>
      <w:bookmarkStart w:id="477" w:name="_Toc90996675"/>
      <w:r>
        <w:rPr>
          <w:rStyle w:val="CharSectno"/>
        </w:rPr>
        <w:t>199</w:t>
      </w:r>
      <w:r>
        <w:t>.</w:t>
      </w:r>
      <w:r>
        <w:tab/>
      </w:r>
      <w:r>
        <w:rPr>
          <w:snapToGrid w:val="0"/>
        </w:rPr>
        <w:t>Abortion</w:t>
      </w:r>
      <w:bookmarkEnd w:id="476"/>
      <w:bookmarkEnd w:id="477"/>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(Miscellaneous Provisions)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keepNext/>
      </w:pPr>
      <w:r>
        <w:tab/>
        <w:t>(4)</w:t>
      </w:r>
      <w:r>
        <w:tab/>
        <w:t xml:space="preserve">In this section — </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No. 15 of 1998 s. 4; amended: No. 19 of 2016 s. 127.]</w:t>
      </w:r>
    </w:p>
    <w:p>
      <w:pPr>
        <w:pStyle w:val="Ednotesection"/>
        <w:spacing w:before="180"/>
      </w:pPr>
      <w:r>
        <w:t>[</w:t>
      </w:r>
      <w:r>
        <w:rPr>
          <w:b/>
        </w:rPr>
        <w:t>200, 201.</w:t>
      </w:r>
      <w:r>
        <w:tab/>
        <w:t>Deleted: No. 15 of 1998 s. 4.]</w:t>
      </w:r>
    </w:p>
    <w:p>
      <w:pPr>
        <w:pStyle w:val="Heading5"/>
        <w:spacing w:before="180"/>
      </w:pPr>
      <w:bookmarkStart w:id="478" w:name="_Toc103864377"/>
      <w:bookmarkStart w:id="479" w:name="_Toc90996676"/>
      <w:r>
        <w:rPr>
          <w:rStyle w:val="CharSectno"/>
        </w:rPr>
        <w:t>202</w:t>
      </w:r>
      <w:r>
        <w:t>.</w:t>
      </w:r>
      <w:r>
        <w:tab/>
        <w:t>Obscene act in public</w:t>
      </w:r>
      <w:bookmarkEnd w:id="478"/>
      <w:bookmarkEnd w:id="479"/>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No. 70 of 2004 s. 21.]</w:t>
      </w:r>
    </w:p>
    <w:p>
      <w:pPr>
        <w:pStyle w:val="Heading5"/>
      </w:pPr>
      <w:bookmarkStart w:id="480" w:name="_Toc103864378"/>
      <w:bookmarkStart w:id="481" w:name="_Toc90996677"/>
      <w:r>
        <w:rPr>
          <w:rStyle w:val="CharSectno"/>
        </w:rPr>
        <w:t>203</w:t>
      </w:r>
      <w:r>
        <w:t>.</w:t>
      </w:r>
      <w:r>
        <w:tab/>
        <w:t>Indecent act in public</w:t>
      </w:r>
      <w:bookmarkEnd w:id="480"/>
      <w:bookmarkEnd w:id="481"/>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No. 70 of 2004 s. 21.]</w:t>
      </w:r>
    </w:p>
    <w:p>
      <w:pPr>
        <w:pStyle w:val="Heading5"/>
      </w:pPr>
      <w:bookmarkStart w:id="482" w:name="_Toc103864379"/>
      <w:bookmarkStart w:id="483" w:name="_Toc90996678"/>
      <w:r>
        <w:rPr>
          <w:rStyle w:val="CharSectno"/>
        </w:rPr>
        <w:t>204</w:t>
      </w:r>
      <w:r>
        <w:t>.</w:t>
      </w:r>
      <w:r>
        <w:tab/>
        <w:t>Indecent act with intent to offend</w:t>
      </w:r>
      <w:bookmarkEnd w:id="482"/>
      <w:bookmarkEnd w:id="483"/>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No. 70 of 2004 s. 21.]</w:t>
      </w:r>
    </w:p>
    <w:p>
      <w:pPr>
        <w:pStyle w:val="Heading5"/>
        <w:rPr>
          <w:snapToGrid w:val="0"/>
        </w:rPr>
      </w:pPr>
      <w:bookmarkStart w:id="484" w:name="_Toc103864380"/>
      <w:bookmarkStart w:id="485" w:name="_Toc90996679"/>
      <w:r>
        <w:rPr>
          <w:rStyle w:val="CharSectno"/>
        </w:rPr>
        <w:t>204A</w:t>
      </w:r>
      <w:r>
        <w:rPr>
          <w:snapToGrid w:val="0"/>
        </w:rPr>
        <w:t>.</w:t>
      </w:r>
      <w:r>
        <w:rPr>
          <w:snapToGrid w:val="0"/>
        </w:rPr>
        <w:tab/>
        <w:t>Showing offensive material to child under 16</w:t>
      </w:r>
      <w:bookmarkEnd w:id="484"/>
      <w:bookmarkEnd w:id="485"/>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No. 14 of 1992 s. 5; amended: No. 40 of 1996 s. 152; No. 3 of 2002 s. 37; No. 30 of 2003 s. 42.]</w:t>
      </w:r>
    </w:p>
    <w:p>
      <w:pPr>
        <w:pStyle w:val="Heading5"/>
        <w:pageBreakBefore/>
        <w:spacing w:before="0"/>
      </w:pPr>
      <w:bookmarkStart w:id="486" w:name="_Toc103864381"/>
      <w:bookmarkStart w:id="487" w:name="_Toc90996680"/>
      <w:r>
        <w:rPr>
          <w:rStyle w:val="CharSectno"/>
        </w:rPr>
        <w:t>204B</w:t>
      </w:r>
      <w:r>
        <w:t>.</w:t>
      </w:r>
      <w:r>
        <w:tab/>
        <w:t>Using electronic communication to procure, or expose to indecent matter, child under 16</w:t>
      </w:r>
      <w:bookmarkEnd w:id="486"/>
      <w:bookmarkEnd w:id="487"/>
    </w:p>
    <w:p>
      <w:pPr>
        <w:pStyle w:val="Subsection"/>
      </w:pPr>
      <w:r>
        <w:tab/>
        <w:t>(1)</w:t>
      </w:r>
      <w:r>
        <w:tab/>
        <w:t>In this section —</w:t>
      </w:r>
    </w:p>
    <w:p>
      <w:pPr>
        <w:pStyle w:val="Defstart"/>
      </w:pPr>
      <w: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electronic communication</w:t>
      </w:r>
      <w:r>
        <w:t xml:space="preserve"> — </w:t>
      </w:r>
    </w:p>
    <w:p>
      <w:pPr>
        <w:pStyle w:val="Defpara"/>
      </w:pPr>
      <w:r>
        <w:tab/>
        <w:t>(a)</w:t>
      </w:r>
      <w:r>
        <w:tab/>
        <w:t>means a communication by electronic means; and</w:t>
      </w:r>
    </w:p>
    <w:p>
      <w:pPr>
        <w:pStyle w:val="Defpara"/>
      </w:pPr>
      <w:r>
        <w:tab/>
        <w:t>(b)</w:t>
      </w:r>
      <w:r>
        <w:tab/>
        <w:t xml:space="preserve">without limiting paragraph (a), includes a communication by any of these means — </w:t>
      </w:r>
    </w:p>
    <w:p>
      <w:pPr>
        <w:pStyle w:val="Defsubpara"/>
      </w:pPr>
      <w:r>
        <w:tab/>
        <w:t>(i)</w:t>
      </w:r>
      <w:r>
        <w:tab/>
        <w:t>email;</w:t>
      </w:r>
    </w:p>
    <w:p>
      <w:pPr>
        <w:pStyle w:val="Defsubpara"/>
        <w:keepLines w:val="0"/>
      </w:pPr>
      <w:r>
        <w:tab/>
        <w:t>(ii)</w:t>
      </w:r>
      <w:r>
        <w:tab/>
        <w:t>the Internet;</w:t>
      </w:r>
    </w:p>
    <w:p>
      <w:pPr>
        <w:pStyle w:val="Defsubpara"/>
        <w:keepLines w:val="0"/>
      </w:pPr>
      <w:r>
        <w:tab/>
        <w:t>(iii)</w:t>
      </w:r>
      <w:r>
        <w:tab/>
        <w:t>facsimile;</w:t>
      </w:r>
    </w:p>
    <w:p>
      <w:pPr>
        <w:pStyle w:val="Defsubpara"/>
        <w:keepLines w:val="0"/>
      </w:pPr>
      <w:r>
        <w:tab/>
        <w:t>(iv)</w:t>
      </w:r>
      <w:r>
        <w:tab/>
        <w:t>telephone, including mobile telephone;</w:t>
      </w:r>
    </w:p>
    <w:p>
      <w:pPr>
        <w:pStyle w:val="Defsubpara"/>
        <w:keepLines w:val="0"/>
      </w:pPr>
      <w:r>
        <w:tab/>
        <w:t>(v)</w:t>
      </w:r>
      <w:r>
        <w:tab/>
        <w:t>radio;</w:t>
      </w:r>
    </w:p>
    <w:p>
      <w:pPr>
        <w:pStyle w:val="Defsubpara"/>
        <w:keepLines w:val="0"/>
      </w:pPr>
      <w:r>
        <w:tab/>
        <w:t>(vi)</w:t>
      </w:r>
      <w:r>
        <w:tab/>
        <w:t>television;</w:t>
      </w:r>
    </w:p>
    <w:p>
      <w:pPr>
        <w:pStyle w:val="Defstart"/>
      </w:pPr>
      <w:r>
        <w:tab/>
      </w:r>
      <w:r>
        <w:rPr>
          <w:rStyle w:val="CharDefText"/>
        </w:rPr>
        <w:t>indecent matter</w:t>
      </w:r>
      <w:r>
        <w:t xml:space="preserve"> includes an indecent film, videotape, audiotape, picture, photograph, or printed or written matter;</w:t>
      </w:r>
    </w:p>
    <w:p>
      <w:pPr>
        <w:pStyle w:val="Defstart"/>
      </w:pPr>
      <w:r>
        <w:tab/>
      </w:r>
      <w:r>
        <w:rPr>
          <w:rStyle w:val="CharDefText"/>
        </w:rPr>
        <w:t>picture</w:t>
      </w:r>
      <w:r>
        <w:t xml:space="preserve"> includes an image, whether or not it is a computer generated image;</w:t>
      </w:r>
    </w:p>
    <w:p>
      <w:pPr>
        <w:pStyle w:val="Defstart"/>
      </w:pPr>
      <w: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either in Western Australia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either in Western Australia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either in Western Australia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either in Western Australia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keepNext/>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No. 3 of 2006 s. 4; amended: No. 46 of 2011 s. 25; No. 5 of 2014 s. 5.]</w:t>
      </w:r>
    </w:p>
    <w:p>
      <w:pPr>
        <w:pStyle w:val="Heading5"/>
        <w:rPr>
          <w:snapToGrid w:val="0"/>
        </w:rPr>
      </w:pPr>
      <w:bookmarkStart w:id="488" w:name="_Toc103864382"/>
      <w:bookmarkStart w:id="489" w:name="_Toc90996681"/>
      <w:r>
        <w:rPr>
          <w:rStyle w:val="CharSectno"/>
        </w:rPr>
        <w:t>205</w:t>
      </w:r>
      <w:r>
        <w:rPr>
          <w:snapToGrid w:val="0"/>
        </w:rPr>
        <w:t>.</w:t>
      </w:r>
      <w:r>
        <w:rPr>
          <w:snapToGrid w:val="0"/>
        </w:rPr>
        <w:tab/>
        <w:t>Ignorance of age no defence to charge under this Chapter</w:t>
      </w:r>
      <w:bookmarkEnd w:id="488"/>
      <w:bookmarkEnd w:id="489"/>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No. 32 of 1989 s. 19.]</w:t>
      </w:r>
    </w:p>
    <w:p>
      <w:pPr>
        <w:pStyle w:val="Ednotesection"/>
        <w:ind w:left="890" w:hanging="890"/>
      </w:pPr>
      <w:r>
        <w:t>[</w:t>
      </w:r>
      <w:r>
        <w:rPr>
          <w:b/>
        </w:rPr>
        <w:t>205A.</w:t>
      </w:r>
      <w:r>
        <w:tab/>
        <w:t>Deleted: No. 74 of 1985 s. 5.]</w:t>
      </w:r>
    </w:p>
    <w:p>
      <w:pPr>
        <w:pStyle w:val="Heading5"/>
      </w:pPr>
      <w:bookmarkStart w:id="490" w:name="_Toc103864383"/>
      <w:bookmarkStart w:id="491" w:name="_Toc90996682"/>
      <w:r>
        <w:rPr>
          <w:rStyle w:val="CharSectno"/>
        </w:rPr>
        <w:t>206</w:t>
      </w:r>
      <w:r>
        <w:t>.</w:t>
      </w:r>
      <w:r>
        <w:tab/>
        <w:t>Supplying intoxicant to person likely to abuse them</w:t>
      </w:r>
      <w:bookmarkEnd w:id="490"/>
      <w:bookmarkEnd w:id="491"/>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No. 70 of 2004 s. 22; amended: No. 73 of 2006 s. 114.]</w:t>
      </w:r>
    </w:p>
    <w:p>
      <w:pPr>
        <w:pStyle w:val="Heading3"/>
        <w:pageBreakBefore/>
        <w:spacing w:before="0"/>
        <w:rPr>
          <w:snapToGrid w:val="0"/>
        </w:rPr>
      </w:pPr>
      <w:bookmarkStart w:id="492" w:name="_Toc103860858"/>
      <w:bookmarkStart w:id="493" w:name="_Toc103861380"/>
      <w:bookmarkStart w:id="494" w:name="_Toc103864384"/>
      <w:bookmarkStart w:id="495" w:name="_Toc90988671"/>
      <w:bookmarkStart w:id="496" w:name="_Toc90989194"/>
      <w:bookmarkStart w:id="497" w:name="_Toc90996683"/>
      <w:r>
        <w:rPr>
          <w:rStyle w:val="CharDivNo"/>
        </w:rPr>
        <w:t>Chapter XXIII</w:t>
      </w:r>
      <w:r>
        <w:rPr>
          <w:snapToGrid w:val="0"/>
        </w:rPr>
        <w:t> — </w:t>
      </w:r>
      <w:r>
        <w:rPr>
          <w:rStyle w:val="CharDivText"/>
        </w:rPr>
        <w:t>Misconduct relating to corpses</w:t>
      </w:r>
      <w:bookmarkEnd w:id="492"/>
      <w:bookmarkEnd w:id="493"/>
      <w:bookmarkEnd w:id="494"/>
      <w:bookmarkEnd w:id="495"/>
      <w:bookmarkEnd w:id="496"/>
      <w:bookmarkEnd w:id="497"/>
    </w:p>
    <w:p>
      <w:pPr>
        <w:pStyle w:val="Footnoteheading"/>
      </w:pPr>
      <w:r>
        <w:tab/>
        <w:t>[Heading amended: No. 70 of 2004 s. 23(2).]</w:t>
      </w:r>
    </w:p>
    <w:p>
      <w:pPr>
        <w:pStyle w:val="Ednotesection"/>
        <w:keepNext/>
        <w:keepLines/>
        <w:spacing w:before="180"/>
        <w:ind w:left="890" w:hanging="890"/>
      </w:pPr>
      <w:r>
        <w:t>[</w:t>
      </w:r>
      <w:r>
        <w:rPr>
          <w:b/>
        </w:rPr>
        <w:t>207.</w:t>
      </w:r>
      <w:r>
        <w:tab/>
      </w:r>
      <w:r>
        <w:tab/>
        <w:t>Deleted: No. 70 of 1988 s. 23.]</w:t>
      </w:r>
    </w:p>
    <w:p>
      <w:pPr>
        <w:pStyle w:val="Ednotesection"/>
        <w:spacing w:before="180"/>
      </w:pPr>
      <w:r>
        <w:t>[</w:t>
      </w:r>
      <w:r>
        <w:rPr>
          <w:b/>
        </w:rPr>
        <w:t>208.</w:t>
      </w:r>
      <w:r>
        <w:rPr>
          <w:b/>
        </w:rPr>
        <w:tab/>
      </w:r>
      <w:r>
        <w:t>Deleted: No. 4 of 2004 s. 17.]</w:t>
      </w:r>
    </w:p>
    <w:p>
      <w:pPr>
        <w:pStyle w:val="Ednotesection"/>
        <w:spacing w:before="180"/>
      </w:pPr>
      <w:r>
        <w:t>[</w:t>
      </w:r>
      <w:r>
        <w:rPr>
          <w:b/>
        </w:rPr>
        <w:t>209.</w:t>
      </w:r>
      <w:r>
        <w:tab/>
        <w:t>Deleted: No. 70 of 2004 s. 23(1).]</w:t>
      </w:r>
    </w:p>
    <w:p>
      <w:pPr>
        <w:pStyle w:val="Ednotesection"/>
        <w:spacing w:before="180"/>
      </w:pPr>
      <w:r>
        <w:t>[</w:t>
      </w:r>
      <w:r>
        <w:rPr>
          <w:b/>
        </w:rPr>
        <w:t>210, 211.</w:t>
      </w:r>
      <w:r>
        <w:tab/>
        <w:t>Deleted: No. 108 of 1982 s. 27.]</w:t>
      </w:r>
    </w:p>
    <w:p>
      <w:pPr>
        <w:pStyle w:val="Ednotesection"/>
        <w:spacing w:before="180"/>
        <w:ind w:left="890" w:hanging="890"/>
      </w:pPr>
      <w:r>
        <w:t>[</w:t>
      </w:r>
      <w:r>
        <w:rPr>
          <w:b/>
        </w:rPr>
        <w:t>212.</w:t>
      </w:r>
      <w:r>
        <w:tab/>
        <w:t>Deleted: No. 74 of 1987 s. 64.]</w:t>
      </w:r>
    </w:p>
    <w:p>
      <w:pPr>
        <w:pStyle w:val="Ednotesection"/>
        <w:spacing w:before="180"/>
        <w:ind w:left="890" w:hanging="890"/>
      </w:pPr>
      <w:r>
        <w:t>[</w:t>
      </w:r>
      <w:r>
        <w:rPr>
          <w:b/>
        </w:rPr>
        <w:t>213.</w:t>
      </w:r>
      <w:r>
        <w:tab/>
        <w:t>Deleted: No. 70 of 2004 s. 23(1).]</w:t>
      </w:r>
    </w:p>
    <w:p>
      <w:pPr>
        <w:pStyle w:val="Heading5"/>
        <w:spacing w:before="180"/>
        <w:rPr>
          <w:snapToGrid w:val="0"/>
        </w:rPr>
      </w:pPr>
      <w:bookmarkStart w:id="498" w:name="_Toc103864385"/>
      <w:bookmarkStart w:id="499" w:name="_Toc90996684"/>
      <w:r>
        <w:rPr>
          <w:rStyle w:val="CharSectno"/>
        </w:rPr>
        <w:t>214</w:t>
      </w:r>
      <w:r>
        <w:rPr>
          <w:snapToGrid w:val="0"/>
        </w:rPr>
        <w:t>.</w:t>
      </w:r>
      <w:r>
        <w:rPr>
          <w:snapToGrid w:val="0"/>
        </w:rPr>
        <w:tab/>
      </w:r>
      <w:r>
        <w:t>Misconduct</w:t>
      </w:r>
      <w:r>
        <w:rPr>
          <w:snapToGrid w:val="0"/>
        </w:rPr>
        <w:t xml:space="preserve"> with regard to corpse</w:t>
      </w:r>
      <w:bookmarkEnd w:id="498"/>
      <w:bookmarkEnd w:id="499"/>
    </w:p>
    <w:p>
      <w:pPr>
        <w:pStyle w:val="Subsection"/>
        <w:spacing w:before="120"/>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No. 70 of 1988 s. 25; No. 51 of 1992 s. 16(2); No. 70 of 2004 s. 34(1) and 35(1).]</w:t>
      </w:r>
    </w:p>
    <w:p>
      <w:pPr>
        <w:pStyle w:val="Heading5"/>
      </w:pPr>
      <w:bookmarkStart w:id="500" w:name="_Toc103864386"/>
      <w:bookmarkStart w:id="501" w:name="_Toc90996685"/>
      <w:r>
        <w:rPr>
          <w:rStyle w:val="CharSectno"/>
        </w:rPr>
        <w:t>215</w:t>
      </w:r>
      <w:r>
        <w:t>.</w:t>
      </w:r>
      <w:r>
        <w:tab/>
        <w:t>Interfering with corpse to hinder inquiry</w:t>
      </w:r>
      <w:bookmarkEnd w:id="500"/>
      <w:bookmarkEnd w:id="501"/>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No. 4 of 2004 s. 60.]</w:t>
      </w:r>
    </w:p>
    <w:p>
      <w:pPr>
        <w:pStyle w:val="Ednotedivision"/>
      </w:pPr>
      <w:r>
        <w:t>[Chapter XXIV (s. 216) deleted: No. 16 of 2016 s. 37.]</w:t>
      </w:r>
    </w:p>
    <w:p>
      <w:pPr>
        <w:pStyle w:val="Heading3"/>
      </w:pPr>
      <w:bookmarkStart w:id="502" w:name="_Toc103860861"/>
      <w:bookmarkStart w:id="503" w:name="_Toc103861383"/>
      <w:bookmarkStart w:id="504" w:name="_Toc103864387"/>
      <w:bookmarkStart w:id="505" w:name="_Toc90988674"/>
      <w:bookmarkStart w:id="506" w:name="_Toc90989197"/>
      <w:bookmarkStart w:id="507" w:name="_Toc90996686"/>
      <w:r>
        <w:rPr>
          <w:rStyle w:val="CharDivNo"/>
        </w:rPr>
        <w:t>Chapter XXV</w:t>
      </w:r>
      <w:r>
        <w:rPr>
          <w:b w:val="0"/>
        </w:rPr>
        <w:t> </w:t>
      </w:r>
      <w:r>
        <w:t>—</w:t>
      </w:r>
      <w:r>
        <w:rPr>
          <w:b w:val="0"/>
        </w:rPr>
        <w:t> </w:t>
      </w:r>
      <w:r>
        <w:rPr>
          <w:rStyle w:val="CharDivText"/>
        </w:rPr>
        <w:t>Child exploitation material</w:t>
      </w:r>
      <w:bookmarkEnd w:id="502"/>
      <w:bookmarkEnd w:id="503"/>
      <w:bookmarkEnd w:id="504"/>
      <w:bookmarkEnd w:id="505"/>
      <w:bookmarkEnd w:id="506"/>
      <w:bookmarkEnd w:id="507"/>
    </w:p>
    <w:p>
      <w:pPr>
        <w:pStyle w:val="Footnoteheading"/>
      </w:pPr>
      <w:r>
        <w:tab/>
        <w:t>[Heading</w:t>
      </w:r>
      <w:r>
        <w:rPr>
          <w:vertAlign w:val="superscript"/>
        </w:rPr>
        <w:t> 5</w:t>
      </w:r>
      <w:r>
        <w:t xml:space="preserve"> inserted as Ch. XXIV: No. 21 of 2010 s. 4.]</w:t>
      </w:r>
    </w:p>
    <w:p>
      <w:pPr>
        <w:pStyle w:val="Heading5"/>
      </w:pPr>
      <w:bookmarkStart w:id="508" w:name="_Toc103864388"/>
      <w:bookmarkStart w:id="509" w:name="_Toc90996687"/>
      <w:r>
        <w:rPr>
          <w:rStyle w:val="CharSectno"/>
        </w:rPr>
        <w:t>217A</w:t>
      </w:r>
      <w:r>
        <w:t>.</w:t>
      </w:r>
      <w:r>
        <w:tab/>
        <w:t>Terms used</w:t>
      </w:r>
      <w:bookmarkEnd w:id="508"/>
      <w:bookmarkEnd w:id="509"/>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keepNex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5</w:t>
      </w:r>
      <w:r>
        <w:t xml:space="preserve"> inserted as section 216: No. 21 of 2010 s. 4.]</w:t>
      </w:r>
    </w:p>
    <w:p>
      <w:pPr>
        <w:pStyle w:val="Heading5"/>
      </w:pPr>
      <w:bookmarkStart w:id="510" w:name="_Toc103864389"/>
      <w:bookmarkStart w:id="511" w:name="_Toc90996688"/>
      <w:r>
        <w:rPr>
          <w:rStyle w:val="CharSectno"/>
        </w:rPr>
        <w:t>217</w:t>
      </w:r>
      <w:r>
        <w:t>.</w:t>
      </w:r>
      <w:r>
        <w:tab/>
        <w:t>Involving child in child exploitation</w:t>
      </w:r>
      <w:bookmarkEnd w:id="510"/>
      <w:bookmarkEnd w:id="511"/>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No. 21 of 2010 s. 4.]</w:t>
      </w:r>
    </w:p>
    <w:p>
      <w:pPr>
        <w:pStyle w:val="Heading5"/>
      </w:pPr>
      <w:bookmarkStart w:id="512" w:name="_Toc103864390"/>
      <w:bookmarkStart w:id="513" w:name="_Toc90996689"/>
      <w:r>
        <w:rPr>
          <w:rStyle w:val="CharSectno"/>
        </w:rPr>
        <w:t>218</w:t>
      </w:r>
      <w:r>
        <w:t>.</w:t>
      </w:r>
      <w:r>
        <w:tab/>
        <w:t>Producing child exploitation material</w:t>
      </w:r>
      <w:bookmarkEnd w:id="512"/>
      <w:bookmarkEnd w:id="513"/>
    </w:p>
    <w:p>
      <w:pPr>
        <w:pStyle w:val="Subsection"/>
      </w:pPr>
      <w:r>
        <w:tab/>
      </w:r>
      <w:r>
        <w:tab/>
        <w:t>A person who produces child exploitation material is guilty of a crime and is liable to imprisonment for 10 years.</w:t>
      </w:r>
    </w:p>
    <w:p>
      <w:pPr>
        <w:pStyle w:val="Footnotesection"/>
        <w:keepLines w:val="0"/>
      </w:pPr>
      <w:r>
        <w:tab/>
        <w:t>[Section 218 inserted: No. 21 of 2010 s. 4.]</w:t>
      </w:r>
    </w:p>
    <w:p>
      <w:pPr>
        <w:pStyle w:val="Heading5"/>
      </w:pPr>
      <w:bookmarkStart w:id="514" w:name="_Toc103864391"/>
      <w:bookmarkStart w:id="515" w:name="_Toc90996690"/>
      <w:r>
        <w:rPr>
          <w:rStyle w:val="CharSectno"/>
        </w:rPr>
        <w:t>219</w:t>
      </w:r>
      <w:r>
        <w:t>.</w:t>
      </w:r>
      <w:r>
        <w:tab/>
        <w:t>Distributing child exploitation material</w:t>
      </w:r>
      <w:bookmarkEnd w:id="514"/>
      <w:bookmarkEnd w:id="515"/>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No. 21 of 2010 s. 4.]</w:t>
      </w:r>
    </w:p>
    <w:p>
      <w:pPr>
        <w:pStyle w:val="Heading5"/>
      </w:pPr>
      <w:bookmarkStart w:id="516" w:name="_Toc103864392"/>
      <w:bookmarkStart w:id="517" w:name="_Toc90996691"/>
      <w:r>
        <w:rPr>
          <w:rStyle w:val="CharSectno"/>
        </w:rPr>
        <w:t>220</w:t>
      </w:r>
      <w:r>
        <w:t>.</w:t>
      </w:r>
      <w:r>
        <w:tab/>
        <w:t>Possession of child exploitation material</w:t>
      </w:r>
      <w:bookmarkEnd w:id="516"/>
      <w:bookmarkEnd w:id="517"/>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No. 21 of 2010 s. 4.]</w:t>
      </w:r>
    </w:p>
    <w:p>
      <w:pPr>
        <w:pStyle w:val="Heading5"/>
      </w:pPr>
      <w:bookmarkStart w:id="518" w:name="_Toc103864393"/>
      <w:bookmarkStart w:id="519" w:name="_Toc90996692"/>
      <w:r>
        <w:rPr>
          <w:rStyle w:val="CharSectno"/>
        </w:rPr>
        <w:t>221A</w:t>
      </w:r>
      <w:r>
        <w:t>.</w:t>
      </w:r>
      <w:r>
        <w:tab/>
        <w:t>Defences and exclusions for s. 217, 218, 219 and 220</w:t>
      </w:r>
      <w:bookmarkEnd w:id="518"/>
      <w:bookmarkEnd w:id="519"/>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No. 21 of 2010 s. 4.]</w:t>
      </w:r>
    </w:p>
    <w:p>
      <w:pPr>
        <w:pStyle w:val="Heading5"/>
      </w:pPr>
      <w:bookmarkStart w:id="520" w:name="_Toc103864394"/>
      <w:bookmarkStart w:id="521" w:name="_Toc90996693"/>
      <w:r>
        <w:rPr>
          <w:rStyle w:val="CharSectno"/>
        </w:rPr>
        <w:t>221B</w:t>
      </w:r>
      <w:r>
        <w:t>.</w:t>
      </w:r>
      <w:r>
        <w:tab/>
        <w:t>Unlawful material, forfeiture of</w:t>
      </w:r>
      <w:bookmarkEnd w:id="520"/>
      <w:bookmarkEnd w:id="521"/>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No. 21 of 2010 s. 4.]</w:t>
      </w:r>
    </w:p>
    <w:p>
      <w:pPr>
        <w:pStyle w:val="Heading3"/>
      </w:pPr>
      <w:bookmarkStart w:id="522" w:name="_Toc103860869"/>
      <w:bookmarkStart w:id="523" w:name="_Toc103861391"/>
      <w:bookmarkStart w:id="524" w:name="_Toc103864395"/>
      <w:bookmarkStart w:id="525" w:name="_Toc90988682"/>
      <w:bookmarkStart w:id="526" w:name="_Toc90989205"/>
      <w:bookmarkStart w:id="527" w:name="_Toc90996694"/>
      <w:r>
        <w:rPr>
          <w:rStyle w:val="CharDivNo"/>
        </w:rPr>
        <w:t>Chapter XXVA</w:t>
      </w:r>
      <w:r>
        <w:t> — </w:t>
      </w:r>
      <w:r>
        <w:rPr>
          <w:rStyle w:val="CharDivText"/>
        </w:rPr>
        <w:t>Intimate images</w:t>
      </w:r>
      <w:bookmarkEnd w:id="522"/>
      <w:bookmarkEnd w:id="523"/>
      <w:bookmarkEnd w:id="524"/>
      <w:bookmarkEnd w:id="525"/>
      <w:bookmarkEnd w:id="526"/>
      <w:bookmarkEnd w:id="527"/>
    </w:p>
    <w:p>
      <w:pPr>
        <w:pStyle w:val="Footnoteheading"/>
      </w:pPr>
      <w:r>
        <w:tab/>
        <w:t>[Heading inserted: No. 4 of 2019 s. 4.]</w:t>
      </w:r>
    </w:p>
    <w:p>
      <w:pPr>
        <w:pStyle w:val="Heading5"/>
      </w:pPr>
      <w:bookmarkStart w:id="528" w:name="_Toc103864396"/>
      <w:bookmarkStart w:id="529" w:name="_Toc90996695"/>
      <w:r>
        <w:rPr>
          <w:rStyle w:val="CharSectno"/>
        </w:rPr>
        <w:t>221BA</w:t>
      </w:r>
      <w:r>
        <w:t>.</w:t>
      </w:r>
      <w:r>
        <w:tab/>
        <w:t>Terms used</w:t>
      </w:r>
      <w:bookmarkEnd w:id="528"/>
      <w:bookmarkEnd w:id="529"/>
    </w:p>
    <w:p>
      <w:pPr>
        <w:pStyle w:val="Subsection"/>
      </w:pPr>
      <w:r>
        <w:tab/>
      </w:r>
      <w:r>
        <w:tab/>
        <w:t xml:space="preserve">In this Chapter — </w:t>
      </w:r>
    </w:p>
    <w:p>
      <w:pPr>
        <w:pStyle w:val="Defstart"/>
      </w:pPr>
      <w:r>
        <w:tab/>
      </w:r>
      <w:r>
        <w:rPr>
          <w:rStyle w:val="CharDefText"/>
        </w:rPr>
        <w:t>consent</w:t>
      </w:r>
      <w:r>
        <w:t xml:space="preserve"> has the meaning given in section 221BB;</w:t>
      </w:r>
    </w:p>
    <w:p>
      <w:pPr>
        <w:pStyle w:val="Defstart"/>
      </w:pPr>
      <w:r>
        <w:tab/>
      </w:r>
      <w:r>
        <w:rPr>
          <w:rStyle w:val="CharDefText"/>
        </w:rPr>
        <w:t>distributes</w:t>
      </w:r>
      <w:r>
        <w:t xml:space="preserve"> an intimate image of a person includes the meaning given in section 221BC; </w:t>
      </w:r>
    </w:p>
    <w:p>
      <w:pPr>
        <w:pStyle w:val="Defstart"/>
      </w:pPr>
      <w:r>
        <w:tab/>
      </w:r>
      <w:r>
        <w:rPr>
          <w:rStyle w:val="CharDefText"/>
        </w:rPr>
        <w:t>engaged in a private act</w:t>
      </w:r>
      <w:r>
        <w:t xml:space="preserve"> means — </w:t>
      </w:r>
    </w:p>
    <w:p>
      <w:pPr>
        <w:pStyle w:val="Defpara"/>
      </w:pPr>
      <w:r>
        <w:tab/>
        <w:t>(a)</w:t>
      </w:r>
      <w:r>
        <w:tab/>
        <w:t>in a state of undress; or</w:t>
      </w:r>
    </w:p>
    <w:p>
      <w:pPr>
        <w:pStyle w:val="Defpara"/>
      </w:pPr>
      <w:r>
        <w:tab/>
        <w:t>(b)</w:t>
      </w:r>
      <w:r>
        <w:tab/>
        <w:t>using the toilet, showering or bathing; or</w:t>
      </w:r>
    </w:p>
    <w:p>
      <w:pPr>
        <w:pStyle w:val="Defpara"/>
      </w:pPr>
      <w:r>
        <w:tab/>
        <w:t>(c)</w:t>
      </w:r>
      <w:r>
        <w:tab/>
        <w:t>engaged in a sexual act;</w:t>
      </w:r>
    </w:p>
    <w:p>
      <w:pPr>
        <w:pStyle w:val="Defstart"/>
      </w:pPr>
      <w:r>
        <w:tab/>
      </w:r>
      <w:r>
        <w:rPr>
          <w:rStyle w:val="CharDefText"/>
        </w:rPr>
        <w:t>intimate image</w:t>
      </w:r>
      <w:r>
        <w:t xml:space="preserve">, of a person — </w:t>
      </w:r>
    </w:p>
    <w:p>
      <w:pPr>
        <w:pStyle w:val="Defpara"/>
      </w:pPr>
      <w:r>
        <w:tab/>
        <w:t>(a)</w:t>
      </w:r>
      <w:r>
        <w:tab/>
        <w:t xml:space="preserve">means a still or moving image, in any form, that shows, in circumstances in which the person would reasonably expect to be afforded privacy — </w:t>
      </w:r>
    </w:p>
    <w:p>
      <w:pPr>
        <w:pStyle w:val="Defsubpara"/>
      </w:pPr>
      <w:r>
        <w:tab/>
        <w:t>(i)</w:t>
      </w:r>
      <w:r>
        <w:tab/>
        <w:t>the person’s genital area or anal area, whether bare or covered by underwear; or</w:t>
      </w:r>
    </w:p>
    <w:p>
      <w:pPr>
        <w:pStyle w:val="Defsubpara"/>
      </w:pPr>
      <w:r>
        <w:tab/>
        <w:t>(ii)</w:t>
      </w:r>
      <w:r>
        <w:tab/>
        <w:t>in the case of a female person, or transgender or intersex person identifying as female, the breasts of the person, whether bare or covered by underwear; or</w:t>
      </w:r>
    </w:p>
    <w:p>
      <w:pPr>
        <w:pStyle w:val="Defsubpara"/>
      </w:pPr>
      <w:r>
        <w:tab/>
        <w:t>(iii)</w:t>
      </w:r>
      <w:r>
        <w:tab/>
        <w:t>the person engaged in a private act;</w:t>
      </w:r>
    </w:p>
    <w:p>
      <w:pPr>
        <w:pStyle w:val="Defpara"/>
      </w:pPr>
      <w:r>
        <w:tab/>
      </w:r>
      <w:r>
        <w:tab/>
        <w:t>and</w:t>
      </w:r>
    </w:p>
    <w:p>
      <w:pPr>
        <w:pStyle w:val="Defpara"/>
      </w:pPr>
      <w:r>
        <w:tab/>
        <w:t>(b)</w:t>
      </w:r>
      <w:r>
        <w:tab/>
        <w:t>includes an image, in any form, that has been created or altered to appear to show any of the things mentioned in paragraph (a);</w:t>
      </w:r>
    </w:p>
    <w:p>
      <w:pPr>
        <w:pStyle w:val="Defstart"/>
      </w:pPr>
      <w:r>
        <w:tab/>
      </w:r>
      <w:r>
        <w:rPr>
          <w:rStyle w:val="CharDefText"/>
        </w:rPr>
        <w:t>law enforcement agency</w:t>
      </w:r>
      <w:r>
        <w:t xml:space="preserve"> 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221BA inserted: No. 4 of 2019 s. 4.]</w:t>
      </w:r>
    </w:p>
    <w:p>
      <w:pPr>
        <w:pStyle w:val="Heading5"/>
      </w:pPr>
      <w:bookmarkStart w:id="530" w:name="_Toc103864397"/>
      <w:bookmarkStart w:id="531" w:name="_Toc90996696"/>
      <w:r>
        <w:rPr>
          <w:rStyle w:val="CharSectno"/>
        </w:rPr>
        <w:t>221BB</w:t>
      </w:r>
      <w:r>
        <w:t>.</w:t>
      </w:r>
      <w:r>
        <w:tab/>
        <w:t>Term used: consent</w:t>
      </w:r>
      <w:bookmarkEnd w:id="530"/>
      <w:bookmarkEnd w:id="531"/>
    </w:p>
    <w:p>
      <w:pPr>
        <w:pStyle w:val="Subsection"/>
      </w:pPr>
      <w:r>
        <w:tab/>
        <w:t>(1)</w:t>
      </w:r>
      <w:r>
        <w:tab/>
        <w:t xml:space="preserve">In this Chapter a reference to </w:t>
      </w:r>
      <w:r>
        <w:rPr>
          <w:rStyle w:val="CharDefText"/>
        </w:rPr>
        <w:t>consent</w:t>
      </w:r>
      <w:r>
        <w:t xml:space="preserve"> is a reference to consent freely and voluntarily given.</w:t>
      </w:r>
    </w:p>
    <w:p>
      <w:pPr>
        <w:pStyle w:val="Subsection"/>
      </w:pPr>
      <w:r>
        <w:tab/>
        <w:t>(2)</w:t>
      </w:r>
      <w:r>
        <w:tab/>
        <w:t>Without limiting the generality of subsection (1), consent is not freely and voluntarily given if it is obtained by force, threat, intimidation, deceit or any fraudulent means.</w:t>
      </w:r>
    </w:p>
    <w:p>
      <w:pPr>
        <w:pStyle w:val="Subsection"/>
      </w:pPr>
      <w:r>
        <w:tab/>
        <w:t>(3)</w:t>
      </w:r>
      <w:r>
        <w:tab/>
        <w:t>A person who consents to the distribution of an intimate image of themselves on a particular occasion is not, only because of that fact, to be regarded as having consented to the distribution of the image or any other image on another occasion.</w:t>
      </w:r>
    </w:p>
    <w:p>
      <w:pPr>
        <w:pStyle w:val="Subsection"/>
      </w:pPr>
      <w:r>
        <w:tab/>
        <w:t>(4)</w:t>
      </w:r>
      <w:r>
        <w:tab/>
        <w:t xml:space="preserve">A person who consents to the distribution of an intimate image of themselves to or by a particular person or in a particular way is not, only because of that fact, to be regarded as having consented to the distribution of the image or any other image to or by another person or in another way. </w:t>
      </w:r>
    </w:p>
    <w:p>
      <w:pPr>
        <w:pStyle w:val="Subsection"/>
      </w:pPr>
      <w:r>
        <w:tab/>
        <w:t>(5)</w:t>
      </w:r>
      <w:r>
        <w:tab/>
        <w:t>A person who distributes an intimate image of themselves is not, only because of that fact, to be regarded as having consented to any other distribution of the image or any other image.</w:t>
      </w:r>
    </w:p>
    <w:p>
      <w:pPr>
        <w:pStyle w:val="Subsection"/>
      </w:pPr>
      <w:r>
        <w:tab/>
        <w:t>(6)</w:t>
      </w:r>
      <w:r>
        <w:tab/>
        <w:t>A person under 16 years of age is incapable of consenting to the distribution of an intimate image.</w:t>
      </w:r>
    </w:p>
    <w:p>
      <w:pPr>
        <w:pStyle w:val="Subsection"/>
      </w:pPr>
      <w:r>
        <w:tab/>
        <w:t>(7)</w:t>
      </w:r>
      <w:r>
        <w:tab/>
        <w:t>This section does not limit the grounds on which it may be established that a person does not consent to the distribution of an intimate image.</w:t>
      </w:r>
    </w:p>
    <w:p>
      <w:pPr>
        <w:pStyle w:val="Footnotesection"/>
        <w:keepLines w:val="0"/>
      </w:pPr>
      <w:r>
        <w:tab/>
        <w:t>[Section 221BB inserted: No. 4 of 2019 s. 4.]</w:t>
      </w:r>
    </w:p>
    <w:p>
      <w:pPr>
        <w:pStyle w:val="Heading5"/>
      </w:pPr>
      <w:bookmarkStart w:id="532" w:name="_Toc103864398"/>
      <w:bookmarkStart w:id="533" w:name="_Toc90996697"/>
      <w:r>
        <w:rPr>
          <w:rStyle w:val="CharSectno"/>
        </w:rPr>
        <w:t>221BC</w:t>
      </w:r>
      <w:r>
        <w:t>.</w:t>
      </w:r>
      <w:r>
        <w:tab/>
        <w:t>Term used: distributes</w:t>
      </w:r>
      <w:bookmarkEnd w:id="532"/>
      <w:bookmarkEnd w:id="533"/>
    </w:p>
    <w:p>
      <w:pPr>
        <w:pStyle w:val="Subsection"/>
      </w:pPr>
      <w:r>
        <w:tab/>
      </w:r>
      <w:r>
        <w:tab/>
        <w:t xml:space="preserve">In this Chapter a person </w:t>
      </w:r>
      <w:r>
        <w:rPr>
          <w:rStyle w:val="CharDefText"/>
        </w:rPr>
        <w:t>distributes</w:t>
      </w:r>
      <w:r>
        <w:t xml:space="preserve"> an intimate image of a person by — </w:t>
      </w:r>
    </w:p>
    <w:p>
      <w:pPr>
        <w:pStyle w:val="Indenta"/>
      </w:pPr>
      <w:r>
        <w:tab/>
        <w:t>(a)</w:t>
      </w:r>
      <w:r>
        <w:tab/>
        <w:t>communicating, exhibiting, selling, sending, supplying, offering or transmitting the image to a person other than themselves or the person depicted in the image; or</w:t>
      </w:r>
    </w:p>
    <w:p>
      <w:pPr>
        <w:pStyle w:val="Indenta"/>
      </w:pPr>
      <w:r>
        <w:tab/>
        <w:t>(b)</w:t>
      </w:r>
      <w:r>
        <w:tab/>
        <w:t>making the image available for access by electronic or other means by a person other than themselves or the person depicted in the image; or</w:t>
      </w:r>
    </w:p>
    <w:p>
      <w:pPr>
        <w:pStyle w:val="Indenta"/>
        <w:keepNext/>
      </w:pPr>
      <w:r>
        <w:tab/>
        <w:t>(c)</w:t>
      </w:r>
      <w:r>
        <w:tab/>
        <w:t>entering into an agreement or arrangement to do anything referred to in paragraph (a) or (b).</w:t>
      </w:r>
    </w:p>
    <w:p>
      <w:pPr>
        <w:pStyle w:val="Footnotesection"/>
        <w:keepLines w:val="0"/>
      </w:pPr>
      <w:r>
        <w:tab/>
        <w:t>[Section 221BC inserted: No. 4 of 2019 s. 4.]</w:t>
      </w:r>
    </w:p>
    <w:p>
      <w:pPr>
        <w:pStyle w:val="Heading5"/>
      </w:pPr>
      <w:bookmarkStart w:id="534" w:name="_Toc103864399"/>
      <w:bookmarkStart w:id="535" w:name="_Toc90996698"/>
      <w:r>
        <w:rPr>
          <w:rStyle w:val="CharSectno"/>
        </w:rPr>
        <w:t>221BD</w:t>
      </w:r>
      <w:r>
        <w:t>.</w:t>
      </w:r>
      <w:r>
        <w:tab/>
        <w:t>Distribution of intimate image</w:t>
      </w:r>
      <w:bookmarkEnd w:id="534"/>
      <w:bookmarkEnd w:id="535"/>
    </w:p>
    <w:p>
      <w:pPr>
        <w:pStyle w:val="Subsection"/>
      </w:pPr>
      <w:r>
        <w:tab/>
        <w:t>(1)</w:t>
      </w:r>
      <w:r>
        <w:tab/>
        <w:t xml:space="preserve">In this section — </w:t>
      </w:r>
    </w:p>
    <w:p>
      <w:pPr>
        <w:pStyle w:val="Defstart"/>
      </w:pPr>
      <w:r>
        <w:tab/>
      </w:r>
      <w:r>
        <w:rPr>
          <w:rStyle w:val="CharDefText"/>
        </w:rPr>
        <w:t>media activity purposes</w:t>
      </w:r>
      <w:r>
        <w:t xml:space="preserve"> means the purposes of collecting, preparing for the distribution of, or distributing — </w:t>
      </w:r>
    </w:p>
    <w:p>
      <w:pPr>
        <w:pStyle w:val="Defpara"/>
      </w:pPr>
      <w:r>
        <w:tab/>
        <w:t>(a)</w:t>
      </w:r>
      <w:r>
        <w:tab/>
        <w:t>material having the character of news, current affairs or a documentary; or</w:t>
      </w:r>
    </w:p>
    <w:p>
      <w:pPr>
        <w:pStyle w:val="Defpara"/>
      </w:pPr>
      <w:r>
        <w:tab/>
        <w:t>(b)</w:t>
      </w:r>
      <w:r>
        <w:tab/>
        <w:t>material consisting of commentary or opinion on, or analysis of, news, current affairs, or a documentary.</w:t>
      </w:r>
    </w:p>
    <w:p>
      <w:pPr>
        <w:pStyle w:val="Subsection"/>
      </w:pPr>
      <w:r>
        <w:tab/>
        <w:t>(2)</w:t>
      </w:r>
      <w:r>
        <w:tab/>
        <w:t xml:space="preserve">A person commits a crime if — </w:t>
      </w:r>
    </w:p>
    <w:p>
      <w:pPr>
        <w:pStyle w:val="Indenta"/>
      </w:pPr>
      <w:r>
        <w:tab/>
        <w:t>(a)</w:t>
      </w:r>
      <w:r>
        <w:tab/>
        <w:t xml:space="preserve">the person distributes an intimate image of another person (the </w:t>
      </w:r>
      <w:r>
        <w:rPr>
          <w:rStyle w:val="CharDefText"/>
        </w:rPr>
        <w:t>depicted person</w:t>
      </w:r>
      <w:r>
        <w:t>); and</w:t>
      </w:r>
    </w:p>
    <w:p>
      <w:pPr>
        <w:pStyle w:val="Indenta"/>
      </w:pPr>
      <w:r>
        <w:tab/>
        <w:t>(b)</w:t>
      </w:r>
      <w:r>
        <w:tab/>
        <w:t>the depicted person does not consent to the distribution.</w:t>
      </w:r>
    </w:p>
    <w:p>
      <w:pPr>
        <w:pStyle w:val="Penstart"/>
      </w:pPr>
      <w:r>
        <w:tab/>
        <w:t>Penalty for this subsection: imprisonment for 3 years.</w:t>
      </w:r>
    </w:p>
    <w:p>
      <w:pPr>
        <w:pStyle w:val="Penstart"/>
      </w:pPr>
      <w:r>
        <w:tab/>
        <w:t>Summary conviction penalty for this subsection: imprisonment for 18 months and a fine of $18 000.</w:t>
      </w:r>
    </w:p>
    <w:p>
      <w:pPr>
        <w:pStyle w:val="Subsection"/>
      </w:pPr>
      <w:r>
        <w:tab/>
        <w:t>(3)</w:t>
      </w:r>
      <w:r>
        <w:tab/>
        <w:t xml:space="preserve">It is a defence to a charge under subsection (2) to prove that — </w:t>
      </w:r>
    </w:p>
    <w:p>
      <w:pPr>
        <w:pStyle w:val="Indenta"/>
      </w:pPr>
      <w:r>
        <w:tab/>
        <w:t>(a)</w:t>
      </w:r>
      <w:r>
        <w:tab/>
        <w:t>the distribution of the image was for a genuine scientific, educational or medical purpose; or</w:t>
      </w:r>
    </w:p>
    <w:p>
      <w:pPr>
        <w:pStyle w:val="Indenta"/>
      </w:pPr>
      <w:r>
        <w:tab/>
        <w:t>(b)</w:t>
      </w:r>
      <w:r>
        <w:tab/>
        <w:t>the distribution of the image was reasonably necessary for the purpose of legal proceedings; or</w:t>
      </w:r>
    </w:p>
    <w:p>
      <w:pPr>
        <w:pStyle w:val="Indenta"/>
      </w:pPr>
      <w:r>
        <w:tab/>
        <w:t>(c)</w:t>
      </w:r>
      <w:r>
        <w:tab/>
        <w:t xml:space="preserve">the person who distributed the image — </w:t>
      </w:r>
    </w:p>
    <w:p>
      <w:pPr>
        <w:pStyle w:val="Indenti"/>
      </w:pPr>
      <w:r>
        <w:tab/>
        <w:t>(i)</w:t>
      </w:r>
      <w:r>
        <w:tab/>
        <w:t>distributed the image for media activity purposes; and</w:t>
      </w:r>
    </w:p>
    <w:p>
      <w:pPr>
        <w:pStyle w:val="Indenti"/>
      </w:pPr>
      <w:r>
        <w:tab/>
        <w:t>(ii)</w:t>
      </w:r>
      <w:r>
        <w:tab/>
        <w:t>did not intend the distribution to cause harm to the depicted person; and</w:t>
      </w:r>
    </w:p>
    <w:p>
      <w:pPr>
        <w:pStyle w:val="Indenti"/>
        <w:keepNext/>
      </w:pPr>
      <w:r>
        <w:tab/>
        <w:t>(iii)</w:t>
      </w:r>
      <w:r>
        <w:tab/>
        <w:t>reasonably believed the distribution to be in the public interest;</w:t>
      </w:r>
    </w:p>
    <w:p>
      <w:pPr>
        <w:pStyle w:val="Indenta"/>
      </w:pPr>
      <w:r>
        <w:tab/>
      </w:r>
      <w:r>
        <w:tab/>
        <w:t>or</w:t>
      </w:r>
    </w:p>
    <w:p>
      <w:pPr>
        <w:pStyle w:val="Indenta"/>
      </w:pPr>
      <w:r>
        <w:tab/>
        <w:t>(d)</w:t>
      </w:r>
      <w:r>
        <w:tab/>
        <w:t xml:space="preserve">a reasonable person would consider the distribution of the image to be acceptable, having regard to each of the following (to the extent relevant) — </w:t>
      </w:r>
    </w:p>
    <w:p>
      <w:pPr>
        <w:pStyle w:val="Indenti"/>
      </w:pPr>
      <w:r>
        <w:tab/>
        <w:t>(i)</w:t>
      </w:r>
      <w:r>
        <w:tab/>
        <w:t>the nature and content of the image;</w:t>
      </w:r>
    </w:p>
    <w:p>
      <w:pPr>
        <w:pStyle w:val="Indenti"/>
      </w:pPr>
      <w:r>
        <w:tab/>
        <w:t>(ii)</w:t>
      </w:r>
      <w:r>
        <w:tab/>
        <w:t>the circumstances in which the image was distributed;</w:t>
      </w:r>
    </w:p>
    <w:p>
      <w:pPr>
        <w:pStyle w:val="Indenti"/>
      </w:pPr>
      <w:r>
        <w:tab/>
        <w:t>(iii)</w:t>
      </w:r>
      <w:r>
        <w:tab/>
        <w:t xml:space="preserve">the age, mental capacity, vulnerability or other relevant circumstances of the depicted person; </w:t>
      </w:r>
    </w:p>
    <w:p>
      <w:pPr>
        <w:pStyle w:val="Indenti"/>
      </w:pPr>
      <w:r>
        <w:tab/>
        <w:t>(iv)</w:t>
      </w:r>
      <w:r>
        <w:tab/>
        <w:t>the degree to which the accused’s actions affect the privacy of the depicted person;</w:t>
      </w:r>
    </w:p>
    <w:p>
      <w:pPr>
        <w:pStyle w:val="Indenti"/>
      </w:pPr>
      <w:r>
        <w:tab/>
        <w:t>(v)</w:t>
      </w:r>
      <w:r>
        <w:tab/>
        <w:t>the relationship between the accused and the depicted person;</w:t>
      </w:r>
    </w:p>
    <w:p>
      <w:pPr>
        <w:pStyle w:val="Indenti"/>
      </w:pPr>
      <w:r>
        <w:tab/>
        <w:t>(vi)</w:t>
      </w:r>
      <w:r>
        <w:tab/>
        <w:t>any other relevant matters.</w:t>
      </w:r>
    </w:p>
    <w:p>
      <w:pPr>
        <w:pStyle w:val="Subsection"/>
      </w:pPr>
      <w:r>
        <w:tab/>
        <w:t>(4)</w:t>
      </w:r>
      <w:r>
        <w:tab/>
        <w:t xml:space="preserve">Nothing in subsection (2) makes it an offence — </w:t>
      </w:r>
    </w:p>
    <w:p>
      <w:pPr>
        <w:pStyle w:val="Indenta"/>
      </w:pPr>
      <w:r>
        <w:tab/>
        <w:t>(a)</w:t>
      </w:r>
      <w:r>
        <w:tab/>
        <w:t>for a member or officer of a law enforcement agency or their agents to distribute an intimate image when acting in the course of their official duties; or</w:t>
      </w:r>
    </w:p>
    <w:p>
      <w:pPr>
        <w:pStyle w:val="Indenta"/>
      </w:pPr>
      <w:r>
        <w:tab/>
        <w:t>(b)</w:t>
      </w:r>
      <w:r>
        <w:tab/>
        <w:t xml:space="preserve">for a person to distribute an intimate image in accordance with, or in the performance of the person’s functions under, a written law or a law of the Commonwealth or another State or Territory; or </w:t>
      </w:r>
    </w:p>
    <w:p>
      <w:pPr>
        <w:pStyle w:val="Indenta"/>
      </w:pPr>
      <w:r>
        <w:tab/>
        <w:t>(c)</w:t>
      </w:r>
      <w:r>
        <w:tab/>
        <w:t>for a person to distribute an intimate image for the purposes of the administration of justice.</w:t>
      </w:r>
    </w:p>
    <w:p>
      <w:pPr>
        <w:pStyle w:val="Footnotesection"/>
        <w:keepLines w:val="0"/>
      </w:pPr>
      <w:r>
        <w:tab/>
        <w:t>[Section 221BD inserted: No. 4 of 2019 s. 4.]</w:t>
      </w:r>
    </w:p>
    <w:p>
      <w:pPr>
        <w:pStyle w:val="Heading5"/>
      </w:pPr>
      <w:bookmarkStart w:id="536" w:name="_Toc103864400"/>
      <w:bookmarkStart w:id="537" w:name="_Toc90996699"/>
      <w:r>
        <w:rPr>
          <w:rStyle w:val="CharSectno"/>
        </w:rPr>
        <w:t>221BE</w:t>
      </w:r>
      <w:r>
        <w:t>.</w:t>
      </w:r>
      <w:r>
        <w:tab/>
        <w:t>Court may order rectification</w:t>
      </w:r>
      <w:bookmarkEnd w:id="536"/>
      <w:bookmarkEnd w:id="537"/>
    </w:p>
    <w:p>
      <w:pPr>
        <w:pStyle w:val="Subsection"/>
      </w:pPr>
      <w:r>
        <w:tab/>
        <w:t>(1)</w:t>
      </w:r>
      <w:r>
        <w:tab/>
        <w:t xml:space="preserve">In this section — </w:t>
      </w:r>
    </w:p>
    <w:p>
      <w:pPr>
        <w:pStyle w:val="Defstart"/>
      </w:pPr>
      <w:r>
        <w:tab/>
      </w:r>
      <w:r>
        <w:rPr>
          <w:rStyle w:val="CharDefText"/>
        </w:rPr>
        <w:t>intimate image offence</w:t>
      </w:r>
      <w:r>
        <w:t xml:space="preserve"> means — </w:t>
      </w:r>
    </w:p>
    <w:p>
      <w:pPr>
        <w:pStyle w:val="Defpara"/>
      </w:pPr>
      <w:r>
        <w:tab/>
        <w:t>(a)</w:t>
      </w:r>
      <w:r>
        <w:tab/>
        <w:t>an offence under section 221BD; or</w:t>
      </w:r>
    </w:p>
    <w:p>
      <w:pPr>
        <w:pStyle w:val="Defpara"/>
      </w:pPr>
      <w:r>
        <w:tab/>
        <w:t>(b)</w:t>
      </w:r>
      <w:r>
        <w:tab/>
        <w:t>an offence under section 338A or 338B, if the offence involves a threat to distribute an intimate image of a person; or</w:t>
      </w:r>
    </w:p>
    <w:p>
      <w:pPr>
        <w:pStyle w:val="Defpara"/>
      </w:pPr>
      <w:r>
        <w:tab/>
        <w:t>(c)</w:t>
      </w:r>
      <w:r>
        <w:tab/>
        <w:t xml:space="preserve">an offence under section 338C, if any of the following relate to the distribution of an intimate image of a person — </w:t>
      </w:r>
    </w:p>
    <w:p>
      <w:pPr>
        <w:pStyle w:val="Indenti"/>
      </w:pPr>
      <w:r>
        <w:tab/>
        <w:t>(i)</w:t>
      </w:r>
      <w:r>
        <w:tab/>
        <w:t>the threat referred to in section 338C(1)(a);</w:t>
      </w:r>
    </w:p>
    <w:p>
      <w:pPr>
        <w:pStyle w:val="Indenti"/>
      </w:pPr>
      <w:r>
        <w:tab/>
        <w:t>(ii)</w:t>
      </w:r>
      <w:r>
        <w:tab/>
        <w:t xml:space="preserve">the intention, proposal, plan or conspiracy referred to in section 338C(1)(b); or </w:t>
      </w:r>
    </w:p>
    <w:p>
      <w:pPr>
        <w:pStyle w:val="Indenti"/>
      </w:pPr>
      <w:r>
        <w:tab/>
        <w:t>(iii)</w:t>
      </w:r>
      <w:r>
        <w:tab/>
        <w:t>the belief, suspicion or fear referred to in section 338C(2)(a).</w:t>
      </w:r>
    </w:p>
    <w:p>
      <w:pPr>
        <w:pStyle w:val="Subsection"/>
      </w:pPr>
      <w:r>
        <w:tab/>
        <w:t>(2)</w:t>
      </w:r>
      <w:r>
        <w:tab/>
        <w:t>If a person is charged with an intimate image offence, the court may order the person to take reasonable actions to remove, retract, recover, delete, destroy or forfeit to the State any intimate image to which the offence relates within a period specified by the court.</w:t>
      </w:r>
    </w:p>
    <w:p>
      <w:pPr>
        <w:pStyle w:val="Subsection"/>
      </w:pPr>
      <w:r>
        <w:tab/>
        <w:t>(3)</w:t>
      </w:r>
      <w:r>
        <w:tab/>
        <w:t>The court may make an order under subsection (2) whether or not the person is convicted of the offence.</w:t>
      </w:r>
    </w:p>
    <w:p>
      <w:pPr>
        <w:pStyle w:val="Subsection"/>
      </w:pPr>
      <w:r>
        <w:tab/>
        <w:t>(4)</w:t>
      </w:r>
      <w:r>
        <w:tab/>
        <w:t>In considering whether or not to make an order under subsection (2), and the content of that order, the court must have regard to any other similar obligations the person is under in relation to the image.</w:t>
      </w:r>
    </w:p>
    <w:p>
      <w:pPr>
        <w:pStyle w:val="Subsection"/>
      </w:pPr>
      <w:r>
        <w:tab/>
        <w:t>(5)</w:t>
      </w:r>
      <w:r>
        <w:tab/>
        <w:t xml:space="preserve">This section does not limit the court’s powers under section 731 or under the </w:t>
      </w:r>
      <w:r>
        <w:rPr>
          <w:i/>
        </w:rPr>
        <w:t>Criminal Property Confiscation Act 2000</w:t>
      </w:r>
      <w:r>
        <w:t>.</w:t>
      </w:r>
    </w:p>
    <w:p>
      <w:pPr>
        <w:pStyle w:val="Subsection"/>
      </w:pPr>
      <w:r>
        <w:tab/>
        <w:t>(6)</w:t>
      </w:r>
      <w:r>
        <w:tab/>
        <w:t xml:space="preserve">A person who, without reasonable excuse, fails to comply with an order made under subsection (2) commits an offence. </w:t>
      </w:r>
    </w:p>
    <w:p>
      <w:pPr>
        <w:pStyle w:val="Penstart"/>
      </w:pPr>
      <w:r>
        <w:tab/>
        <w:t>Penalty for this subsection: imprisonment for 12 months and a fine of $12 000.</w:t>
      </w:r>
    </w:p>
    <w:p>
      <w:pPr>
        <w:pStyle w:val="Footnotesection"/>
        <w:keepLines w:val="0"/>
      </w:pPr>
      <w:r>
        <w:tab/>
        <w:t>[Section 221BE inserted: No. 4 of 2019 s. 4.]</w:t>
      </w:r>
    </w:p>
    <w:p>
      <w:pPr>
        <w:pStyle w:val="Heading5"/>
      </w:pPr>
      <w:bookmarkStart w:id="538" w:name="_Toc103864401"/>
      <w:bookmarkStart w:id="539" w:name="_Toc90996700"/>
      <w:r>
        <w:rPr>
          <w:rStyle w:val="CharSectno"/>
        </w:rPr>
        <w:t>221BF</w:t>
      </w:r>
      <w:r>
        <w:t>.</w:t>
      </w:r>
      <w:r>
        <w:tab/>
        <w:t xml:space="preserve">Review of amendments made by </w:t>
      </w:r>
      <w:r>
        <w:rPr>
          <w:i/>
        </w:rPr>
        <w:t>Criminal Law Amendment (Intimate Images) Act 2019</w:t>
      </w:r>
      <w:bookmarkEnd w:id="538"/>
      <w:bookmarkEnd w:id="539"/>
    </w:p>
    <w:p>
      <w:pPr>
        <w:pStyle w:val="Subsection"/>
      </w:pPr>
      <w:r>
        <w:tab/>
        <w:t>(1)</w:t>
      </w:r>
      <w:r>
        <w:tab/>
        <w:t xml:space="preserve">The Minister must review the operation and effectiveness of the amendments made to this Code, the </w:t>
      </w:r>
      <w:r>
        <w:rPr>
          <w:i/>
        </w:rPr>
        <w:t>Restraining Orders Act 1997</w:t>
      </w:r>
      <w:r>
        <w:t xml:space="preserve"> and the </w:t>
      </w:r>
      <w:r>
        <w:rPr>
          <w:i/>
        </w:rPr>
        <w:t>Working with Children (Criminal Record Checking) Act 2004</w:t>
      </w:r>
      <w:r>
        <w:t xml:space="preserve"> by the </w:t>
      </w:r>
      <w:r>
        <w:rPr>
          <w:i/>
        </w:rPr>
        <w:t>Criminal Law Amendment (Intimate Images) Act 2019</w:t>
      </w:r>
      <w:r>
        <w:t>, and prepare a report based on the review, as soon as practicable after the 3</w:t>
      </w:r>
      <w:r>
        <w:rPr>
          <w:vertAlign w:val="superscript"/>
        </w:rPr>
        <w:t>rd</w:t>
      </w:r>
      <w:r>
        <w:t xml:space="preserve"> anniversary of the day on which the </w:t>
      </w:r>
      <w:r>
        <w:rPr>
          <w:i/>
        </w:rPr>
        <w:t>Criminal Law Amendment (Intimate Images) Act 2019</w:t>
      </w:r>
      <w:r>
        <w:t xml:space="preserve"> section 4 comes 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w:t>
      </w:r>
      <w:r>
        <w:t> anniversary.</w:t>
      </w:r>
    </w:p>
    <w:p>
      <w:pPr>
        <w:pStyle w:val="Footnotesection"/>
        <w:keepLines w:val="0"/>
      </w:pPr>
      <w:r>
        <w:tab/>
        <w:t>[Section 221BF inserted: No. 4 of 2019 s. 4.]</w:t>
      </w:r>
    </w:p>
    <w:p>
      <w:pPr>
        <w:pStyle w:val="Heading3"/>
      </w:pPr>
      <w:bookmarkStart w:id="540" w:name="_Toc103860876"/>
      <w:bookmarkStart w:id="541" w:name="_Toc103861398"/>
      <w:bookmarkStart w:id="542" w:name="_Toc103864402"/>
      <w:bookmarkStart w:id="543" w:name="_Toc90988689"/>
      <w:bookmarkStart w:id="544" w:name="_Toc90989212"/>
      <w:bookmarkStart w:id="545" w:name="_Toc90996701"/>
      <w:r>
        <w:rPr>
          <w:rStyle w:val="CharDivNo"/>
        </w:rPr>
        <w:t>Chapter XXVIA</w:t>
      </w:r>
      <w:r>
        <w:t> — </w:t>
      </w:r>
      <w:r>
        <w:rPr>
          <w:rStyle w:val="CharDivText"/>
        </w:rPr>
        <w:t>Facilitating activities of criminal organisations</w:t>
      </w:r>
      <w:bookmarkEnd w:id="540"/>
      <w:bookmarkEnd w:id="541"/>
      <w:bookmarkEnd w:id="542"/>
      <w:bookmarkEnd w:id="543"/>
      <w:bookmarkEnd w:id="544"/>
      <w:bookmarkEnd w:id="545"/>
    </w:p>
    <w:p>
      <w:pPr>
        <w:pStyle w:val="Footnoteheading"/>
      </w:pPr>
      <w:r>
        <w:tab/>
        <w:t>[Heading inserted: No. 49 of 2012 s. 173(3).]</w:t>
      </w:r>
    </w:p>
    <w:p>
      <w:pPr>
        <w:pStyle w:val="Heading5"/>
      </w:pPr>
      <w:bookmarkStart w:id="546" w:name="_Toc103864403"/>
      <w:bookmarkStart w:id="547" w:name="_Toc90996702"/>
      <w:r>
        <w:rPr>
          <w:rStyle w:val="CharSectno"/>
        </w:rPr>
        <w:t>221C</w:t>
      </w:r>
      <w:r>
        <w:t>.</w:t>
      </w:r>
      <w:r>
        <w:tab/>
        <w:t>Terms used</w:t>
      </w:r>
      <w:bookmarkEnd w:id="546"/>
      <w:bookmarkEnd w:id="547"/>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Australia)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Footnotesection"/>
        <w:keepLines w:val="0"/>
      </w:pPr>
      <w:r>
        <w:tab/>
        <w:t>[Section 221C inserted: No. 49 of 2012 s. 173(3).]</w:t>
      </w:r>
    </w:p>
    <w:p>
      <w:pPr>
        <w:pStyle w:val="Heading5"/>
      </w:pPr>
      <w:bookmarkStart w:id="548" w:name="_Toc103864404"/>
      <w:bookmarkStart w:id="549" w:name="_Toc90996703"/>
      <w:r>
        <w:rPr>
          <w:rStyle w:val="CharSectno"/>
        </w:rPr>
        <w:t>221D</w:t>
      </w:r>
      <w:r>
        <w:t>.</w:t>
      </w:r>
      <w:r>
        <w:tab/>
        <w:t>Term used: criminal organisation</w:t>
      </w:r>
      <w:bookmarkEnd w:id="548"/>
      <w:bookmarkEnd w:id="549"/>
    </w:p>
    <w:p>
      <w:pPr>
        <w:pStyle w:val="Subsection"/>
      </w:pPr>
      <w:r>
        <w:tab/>
        <w:t>(1)</w:t>
      </w:r>
      <w:r>
        <w:tab/>
        <w:t xml:space="preserve">For the purposes of this Chapter, an entity is a </w:t>
      </w:r>
      <w:r>
        <w:rPr>
          <w:rStyle w:val="CharDefText"/>
        </w:rPr>
        <w:t>criminal organisation</w:t>
      </w:r>
      <w:r>
        <w:t xml:space="preserve"> if — </w:t>
      </w:r>
    </w:p>
    <w:p>
      <w:pPr>
        <w:pStyle w:val="Indenta"/>
        <w:spacing w:before="120"/>
      </w:pPr>
      <w:r>
        <w:tab/>
        <w:t>(a)</w:t>
      </w:r>
      <w:r>
        <w:tab/>
        <w:t>the entity is a declared criminal organisation; or</w:t>
      </w:r>
    </w:p>
    <w:p>
      <w:pPr>
        <w:pStyle w:val="Indenta"/>
        <w:spacing w:before="120"/>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spacing w:before="120"/>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spacing w:before="120"/>
      </w:pPr>
      <w:r>
        <w:tab/>
        <w:t>(b)</w:t>
      </w:r>
      <w:r>
        <w:tab/>
        <w:t>section 13(3) of that Act applies with all necessary changes for the purposes of the court satisfying itself that subsection (1)(b)(ii) of this section applies to the entity.</w:t>
      </w:r>
    </w:p>
    <w:p>
      <w:pPr>
        <w:pStyle w:val="Footnotesection"/>
        <w:keepLines w:val="0"/>
      </w:pPr>
      <w:r>
        <w:tab/>
        <w:t>[Section 221D inserted: No. 49 of 2012 s. 173(3).]</w:t>
      </w:r>
    </w:p>
    <w:p>
      <w:pPr>
        <w:pStyle w:val="Heading5"/>
      </w:pPr>
      <w:bookmarkStart w:id="550" w:name="_Toc103864405"/>
      <w:bookmarkStart w:id="551" w:name="_Toc90996704"/>
      <w:r>
        <w:rPr>
          <w:rStyle w:val="CharSectno"/>
        </w:rPr>
        <w:t>221E</w:t>
      </w:r>
      <w:r>
        <w:t>.</w:t>
      </w:r>
      <w:r>
        <w:tab/>
        <w:t>Participating in activities of criminal organisation</w:t>
      </w:r>
      <w:bookmarkEnd w:id="550"/>
      <w:bookmarkEnd w:id="551"/>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Footnotesection"/>
        <w:keepLines w:val="0"/>
      </w:pPr>
      <w:r>
        <w:tab/>
        <w:t>[Section 221E inserted: No. 49 of 2012 s. 173(3).]</w:t>
      </w:r>
    </w:p>
    <w:p>
      <w:pPr>
        <w:pStyle w:val="Heading5"/>
      </w:pPr>
      <w:bookmarkStart w:id="552" w:name="_Toc103864406"/>
      <w:bookmarkStart w:id="553" w:name="_Toc90996705"/>
      <w:r>
        <w:rPr>
          <w:rStyle w:val="CharSectno"/>
        </w:rPr>
        <w:t>221F</w:t>
      </w:r>
      <w:r>
        <w:t>.</w:t>
      </w:r>
      <w:r>
        <w:tab/>
        <w:t>Instructing commission of offence for benefit of criminal organisation</w:t>
      </w:r>
      <w:bookmarkEnd w:id="552"/>
      <w:bookmarkEnd w:id="553"/>
    </w:p>
    <w:p>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Footnotesection"/>
        <w:keepLines w:val="0"/>
      </w:pPr>
      <w:r>
        <w:tab/>
        <w:t>[Section 221F inserted: No. 49 of 2012 s. 173(3).]</w:t>
      </w:r>
    </w:p>
    <w:p>
      <w:pPr>
        <w:pStyle w:val="Heading2"/>
      </w:pPr>
      <w:bookmarkStart w:id="554" w:name="_Toc103860881"/>
      <w:bookmarkStart w:id="555" w:name="_Toc103861403"/>
      <w:bookmarkStart w:id="556" w:name="_Toc103864407"/>
      <w:bookmarkStart w:id="557" w:name="_Toc90988694"/>
      <w:bookmarkStart w:id="558" w:name="_Toc90989217"/>
      <w:bookmarkStart w:id="559" w:name="_Toc90996706"/>
      <w:r>
        <w:rPr>
          <w:rStyle w:val="CharPartNo"/>
        </w:rPr>
        <w:t>Part V</w:t>
      </w:r>
      <w:r>
        <w:t> — </w:t>
      </w:r>
      <w:r>
        <w:rPr>
          <w:rStyle w:val="CharPartText"/>
        </w:rPr>
        <w:t>Offences against the person and relating to parental rights and duties and against the reputation of individuals</w:t>
      </w:r>
      <w:bookmarkEnd w:id="554"/>
      <w:bookmarkEnd w:id="555"/>
      <w:bookmarkEnd w:id="556"/>
      <w:bookmarkEnd w:id="557"/>
      <w:bookmarkEnd w:id="558"/>
      <w:bookmarkEnd w:id="559"/>
    </w:p>
    <w:p>
      <w:pPr>
        <w:pStyle w:val="Footnoteheading"/>
        <w:tabs>
          <w:tab w:val="left" w:pos="840"/>
        </w:tabs>
        <w:spacing w:before="80"/>
      </w:pPr>
      <w:r>
        <w:tab/>
        <w:t>[Heading amended: No. 5 of 2008 s. 129(2).]</w:t>
      </w:r>
    </w:p>
    <w:p>
      <w:pPr>
        <w:pStyle w:val="Heading3"/>
        <w:keepLines/>
        <w:spacing w:before="220"/>
        <w:rPr>
          <w:snapToGrid w:val="0"/>
        </w:rPr>
      </w:pPr>
      <w:bookmarkStart w:id="560" w:name="_Toc103860882"/>
      <w:bookmarkStart w:id="561" w:name="_Toc103861404"/>
      <w:bookmarkStart w:id="562" w:name="_Toc103864408"/>
      <w:bookmarkStart w:id="563" w:name="_Toc90988695"/>
      <w:bookmarkStart w:id="564" w:name="_Toc90989218"/>
      <w:bookmarkStart w:id="565" w:name="_Toc90996707"/>
      <w:r>
        <w:rPr>
          <w:rStyle w:val="CharDivNo"/>
        </w:rPr>
        <w:t>Chapter XXVI</w:t>
      </w:r>
      <w:r>
        <w:rPr>
          <w:snapToGrid w:val="0"/>
        </w:rPr>
        <w:t> — </w:t>
      </w:r>
      <w:r>
        <w:rPr>
          <w:rStyle w:val="CharDivText"/>
        </w:rPr>
        <w:t>Assaults and violence to the person generally: Justification, excuse and circumstances of aggravation</w:t>
      </w:r>
      <w:bookmarkEnd w:id="560"/>
      <w:bookmarkEnd w:id="561"/>
      <w:bookmarkEnd w:id="562"/>
      <w:bookmarkEnd w:id="563"/>
      <w:bookmarkEnd w:id="564"/>
      <w:bookmarkEnd w:id="565"/>
    </w:p>
    <w:p>
      <w:pPr>
        <w:pStyle w:val="Footnoteheading"/>
        <w:tabs>
          <w:tab w:val="left" w:pos="840"/>
        </w:tabs>
        <w:spacing w:before="80"/>
      </w:pPr>
      <w:r>
        <w:tab/>
        <w:t>[Heading amended: No. 38 of 2004 s. 63.]</w:t>
      </w:r>
    </w:p>
    <w:p>
      <w:pPr>
        <w:pStyle w:val="Heading5"/>
        <w:spacing w:before="180"/>
      </w:pPr>
      <w:bookmarkStart w:id="566" w:name="_Toc103864409"/>
      <w:bookmarkStart w:id="567" w:name="_Toc90996708"/>
      <w:r>
        <w:rPr>
          <w:rStyle w:val="CharSectno"/>
        </w:rPr>
        <w:t>221</w:t>
      </w:r>
      <w:r>
        <w:t>.</w:t>
      </w:r>
      <w:r>
        <w:tab/>
        <w:t>Term used: circumstances of aggravation</w:t>
      </w:r>
      <w:bookmarkEnd w:id="566"/>
      <w:bookmarkEnd w:id="567"/>
    </w:p>
    <w:p>
      <w:pPr>
        <w:pStyle w:val="Subsection"/>
        <w:spacing w:before="120"/>
      </w:pPr>
      <w:r>
        <w:tab/>
        <w:t>(1)</w:t>
      </w:r>
      <w:r>
        <w:tab/>
        <w:t>In this Part —</w:t>
      </w:r>
    </w:p>
    <w:p>
      <w:pPr>
        <w:pStyle w:val="Defstart"/>
        <w:spacing w:before="70"/>
      </w:pPr>
      <w:r>
        <w:rPr>
          <w:b/>
        </w:rPr>
        <w:tab/>
      </w:r>
      <w:r>
        <w:rPr>
          <w:rStyle w:val="CharDefText"/>
        </w:rPr>
        <w:t>circumstances of aggravation</w:t>
      </w:r>
      <w:r>
        <w:t xml:space="preserve"> means circumstances in which —</w:t>
      </w:r>
    </w:p>
    <w:p>
      <w:pPr>
        <w:pStyle w:val="Defpara"/>
        <w:spacing w:before="60"/>
      </w:pPr>
      <w:r>
        <w:tab/>
        <w:t>(a)</w:t>
      </w:r>
      <w:r>
        <w:tab/>
        <w:t>the offender is in a family relationship with the victim of the offence, other than where subsection (1A) applies; or</w:t>
      </w:r>
    </w:p>
    <w:p>
      <w:pPr>
        <w:pStyle w:val="Defpara"/>
        <w:spacing w:before="60"/>
      </w:pPr>
      <w:r>
        <w:tab/>
        <w:t>(b)</w:t>
      </w:r>
      <w:r>
        <w:tab/>
        <w:t>a child was present when the offence was committed, other than where subsection (1A) applies; or</w:t>
      </w:r>
    </w:p>
    <w:p>
      <w:pPr>
        <w:pStyle w:val="Defpara"/>
        <w:spacing w:before="60"/>
      </w:pPr>
      <w:r>
        <w:tab/>
        <w:t>(c)</w:t>
      </w:r>
      <w:r>
        <w:tab/>
        <w:t xml:space="preserve">the conduct of the offender in committing the offence constituted a breach of an order, other than an order under Part 1C, made or registered under the </w:t>
      </w:r>
      <w:r>
        <w:rPr>
          <w:i/>
        </w:rPr>
        <w:t>Restraining Orders Act 1997</w:t>
      </w:r>
      <w:r>
        <w:t xml:space="preserve"> or to which that Act applies; or</w:t>
      </w:r>
    </w:p>
    <w:p>
      <w:pPr>
        <w:pStyle w:val="Defpara"/>
        <w:spacing w:before="60"/>
      </w:pPr>
      <w:r>
        <w:tab/>
        <w:t>(d)</w:t>
      </w:r>
      <w:r>
        <w:tab/>
        <w:t>the victim is of or over the age of 60 years.</w:t>
      </w:r>
    </w:p>
    <w:p>
      <w:pPr>
        <w:pStyle w:val="Subsection"/>
      </w:pPr>
      <w:r>
        <w:tab/>
        <w:t>(1A)</w:t>
      </w:r>
      <w:r>
        <w:tab/>
        <w:t>This subsection applies if —</w:t>
      </w:r>
    </w:p>
    <w:p>
      <w:pPr>
        <w:pStyle w:val="Indenta"/>
      </w:pPr>
      <w:r>
        <w:tab/>
        <w:t>(a)</w:t>
      </w:r>
      <w:r>
        <w:tab/>
        <w:t>the offender was a child at the time of the commission of the relevant offence; and</w:t>
      </w:r>
    </w:p>
    <w:p>
      <w:pPr>
        <w:pStyle w:val="Indenta"/>
      </w:pPr>
      <w:r>
        <w:tab/>
        <w:t>(b)</w:t>
      </w:r>
      <w:r>
        <w:tab/>
        <w:t>the only circumstance of aggravation is the offender was in a family relationship with the victim at the time of the commission of the offence, or a child was present at the time of the commission of the offence, or both.</w:t>
      </w:r>
    </w:p>
    <w:p>
      <w:pPr>
        <w:pStyle w:val="Subsection"/>
        <w:keepNext/>
      </w:pPr>
      <w:r>
        <w:tab/>
        <w:t>(2)</w:t>
      </w:r>
      <w:r>
        <w:tab/>
        <w:t xml:space="preserve">In this section — </w:t>
      </w:r>
    </w:p>
    <w:p>
      <w:pPr>
        <w:pStyle w:val="Defstart"/>
        <w:keepNext/>
      </w:pPr>
      <w:r>
        <w:tab/>
      </w:r>
      <w:r>
        <w:rPr>
          <w:rStyle w:val="CharDefText"/>
        </w:rPr>
        <w:t>family relationship</w:t>
      </w:r>
      <w:r>
        <w:t xml:space="preserve"> has the meaning given in the </w:t>
      </w:r>
      <w:r>
        <w:rPr>
          <w:i/>
        </w:rPr>
        <w:t>Restraining Orders Act 1997</w:t>
      </w:r>
      <w:r>
        <w:t xml:space="preserve"> section 4(1).</w:t>
      </w:r>
    </w:p>
    <w:p>
      <w:pPr>
        <w:pStyle w:val="Footnotesection"/>
        <w:spacing w:before="80"/>
      </w:pPr>
      <w:r>
        <w:tab/>
        <w:t>[Section 221 inserted: No. 38 of 2004 s. 64; amended: No. 49 of 2016 s. 99; No. 30 of 2020 s. 4.]</w:t>
      </w:r>
    </w:p>
    <w:p>
      <w:pPr>
        <w:pStyle w:val="Heading5"/>
        <w:spacing w:before="180"/>
        <w:rPr>
          <w:snapToGrid w:val="0"/>
        </w:rPr>
      </w:pPr>
      <w:bookmarkStart w:id="568" w:name="_Toc103864410"/>
      <w:bookmarkStart w:id="569" w:name="_Toc90996709"/>
      <w:r>
        <w:rPr>
          <w:rStyle w:val="CharSectno"/>
        </w:rPr>
        <w:t>222</w:t>
      </w:r>
      <w:r>
        <w:rPr>
          <w:snapToGrid w:val="0"/>
        </w:rPr>
        <w:t>.</w:t>
      </w:r>
      <w:r>
        <w:rPr>
          <w:snapToGrid w:val="0"/>
        </w:rPr>
        <w:tab/>
        <w:t xml:space="preserve">Term used: </w:t>
      </w:r>
      <w:r>
        <w:rPr>
          <w:rStyle w:val="CharDefText"/>
          <w:b/>
          <w:bCs/>
          <w:i w:val="0"/>
        </w:rPr>
        <w:t>assault</w:t>
      </w:r>
      <w:bookmarkEnd w:id="568"/>
      <w:bookmarkEnd w:id="569"/>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spacing w:before="120"/>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570" w:name="_Toc103864411"/>
      <w:bookmarkStart w:id="571" w:name="_Toc90996710"/>
      <w:r>
        <w:rPr>
          <w:rStyle w:val="CharSectno"/>
        </w:rPr>
        <w:t>223</w:t>
      </w:r>
      <w:r>
        <w:rPr>
          <w:snapToGrid w:val="0"/>
        </w:rPr>
        <w:t>.</w:t>
      </w:r>
      <w:r>
        <w:rPr>
          <w:snapToGrid w:val="0"/>
        </w:rPr>
        <w:tab/>
        <w:t>Assault is unlawful</w:t>
      </w:r>
      <w:bookmarkEnd w:id="570"/>
      <w:bookmarkEnd w:id="571"/>
    </w:p>
    <w:p>
      <w:pPr>
        <w:pStyle w:val="Subsection"/>
        <w:spacing w:before="120"/>
        <w:rPr>
          <w:snapToGrid w:val="0"/>
        </w:rPr>
      </w:pPr>
      <w:r>
        <w:rPr>
          <w:snapToGrid w:val="0"/>
        </w:rPr>
        <w:tab/>
      </w:r>
      <w:r>
        <w:rPr>
          <w:snapToGrid w:val="0"/>
        </w:rPr>
        <w:tab/>
        <w:t>An assault is unlawful and constitutes an offence unless it is authorised or justified or excused by law.</w:t>
      </w:r>
    </w:p>
    <w:p>
      <w:pPr>
        <w:pStyle w:val="Subsection"/>
        <w:spacing w:before="12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572" w:name="_Toc103864412"/>
      <w:bookmarkStart w:id="573" w:name="_Toc90996711"/>
      <w:r>
        <w:rPr>
          <w:rStyle w:val="CharSectno"/>
        </w:rPr>
        <w:t>224</w:t>
      </w:r>
      <w:r>
        <w:rPr>
          <w:snapToGrid w:val="0"/>
        </w:rPr>
        <w:t>.</w:t>
      </w:r>
      <w:r>
        <w:rPr>
          <w:snapToGrid w:val="0"/>
        </w:rPr>
        <w:tab/>
        <w:t>Execution of sentence is lawful</w:t>
      </w:r>
      <w:bookmarkEnd w:id="572"/>
      <w:bookmarkEnd w:id="573"/>
    </w:p>
    <w:p>
      <w:pPr>
        <w:pStyle w:val="Subsection"/>
        <w:spacing w:before="12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574" w:name="_Toc103864413"/>
      <w:bookmarkStart w:id="575" w:name="_Toc90996712"/>
      <w:r>
        <w:rPr>
          <w:rStyle w:val="CharSectno"/>
        </w:rPr>
        <w:t>225</w:t>
      </w:r>
      <w:r>
        <w:rPr>
          <w:snapToGrid w:val="0"/>
        </w:rPr>
        <w:t>.</w:t>
      </w:r>
      <w:r>
        <w:rPr>
          <w:snapToGrid w:val="0"/>
        </w:rPr>
        <w:tab/>
        <w:t>Execution of process is lawful</w:t>
      </w:r>
      <w:bookmarkEnd w:id="574"/>
      <w:bookmarkEnd w:id="575"/>
    </w:p>
    <w:p>
      <w:pPr>
        <w:pStyle w:val="Subsection"/>
        <w:spacing w:before="12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576" w:name="_Toc103864414"/>
      <w:bookmarkStart w:id="577" w:name="_Toc90996713"/>
      <w:r>
        <w:rPr>
          <w:rStyle w:val="CharSectno"/>
        </w:rPr>
        <w:t>226</w:t>
      </w:r>
      <w:r>
        <w:rPr>
          <w:snapToGrid w:val="0"/>
        </w:rPr>
        <w:t>.</w:t>
      </w:r>
      <w:r>
        <w:rPr>
          <w:snapToGrid w:val="0"/>
        </w:rPr>
        <w:tab/>
        <w:t>Execution of warrant is lawful</w:t>
      </w:r>
      <w:bookmarkEnd w:id="576"/>
      <w:bookmarkEnd w:id="577"/>
    </w:p>
    <w:p>
      <w:pPr>
        <w:pStyle w:val="Subsection"/>
        <w:spacing w:before="12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578" w:name="_Toc103864415"/>
      <w:bookmarkStart w:id="579" w:name="_Toc90996714"/>
      <w:r>
        <w:rPr>
          <w:rStyle w:val="CharSectno"/>
        </w:rPr>
        <w:t>227</w:t>
      </w:r>
      <w:r>
        <w:rPr>
          <w:snapToGrid w:val="0"/>
        </w:rPr>
        <w:t>.</w:t>
      </w:r>
      <w:r>
        <w:rPr>
          <w:snapToGrid w:val="0"/>
        </w:rPr>
        <w:tab/>
        <w:t>Sentence, process or warrant issued without authority, effect of</w:t>
      </w:r>
      <w:bookmarkEnd w:id="578"/>
      <w:bookmarkEnd w:id="579"/>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580" w:name="_Toc103864416"/>
      <w:bookmarkStart w:id="581" w:name="_Toc90996715"/>
      <w:r>
        <w:rPr>
          <w:rStyle w:val="CharSectno"/>
        </w:rPr>
        <w:t>228</w:t>
      </w:r>
      <w:r>
        <w:rPr>
          <w:snapToGrid w:val="0"/>
        </w:rPr>
        <w:t>.</w:t>
      </w:r>
      <w:r>
        <w:rPr>
          <w:snapToGrid w:val="0"/>
        </w:rPr>
        <w:tab/>
        <w:t>Sentence, process or warrant issued without authority, liability of person executing etc.</w:t>
      </w:r>
      <w:bookmarkEnd w:id="580"/>
      <w:bookmarkEnd w:id="581"/>
    </w:p>
    <w:p>
      <w:pPr>
        <w:pStyle w:val="Subsection"/>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spacing w:before="80"/>
      </w:pPr>
      <w:r>
        <w:tab/>
        <w:t>[Section 228 amended: No. 44 of 2009 s. 13.]</w:t>
      </w:r>
    </w:p>
    <w:p>
      <w:pPr>
        <w:pStyle w:val="Heading5"/>
        <w:rPr>
          <w:snapToGrid w:val="0"/>
        </w:rPr>
      </w:pPr>
      <w:bookmarkStart w:id="582" w:name="_Toc103864417"/>
      <w:bookmarkStart w:id="583" w:name="_Toc90996716"/>
      <w:r>
        <w:rPr>
          <w:rStyle w:val="CharSectno"/>
        </w:rPr>
        <w:t>229</w:t>
      </w:r>
      <w:r>
        <w:rPr>
          <w:snapToGrid w:val="0"/>
        </w:rPr>
        <w:t>.</w:t>
      </w:r>
      <w:r>
        <w:rPr>
          <w:snapToGrid w:val="0"/>
        </w:rPr>
        <w:tab/>
        <w:t>Arrest of wrong person</w:t>
      </w:r>
      <w:bookmarkEnd w:id="582"/>
      <w:bookmarkEnd w:id="583"/>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584" w:name="_Toc103864418"/>
      <w:bookmarkStart w:id="585" w:name="_Toc90996717"/>
      <w:r>
        <w:rPr>
          <w:rStyle w:val="CharSectno"/>
        </w:rPr>
        <w:t>230</w:t>
      </w:r>
      <w:r>
        <w:rPr>
          <w:snapToGrid w:val="0"/>
        </w:rPr>
        <w:t>.</w:t>
      </w:r>
      <w:r>
        <w:rPr>
          <w:snapToGrid w:val="0"/>
        </w:rPr>
        <w:tab/>
        <w:t>Process or warrant that is bad in law, liability of person executing etc.</w:t>
      </w:r>
      <w:bookmarkEnd w:id="584"/>
      <w:bookmarkEnd w:id="585"/>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586" w:name="_Toc103864419"/>
      <w:bookmarkStart w:id="587" w:name="_Toc90996718"/>
      <w:r>
        <w:rPr>
          <w:rStyle w:val="CharSectno"/>
        </w:rPr>
        <w:t>231</w:t>
      </w:r>
      <w:r>
        <w:rPr>
          <w:snapToGrid w:val="0"/>
        </w:rPr>
        <w:t>.</w:t>
      </w:r>
      <w:r>
        <w:rPr>
          <w:snapToGrid w:val="0"/>
        </w:rPr>
        <w:tab/>
        <w:t>Executing sentence, process or warrant or making arrest, using force for</w:t>
      </w:r>
      <w:bookmarkEnd w:id="586"/>
      <w:bookmarkEnd w:id="587"/>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No. 59 of 2006 s. 20.]</w:t>
      </w:r>
    </w:p>
    <w:p>
      <w:pPr>
        <w:pStyle w:val="Ednotesection"/>
      </w:pPr>
      <w:r>
        <w:t>[</w:t>
      </w:r>
      <w:r>
        <w:rPr>
          <w:b/>
          <w:bCs/>
        </w:rPr>
        <w:t>232.</w:t>
      </w:r>
      <w:r>
        <w:tab/>
        <w:t>Deleted: No. 59 of 2006 s. 21.]</w:t>
      </w:r>
    </w:p>
    <w:p>
      <w:pPr>
        <w:pStyle w:val="Heading5"/>
        <w:rPr>
          <w:snapToGrid w:val="0"/>
        </w:rPr>
      </w:pPr>
      <w:bookmarkStart w:id="588" w:name="_Toc103864420"/>
      <w:bookmarkStart w:id="589" w:name="_Toc90996719"/>
      <w:r>
        <w:rPr>
          <w:rStyle w:val="CharSectno"/>
        </w:rPr>
        <w:t>233</w:t>
      </w:r>
      <w:r>
        <w:rPr>
          <w:snapToGrid w:val="0"/>
        </w:rPr>
        <w:t>.</w:t>
      </w:r>
      <w:r>
        <w:rPr>
          <w:snapToGrid w:val="0"/>
        </w:rPr>
        <w:tab/>
        <w:t>Flight from arrest, use of force to prevent</w:t>
      </w:r>
      <w:bookmarkEnd w:id="588"/>
      <w:bookmarkEnd w:id="589"/>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No. 119 of 1985 s. 6.]</w:t>
      </w:r>
    </w:p>
    <w:p>
      <w:pPr>
        <w:pStyle w:val="Ednotesection"/>
      </w:pPr>
      <w:r>
        <w:t>[</w:t>
      </w:r>
      <w:r>
        <w:rPr>
          <w:b/>
        </w:rPr>
        <w:t>234</w:t>
      </w:r>
      <w:r>
        <w:rPr>
          <w:b/>
          <w:bCs/>
        </w:rPr>
        <w:t>.</w:t>
      </w:r>
      <w:r>
        <w:tab/>
        <w:t>Deleted: No. 119 of 1985 s. 7.]</w:t>
      </w:r>
    </w:p>
    <w:p>
      <w:pPr>
        <w:pStyle w:val="Heading5"/>
        <w:rPr>
          <w:snapToGrid w:val="0"/>
        </w:rPr>
      </w:pPr>
      <w:bookmarkStart w:id="590" w:name="_Toc103864421"/>
      <w:bookmarkStart w:id="591" w:name="_Toc90996720"/>
      <w:r>
        <w:rPr>
          <w:rStyle w:val="CharSectno"/>
        </w:rPr>
        <w:t>235</w:t>
      </w:r>
      <w:r>
        <w:rPr>
          <w:snapToGrid w:val="0"/>
        </w:rPr>
        <w:t>.</w:t>
      </w:r>
      <w:r>
        <w:rPr>
          <w:snapToGrid w:val="0"/>
        </w:rPr>
        <w:tab/>
        <w:t>Escape or rescue after arrest, use of force to prevent</w:t>
      </w:r>
      <w:bookmarkEnd w:id="590"/>
      <w:bookmarkEnd w:id="591"/>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No. 119 of 1985 s. 8.]</w:t>
      </w:r>
    </w:p>
    <w:p>
      <w:pPr>
        <w:pStyle w:val="Ednotesection"/>
        <w:spacing w:before="160"/>
        <w:ind w:left="890" w:hanging="890"/>
      </w:pPr>
      <w:r>
        <w:t>[</w:t>
      </w:r>
      <w:r>
        <w:rPr>
          <w:b/>
          <w:bCs/>
        </w:rPr>
        <w:t>236, 237.</w:t>
      </w:r>
      <w:r>
        <w:tab/>
        <w:t>Deleted: No. 59 of 2006 s. 22.]</w:t>
      </w:r>
    </w:p>
    <w:p>
      <w:pPr>
        <w:pStyle w:val="Heading5"/>
        <w:rPr>
          <w:snapToGrid w:val="0"/>
        </w:rPr>
      </w:pPr>
      <w:bookmarkStart w:id="592" w:name="_Toc103864422"/>
      <w:bookmarkStart w:id="593" w:name="_Toc90996721"/>
      <w:r>
        <w:rPr>
          <w:rStyle w:val="CharSectno"/>
        </w:rPr>
        <w:t>238</w:t>
      </w:r>
      <w:r>
        <w:rPr>
          <w:snapToGrid w:val="0"/>
        </w:rPr>
        <w:t>.</w:t>
      </w:r>
      <w:r>
        <w:rPr>
          <w:snapToGrid w:val="0"/>
        </w:rPr>
        <w:tab/>
        <w:t>Riot, use of force to suppress</w:t>
      </w:r>
      <w:bookmarkEnd w:id="592"/>
      <w:bookmarkEnd w:id="593"/>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594" w:name="_Toc103864423"/>
      <w:bookmarkStart w:id="595" w:name="_Toc90996722"/>
      <w:r>
        <w:rPr>
          <w:rStyle w:val="CharSectno"/>
        </w:rPr>
        <w:t>239</w:t>
      </w:r>
      <w:r>
        <w:rPr>
          <w:snapToGrid w:val="0"/>
        </w:rPr>
        <w:t>.</w:t>
      </w:r>
      <w:r>
        <w:rPr>
          <w:snapToGrid w:val="0"/>
        </w:rPr>
        <w:tab/>
        <w:t>Riot, use of force to suppress by justice and police officer</w:t>
      </w:r>
      <w:bookmarkEnd w:id="594"/>
      <w:bookmarkEnd w:id="595"/>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596" w:name="_Toc103864424"/>
      <w:bookmarkStart w:id="597" w:name="_Toc90996723"/>
      <w:r>
        <w:rPr>
          <w:rStyle w:val="CharSectno"/>
        </w:rPr>
        <w:t>240</w:t>
      </w:r>
      <w:r>
        <w:rPr>
          <w:snapToGrid w:val="0"/>
        </w:rPr>
        <w:t>.</w:t>
      </w:r>
      <w:r>
        <w:rPr>
          <w:snapToGrid w:val="0"/>
        </w:rPr>
        <w:tab/>
        <w:t>Riot, use of force to suppress by person acting under lawful order</w:t>
      </w:r>
      <w:bookmarkEnd w:id="596"/>
      <w:bookmarkEnd w:id="597"/>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598" w:name="_Toc103864425"/>
      <w:bookmarkStart w:id="599" w:name="_Toc90996724"/>
      <w:r>
        <w:rPr>
          <w:rStyle w:val="CharSectno"/>
        </w:rPr>
        <w:t>241</w:t>
      </w:r>
      <w:r>
        <w:rPr>
          <w:snapToGrid w:val="0"/>
        </w:rPr>
        <w:t>.</w:t>
      </w:r>
      <w:r>
        <w:rPr>
          <w:snapToGrid w:val="0"/>
        </w:rPr>
        <w:tab/>
        <w:t>Riot, use of force to suppress by person acting without order in case of emergency</w:t>
      </w:r>
      <w:bookmarkEnd w:id="598"/>
      <w:bookmarkEnd w:id="599"/>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600" w:name="_Toc103864426"/>
      <w:bookmarkStart w:id="601" w:name="_Toc90996725"/>
      <w:r>
        <w:rPr>
          <w:rStyle w:val="CharSectno"/>
        </w:rPr>
        <w:t>242</w:t>
      </w:r>
      <w:r>
        <w:rPr>
          <w:snapToGrid w:val="0"/>
        </w:rPr>
        <w:t>.</w:t>
      </w:r>
      <w:r>
        <w:rPr>
          <w:snapToGrid w:val="0"/>
        </w:rPr>
        <w:tab/>
        <w:t>Riot, use of force to suppress by military personnel</w:t>
      </w:r>
      <w:bookmarkEnd w:id="600"/>
      <w:bookmarkEnd w:id="601"/>
    </w:p>
    <w:p>
      <w:pPr>
        <w:pStyle w:val="Subsection"/>
        <w:spacing w:before="130"/>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spacing w:before="130"/>
        <w:rPr>
          <w:snapToGrid w:val="0"/>
        </w:rPr>
      </w:pPr>
      <w:r>
        <w:rPr>
          <w:snapToGrid w:val="0"/>
        </w:rPr>
        <w:tab/>
      </w:r>
      <w:r>
        <w:rPr>
          <w:snapToGrid w:val="0"/>
        </w:rPr>
        <w:tab/>
        <w:t>Whether any particular command is or is not manifestly unlawful is a question of law.</w:t>
      </w:r>
    </w:p>
    <w:p>
      <w:pPr>
        <w:pStyle w:val="Heading5"/>
        <w:spacing w:before="180"/>
      </w:pPr>
      <w:bookmarkStart w:id="602" w:name="_Toc103864427"/>
      <w:bookmarkStart w:id="603" w:name="_Toc90996726"/>
      <w:r>
        <w:rPr>
          <w:rStyle w:val="CharSectno"/>
        </w:rPr>
        <w:t>243</w:t>
      </w:r>
      <w:r>
        <w:t>.</w:t>
      </w:r>
      <w:r>
        <w:tab/>
        <w:t>Violence by mentally impaired person, use of force to prevent</w:t>
      </w:r>
      <w:bookmarkEnd w:id="602"/>
      <w:bookmarkEnd w:id="603"/>
    </w:p>
    <w:p>
      <w:pPr>
        <w:pStyle w:val="Subsection"/>
        <w:spacing w:before="130"/>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spacing w:before="100"/>
      </w:pPr>
      <w:r>
        <w:tab/>
        <w:t>[Section 243 inserted: No. 59 of 2006 s. 23.]</w:t>
      </w:r>
    </w:p>
    <w:p>
      <w:pPr>
        <w:pStyle w:val="Heading5"/>
        <w:spacing w:before="180"/>
      </w:pPr>
      <w:bookmarkStart w:id="604" w:name="_Toc103864428"/>
      <w:bookmarkStart w:id="605" w:name="_Toc90996727"/>
      <w:r>
        <w:rPr>
          <w:rStyle w:val="CharSectno"/>
        </w:rPr>
        <w:t>244</w:t>
      </w:r>
      <w:r>
        <w:t>.</w:t>
      </w:r>
      <w:r>
        <w:tab/>
        <w:t>Home invasion, use of force to prevent etc.</w:t>
      </w:r>
      <w:bookmarkEnd w:id="604"/>
      <w:bookmarkEnd w:id="605"/>
    </w:p>
    <w:p>
      <w:pPr>
        <w:pStyle w:val="Subsection"/>
        <w:keepNext/>
        <w:spacing w:before="130"/>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spacing w:before="60"/>
      </w:pPr>
      <w:r>
        <w:tab/>
        <w:t>(a)</w:t>
      </w:r>
      <w:r>
        <w:tab/>
        <w:t>to prevent a home invader from wrongfully entering the dwelling or an associated place; or</w:t>
      </w:r>
    </w:p>
    <w:p>
      <w:pPr>
        <w:pStyle w:val="Indenta"/>
        <w:spacing w:before="60"/>
      </w:pPr>
      <w:r>
        <w:tab/>
        <w:t>(b)</w:t>
      </w:r>
      <w:r>
        <w:tab/>
        <w:t>to cause a home invader who is wrongfully in the dwelling or on or in an associated place to leave the dwelling or place; or</w:t>
      </w:r>
    </w:p>
    <w:p>
      <w:pPr>
        <w:pStyle w:val="Indenta"/>
        <w:keepNext/>
        <w:keepLines/>
        <w:spacing w:before="60"/>
      </w:pPr>
      <w:r>
        <w:tab/>
        <w:t>(c)</w:t>
      </w:r>
      <w:r>
        <w:tab/>
        <w:t>to make effectual defence against violence used or threatened in relation to a person by a home invader who is —</w:t>
      </w:r>
    </w:p>
    <w:p>
      <w:pPr>
        <w:pStyle w:val="Indenti"/>
        <w:spacing w:before="60"/>
      </w:pPr>
      <w:r>
        <w:tab/>
        <w:t>(i)</w:t>
      </w:r>
      <w:r>
        <w:tab/>
        <w:t>attempting to wrongfully enter the dwelling or an associated place; or</w:t>
      </w:r>
    </w:p>
    <w:p>
      <w:pPr>
        <w:pStyle w:val="Indenti"/>
        <w:spacing w:before="60"/>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No. 45 of 2000 s. 4; amended: No. 29 of 2008 s. 7.]</w:t>
      </w:r>
    </w:p>
    <w:p>
      <w:pPr>
        <w:pStyle w:val="Heading5"/>
        <w:keepLines w:val="0"/>
        <w:spacing w:before="240"/>
      </w:pPr>
      <w:bookmarkStart w:id="606" w:name="_Toc103864429"/>
      <w:bookmarkStart w:id="607" w:name="_Toc90996728"/>
      <w:r>
        <w:rPr>
          <w:rStyle w:val="CharSectno"/>
        </w:rPr>
        <w:t>245</w:t>
      </w:r>
      <w:r>
        <w:rPr>
          <w:snapToGrid w:val="0"/>
        </w:rPr>
        <w:t>.</w:t>
      </w:r>
      <w:r>
        <w:rPr>
          <w:snapToGrid w:val="0"/>
        </w:rPr>
        <w:tab/>
        <w:t xml:space="preserve">Term used: </w:t>
      </w:r>
      <w:r>
        <w:t>provocation</w:t>
      </w:r>
      <w:bookmarkEnd w:id="606"/>
      <w:bookmarkEnd w:id="607"/>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ind w:left="890" w:hanging="890"/>
      </w:pPr>
      <w:r>
        <w:tab/>
        <w:t>[Section 245 amended: No. 4 of 2004 s. 61(1).]</w:t>
      </w:r>
    </w:p>
    <w:p>
      <w:pPr>
        <w:pStyle w:val="Heading5"/>
        <w:rPr>
          <w:snapToGrid w:val="0"/>
        </w:rPr>
      </w:pPr>
      <w:bookmarkStart w:id="608" w:name="_Toc103864430"/>
      <w:bookmarkStart w:id="609" w:name="_Toc90996729"/>
      <w:r>
        <w:rPr>
          <w:rStyle w:val="CharSectno"/>
        </w:rPr>
        <w:t>246</w:t>
      </w:r>
      <w:r>
        <w:rPr>
          <w:snapToGrid w:val="0"/>
        </w:rPr>
        <w:t>.</w:t>
      </w:r>
      <w:r>
        <w:rPr>
          <w:snapToGrid w:val="0"/>
        </w:rPr>
        <w:tab/>
        <w:t>Defence of provocation</w:t>
      </w:r>
      <w:bookmarkEnd w:id="608"/>
      <w:bookmarkEnd w:id="609"/>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610" w:name="_Toc103864431"/>
      <w:bookmarkStart w:id="611" w:name="_Toc90996730"/>
      <w:r>
        <w:rPr>
          <w:rStyle w:val="CharSectno"/>
        </w:rPr>
        <w:t>247</w:t>
      </w:r>
      <w:r>
        <w:rPr>
          <w:snapToGrid w:val="0"/>
        </w:rPr>
        <w:t>.</w:t>
      </w:r>
      <w:r>
        <w:rPr>
          <w:snapToGrid w:val="0"/>
        </w:rPr>
        <w:tab/>
        <w:t>Repetition of insult, use of force to prevent</w:t>
      </w:r>
      <w:bookmarkEnd w:id="610"/>
      <w:bookmarkEnd w:id="611"/>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612" w:name="_Toc103864432"/>
      <w:bookmarkStart w:id="613" w:name="_Toc90996731"/>
      <w:r>
        <w:rPr>
          <w:rStyle w:val="CharSectno"/>
        </w:rPr>
        <w:t>248</w:t>
      </w:r>
      <w:r>
        <w:t>.</w:t>
      </w:r>
      <w:r>
        <w:tab/>
        <w:t>Self</w:t>
      </w:r>
      <w:r>
        <w:noBreakHyphen/>
        <w:t>defence</w:t>
      </w:r>
      <w:bookmarkEnd w:id="612"/>
      <w:bookmarkEnd w:id="613"/>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0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spacing w:before="60"/>
      </w:pPr>
      <w:r>
        <w:tab/>
        <w:t>(a)</w:t>
      </w:r>
      <w:r>
        <w:tab/>
        <w:t>the person believes the act is necessary to defend the person or another person from a harmful act, including a harmful act that is not imminent; and</w:t>
      </w:r>
    </w:p>
    <w:p>
      <w:pPr>
        <w:pStyle w:val="Indenta"/>
        <w:spacing w:before="60"/>
      </w:pPr>
      <w:r>
        <w:tab/>
        <w:t>(b)</w:t>
      </w:r>
      <w:r>
        <w:tab/>
        <w:t>the person’s harmful act is a reasonable response by the person in the circumstances as the person believes them to be; and</w:t>
      </w:r>
    </w:p>
    <w:p>
      <w:pPr>
        <w:pStyle w:val="Indenta"/>
        <w:spacing w:before="60"/>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spacing w:before="80"/>
      </w:pPr>
      <w:r>
        <w:tab/>
        <w:t>[Section 248 inserted: No. 29 of 2008 s. 8.]</w:t>
      </w:r>
    </w:p>
    <w:p>
      <w:pPr>
        <w:pStyle w:val="Ednotesection"/>
        <w:spacing w:before="180"/>
      </w:pPr>
      <w:r>
        <w:t>[</w:t>
      </w:r>
      <w:r>
        <w:rPr>
          <w:b/>
          <w:bCs/>
        </w:rPr>
        <w:t>249, 250.</w:t>
      </w:r>
      <w:r>
        <w:rPr>
          <w:b/>
          <w:bCs/>
        </w:rPr>
        <w:tab/>
      </w:r>
      <w:r>
        <w:t>Deleted: No. 29 of 2008 s. 8.]</w:t>
      </w:r>
    </w:p>
    <w:p>
      <w:pPr>
        <w:pStyle w:val="Heading5"/>
        <w:spacing w:before="180"/>
        <w:rPr>
          <w:snapToGrid w:val="0"/>
        </w:rPr>
      </w:pPr>
      <w:bookmarkStart w:id="614" w:name="_Toc103864433"/>
      <w:bookmarkStart w:id="615" w:name="_Toc90996732"/>
      <w:r>
        <w:rPr>
          <w:rStyle w:val="CharSectno"/>
        </w:rPr>
        <w:t>251</w:t>
      </w:r>
      <w:r>
        <w:rPr>
          <w:snapToGrid w:val="0"/>
        </w:rPr>
        <w:t>.</w:t>
      </w:r>
      <w:r>
        <w:rPr>
          <w:snapToGrid w:val="0"/>
        </w:rPr>
        <w:tab/>
        <w:t>Movable property, use of force to resist taking of by trespasser etc.</w:t>
      </w:r>
      <w:bookmarkEnd w:id="614"/>
      <w:bookmarkEnd w:id="615"/>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No. 37 of 1991 s. 8.]</w:t>
      </w:r>
    </w:p>
    <w:p>
      <w:pPr>
        <w:pStyle w:val="Heading5"/>
        <w:rPr>
          <w:snapToGrid w:val="0"/>
        </w:rPr>
      </w:pPr>
      <w:bookmarkStart w:id="616" w:name="_Toc103864434"/>
      <w:bookmarkStart w:id="617" w:name="_Toc90996733"/>
      <w:r>
        <w:rPr>
          <w:rStyle w:val="CharSectno"/>
        </w:rPr>
        <w:t>252</w:t>
      </w:r>
      <w:r>
        <w:rPr>
          <w:snapToGrid w:val="0"/>
        </w:rPr>
        <w:t>.</w:t>
      </w:r>
      <w:r>
        <w:rPr>
          <w:snapToGrid w:val="0"/>
        </w:rPr>
        <w:tab/>
        <w:t>Movable property possessed with claim of right, use of force to defend possession of</w:t>
      </w:r>
      <w:bookmarkEnd w:id="616"/>
      <w:bookmarkEnd w:id="617"/>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618" w:name="_Toc103864435"/>
      <w:bookmarkStart w:id="619" w:name="_Toc90996734"/>
      <w:r>
        <w:rPr>
          <w:rStyle w:val="CharSectno"/>
        </w:rPr>
        <w:t>253</w:t>
      </w:r>
      <w:r>
        <w:rPr>
          <w:snapToGrid w:val="0"/>
        </w:rPr>
        <w:t>.</w:t>
      </w:r>
      <w:r>
        <w:rPr>
          <w:snapToGrid w:val="0"/>
        </w:rPr>
        <w:tab/>
        <w:t>Movable property possessed without claim of right etc., use of force to take</w:t>
      </w:r>
      <w:bookmarkEnd w:id="618"/>
      <w:bookmarkEnd w:id="619"/>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No. 37 of 1991 s. 9.]</w:t>
      </w:r>
    </w:p>
    <w:p>
      <w:pPr>
        <w:pStyle w:val="Heading5"/>
        <w:rPr>
          <w:snapToGrid w:val="0"/>
        </w:rPr>
      </w:pPr>
      <w:bookmarkStart w:id="620" w:name="_Toc103864436"/>
      <w:bookmarkStart w:id="621" w:name="_Toc90996735"/>
      <w:r>
        <w:rPr>
          <w:rStyle w:val="CharSectno"/>
        </w:rPr>
        <w:t>254</w:t>
      </w:r>
      <w:r>
        <w:rPr>
          <w:snapToGrid w:val="0"/>
        </w:rPr>
        <w:t>.</w:t>
      </w:r>
      <w:r>
        <w:rPr>
          <w:snapToGrid w:val="0"/>
        </w:rPr>
        <w:tab/>
        <w:t>Place, use of force to prevent entry to and remove people from</w:t>
      </w:r>
      <w:bookmarkEnd w:id="620"/>
      <w:bookmarkEnd w:id="621"/>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No. 37 of 1991 s. 10.]</w:t>
      </w:r>
    </w:p>
    <w:p>
      <w:pPr>
        <w:pStyle w:val="Heading5"/>
        <w:rPr>
          <w:snapToGrid w:val="0"/>
        </w:rPr>
      </w:pPr>
      <w:bookmarkStart w:id="622" w:name="_Toc103864437"/>
      <w:bookmarkStart w:id="623" w:name="_Toc90996736"/>
      <w:r>
        <w:rPr>
          <w:rStyle w:val="CharSectno"/>
        </w:rPr>
        <w:t>255</w:t>
      </w:r>
      <w:r>
        <w:rPr>
          <w:snapToGrid w:val="0"/>
        </w:rPr>
        <w:t>.</w:t>
      </w:r>
      <w:r>
        <w:rPr>
          <w:snapToGrid w:val="0"/>
        </w:rPr>
        <w:tab/>
        <w:t>Place possessed with claim of right, use of force to defend</w:t>
      </w:r>
      <w:bookmarkEnd w:id="622"/>
      <w:bookmarkEnd w:id="623"/>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No. 37 of 1991 s. 11.]</w:t>
      </w:r>
    </w:p>
    <w:p>
      <w:pPr>
        <w:pStyle w:val="Heading5"/>
        <w:rPr>
          <w:snapToGrid w:val="0"/>
        </w:rPr>
      </w:pPr>
      <w:bookmarkStart w:id="624" w:name="_Toc103864438"/>
      <w:bookmarkStart w:id="625" w:name="_Toc90996737"/>
      <w:r>
        <w:rPr>
          <w:rStyle w:val="CharSectno"/>
        </w:rPr>
        <w:t>256</w:t>
      </w:r>
      <w:r>
        <w:rPr>
          <w:snapToGrid w:val="0"/>
        </w:rPr>
        <w:t>.</w:t>
      </w:r>
      <w:r>
        <w:rPr>
          <w:snapToGrid w:val="0"/>
        </w:rPr>
        <w:tab/>
        <w:t>Entry to land to exercise disputed right</w:t>
      </w:r>
      <w:r>
        <w:rPr>
          <w:snapToGrid w:val="0"/>
        </w:rPr>
        <w:noBreakHyphen/>
        <w:t>of</w:t>
      </w:r>
      <w:r>
        <w:rPr>
          <w:snapToGrid w:val="0"/>
        </w:rPr>
        <w:noBreakHyphen/>
        <w:t>way etc., use of force to prevent</w:t>
      </w:r>
      <w:bookmarkEnd w:id="624"/>
      <w:bookmarkEnd w:id="625"/>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626" w:name="_Toc103864439"/>
      <w:bookmarkStart w:id="627" w:name="_Toc90996738"/>
      <w:r>
        <w:rPr>
          <w:rStyle w:val="CharSectno"/>
        </w:rPr>
        <w:t>257</w:t>
      </w:r>
      <w:r>
        <w:rPr>
          <w:snapToGrid w:val="0"/>
        </w:rPr>
        <w:t>.</w:t>
      </w:r>
      <w:r>
        <w:rPr>
          <w:snapToGrid w:val="0"/>
        </w:rPr>
        <w:tab/>
        <w:t>Discipline of children, use of force for</w:t>
      </w:r>
      <w:bookmarkEnd w:id="626"/>
      <w:bookmarkEnd w:id="627"/>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No. 4 of 2004 s. 61(2).]</w:t>
      </w:r>
    </w:p>
    <w:p>
      <w:pPr>
        <w:pStyle w:val="Heading5"/>
        <w:rPr>
          <w:snapToGrid w:val="0"/>
        </w:rPr>
      </w:pPr>
      <w:bookmarkStart w:id="628" w:name="_Toc103864440"/>
      <w:bookmarkStart w:id="629" w:name="_Toc90996739"/>
      <w:r>
        <w:rPr>
          <w:rStyle w:val="CharSectno"/>
        </w:rPr>
        <w:t>258</w:t>
      </w:r>
      <w:r>
        <w:rPr>
          <w:snapToGrid w:val="0"/>
        </w:rPr>
        <w:t>.</w:t>
      </w:r>
      <w:r>
        <w:rPr>
          <w:snapToGrid w:val="0"/>
        </w:rPr>
        <w:tab/>
        <w:t>Discipline on ship or aircraft, use of force for</w:t>
      </w:r>
      <w:bookmarkEnd w:id="628"/>
      <w:bookmarkEnd w:id="629"/>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keepNext/>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No. 53 of 1964 s. 3.]</w:t>
      </w:r>
    </w:p>
    <w:p>
      <w:pPr>
        <w:pStyle w:val="Heading5"/>
      </w:pPr>
      <w:bookmarkStart w:id="630" w:name="_Toc103864441"/>
      <w:bookmarkStart w:id="631" w:name="_Toc90996740"/>
      <w:r>
        <w:rPr>
          <w:rStyle w:val="CharSectno"/>
        </w:rPr>
        <w:t>259</w:t>
      </w:r>
      <w:r>
        <w:t>.</w:t>
      </w:r>
      <w:r>
        <w:tab/>
        <w:t>Surgical and medical treatment, liability for</w:t>
      </w:r>
      <w:bookmarkEnd w:id="630"/>
      <w:bookmarkEnd w:id="631"/>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No. 15 of 1998 s. 5; amended: No. 25 of 2008 s. 18.]</w:t>
      </w:r>
    </w:p>
    <w:p>
      <w:pPr>
        <w:pStyle w:val="Heading5"/>
        <w:rPr>
          <w:snapToGrid w:val="0"/>
        </w:rPr>
      </w:pPr>
      <w:bookmarkStart w:id="632" w:name="_Toc103864442"/>
      <w:bookmarkStart w:id="633" w:name="_Toc90996741"/>
      <w:r>
        <w:rPr>
          <w:rStyle w:val="CharSectno"/>
        </w:rPr>
        <w:t>259A</w:t>
      </w:r>
      <w:r>
        <w:rPr>
          <w:snapToGrid w:val="0"/>
        </w:rPr>
        <w:t>.</w:t>
      </w:r>
      <w:r>
        <w:rPr>
          <w:snapToGrid w:val="0"/>
        </w:rPr>
        <w:tab/>
        <w:t>Inoculation procedure, liability for</w:t>
      </w:r>
      <w:bookmarkEnd w:id="632"/>
      <w:bookmarkEnd w:id="633"/>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No. 51 of 1992 s. 4.]</w:t>
      </w:r>
    </w:p>
    <w:p>
      <w:pPr>
        <w:pStyle w:val="Heading5"/>
        <w:rPr>
          <w:snapToGrid w:val="0"/>
        </w:rPr>
      </w:pPr>
      <w:bookmarkStart w:id="634" w:name="_Toc103864443"/>
      <w:bookmarkStart w:id="635" w:name="_Toc90996742"/>
      <w:r>
        <w:rPr>
          <w:rStyle w:val="CharSectno"/>
        </w:rPr>
        <w:t>260</w:t>
      </w:r>
      <w:r>
        <w:rPr>
          <w:snapToGrid w:val="0"/>
        </w:rPr>
        <w:t>.</w:t>
      </w:r>
      <w:r>
        <w:rPr>
          <w:snapToGrid w:val="0"/>
        </w:rPr>
        <w:tab/>
        <w:t>Excessive force is unlawful</w:t>
      </w:r>
      <w:bookmarkEnd w:id="634"/>
      <w:bookmarkEnd w:id="635"/>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636" w:name="_Toc103864444"/>
      <w:bookmarkStart w:id="637" w:name="_Toc90996743"/>
      <w:r>
        <w:rPr>
          <w:rStyle w:val="CharSectno"/>
        </w:rPr>
        <w:t>261</w:t>
      </w:r>
      <w:r>
        <w:rPr>
          <w:snapToGrid w:val="0"/>
        </w:rPr>
        <w:t>.</w:t>
      </w:r>
      <w:r>
        <w:rPr>
          <w:snapToGrid w:val="0"/>
        </w:rPr>
        <w:tab/>
        <w:t>Consent to death immaterial</w:t>
      </w:r>
      <w:bookmarkEnd w:id="636"/>
      <w:bookmarkEnd w:id="637"/>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638" w:name="_Toc103860919"/>
      <w:bookmarkStart w:id="639" w:name="_Toc103861441"/>
      <w:bookmarkStart w:id="640" w:name="_Toc103864445"/>
      <w:bookmarkStart w:id="641" w:name="_Toc90988732"/>
      <w:bookmarkStart w:id="642" w:name="_Toc90989255"/>
      <w:bookmarkStart w:id="643" w:name="_Toc90996744"/>
      <w:r>
        <w:rPr>
          <w:rStyle w:val="CharDivNo"/>
        </w:rPr>
        <w:t>Chapter XXVII</w:t>
      </w:r>
      <w:r>
        <w:rPr>
          <w:snapToGrid w:val="0"/>
        </w:rPr>
        <w:t> — </w:t>
      </w:r>
      <w:r>
        <w:rPr>
          <w:rStyle w:val="CharDivText"/>
        </w:rPr>
        <w:t>Duties relating to the preservation of human life</w:t>
      </w:r>
      <w:bookmarkEnd w:id="638"/>
      <w:bookmarkEnd w:id="639"/>
      <w:bookmarkEnd w:id="640"/>
      <w:bookmarkEnd w:id="641"/>
      <w:bookmarkEnd w:id="642"/>
      <w:bookmarkEnd w:id="643"/>
    </w:p>
    <w:p>
      <w:pPr>
        <w:pStyle w:val="Heading5"/>
        <w:rPr>
          <w:snapToGrid w:val="0"/>
        </w:rPr>
      </w:pPr>
      <w:bookmarkStart w:id="644" w:name="_Toc103864446"/>
      <w:bookmarkStart w:id="645" w:name="_Toc90996745"/>
      <w:r>
        <w:rPr>
          <w:rStyle w:val="CharSectno"/>
        </w:rPr>
        <w:t>262</w:t>
      </w:r>
      <w:r>
        <w:rPr>
          <w:snapToGrid w:val="0"/>
        </w:rPr>
        <w:t>.</w:t>
      </w:r>
      <w:r>
        <w:rPr>
          <w:snapToGrid w:val="0"/>
        </w:rPr>
        <w:tab/>
        <w:t>Duty to provide necessaries of life</w:t>
      </w:r>
      <w:bookmarkEnd w:id="644"/>
      <w:bookmarkEnd w:id="645"/>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100"/>
        <w:ind w:left="890" w:hanging="890"/>
      </w:pPr>
      <w:r>
        <w:tab/>
        <w:t>[Section 262 amended: No. 69 of 1996 s. 10.]</w:t>
      </w:r>
    </w:p>
    <w:p>
      <w:pPr>
        <w:pStyle w:val="Heading5"/>
        <w:rPr>
          <w:snapToGrid w:val="0"/>
        </w:rPr>
      </w:pPr>
      <w:bookmarkStart w:id="646" w:name="_Toc103864447"/>
      <w:bookmarkStart w:id="647" w:name="_Toc90996746"/>
      <w:r>
        <w:rPr>
          <w:rStyle w:val="CharSectno"/>
        </w:rPr>
        <w:t>263</w:t>
      </w:r>
      <w:r>
        <w:rPr>
          <w:snapToGrid w:val="0"/>
        </w:rPr>
        <w:t>.</w:t>
      </w:r>
      <w:r>
        <w:rPr>
          <w:snapToGrid w:val="0"/>
        </w:rPr>
        <w:tab/>
        <w:t>Duty of head of family</w:t>
      </w:r>
      <w:bookmarkEnd w:id="646"/>
      <w:bookmarkEnd w:id="647"/>
    </w:p>
    <w:p>
      <w:pPr>
        <w:pStyle w:val="Subsection"/>
        <w:spacing w:before="120"/>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No. 4 of 2004 s. 61(3).]</w:t>
      </w:r>
    </w:p>
    <w:p>
      <w:pPr>
        <w:pStyle w:val="Heading5"/>
        <w:spacing w:before="180"/>
        <w:rPr>
          <w:snapToGrid w:val="0"/>
        </w:rPr>
      </w:pPr>
      <w:bookmarkStart w:id="648" w:name="_Toc103864448"/>
      <w:bookmarkStart w:id="649" w:name="_Toc90996747"/>
      <w:r>
        <w:rPr>
          <w:rStyle w:val="CharSectno"/>
        </w:rPr>
        <w:t>265</w:t>
      </w:r>
      <w:r>
        <w:rPr>
          <w:snapToGrid w:val="0"/>
        </w:rPr>
        <w:t>.</w:t>
      </w:r>
      <w:r>
        <w:rPr>
          <w:snapToGrid w:val="0"/>
        </w:rPr>
        <w:tab/>
        <w:t>Duty of person doing dangerous act</w:t>
      </w:r>
      <w:bookmarkEnd w:id="648"/>
      <w:bookmarkEnd w:id="649"/>
    </w:p>
    <w:p>
      <w:pPr>
        <w:pStyle w:val="Subsection"/>
        <w:spacing w:before="120"/>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spacing w:before="100"/>
      </w:pPr>
      <w:r>
        <w:tab/>
        <w:t>[Section 265 amended: No. 25 of 2008 s. 19.]</w:t>
      </w:r>
    </w:p>
    <w:p>
      <w:pPr>
        <w:pStyle w:val="Heading5"/>
        <w:spacing w:before="180"/>
        <w:rPr>
          <w:snapToGrid w:val="0"/>
        </w:rPr>
      </w:pPr>
      <w:bookmarkStart w:id="650" w:name="_Toc103864449"/>
      <w:bookmarkStart w:id="651" w:name="_Toc90996748"/>
      <w:r>
        <w:rPr>
          <w:rStyle w:val="CharSectno"/>
        </w:rPr>
        <w:t>266</w:t>
      </w:r>
      <w:r>
        <w:rPr>
          <w:snapToGrid w:val="0"/>
        </w:rPr>
        <w:t>.</w:t>
      </w:r>
      <w:r>
        <w:rPr>
          <w:snapToGrid w:val="0"/>
        </w:rPr>
        <w:tab/>
        <w:t>Duty of person in charge of dangerous thing</w:t>
      </w:r>
      <w:bookmarkEnd w:id="650"/>
      <w:bookmarkEnd w:id="651"/>
    </w:p>
    <w:p>
      <w:pPr>
        <w:pStyle w:val="Subsection"/>
        <w:spacing w:before="120"/>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No. 43 of 2009 s. 8.]</w:t>
      </w:r>
    </w:p>
    <w:p>
      <w:pPr>
        <w:pStyle w:val="Heading5"/>
        <w:spacing w:before="180"/>
        <w:rPr>
          <w:snapToGrid w:val="0"/>
        </w:rPr>
      </w:pPr>
      <w:bookmarkStart w:id="652" w:name="_Toc103864450"/>
      <w:bookmarkStart w:id="653" w:name="_Toc90996749"/>
      <w:r>
        <w:rPr>
          <w:rStyle w:val="CharSectno"/>
        </w:rPr>
        <w:t>267</w:t>
      </w:r>
      <w:r>
        <w:rPr>
          <w:snapToGrid w:val="0"/>
        </w:rPr>
        <w:t>.</w:t>
      </w:r>
      <w:r>
        <w:rPr>
          <w:snapToGrid w:val="0"/>
        </w:rPr>
        <w:tab/>
        <w:t>Duty to do certain acts</w:t>
      </w:r>
      <w:bookmarkEnd w:id="652"/>
      <w:bookmarkEnd w:id="653"/>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654" w:name="_Toc103860925"/>
      <w:bookmarkStart w:id="655" w:name="_Toc103861447"/>
      <w:bookmarkStart w:id="656" w:name="_Toc103864451"/>
      <w:bookmarkStart w:id="657" w:name="_Toc90988738"/>
      <w:bookmarkStart w:id="658" w:name="_Toc90989261"/>
      <w:bookmarkStart w:id="659" w:name="_Toc90996750"/>
      <w:r>
        <w:rPr>
          <w:rStyle w:val="CharDivNo"/>
        </w:rPr>
        <w:t>Chapter XXVIII</w:t>
      </w:r>
      <w:r>
        <w:rPr>
          <w:snapToGrid w:val="0"/>
        </w:rPr>
        <w:t> — </w:t>
      </w:r>
      <w:r>
        <w:rPr>
          <w:rStyle w:val="CharDivText"/>
        </w:rPr>
        <w:t>Homicide: Suicide: Concealment of birth</w:t>
      </w:r>
      <w:bookmarkEnd w:id="654"/>
      <w:bookmarkEnd w:id="655"/>
      <w:bookmarkEnd w:id="656"/>
      <w:bookmarkEnd w:id="657"/>
      <w:bookmarkEnd w:id="658"/>
      <w:bookmarkEnd w:id="659"/>
    </w:p>
    <w:p>
      <w:pPr>
        <w:pStyle w:val="Heading5"/>
        <w:spacing w:before="180"/>
        <w:rPr>
          <w:snapToGrid w:val="0"/>
        </w:rPr>
      </w:pPr>
      <w:bookmarkStart w:id="660" w:name="_Toc103864452"/>
      <w:bookmarkStart w:id="661" w:name="_Toc90996751"/>
      <w:r>
        <w:rPr>
          <w:rStyle w:val="CharSectno"/>
        </w:rPr>
        <w:t>268</w:t>
      </w:r>
      <w:r>
        <w:rPr>
          <w:snapToGrid w:val="0"/>
        </w:rPr>
        <w:t>.</w:t>
      </w:r>
      <w:r>
        <w:rPr>
          <w:snapToGrid w:val="0"/>
        </w:rPr>
        <w:tab/>
      </w:r>
      <w:r>
        <w:t>Killing</w:t>
      </w:r>
      <w:r>
        <w:rPr>
          <w:snapToGrid w:val="0"/>
        </w:rPr>
        <w:t xml:space="preserve"> a person is unlawful</w:t>
      </w:r>
      <w:bookmarkEnd w:id="660"/>
      <w:bookmarkEnd w:id="661"/>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662" w:name="_Toc103864453"/>
      <w:bookmarkStart w:id="663" w:name="_Toc90996752"/>
      <w:r>
        <w:rPr>
          <w:rStyle w:val="CharSectno"/>
        </w:rPr>
        <w:t>269</w:t>
      </w:r>
      <w:r>
        <w:rPr>
          <w:snapToGrid w:val="0"/>
        </w:rPr>
        <w:t>.</w:t>
      </w:r>
      <w:r>
        <w:rPr>
          <w:snapToGrid w:val="0"/>
        </w:rPr>
        <w:tab/>
        <w:t>When a child becomes a human being</w:t>
      </w:r>
      <w:bookmarkEnd w:id="662"/>
      <w:bookmarkEnd w:id="663"/>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664" w:name="_Toc103864454"/>
      <w:bookmarkStart w:id="665" w:name="_Toc90996753"/>
      <w:r>
        <w:rPr>
          <w:rStyle w:val="CharSectno"/>
        </w:rPr>
        <w:t>270</w:t>
      </w:r>
      <w:r>
        <w:rPr>
          <w:snapToGrid w:val="0"/>
        </w:rPr>
        <w:t>.</w:t>
      </w:r>
      <w:r>
        <w:rPr>
          <w:snapToGrid w:val="0"/>
        </w:rPr>
        <w:tab/>
        <w:t xml:space="preserve">Term used: </w:t>
      </w:r>
      <w:r>
        <w:rPr>
          <w:rStyle w:val="CharDefText"/>
          <w:b/>
          <w:bCs/>
          <w:i w:val="0"/>
          <w:iCs/>
        </w:rPr>
        <w:t>kill</w:t>
      </w:r>
      <w:bookmarkEnd w:id="664"/>
      <w:bookmarkEnd w:id="665"/>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No. 37 of 1991 s. 5.]</w:t>
      </w:r>
    </w:p>
    <w:p>
      <w:pPr>
        <w:pStyle w:val="Heading5"/>
        <w:rPr>
          <w:snapToGrid w:val="0"/>
        </w:rPr>
      </w:pPr>
      <w:bookmarkStart w:id="666" w:name="_Toc103864455"/>
      <w:bookmarkStart w:id="667" w:name="_Toc90996754"/>
      <w:r>
        <w:rPr>
          <w:rStyle w:val="CharSectno"/>
        </w:rPr>
        <w:t>271</w:t>
      </w:r>
      <w:r>
        <w:rPr>
          <w:snapToGrid w:val="0"/>
        </w:rPr>
        <w:t>.</w:t>
      </w:r>
      <w:r>
        <w:rPr>
          <w:snapToGrid w:val="0"/>
        </w:rPr>
        <w:tab/>
        <w:t>Death from act done at childbirth</w:t>
      </w:r>
      <w:bookmarkEnd w:id="666"/>
      <w:bookmarkEnd w:id="667"/>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668" w:name="_Toc103864456"/>
      <w:bookmarkStart w:id="669" w:name="_Toc90996755"/>
      <w:r>
        <w:rPr>
          <w:rStyle w:val="CharSectno"/>
        </w:rPr>
        <w:t>272</w:t>
      </w:r>
      <w:r>
        <w:rPr>
          <w:snapToGrid w:val="0"/>
        </w:rPr>
        <w:t>.</w:t>
      </w:r>
      <w:r>
        <w:rPr>
          <w:snapToGrid w:val="0"/>
        </w:rPr>
        <w:tab/>
        <w:t>Causing death by threat</w:t>
      </w:r>
      <w:bookmarkEnd w:id="668"/>
      <w:bookmarkEnd w:id="669"/>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670" w:name="_Toc103864457"/>
      <w:bookmarkStart w:id="671" w:name="_Toc90996756"/>
      <w:r>
        <w:rPr>
          <w:rStyle w:val="CharSectno"/>
        </w:rPr>
        <w:t>273</w:t>
      </w:r>
      <w:r>
        <w:rPr>
          <w:snapToGrid w:val="0"/>
        </w:rPr>
        <w:t>.</w:t>
      </w:r>
      <w:r>
        <w:rPr>
          <w:snapToGrid w:val="0"/>
        </w:rPr>
        <w:tab/>
        <w:t>Acceleration of death</w:t>
      </w:r>
      <w:bookmarkEnd w:id="670"/>
      <w:bookmarkEnd w:id="671"/>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672" w:name="_Toc103864458"/>
      <w:bookmarkStart w:id="673" w:name="_Toc90996757"/>
      <w:r>
        <w:rPr>
          <w:rStyle w:val="CharSectno"/>
        </w:rPr>
        <w:t>274</w:t>
      </w:r>
      <w:r>
        <w:rPr>
          <w:snapToGrid w:val="0"/>
        </w:rPr>
        <w:t>.</w:t>
      </w:r>
      <w:r>
        <w:rPr>
          <w:snapToGrid w:val="0"/>
        </w:rPr>
        <w:tab/>
        <w:t>Death from bodily injury that might have been avoided or prevented</w:t>
      </w:r>
      <w:bookmarkEnd w:id="672"/>
      <w:bookmarkEnd w:id="673"/>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674" w:name="_Toc103864459"/>
      <w:bookmarkStart w:id="675" w:name="_Toc90996758"/>
      <w:r>
        <w:rPr>
          <w:rStyle w:val="CharSectno"/>
        </w:rPr>
        <w:t>275</w:t>
      </w:r>
      <w:r>
        <w:rPr>
          <w:snapToGrid w:val="0"/>
        </w:rPr>
        <w:t>.</w:t>
      </w:r>
      <w:r>
        <w:rPr>
          <w:snapToGrid w:val="0"/>
        </w:rPr>
        <w:tab/>
        <w:t>Death from, or from treatment of, grievous bodily harm</w:t>
      </w:r>
      <w:bookmarkEnd w:id="674"/>
      <w:bookmarkEnd w:id="675"/>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No. 25 of 2008 s. 20.]</w:t>
      </w:r>
    </w:p>
    <w:p>
      <w:pPr>
        <w:pStyle w:val="Ednotesection"/>
        <w:ind w:left="890" w:hanging="890"/>
      </w:pPr>
      <w:r>
        <w:t>[</w:t>
      </w:r>
      <w:r>
        <w:rPr>
          <w:b/>
        </w:rPr>
        <w:t>276</w:t>
      </w:r>
      <w:r>
        <w:rPr>
          <w:b/>
          <w:bCs/>
        </w:rPr>
        <w:t>.</w:t>
      </w:r>
      <w:r>
        <w:tab/>
        <w:t>Deleted: No. 37 of 1991 s. 6.]</w:t>
      </w:r>
    </w:p>
    <w:p>
      <w:pPr>
        <w:pStyle w:val="Heading5"/>
        <w:rPr>
          <w:snapToGrid w:val="0"/>
        </w:rPr>
      </w:pPr>
      <w:bookmarkStart w:id="676" w:name="_Toc103864460"/>
      <w:bookmarkStart w:id="677" w:name="_Toc90996759"/>
      <w:r>
        <w:rPr>
          <w:rStyle w:val="CharSectno"/>
        </w:rPr>
        <w:t>277</w:t>
      </w:r>
      <w:r>
        <w:rPr>
          <w:snapToGrid w:val="0"/>
        </w:rPr>
        <w:t>.</w:t>
      </w:r>
      <w:r>
        <w:rPr>
          <w:snapToGrid w:val="0"/>
        </w:rPr>
        <w:tab/>
        <w:t>Unlawful homicide is murder or manslaughter</w:t>
      </w:r>
      <w:bookmarkEnd w:id="676"/>
      <w:bookmarkEnd w:id="677"/>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No. 21 of 1972 s. 9; amended: No. 58 of 1974 s. 4; No. 89 of 1986 s. 6; No. 29 of 2008 s. 16(5).]</w:t>
      </w:r>
    </w:p>
    <w:p>
      <w:pPr>
        <w:pStyle w:val="Ednotesection"/>
        <w:rPr>
          <w:spacing w:val="-2"/>
        </w:rPr>
      </w:pPr>
      <w:r>
        <w:t>[</w:t>
      </w:r>
      <w:r>
        <w:rPr>
          <w:b/>
          <w:bCs/>
        </w:rPr>
        <w:t>278.</w:t>
      </w:r>
      <w:r>
        <w:rPr>
          <w:b/>
          <w:bCs/>
        </w:rPr>
        <w:tab/>
      </w:r>
      <w:r>
        <w:t>Deleted: No. 29 of 2008 s. 10.]</w:t>
      </w:r>
    </w:p>
    <w:p>
      <w:pPr>
        <w:pStyle w:val="Heading5"/>
      </w:pPr>
      <w:bookmarkStart w:id="678" w:name="_Toc103864461"/>
      <w:bookmarkStart w:id="679" w:name="_Toc90996760"/>
      <w:r>
        <w:rPr>
          <w:rStyle w:val="CharSectno"/>
        </w:rPr>
        <w:t>279</w:t>
      </w:r>
      <w:r>
        <w:t>.</w:t>
      </w:r>
      <w:r>
        <w:tab/>
        <w:t>Murder</w:t>
      </w:r>
      <w:bookmarkEnd w:id="678"/>
      <w:bookmarkEnd w:id="679"/>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pPr>
      <w:r>
        <w:tab/>
      </w:r>
      <w:r>
        <w:tab/>
        <w:t>in which case, subject to subsection (5A), the person is liable to imprisonment for 20 years.</w:t>
      </w:r>
    </w:p>
    <w:p>
      <w:pPr>
        <w:pStyle w:val="Subsection"/>
      </w:pPr>
      <w:r>
        <w:tab/>
        <w:t>(5A)</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pPr>
      <w:r>
        <w:tab/>
        <w:t>(6A)</w:t>
      </w:r>
      <w:r>
        <w:tab/>
        <w:t>If the offence is committed by a juvenile offender in the course of conduct that constitutes an aggravated home burglary and the court sentences the offender under subsection (5)(a) but does not impose a term of life imprisonment, it —</w:t>
      </w:r>
    </w:p>
    <w:p>
      <w:pPr>
        <w:pStyle w:val="Indenta"/>
      </w:pPr>
      <w:r>
        <w:tab/>
        <w:t>(a)</w:t>
      </w:r>
      <w:r>
        <w:tab/>
        <w:t xml:space="preserve">must, notwithstanding the </w:t>
      </w:r>
      <w:r>
        <w:rPr>
          <w:i/>
        </w:rPr>
        <w:t>Young Offenders Act 1994</w:t>
      </w:r>
      <w:r>
        <w:t xml:space="preserve"> section 46(5a), impose either —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(6B)</w:t>
      </w:r>
      <w:r>
        <w:tab/>
        <w:t>Subsection (6A) does not prevent a court from —</w:t>
      </w:r>
    </w:p>
    <w:p>
      <w:pPr>
        <w:pStyle w:val="Indenta"/>
      </w:pPr>
      <w:r>
        <w:tab/>
        <w:t>(a)</w:t>
      </w:r>
      <w:r>
        <w:tab/>
        <w:t xml:space="preserve">making a direction under the </w:t>
      </w:r>
      <w:r>
        <w:rPr>
          <w:i/>
        </w:rPr>
        <w:t>Young Offenders Act 1994</w:t>
      </w:r>
      <w:r>
        <w:t xml:space="preserve"> section 118(4); or</w:t>
      </w:r>
    </w:p>
    <w:p>
      <w:pPr>
        <w:pStyle w:val="Indenta"/>
        <w:keepNext/>
      </w:pPr>
      <w:r>
        <w:tab/>
        <w:t>(b)</w:t>
      </w:r>
      <w:r>
        <w:tab/>
        <w:t>making a special order under Part 7 Division 9 of that Act.</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No. 29 of 2008 s. 10; amended: No. 25 of 2015 s. 5.]</w:t>
      </w:r>
    </w:p>
    <w:p>
      <w:pPr>
        <w:pStyle w:val="Heading5"/>
      </w:pPr>
      <w:bookmarkStart w:id="680" w:name="_Toc103864462"/>
      <w:bookmarkStart w:id="681" w:name="_Toc90996761"/>
      <w:r>
        <w:rPr>
          <w:rStyle w:val="CharSectno"/>
        </w:rPr>
        <w:t>280</w:t>
      </w:r>
      <w:r>
        <w:t>.</w:t>
      </w:r>
      <w:r>
        <w:tab/>
        <w:t>Manslaughter</w:t>
      </w:r>
      <w:bookmarkEnd w:id="680"/>
      <w:bookmarkEnd w:id="681"/>
    </w:p>
    <w:p>
      <w:pPr>
        <w:pStyle w:val="Subsection"/>
        <w:spacing w:before="120"/>
      </w:pPr>
      <w:r>
        <w:tab/>
        <w:t>(1)</w:t>
      </w:r>
      <w:r>
        <w:tab/>
        <w:t>If a person unlawfully kills another person under such circumstances as not to constitute murder, the person is guilty of manslaughter and is liable to imprisonment for life.</w:t>
      </w:r>
    </w:p>
    <w:p>
      <w:pPr>
        <w:pStyle w:val="Penstart"/>
        <w:spacing w:before="60"/>
      </w:pPr>
      <w:r>
        <w:tab/>
        <w:t xml:space="preserve">Alternative offence: s. 281, 284, 290, 291 or 294 or </w:t>
      </w:r>
      <w:r>
        <w:rPr>
          <w:i/>
        </w:rPr>
        <w:t>Road Traffic Act 1974</w:t>
      </w:r>
      <w:r>
        <w:t xml:space="preserve"> s. 59.</w:t>
      </w:r>
    </w:p>
    <w:p>
      <w:pPr>
        <w:pStyle w:val="Subsection"/>
      </w:pPr>
      <w:r>
        <w:tab/>
        <w:t>(2)</w:t>
      </w:r>
      <w:r>
        <w:tab/>
        <w:t>If the offence is committed by an adult offender in the course of conduct that constitutes an aggravated home burglary, the court sentencing the offender, if it does not impose a term of imprisonment for life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280 inserted: No. 29 of 2008 s. 11; amended: No. 58 of 2011 s. 4; No. 25 of 2015 s. 6.]</w:t>
      </w:r>
    </w:p>
    <w:p>
      <w:pPr>
        <w:pStyle w:val="Heading5"/>
      </w:pPr>
      <w:bookmarkStart w:id="682" w:name="_Toc103864463"/>
      <w:bookmarkStart w:id="683" w:name="_Toc90996762"/>
      <w:r>
        <w:rPr>
          <w:rStyle w:val="CharSectno"/>
        </w:rPr>
        <w:t>281</w:t>
      </w:r>
      <w:r>
        <w:t>.</w:t>
      </w:r>
      <w:r>
        <w:tab/>
        <w:t>Unlawful assault causing death</w:t>
      </w:r>
      <w:bookmarkEnd w:id="682"/>
      <w:bookmarkEnd w:id="683"/>
    </w:p>
    <w:p>
      <w:pPr>
        <w:pStyle w:val="Subsection"/>
        <w:spacing w:before="120"/>
      </w:pPr>
      <w:r>
        <w:tab/>
        <w:t>(1)</w:t>
      </w:r>
      <w:r>
        <w:tab/>
        <w:t>If a person unlawfully assaults another who dies as a direct or indirect result of the assault, the person is guilty of a crime and is liable to imprisonment for 20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281 inserted: No. 29 of 2008 s. 12; amended: No. 25 of 2015 s. 7; No. 49 of 2016 s. 100.]</w:t>
      </w:r>
    </w:p>
    <w:p>
      <w:pPr>
        <w:pStyle w:val="Ednotesection"/>
        <w:ind w:left="0" w:firstLine="0"/>
        <w:rPr>
          <w:spacing w:val="-2"/>
        </w:rPr>
      </w:pPr>
      <w:r>
        <w:t>[</w:t>
      </w:r>
      <w:r>
        <w:rPr>
          <w:b/>
          <w:bCs/>
        </w:rPr>
        <w:t>281A.</w:t>
      </w:r>
      <w:r>
        <w:rPr>
          <w:b/>
          <w:bCs/>
        </w:rPr>
        <w:tab/>
      </w:r>
      <w:r>
        <w:t>Deleted: No. 29 of 2008 s. 13.]</w:t>
      </w:r>
    </w:p>
    <w:p>
      <w:pPr>
        <w:pStyle w:val="Ednotesection"/>
        <w:rPr>
          <w:spacing w:val="-2"/>
        </w:rPr>
      </w:pPr>
      <w:r>
        <w:t>[</w:t>
      </w:r>
      <w:r>
        <w:rPr>
          <w:b/>
          <w:bCs/>
        </w:rPr>
        <w:t>282.</w:t>
      </w:r>
      <w:r>
        <w:rPr>
          <w:b/>
          <w:bCs/>
        </w:rPr>
        <w:tab/>
      </w:r>
      <w:r>
        <w:t>Deleted: No. 29 of 2008 s. 10.]</w:t>
      </w:r>
    </w:p>
    <w:p>
      <w:pPr>
        <w:pStyle w:val="Heading5"/>
        <w:rPr>
          <w:snapToGrid w:val="0"/>
        </w:rPr>
      </w:pPr>
      <w:bookmarkStart w:id="684" w:name="_Toc103864464"/>
      <w:bookmarkStart w:id="685" w:name="_Toc90996763"/>
      <w:r>
        <w:rPr>
          <w:rStyle w:val="CharSectno"/>
        </w:rPr>
        <w:t>283</w:t>
      </w:r>
      <w:r>
        <w:rPr>
          <w:snapToGrid w:val="0"/>
        </w:rPr>
        <w:t>.</w:t>
      </w:r>
      <w:r>
        <w:rPr>
          <w:snapToGrid w:val="0"/>
        </w:rPr>
        <w:tab/>
        <w:t>Attempt to unlawfully kill</w:t>
      </w:r>
      <w:bookmarkEnd w:id="684"/>
      <w:bookmarkEnd w:id="685"/>
    </w:p>
    <w:p>
      <w:pPr>
        <w:pStyle w:val="Subsection"/>
        <w:rPr>
          <w:snapToGrid w:val="0"/>
        </w:rPr>
      </w:pPr>
      <w:r>
        <w:tab/>
        <w:t>(1)</w:t>
      </w:r>
      <w:r>
        <w:tab/>
        <w:t>Any person</w:t>
      </w:r>
      <w:r>
        <w:rPr>
          <w:snapToGrid w:val="0"/>
        </w:rPr>
        <w:t xml:space="preserve"> who —</w:t>
      </w:r>
    </w:p>
    <w:p>
      <w:pPr>
        <w:pStyle w:val="Indenta"/>
        <w:rPr>
          <w:snapToGrid w:val="0"/>
        </w:rPr>
      </w:pPr>
      <w:r>
        <w:tab/>
        <w:t>(a)</w:t>
      </w:r>
      <w:r>
        <w:tab/>
        <w:t>attempts</w:t>
      </w:r>
      <w:r>
        <w:rPr>
          <w:snapToGrid w:val="0"/>
        </w:rPr>
        <w:t xml:space="preserve"> unlawfully to kill another; or</w:t>
      </w:r>
    </w:p>
    <w:p>
      <w:pPr>
        <w:pStyle w:val="Indenta"/>
        <w:rPr>
          <w:snapToGrid w:val="0"/>
        </w:rPr>
      </w:pPr>
      <w:r>
        <w:tab/>
        <w:t>(b)</w:t>
      </w:r>
      <w:r>
        <w:tab/>
        <w:t>with</w:t>
      </w:r>
      <w:r>
        <w:rPr>
          <w:snapToGrid w:val="0"/>
        </w:rPr>
        <w:t xml:space="preserve">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 xml:space="preserve">Alternative offence: s. 292, 294, 297, </w:t>
      </w:r>
      <w:r>
        <w:rPr>
          <w:szCs w:val="24"/>
        </w:rPr>
        <w:t xml:space="preserve">298, </w:t>
      </w:r>
      <w:r>
        <w:t>304, 305 or 317.</w:t>
      </w:r>
    </w:p>
    <w:p>
      <w:pPr>
        <w:pStyle w:val="Subsection"/>
      </w:pPr>
      <w:r>
        <w:tab/>
        <w:t>(2)</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283 amended: No. 106 of 1987 s. 7; No. 51 of 1992 s. 16(2); No. 4 of 2004 s. 16; No. 70 of 2004 s. 36(3); No. 29 of 2008 s. 16(6); No. 25 of 2015 s. 8; No. 30 of 2020 s. 5.]</w:t>
      </w:r>
    </w:p>
    <w:p>
      <w:pPr>
        <w:pStyle w:val="Heading5"/>
      </w:pPr>
      <w:bookmarkStart w:id="686" w:name="_Toc103864465"/>
      <w:bookmarkStart w:id="687" w:name="_Toc90996764"/>
      <w:r>
        <w:rPr>
          <w:rStyle w:val="CharSectno"/>
        </w:rPr>
        <w:t>284</w:t>
      </w:r>
      <w:r>
        <w:t>.</w:t>
      </w:r>
      <w:r>
        <w:tab/>
        <w:t>Culpable driving (not of motor vehicle) causing death or grievous bodily harm</w:t>
      </w:r>
      <w:bookmarkEnd w:id="686"/>
      <w:bookmarkEnd w:id="687"/>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keepLines/>
      </w:pPr>
      <w:r>
        <w:tab/>
        <w:t>(b)</w:t>
      </w:r>
      <w:r>
        <w:tab/>
        <w:t>the conveyance is involved in an incident that directly or indirectly causes the death of, or grievous bodily harm to, another person,</w:t>
      </w:r>
    </w:p>
    <w:p>
      <w:pPr>
        <w:pStyle w:val="Subsection"/>
        <w:keepNext/>
        <w:keepLines/>
        <w:spacing w:before="120"/>
      </w:pPr>
      <w:r>
        <w:tab/>
      </w:r>
      <w:r>
        <w:tab/>
        <w:t>the person is guilty of a crime and is liable to imprisonment for —</w:t>
      </w:r>
    </w:p>
    <w:p>
      <w:pPr>
        <w:pStyle w:val="Indenta"/>
      </w:pPr>
      <w:r>
        <w:tab/>
        <w:t>(c)</w:t>
      </w:r>
      <w:r>
        <w:tab/>
        <w:t>if death is caused, 10 years; or</w:t>
      </w:r>
    </w:p>
    <w:p>
      <w:pPr>
        <w:pStyle w:val="Indenta"/>
        <w:keepNext/>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No. 29 of 2008 s. 14; amended: No. 44 of 2009 s. 5.]</w:t>
      </w:r>
    </w:p>
    <w:p>
      <w:pPr>
        <w:pStyle w:val="Ednotesection"/>
        <w:ind w:left="890" w:hanging="890"/>
      </w:pPr>
      <w:r>
        <w:t>[</w:t>
      </w:r>
      <w:r>
        <w:rPr>
          <w:b/>
        </w:rPr>
        <w:t>285.</w:t>
      </w:r>
      <w:r>
        <w:tab/>
        <w:t>Deleted: No. 101 of 1990 s. 12.]</w:t>
      </w:r>
    </w:p>
    <w:p>
      <w:pPr>
        <w:pStyle w:val="Ednotesection"/>
        <w:ind w:left="890" w:hanging="890"/>
      </w:pPr>
      <w:r>
        <w:t>[</w:t>
      </w:r>
      <w:r>
        <w:rPr>
          <w:b/>
        </w:rPr>
        <w:t>286.</w:t>
      </w:r>
      <w:r>
        <w:tab/>
        <w:t>Deleted: No. 106 of 1987 s. 14(5).]</w:t>
      </w:r>
    </w:p>
    <w:p>
      <w:pPr>
        <w:pStyle w:val="Ednotesection"/>
        <w:rPr>
          <w:spacing w:val="-2"/>
        </w:rPr>
      </w:pPr>
      <w:r>
        <w:t>[</w:t>
      </w:r>
      <w:r>
        <w:rPr>
          <w:b/>
          <w:bCs/>
        </w:rPr>
        <w:t>287.</w:t>
      </w:r>
      <w:r>
        <w:rPr>
          <w:b/>
          <w:bCs/>
        </w:rPr>
        <w:tab/>
      </w:r>
      <w:r>
        <w:t>Deleted: No. 29 of 2008 s. 11.]</w:t>
      </w:r>
    </w:p>
    <w:p>
      <w:pPr>
        <w:pStyle w:val="Ednotesection"/>
        <w:rPr>
          <w:spacing w:val="-2"/>
        </w:rPr>
      </w:pPr>
      <w:r>
        <w:t>[</w:t>
      </w:r>
      <w:r>
        <w:rPr>
          <w:b/>
          <w:bCs/>
        </w:rPr>
        <w:t>287A.</w:t>
      </w:r>
      <w:r>
        <w:rPr>
          <w:b/>
          <w:bCs/>
        </w:rPr>
        <w:tab/>
      </w:r>
      <w:r>
        <w:t>Deleted: No. 29 of 2008 s. 13.]</w:t>
      </w:r>
    </w:p>
    <w:p>
      <w:pPr>
        <w:pStyle w:val="Heading5"/>
        <w:rPr>
          <w:snapToGrid w:val="0"/>
        </w:rPr>
      </w:pPr>
      <w:bookmarkStart w:id="688" w:name="_Toc103864466"/>
      <w:bookmarkStart w:id="689" w:name="_Toc90996765"/>
      <w:r>
        <w:rPr>
          <w:rStyle w:val="CharSectno"/>
        </w:rPr>
        <w:t>288</w:t>
      </w:r>
      <w:r>
        <w:rPr>
          <w:snapToGrid w:val="0"/>
        </w:rPr>
        <w:t>.</w:t>
      </w:r>
      <w:r>
        <w:rPr>
          <w:snapToGrid w:val="0"/>
        </w:rPr>
        <w:tab/>
        <w:t>Procuring etc. suicide</w:t>
      </w:r>
      <w:bookmarkEnd w:id="688"/>
      <w:bookmarkEnd w:id="68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No. 51 of 1992 s. 16(2).]</w:t>
      </w:r>
    </w:p>
    <w:p>
      <w:pPr>
        <w:pStyle w:val="Ednotesection"/>
        <w:ind w:left="890" w:hanging="890"/>
      </w:pPr>
      <w:r>
        <w:t>[</w:t>
      </w:r>
      <w:r>
        <w:rPr>
          <w:b/>
        </w:rPr>
        <w:t>289.</w:t>
      </w:r>
      <w:r>
        <w:tab/>
        <w:t>Deleted: No. 21 of 1972 s. 10.]</w:t>
      </w:r>
    </w:p>
    <w:p>
      <w:pPr>
        <w:pStyle w:val="Heading5"/>
        <w:rPr>
          <w:snapToGrid w:val="0"/>
        </w:rPr>
      </w:pPr>
      <w:bookmarkStart w:id="690" w:name="_Toc103864467"/>
      <w:bookmarkStart w:id="691" w:name="_Toc90996766"/>
      <w:r>
        <w:rPr>
          <w:rStyle w:val="CharSectno"/>
        </w:rPr>
        <w:t>290</w:t>
      </w:r>
      <w:r>
        <w:rPr>
          <w:snapToGrid w:val="0"/>
        </w:rPr>
        <w:t>.</w:t>
      </w:r>
      <w:r>
        <w:rPr>
          <w:snapToGrid w:val="0"/>
        </w:rPr>
        <w:tab/>
        <w:t>Preventing birth of live child</w:t>
      </w:r>
      <w:bookmarkEnd w:id="690"/>
      <w:bookmarkEnd w:id="691"/>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No. 51 of 1992 s. 16(2); No. 70 of 2004 s. 36(3).]</w:t>
      </w:r>
    </w:p>
    <w:p>
      <w:pPr>
        <w:pStyle w:val="Heading5"/>
        <w:rPr>
          <w:snapToGrid w:val="0"/>
        </w:rPr>
      </w:pPr>
      <w:bookmarkStart w:id="692" w:name="_Toc103864468"/>
      <w:bookmarkStart w:id="693" w:name="_Toc90996767"/>
      <w:r>
        <w:rPr>
          <w:rStyle w:val="CharSectno"/>
        </w:rPr>
        <w:t>291</w:t>
      </w:r>
      <w:r>
        <w:rPr>
          <w:snapToGrid w:val="0"/>
        </w:rPr>
        <w:t>.</w:t>
      </w:r>
      <w:r>
        <w:rPr>
          <w:snapToGrid w:val="0"/>
        </w:rPr>
        <w:tab/>
        <w:t>Concealing birth of dead child</w:t>
      </w:r>
      <w:bookmarkEnd w:id="692"/>
      <w:bookmarkEnd w:id="693"/>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No. 51 of 1992 s. 16(2); No. 70 of 2004 s. 34(1).]</w:t>
      </w:r>
    </w:p>
    <w:p>
      <w:pPr>
        <w:pStyle w:val="Ednotesection"/>
        <w:ind w:left="890" w:hanging="890"/>
      </w:pPr>
      <w:r>
        <w:t>[</w:t>
      </w:r>
      <w:r>
        <w:rPr>
          <w:b/>
        </w:rPr>
        <w:t>291A.</w:t>
      </w:r>
      <w:r>
        <w:tab/>
        <w:t>Deleted: No. 58 of 1974 s. 5.]</w:t>
      </w:r>
    </w:p>
    <w:p>
      <w:pPr>
        <w:pStyle w:val="Heading3"/>
        <w:rPr>
          <w:snapToGrid w:val="0"/>
        </w:rPr>
      </w:pPr>
      <w:bookmarkStart w:id="694" w:name="_Toc103860943"/>
      <w:bookmarkStart w:id="695" w:name="_Toc103861465"/>
      <w:bookmarkStart w:id="696" w:name="_Toc103864469"/>
      <w:bookmarkStart w:id="697" w:name="_Toc90988756"/>
      <w:bookmarkStart w:id="698" w:name="_Toc90989279"/>
      <w:bookmarkStart w:id="699" w:name="_Toc90996768"/>
      <w:r>
        <w:rPr>
          <w:rStyle w:val="CharDivNo"/>
        </w:rPr>
        <w:t>Chapter XXIX</w:t>
      </w:r>
      <w:r>
        <w:rPr>
          <w:snapToGrid w:val="0"/>
        </w:rPr>
        <w:t> — </w:t>
      </w:r>
      <w:r>
        <w:rPr>
          <w:rStyle w:val="CharDivText"/>
        </w:rPr>
        <w:t>Offences endangering life or health</w:t>
      </w:r>
      <w:bookmarkEnd w:id="694"/>
      <w:bookmarkEnd w:id="695"/>
      <w:bookmarkEnd w:id="696"/>
      <w:bookmarkEnd w:id="697"/>
      <w:bookmarkEnd w:id="698"/>
      <w:bookmarkEnd w:id="699"/>
    </w:p>
    <w:p>
      <w:pPr>
        <w:pStyle w:val="Heading5"/>
        <w:rPr>
          <w:snapToGrid w:val="0"/>
        </w:rPr>
      </w:pPr>
      <w:bookmarkStart w:id="700" w:name="_Toc103864470"/>
      <w:bookmarkStart w:id="701" w:name="_Toc90996769"/>
      <w:r>
        <w:rPr>
          <w:rStyle w:val="CharSectno"/>
        </w:rPr>
        <w:t>292</w:t>
      </w:r>
      <w:r>
        <w:rPr>
          <w:snapToGrid w:val="0"/>
        </w:rPr>
        <w:t>.</w:t>
      </w:r>
      <w:r>
        <w:rPr>
          <w:snapToGrid w:val="0"/>
        </w:rPr>
        <w:tab/>
        <w:t>Disabling in order to commit indictable offence etc.</w:t>
      </w:r>
      <w:bookmarkEnd w:id="700"/>
      <w:bookmarkEnd w:id="701"/>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No. 118 of 1981 s. 4; No. 51 of 1992 s. 16(1) and (2); No. 70 of 2004 s. 36(3).]</w:t>
      </w:r>
    </w:p>
    <w:p>
      <w:pPr>
        <w:pStyle w:val="Heading5"/>
        <w:rPr>
          <w:snapToGrid w:val="0"/>
        </w:rPr>
      </w:pPr>
      <w:bookmarkStart w:id="702" w:name="_Toc103864471"/>
      <w:bookmarkStart w:id="703" w:name="_Toc90996770"/>
      <w:r>
        <w:rPr>
          <w:rStyle w:val="CharSectno"/>
        </w:rPr>
        <w:t>293</w:t>
      </w:r>
      <w:r>
        <w:rPr>
          <w:snapToGrid w:val="0"/>
        </w:rPr>
        <w:t>.</w:t>
      </w:r>
      <w:r>
        <w:rPr>
          <w:snapToGrid w:val="0"/>
        </w:rPr>
        <w:tab/>
        <w:t>Stupefying in order to commit indictable offence etc.</w:t>
      </w:r>
      <w:bookmarkEnd w:id="702"/>
      <w:bookmarkEnd w:id="703"/>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No. 118 of 1981 s. 4; No. 51 of 1992 s. 16(2).]</w:t>
      </w:r>
    </w:p>
    <w:p>
      <w:pPr>
        <w:pStyle w:val="Heading5"/>
        <w:rPr>
          <w:snapToGrid w:val="0"/>
        </w:rPr>
      </w:pPr>
      <w:bookmarkStart w:id="704" w:name="_Toc103864472"/>
      <w:bookmarkStart w:id="705" w:name="_Toc90996771"/>
      <w:r>
        <w:rPr>
          <w:rStyle w:val="CharSectno"/>
        </w:rPr>
        <w:t>294</w:t>
      </w:r>
      <w:r>
        <w:rPr>
          <w:snapToGrid w:val="0"/>
        </w:rPr>
        <w:t>.</w:t>
      </w:r>
      <w:r>
        <w:rPr>
          <w:snapToGrid w:val="0"/>
        </w:rPr>
        <w:tab/>
        <w:t>Act intended to cause grievous bodily harm or prevent arrest</w:t>
      </w:r>
      <w:bookmarkEnd w:id="704"/>
      <w:bookmarkEnd w:id="705"/>
    </w:p>
    <w:p>
      <w:pPr>
        <w:pStyle w:val="Subsection"/>
        <w:keepNext/>
        <w:tabs>
          <w:tab w:val="left" w:pos="2640"/>
        </w:tabs>
        <w:rPr>
          <w:snapToGrid w:val="0"/>
        </w:rPr>
      </w:pPr>
      <w:r>
        <w:tab/>
        <w:t>(1)</w:t>
      </w:r>
      <w:r>
        <w:tab/>
        <w:t xml:space="preserve">Any person who, </w:t>
      </w:r>
      <w:r>
        <w:rPr>
          <w:snapToGrid w:val="0"/>
        </w:rPr>
        <w:t>with intent to maim, disfigure, or disable any person, or to do some grievous bodily harm to any person, or to resist or prevent the lawful arrest or detention of any person —</w:t>
      </w:r>
    </w:p>
    <w:p>
      <w:pPr>
        <w:pStyle w:val="Indenta"/>
        <w:spacing w:before="100"/>
        <w:rPr>
          <w:snapToGrid w:val="0"/>
        </w:rPr>
      </w:pPr>
      <w:r>
        <w:tab/>
        <w:t>(a)</w:t>
      </w:r>
      <w:r>
        <w:tab/>
        <w:t>unlawfully</w:t>
      </w:r>
      <w:r>
        <w:rPr>
          <w:snapToGrid w:val="0"/>
        </w:rPr>
        <w:t xml:space="preserve"> wounds or does any grievous bodily harm to any person by any means whatever; or</w:t>
      </w:r>
    </w:p>
    <w:p>
      <w:pPr>
        <w:pStyle w:val="Indenta"/>
        <w:spacing w:before="100"/>
        <w:rPr>
          <w:snapToGrid w:val="0"/>
        </w:rPr>
      </w:pPr>
      <w:r>
        <w:tab/>
        <w:t>(b)</w:t>
      </w:r>
      <w:r>
        <w:tab/>
        <w:t>unlawfully</w:t>
      </w:r>
      <w:r>
        <w:rPr>
          <w:snapToGrid w:val="0"/>
        </w:rPr>
        <w:t xml:space="preserve"> attempts in any manner to strike any person with any kind of projectile; or</w:t>
      </w:r>
    </w:p>
    <w:p>
      <w:pPr>
        <w:pStyle w:val="Indenta"/>
        <w:spacing w:before="100"/>
        <w:rPr>
          <w:snapToGrid w:val="0"/>
        </w:rPr>
      </w:pPr>
      <w:r>
        <w:tab/>
        <w:t>(c)</w:t>
      </w:r>
      <w:r>
        <w:tab/>
        <w:t>unlawfully</w:t>
      </w:r>
      <w:r>
        <w:rPr>
          <w:snapToGrid w:val="0"/>
        </w:rPr>
        <w:t xml:space="preserve"> causes any explosive substance to explode; or</w:t>
      </w:r>
    </w:p>
    <w:p>
      <w:pPr>
        <w:pStyle w:val="Indenta"/>
        <w:spacing w:before="100"/>
        <w:rPr>
          <w:snapToGrid w:val="0"/>
        </w:rPr>
      </w:pPr>
      <w:r>
        <w:tab/>
        <w:t>(d)</w:t>
      </w:r>
      <w:r>
        <w:tab/>
        <w:t>sends</w:t>
      </w:r>
      <w:r>
        <w:rPr>
          <w:snapToGrid w:val="0"/>
        </w:rPr>
        <w:t xml:space="preserve"> or delivers any explosive substance or other dangerous or noxious thing to any person; or</w:t>
      </w:r>
    </w:p>
    <w:p>
      <w:pPr>
        <w:pStyle w:val="Indenta"/>
        <w:spacing w:before="100"/>
        <w:rPr>
          <w:snapToGrid w:val="0"/>
        </w:rPr>
      </w:pPr>
      <w:r>
        <w:tab/>
        <w:t>(e)</w:t>
      </w:r>
      <w:r>
        <w:tab/>
        <w:t>causes</w:t>
      </w:r>
      <w:r>
        <w:rPr>
          <w:snapToGrid w:val="0"/>
        </w:rPr>
        <w:t xml:space="preserve"> any such substance or thing to be taken or received by any person; or</w:t>
      </w:r>
    </w:p>
    <w:p>
      <w:pPr>
        <w:pStyle w:val="Indenta"/>
        <w:spacing w:before="100"/>
        <w:rPr>
          <w:snapToGrid w:val="0"/>
        </w:rPr>
      </w:pPr>
      <w:r>
        <w:tab/>
        <w:t>(f)</w:t>
      </w:r>
      <w:r>
        <w:tab/>
        <w:t>puts</w:t>
      </w:r>
      <w:r>
        <w:rPr>
          <w:snapToGrid w:val="0"/>
        </w:rPr>
        <w:t xml:space="preserve"> any corrosive fluid or any destructive or explosive substance in any place; or</w:t>
      </w:r>
    </w:p>
    <w:p>
      <w:pPr>
        <w:pStyle w:val="Indenta"/>
        <w:spacing w:before="100"/>
        <w:rPr>
          <w:snapToGrid w:val="0"/>
        </w:rPr>
      </w:pPr>
      <w:r>
        <w:tab/>
        <w:t>(g)</w:t>
      </w:r>
      <w:r>
        <w:tab/>
        <w:t>unlawfully</w:t>
      </w:r>
      <w:r>
        <w:rPr>
          <w:snapToGrid w:val="0"/>
        </w:rPr>
        <w:t xml:space="preserve"> casts or throws any such fluid or substance at or upon any person, or otherwise applies any such fluid or substance to the person of any person; or</w:t>
      </w:r>
    </w:p>
    <w:p>
      <w:pPr>
        <w:pStyle w:val="Indenta"/>
        <w:keepNext/>
        <w:keepLines/>
        <w:rPr>
          <w:snapToGrid w:val="0"/>
        </w:rPr>
      </w:pPr>
      <w:r>
        <w:tab/>
        <w:t>(h)</w:t>
      </w:r>
      <w:r>
        <w:tab/>
        <w:t>does</w:t>
      </w:r>
      <w:r>
        <w:rPr>
          <w:snapToGrid w:val="0"/>
        </w:rPr>
        <w:t xml:space="preserve">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keepNext/>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40"/>
        <w:ind w:left="890" w:hanging="890"/>
      </w:pPr>
      <w:r>
        <w:tab/>
        <w:t>[Section 294 amended: No. 118 of 1981 s. 4; No. 51 of 1992 s. 5 and 16(2); No. 70 of 2004 s. 36(3); No. 25 of 2015 s. 9.]</w:t>
      </w:r>
    </w:p>
    <w:p>
      <w:pPr>
        <w:pStyle w:val="Heading5"/>
        <w:keepNext w:val="0"/>
        <w:keepLines w:val="0"/>
        <w:spacing w:before="240"/>
        <w:rPr>
          <w:snapToGrid w:val="0"/>
        </w:rPr>
      </w:pPr>
      <w:bookmarkStart w:id="706" w:name="_Toc103864473"/>
      <w:bookmarkStart w:id="707" w:name="_Toc90996772"/>
      <w:r>
        <w:rPr>
          <w:rStyle w:val="CharSectno"/>
        </w:rPr>
        <w:t>294A</w:t>
      </w:r>
      <w:r>
        <w:rPr>
          <w:snapToGrid w:val="0"/>
        </w:rPr>
        <w:t>.</w:t>
      </w:r>
      <w:r>
        <w:rPr>
          <w:snapToGrid w:val="0"/>
        </w:rPr>
        <w:tab/>
        <w:t>Dangerous goods on aircraft</w:t>
      </w:r>
      <w:bookmarkEnd w:id="706"/>
      <w:bookmarkEnd w:id="707"/>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No. 53 of 1964 s. 4; amended: No. 51 of 1992 s. 16(2); No. 70 of 2004 s. 36(3).]</w:t>
      </w:r>
    </w:p>
    <w:p>
      <w:pPr>
        <w:pStyle w:val="Heading5"/>
        <w:keepLines w:val="0"/>
        <w:spacing w:before="240"/>
        <w:rPr>
          <w:snapToGrid w:val="0"/>
        </w:rPr>
      </w:pPr>
      <w:bookmarkStart w:id="708" w:name="_Toc103864474"/>
      <w:bookmarkStart w:id="709" w:name="_Toc90996773"/>
      <w:r>
        <w:rPr>
          <w:rStyle w:val="CharSectno"/>
        </w:rPr>
        <w:t>295</w:t>
      </w:r>
      <w:r>
        <w:rPr>
          <w:snapToGrid w:val="0"/>
        </w:rPr>
        <w:t>.</w:t>
      </w:r>
      <w:r>
        <w:rPr>
          <w:snapToGrid w:val="0"/>
        </w:rPr>
        <w:tab/>
        <w:t>Preventing escape from wreck</w:t>
      </w:r>
      <w:bookmarkEnd w:id="708"/>
      <w:bookmarkEnd w:id="709"/>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No. 118 of 1981 s. 4; No. 51 of 1992 s. 16(2).]</w:t>
      </w:r>
    </w:p>
    <w:p>
      <w:pPr>
        <w:pStyle w:val="Ednotesection"/>
      </w:pPr>
      <w:r>
        <w:t>[</w:t>
      </w:r>
      <w:r>
        <w:rPr>
          <w:b/>
        </w:rPr>
        <w:t>296, 296A.</w:t>
      </w:r>
      <w:r>
        <w:rPr>
          <w:b/>
        </w:rPr>
        <w:tab/>
      </w:r>
      <w:r>
        <w:t>Deleted: No. 4 of 2004 s. 18.]</w:t>
      </w:r>
    </w:p>
    <w:p>
      <w:pPr>
        <w:pStyle w:val="Heading5"/>
        <w:rPr>
          <w:snapToGrid w:val="0"/>
        </w:rPr>
      </w:pPr>
      <w:bookmarkStart w:id="710" w:name="_Toc103864475"/>
      <w:bookmarkStart w:id="711" w:name="_Toc90996774"/>
      <w:r>
        <w:rPr>
          <w:rStyle w:val="CharSectno"/>
        </w:rPr>
        <w:t>297</w:t>
      </w:r>
      <w:r>
        <w:rPr>
          <w:snapToGrid w:val="0"/>
        </w:rPr>
        <w:t>.</w:t>
      </w:r>
      <w:r>
        <w:rPr>
          <w:snapToGrid w:val="0"/>
        </w:rPr>
        <w:tab/>
        <w:t>Grievous bodily harm</w:t>
      </w:r>
      <w:bookmarkEnd w:id="710"/>
      <w:bookmarkEnd w:id="711"/>
    </w:p>
    <w:p>
      <w:pPr>
        <w:pStyle w:val="Subsection"/>
        <w:keepNext/>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transport vehicle as defined in the </w:t>
      </w:r>
      <w:r>
        <w:rPr>
          <w:i/>
        </w:rPr>
        <w:t xml:space="preserve">Transport (Road Passenger Services) Act 2018 </w:t>
      </w:r>
      <w:r>
        <w:t>section 4(1);</w:t>
      </w:r>
    </w:p>
    <w:p>
      <w:pPr>
        <w:pStyle w:val="Indenta"/>
      </w:pPr>
      <w:r>
        <w:tab/>
      </w:r>
      <w:r>
        <w:tab/>
        <w:t>or</w:t>
      </w:r>
    </w:p>
    <w:p>
      <w:pPr>
        <w:pStyle w:val="Indenta"/>
        <w:rPr>
          <w:szCs w:val="22"/>
        </w:rPr>
      </w:pPr>
      <w:r>
        <w:rPr>
          <w:szCs w:val="22"/>
        </w:rPr>
        <w:tab/>
        <w:t>(d)</w:t>
      </w:r>
      <w:r>
        <w:rPr>
          <w:szCs w:val="22"/>
        </w:rPr>
        <w:tab/>
        <w:t>the victim of the offence is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keepNext/>
      </w:pPr>
      <w:r>
        <w:tab/>
        <w:t>(e)</w:t>
      </w:r>
      <w:r>
        <w:tab/>
        <w:t>the victim of the offence is a person who —</w:t>
      </w:r>
    </w:p>
    <w:p>
      <w:pPr>
        <w:pStyle w:val="Indenti"/>
      </w:pPr>
      <w:r>
        <w:rPr>
          <w:szCs w:val="22"/>
        </w:rPr>
        <w:tab/>
        <w:t>(i)</w:t>
      </w:r>
      <w:r>
        <w:rPr>
          <w:szCs w:val="22"/>
        </w:rPr>
        <w:tab/>
        <w:t>is working in a hospital; or</w:t>
      </w:r>
    </w:p>
    <w:p>
      <w:pPr>
        <w:pStyle w:val="Indenti"/>
      </w:pPr>
      <w:r>
        <w:tab/>
        <w:t>(ii)</w:t>
      </w:r>
      <w:r>
        <w:tab/>
        <w:t>is in the course of providing a health service to the public;</w:t>
      </w:r>
    </w:p>
    <w:p>
      <w:pPr>
        <w:pStyle w:val="Indenta"/>
      </w:pPr>
      <w:r>
        <w:rPr>
          <w:szCs w:val="22"/>
        </w:rPr>
        <w:tab/>
      </w:r>
      <w:r>
        <w:rPr>
          <w:szCs w:val="22"/>
        </w:rPr>
        <w:tab/>
        <w:t>or</w:t>
      </w:r>
    </w:p>
    <w:p>
      <w:pPr>
        <w:pStyle w:val="Indenta"/>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Subsection"/>
      </w:pPr>
      <w:r>
        <w:tab/>
        <w:t>(5)</w:t>
      </w:r>
      <w:r>
        <w:tab/>
        <w:t xml:space="preserve">If the offence is committed </w:t>
      </w:r>
      <w:r>
        <w:rPr>
          <w:noProof/>
          <w:szCs w:val="22"/>
        </w:rPr>
        <w:t>by an adult offender</w:t>
      </w:r>
      <w:r>
        <w:t>, then the court sentencing the offender —</w:t>
      </w:r>
    </w:p>
    <w:p>
      <w:pPr>
        <w:pStyle w:val="Indenta"/>
      </w:pPr>
      <w:r>
        <w:tab/>
        <w:t>(a)</w:t>
      </w:r>
      <w:r>
        <w:tab/>
        <w:t>if the offence is committed in the course of conduct that constitutes an aggravated home burglary, must, notwithstanding any other written law, impose a term of imprisonment of —</w:t>
      </w:r>
    </w:p>
    <w:p>
      <w:pPr>
        <w:pStyle w:val="Indenti"/>
      </w:pPr>
      <w:r>
        <w:tab/>
        <w:t>(i)</w:t>
      </w:r>
      <w:r>
        <w:tab/>
        <w:t>at least 75% of the term specified in subsection (3), where the offence is committed in circumstances of aggravation; or</w:t>
      </w:r>
    </w:p>
    <w:p>
      <w:pPr>
        <w:pStyle w:val="Indenti"/>
      </w:pPr>
      <w:r>
        <w:tab/>
        <w:t>(ii)</w:t>
      </w:r>
      <w:r>
        <w:tab/>
        <w:t>at least 75% of the term specified in subsection (1), in any other case;</w:t>
      </w:r>
    </w:p>
    <w:p>
      <w:pPr>
        <w:pStyle w:val="Indenta"/>
      </w:pPr>
      <w:r>
        <w:tab/>
      </w:r>
      <w:r>
        <w:tab/>
        <w:t>and</w:t>
      </w:r>
    </w:p>
    <w:p>
      <w:pPr>
        <w:pStyle w:val="Indenta"/>
      </w:pPr>
      <w:r>
        <w:tab/>
        <w:t>(b)</w:t>
      </w:r>
      <w:r>
        <w:tab/>
        <w:t>if the offence is committed in prescribed circumstances, must, notwithstanding any other written law, impose a term of imprisonment of at least 12 months, and must not suspend the term of imprisonment imposed.</w:t>
      </w:r>
    </w:p>
    <w:p>
      <w:pPr>
        <w:pStyle w:val="Subsection"/>
        <w:keepNext/>
      </w:pPr>
      <w:r>
        <w:tab/>
        <w:t>(6)</w:t>
      </w:r>
      <w:r>
        <w:tab/>
        <w:t xml:space="preserve">If the offence is committed </w:t>
      </w:r>
      <w:r>
        <w:rPr>
          <w:noProof/>
          <w:szCs w:val="22"/>
        </w:rPr>
        <w:t>by a juvenile offender</w:t>
      </w:r>
      <w:r>
        <w:t>, then the court sentencing the offender —</w:t>
      </w:r>
    </w:p>
    <w:p>
      <w:pPr>
        <w:pStyle w:val="Indenta"/>
      </w:pPr>
      <w:r>
        <w:tab/>
        <w:t>(a)</w:t>
      </w:r>
      <w:r>
        <w:tab/>
        <w:t xml:space="preserve">if the offence is committed in the course of conduct that constitutes an aggravated home burglary, must, notwithstanding the </w:t>
      </w:r>
      <w:r>
        <w:rPr>
          <w:i/>
        </w:rPr>
        <w:t>Young Offenders Act 1994</w:t>
      </w:r>
      <w:r>
        <w:t>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w:t>
      </w:r>
      <w:r>
        <w:rPr>
          <w:iCs/>
        </w:rPr>
        <w:t>of at least</w:t>
      </w:r>
      <w:r>
        <w:t xml:space="preserve"> 3 years,</w:t>
      </w:r>
    </w:p>
    <w:p>
      <w:pPr>
        <w:pStyle w:val="Indenta"/>
      </w:pPr>
      <w:r>
        <w:tab/>
      </w:r>
      <w:r>
        <w:tab/>
        <w:t>as the court thinks fit; and</w:t>
      </w:r>
    </w:p>
    <w:p>
      <w:pPr>
        <w:pStyle w:val="Indenta"/>
      </w:pPr>
      <w:r>
        <w:tab/>
        <w:t>(b)</w:t>
      </w:r>
      <w:r>
        <w:tab/>
        <w:t xml:space="preserve">if the offence is committed in prescribed circumstances, must, notwithstanding the </w:t>
      </w:r>
      <w:r>
        <w:rPr>
          <w:i/>
        </w:rPr>
        <w:t>Young Offenders Act 1994</w:t>
      </w:r>
      <w:r>
        <w:t>, impose either —</w:t>
      </w:r>
    </w:p>
    <w:p>
      <w:pPr>
        <w:pStyle w:val="Indenti"/>
      </w:pPr>
      <w:r>
        <w:tab/>
        <w:t>(i)</w:t>
      </w:r>
      <w:r>
        <w:tab/>
        <w:t xml:space="preserve">a term of imprisonment of at least 3 months, notwithstanding the </w:t>
      </w:r>
      <w:r>
        <w:rPr>
          <w:i/>
        </w:rPr>
        <w:t xml:space="preserve">Sentencing Act 1995 </w:t>
      </w:r>
      <w:r>
        <w:t>section 86; or</w:t>
      </w:r>
    </w:p>
    <w:p>
      <w:pPr>
        <w:pStyle w:val="Indenti"/>
      </w:pPr>
      <w:r>
        <w:tab/>
        <w:t>(ii)</w:t>
      </w:r>
      <w:r>
        <w:tab/>
        <w:t xml:space="preserve">a term of detention under the </w:t>
      </w:r>
      <w:r>
        <w:rPr>
          <w:i/>
        </w:rPr>
        <w:t>Young Offenders Act 1994</w:t>
      </w:r>
      <w:r>
        <w:rPr>
          <w:iCs/>
        </w:rPr>
        <w:t xml:space="preserve"> of at least</w:t>
      </w:r>
      <w:r>
        <w:t xml:space="preserve"> 3 months,</w:t>
      </w:r>
    </w:p>
    <w:p>
      <w:pPr>
        <w:pStyle w:val="Indenta"/>
      </w:pPr>
      <w:r>
        <w:tab/>
      </w:r>
      <w:r>
        <w:tab/>
        <w:t>as the court thinks fit,</w:t>
      </w:r>
    </w:p>
    <w:p>
      <w:pPr>
        <w:pStyle w:val="Subsection"/>
      </w:pPr>
      <w:r>
        <w:tab/>
      </w:r>
      <w:r>
        <w:tab/>
        <w:t>and in either case must not suspend any term of imprisonment imposed and must record a conviction.</w:t>
      </w:r>
    </w:p>
    <w:p>
      <w:pPr>
        <w:pStyle w:val="Subsection"/>
      </w:pPr>
      <w:r>
        <w:tab/>
        <w:t>(7)</w:t>
      </w:r>
      <w:r>
        <w:tab/>
        <w:t>Subsection (6)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Subsection"/>
        <w:keepNext/>
      </w:pPr>
      <w:r>
        <w:tab/>
        <w:t>(8)</w:t>
      </w:r>
      <w:r>
        <w:tab/>
        <w:t>In subsections (5) and (6) —</w:t>
      </w:r>
    </w:p>
    <w:p>
      <w:pPr>
        <w:pStyle w:val="Defstart"/>
        <w:keepNex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keepLines w:val="0"/>
        <w:ind w:left="890" w:hanging="890"/>
      </w:pPr>
      <w:r>
        <w:tab/>
        <w:t>[Section 297 amended: No. 1 of 1992 s. 4; No. 51 of 1992 s. 16(2); No. 29 of 1998 s. 3; No. 23 of 2001 s. 3; No. 38 of 2004 s. 65; No. 70 of 2004 s. 36(6); No. 2 of 2008 s. 5; No. 21 of 2009 s. 4; No. 8 of 2012 s. 184; No. 22 of 2012 s. 115; No. 12 of 2013 s. 4; No. 25 of 2015 s. 10; No. 26 of 2018 s. 308 .]</w:t>
      </w:r>
    </w:p>
    <w:p>
      <w:pPr>
        <w:pStyle w:val="Heading5"/>
      </w:pPr>
      <w:bookmarkStart w:id="712" w:name="_Toc103864476"/>
      <w:bookmarkStart w:id="713" w:name="_Toc90996775"/>
      <w:r>
        <w:rPr>
          <w:rStyle w:val="CharSectno"/>
        </w:rPr>
        <w:t>298</w:t>
      </w:r>
      <w:r>
        <w:t>.</w:t>
      </w:r>
      <w:r>
        <w:tab/>
        <w:t>Suffocation and strangulation</w:t>
      </w:r>
      <w:bookmarkEnd w:id="712"/>
      <w:bookmarkEnd w:id="713"/>
    </w:p>
    <w:p>
      <w:pPr>
        <w:pStyle w:val="Subsection"/>
      </w:pPr>
      <w:r>
        <w:tab/>
      </w:r>
      <w:r>
        <w:tab/>
        <w:t>A person commits a crime if the person unlawfully impedes another person’s normal breathing, blood circulation, or both, by manually, or by using any other aid —</w:t>
      </w:r>
    </w:p>
    <w:p>
      <w:pPr>
        <w:pStyle w:val="Indenta"/>
      </w:pPr>
      <w:r>
        <w:tab/>
        <w:t>(a)</w:t>
      </w:r>
      <w:r>
        <w:tab/>
        <w:t>blocking (completely or partially) another person’s nose, mouth, or both; or</w:t>
      </w:r>
    </w:p>
    <w:p>
      <w:pPr>
        <w:pStyle w:val="Indenta"/>
      </w:pPr>
      <w:r>
        <w:tab/>
        <w:t>(b)</w:t>
      </w:r>
      <w:r>
        <w:tab/>
        <w:t>applying pressure on, or to, another person’s neck.</w:t>
      </w:r>
    </w:p>
    <w:p>
      <w:pPr>
        <w:pStyle w:val="Penstart"/>
      </w:pPr>
      <w:r>
        <w:tab/>
        <w:t>Alternative offence: s. 313.</w:t>
      </w:r>
    </w:p>
    <w:p>
      <w:pPr>
        <w:pStyle w:val="Penstart"/>
      </w:pPr>
      <w:r>
        <w:tab/>
        <w:t>Penalty:</w:t>
      </w:r>
    </w:p>
    <w:p>
      <w:pPr>
        <w:pStyle w:val="Penpara"/>
      </w:pPr>
      <w:r>
        <w:tab/>
        <w:t>(a)</w:t>
      </w:r>
      <w:r>
        <w:tab/>
        <w:t>if the offence is committed in circumstances of aggravation, imprisonment for 7 years; or</w:t>
      </w:r>
    </w:p>
    <w:p>
      <w:pPr>
        <w:pStyle w:val="Penpara"/>
      </w:pPr>
      <w:r>
        <w:tab/>
        <w:t>(b)</w:t>
      </w:r>
      <w:r>
        <w:tab/>
        <w:t>in any other case, imprisonment for 5 years.</w:t>
      </w:r>
    </w:p>
    <w:p>
      <w:pPr>
        <w:pStyle w:val="Penstart"/>
        <w:keepNext/>
      </w:pPr>
      <w:r>
        <w:tab/>
        <w:t>Summary conviction penalty:</w:t>
      </w:r>
    </w:p>
    <w:p>
      <w:pPr>
        <w:pStyle w:val="Penpara"/>
      </w:pPr>
      <w:r>
        <w:tab/>
        <w:t>(a)</w:t>
      </w:r>
      <w:r>
        <w:tab/>
        <w:t>in a case to which the Penalty paragraph (a) applies, imprisonment for 3 years and a fine of $36 000; or</w:t>
      </w:r>
    </w:p>
    <w:p>
      <w:pPr>
        <w:pStyle w:val="Penpara"/>
      </w:pPr>
      <w:r>
        <w:tab/>
        <w:t>(b)</w:t>
      </w:r>
      <w:r>
        <w:tab/>
        <w:t>in a case to which the Penalty paragraph (b) applies, imprisonment for 2 years and a fine of $24 000.</w:t>
      </w:r>
    </w:p>
    <w:p>
      <w:pPr>
        <w:pStyle w:val="Footnotesection"/>
      </w:pPr>
      <w:r>
        <w:tab/>
        <w:t>[Section 298 inserted: No. 30 of 2020 s. 6.]</w:t>
      </w:r>
    </w:p>
    <w:p>
      <w:pPr>
        <w:pStyle w:val="Heading5"/>
      </w:pPr>
      <w:bookmarkStart w:id="714" w:name="_Toc103864477"/>
      <w:bookmarkStart w:id="715" w:name="_Toc90996776"/>
      <w:r>
        <w:rPr>
          <w:rStyle w:val="CharSectno"/>
        </w:rPr>
        <w:t>299</w:t>
      </w:r>
      <w:r>
        <w:t>.</w:t>
      </w:r>
      <w:r>
        <w:tab/>
        <w:t>Terms used in relation to s. 300 (persistent family violence)</w:t>
      </w:r>
      <w:bookmarkEnd w:id="714"/>
      <w:bookmarkEnd w:id="715"/>
    </w:p>
    <w:p>
      <w:pPr>
        <w:pStyle w:val="Subsection"/>
      </w:pPr>
      <w:r>
        <w:tab/>
        <w:t>(1)</w:t>
      </w:r>
      <w:r>
        <w:tab/>
        <w:t>In this section and section 300 —</w:t>
      </w:r>
    </w:p>
    <w:p>
      <w:pPr>
        <w:pStyle w:val="Defstart"/>
      </w:pPr>
      <w:r>
        <w:tab/>
      </w:r>
      <w:r>
        <w:rPr>
          <w:rStyle w:val="CharDefText"/>
        </w:rPr>
        <w:t>designated family relationship</w:t>
      </w:r>
      <w:r>
        <w:t xml:space="preserve"> means a relationship between 2 persons —</w:t>
      </w:r>
    </w:p>
    <w:p>
      <w:pPr>
        <w:pStyle w:val="Defpara"/>
      </w:pPr>
      <w:r>
        <w:tab/>
        <w:t>(a)</w:t>
      </w:r>
      <w:r>
        <w:tab/>
        <w:t>who are, or were, married to each other; or</w:t>
      </w:r>
    </w:p>
    <w:p>
      <w:pPr>
        <w:pStyle w:val="Defpara"/>
      </w:pPr>
      <w:r>
        <w:tab/>
        <w:t>(b)</w:t>
      </w:r>
      <w:r>
        <w:tab/>
        <w:t>who are, or were, in a de facto relationship with each other; or</w:t>
      </w:r>
    </w:p>
    <w:p>
      <w:pPr>
        <w:pStyle w:val="Defpara"/>
      </w:pPr>
      <w:r>
        <w:tab/>
        <w:t>(c)</w:t>
      </w:r>
      <w:r>
        <w:tab/>
        <w:t>who have, or had, an intimate personal relationship with each other;</w:t>
      </w:r>
    </w:p>
    <w:p>
      <w:pPr>
        <w:pStyle w:val="Defstart"/>
        <w:keepNext/>
      </w:pPr>
      <w:r>
        <w:tab/>
      </w:r>
      <w:r>
        <w:rPr>
          <w:rStyle w:val="CharDefText"/>
        </w:rPr>
        <w:t>prescribed offence</w:t>
      </w:r>
      <w:r>
        <w:t xml:space="preserve"> means —</w:t>
      </w:r>
    </w:p>
    <w:p>
      <w:pPr>
        <w:pStyle w:val="Defpara"/>
      </w:pPr>
      <w:r>
        <w:tab/>
        <w:t>(a)</w:t>
      </w:r>
      <w:r>
        <w:tab/>
        <w:t>an offence against section 221BD, 298, 301, 304(1), 313, 317, 317A, 323, 324, 338B, 338C, 338E or 444(1)(b), or an attempt to commit such an offence; or</w:t>
      </w:r>
    </w:p>
    <w:p>
      <w:pPr>
        <w:pStyle w:val="Defpara"/>
      </w:pPr>
      <w:r>
        <w:tab/>
        <w:t>(b)</w:t>
      </w:r>
      <w:r>
        <w:tab/>
        <w:t xml:space="preserve">an offence against the </w:t>
      </w:r>
      <w:r>
        <w:rPr>
          <w:i/>
        </w:rPr>
        <w:t xml:space="preserve">Restraining Orders Act 1997 </w:t>
      </w:r>
      <w:r>
        <w:t>section 61(1) or (1A).</w:t>
      </w:r>
    </w:p>
    <w:p>
      <w:pPr>
        <w:pStyle w:val="Subsection"/>
      </w:pPr>
      <w:r>
        <w:tab/>
        <w:t>(2)</w:t>
      </w:r>
      <w:r>
        <w:tab/>
        <w:t xml:space="preserve">For the purposes of this section, an </w:t>
      </w:r>
      <w:r>
        <w:rPr>
          <w:rStyle w:val="CharDefText"/>
        </w:rPr>
        <w:t>intimate personal relationship</w:t>
      </w:r>
      <w:r>
        <w:rPr>
          <w:bCs/>
          <w:iCs/>
        </w:rPr>
        <w:t xml:space="preserve"> </w:t>
      </w:r>
      <w:r>
        <w:t xml:space="preserve">exists between 2 persons (including persons of the same sex) if — </w:t>
      </w:r>
    </w:p>
    <w:p>
      <w:pPr>
        <w:pStyle w:val="Indenta"/>
      </w:pPr>
      <w:r>
        <w:tab/>
        <w:t>(a)</w:t>
      </w:r>
      <w:r>
        <w:tab/>
        <w:t>the persons are engaged to be married to each other, including a betrothal under cultural or religious tradition; or</w:t>
      </w:r>
    </w:p>
    <w:p>
      <w:pPr>
        <w:pStyle w:val="Indenta"/>
      </w:pPr>
      <w:r>
        <w:tab/>
        <w:t>(b)</w:t>
      </w:r>
      <w:r>
        <w:tab/>
        <w:t>the persons date each other, or have a romantic involvement with each other, whether or not a sexual relationship is involved.</w:t>
      </w:r>
    </w:p>
    <w:p>
      <w:pPr>
        <w:pStyle w:val="Subsection"/>
      </w:pPr>
      <w:r>
        <w:tab/>
        <w:t>(3)</w:t>
      </w:r>
      <w:r>
        <w:tab/>
        <w:t xml:space="preserve">In deciding whether an intimate personal relationship exists under subsection (2)(b), the following may be taken into account — </w:t>
      </w:r>
    </w:p>
    <w:p>
      <w:pPr>
        <w:pStyle w:val="Indenta"/>
      </w:pPr>
      <w:r>
        <w:tab/>
        <w:t>(a)</w:t>
      </w:r>
      <w:r>
        <w:tab/>
        <w:t xml:space="preserve">the circumstances of the relationship, including, for example, the level of trust and commitment; </w:t>
      </w:r>
    </w:p>
    <w:p>
      <w:pPr>
        <w:pStyle w:val="Indenta"/>
      </w:pPr>
      <w:r>
        <w:tab/>
        <w:t>(b)</w:t>
      </w:r>
      <w:r>
        <w:tab/>
        <w:t>the length of time the relationship has existed;</w:t>
      </w:r>
    </w:p>
    <w:p>
      <w:pPr>
        <w:pStyle w:val="Indenta"/>
      </w:pPr>
      <w:r>
        <w:tab/>
        <w:t>(c)</w:t>
      </w:r>
      <w:r>
        <w:tab/>
        <w:t xml:space="preserve">the frequency of contact between the persons; </w:t>
      </w:r>
    </w:p>
    <w:p>
      <w:pPr>
        <w:pStyle w:val="Indenta"/>
      </w:pPr>
      <w:r>
        <w:tab/>
        <w:t>(d)</w:t>
      </w:r>
      <w:r>
        <w:tab/>
        <w:t>the level of intimacy between the persons.</w:t>
      </w:r>
    </w:p>
    <w:p>
      <w:pPr>
        <w:pStyle w:val="Subsection"/>
      </w:pPr>
      <w:r>
        <w:tab/>
        <w:t>(4)</w:t>
      </w:r>
      <w:r>
        <w:tab/>
        <w:t xml:space="preserve">For the purposes of this section and section 300, a person does an </w:t>
      </w:r>
      <w:r>
        <w:rPr>
          <w:rStyle w:val="CharDefText"/>
        </w:rPr>
        <w:t>act of family violence</w:t>
      </w:r>
      <w:r>
        <w:t xml:space="preserve"> if — </w:t>
      </w:r>
    </w:p>
    <w:p>
      <w:pPr>
        <w:pStyle w:val="Indenta"/>
      </w:pPr>
      <w:r>
        <w:tab/>
        <w:t>(a)</w:t>
      </w:r>
      <w:r>
        <w:tab/>
        <w:t>the person does an act that would constitute a prescribed offence in relation to another person with whom the person is in a designated family relationship; and</w:t>
      </w:r>
    </w:p>
    <w:p>
      <w:pPr>
        <w:pStyle w:val="Indenta"/>
      </w:pPr>
      <w:r>
        <w:tab/>
        <w:t>(b)</w:t>
      </w:r>
      <w:r>
        <w:tab/>
        <w:t>the person is not a child at the time of doing the act.</w:t>
      </w:r>
    </w:p>
    <w:p>
      <w:pPr>
        <w:pStyle w:val="Subsection"/>
      </w:pPr>
      <w:r>
        <w:tab/>
        <w:t>(5)</w:t>
      </w:r>
      <w:r>
        <w:tab/>
        <w:t xml:space="preserve">For the purposes of this section and section 300, a person </w:t>
      </w:r>
      <w:r>
        <w:rPr>
          <w:rStyle w:val="CharDefText"/>
        </w:rPr>
        <w:t>persistently engages in family violence</w:t>
      </w:r>
      <w:r>
        <w:t xml:space="preserve"> if the person does an act of family violence on 3 or more occasions each of which is on a different day over a period not exceeding 10 years against the same person.</w:t>
      </w:r>
    </w:p>
    <w:p>
      <w:pPr>
        <w:pStyle w:val="Subsection"/>
      </w:pPr>
      <w:r>
        <w:tab/>
        <w:t>(6)</w:t>
      </w:r>
      <w:r>
        <w:tab/>
        <w:t>For the purposes of subsection (5), the acts of family violence —</w:t>
      </w:r>
    </w:p>
    <w:p>
      <w:pPr>
        <w:pStyle w:val="Indenta"/>
      </w:pPr>
      <w:r>
        <w:tab/>
        <w:t>(a)</w:t>
      </w:r>
      <w:r>
        <w:tab/>
        <w:t>need not all constitute the same prescribed offence; and</w:t>
      </w:r>
    </w:p>
    <w:p>
      <w:pPr>
        <w:pStyle w:val="Indenta"/>
      </w:pPr>
      <w:r>
        <w:tab/>
        <w:t>(b)</w:t>
      </w:r>
      <w:r>
        <w:tab/>
        <w:t>need not all have occurred in this State as long as at least 1 of them did.</w:t>
      </w:r>
    </w:p>
    <w:p>
      <w:pPr>
        <w:pStyle w:val="Subsection"/>
      </w:pPr>
      <w:r>
        <w:tab/>
        <w:t>(7)</w:t>
      </w:r>
      <w:r>
        <w:tab/>
        <w:t>However, in relation to an act that constitutes a simple offence, an act cannot be an act of family violence if the date at the end of the period during which it is alleged that the acts of family violence occurred for the purposes of this section is outside the period during which it would be possible to charge the accused person with that offence.</w:t>
      </w:r>
    </w:p>
    <w:p>
      <w:pPr>
        <w:pStyle w:val="Footnotesection"/>
      </w:pPr>
      <w:r>
        <w:tab/>
        <w:t>[Section 299 inserted: No. 30 of 2020 s. 6.]</w:t>
      </w:r>
    </w:p>
    <w:p>
      <w:pPr>
        <w:pStyle w:val="Heading5"/>
      </w:pPr>
      <w:bookmarkStart w:id="716" w:name="_Toc103864478"/>
      <w:bookmarkStart w:id="717" w:name="_Toc90996777"/>
      <w:r>
        <w:rPr>
          <w:rStyle w:val="CharSectno"/>
        </w:rPr>
        <w:t>300</w:t>
      </w:r>
      <w:r>
        <w:t>.</w:t>
      </w:r>
      <w:r>
        <w:tab/>
        <w:t>Persistent family violence</w:t>
      </w:r>
      <w:bookmarkEnd w:id="716"/>
      <w:bookmarkEnd w:id="717"/>
    </w:p>
    <w:p>
      <w:pPr>
        <w:pStyle w:val="Subsection"/>
      </w:pPr>
      <w:r>
        <w:tab/>
        <w:t>(1)</w:t>
      </w:r>
      <w:r>
        <w:tab/>
        <w:t>A person commits a crime if the person persistently engages in family violence.</w:t>
      </w:r>
    </w:p>
    <w:p>
      <w:pPr>
        <w:pStyle w:val="Penstart"/>
      </w:pPr>
      <w:r>
        <w:tab/>
        <w:t>Penalty for this subsection: imprisonment for 14 years.</w:t>
      </w:r>
    </w:p>
    <w:p>
      <w:pPr>
        <w:pStyle w:val="Penstart"/>
      </w:pPr>
      <w:r>
        <w:tab/>
        <w:t>Summary conviction penalty for this subsection: imprisonment for 3 years and a fine of $36 000.</w:t>
      </w:r>
    </w:p>
    <w:p>
      <w:pPr>
        <w:pStyle w:val="Subsection"/>
        <w:keepNext/>
      </w:pPr>
      <w:r>
        <w:tab/>
        <w:t>(2)</w:t>
      </w:r>
      <w:r>
        <w:tab/>
        <w:t>A charge of an offence under subsection (1) —</w:t>
      </w:r>
    </w:p>
    <w:p>
      <w:pPr>
        <w:pStyle w:val="Indenta"/>
      </w:pPr>
      <w:r>
        <w:tab/>
        <w:t>(a)</w:t>
      </w:r>
      <w:r>
        <w:tab/>
        <w:t>must specify the period during which it is alleged that the acts of family violence occurred; and</w:t>
      </w:r>
    </w:p>
    <w:p>
      <w:pPr>
        <w:pStyle w:val="Indenta"/>
      </w:pPr>
      <w:r>
        <w:tab/>
        <w:t>(b)</w:t>
      </w:r>
      <w:r>
        <w:tab/>
        <w:t>need not specify the dates, or in any other way particularise the circumstances, of the acts of family violence that are alleged to constitute the offence.</w:t>
      </w:r>
    </w:p>
    <w:p>
      <w:pPr>
        <w:pStyle w:val="Subsection"/>
      </w:pPr>
      <w:r>
        <w:tab/>
        <w:t>(3)</w:t>
      </w:r>
      <w:r>
        <w:tab/>
        <w:t xml:space="preserve">Subsection (2) applies despite the </w:t>
      </w:r>
      <w:r>
        <w:rPr>
          <w:i/>
        </w:rPr>
        <w:t>Criminal Procedure Act 2004</w:t>
      </w:r>
      <w:r>
        <w:t xml:space="preserve"> sections 23 and 85.</w:t>
      </w:r>
    </w:p>
    <w:p>
      <w:pPr>
        <w:pStyle w:val="Subsection"/>
      </w:pPr>
      <w:r>
        <w:tab/>
        <w:t>(4)</w:t>
      </w:r>
      <w:r>
        <w:tab/>
        <w:t>A person may be charged with both —</w:t>
      </w:r>
    </w:p>
    <w:p>
      <w:pPr>
        <w:pStyle w:val="Indenta"/>
      </w:pPr>
      <w:r>
        <w:tab/>
        <w:t>(a)</w:t>
      </w:r>
      <w:r>
        <w:tab/>
        <w:t>an offence against subsection (1); and</w:t>
      </w:r>
    </w:p>
    <w:p>
      <w:pPr>
        <w:pStyle w:val="Indenta"/>
      </w:pPr>
      <w:r>
        <w:tab/>
        <w:t>(b)</w:t>
      </w:r>
      <w:r>
        <w:tab/>
        <w:t>1 or more prescribed offences that are alleged to have occurred in the period during which it is alleged that the acts of family violence constituting the offence under subsection (1) occurred (including an offence or offences allegedly constituted by an act or acts that are the subject of allegations made for the purposes of an offence against subsection (1)).</w:t>
      </w:r>
    </w:p>
    <w:p>
      <w:pPr>
        <w:pStyle w:val="Subsection"/>
      </w:pPr>
      <w:r>
        <w:tab/>
        <w:t>(5)</w:t>
      </w:r>
      <w:r>
        <w:tab/>
        <w:t xml:space="preserve">A court cannot order the prosecutor to give a person charged with an offence under subsection (1) further particulars of the dates and circumstances of the acts of family violence that are alleged to constitute the offence, despite the </w:t>
      </w:r>
      <w:r>
        <w:rPr>
          <w:i/>
        </w:rPr>
        <w:t>Criminal Procedure Act 2004</w:t>
      </w:r>
      <w:r>
        <w:t xml:space="preserve"> section 131.</w:t>
      </w:r>
    </w:p>
    <w:p>
      <w:pPr>
        <w:pStyle w:val="Subsection"/>
      </w:pPr>
      <w:r>
        <w:tab/>
        <w:t>(6)</w:t>
      </w:r>
      <w:r>
        <w:tab/>
        <w:t>If in a trial by jury of a charge of an offence under subsection (1) there is evidence of acts of family violence on 4 or more occasions, the jury members need not all be satisfied that the same acts of family violence occurred on the same occasions as long as the jury is satisfied that the accused person persistently engaged in acts of family violence in the period specified.</w:t>
      </w:r>
    </w:p>
    <w:p>
      <w:pPr>
        <w:pStyle w:val="Subsection"/>
      </w:pPr>
      <w:r>
        <w:tab/>
        <w:t>(7)</w:t>
      </w:r>
      <w:r>
        <w:tab/>
        <w:t>If a person is found not guilty of an offence against subsection (1), the person may nevertheless be found guilty of 1 or more prescribed offences committed during the period specified in the charge for the offence against that subsection if the commission of the prescribed offence or prescribed offences is established by the evidence even if the person has not been charged with one or more of those prescribed offences, despite section 10A.</w:t>
      </w:r>
    </w:p>
    <w:p>
      <w:pPr>
        <w:pStyle w:val="Subsection"/>
      </w:pPr>
      <w:r>
        <w:tab/>
        <w:t>(8)</w:t>
      </w:r>
      <w:r>
        <w:tab/>
        <w:t xml:space="preserve">However — </w:t>
      </w:r>
    </w:p>
    <w:p>
      <w:pPr>
        <w:pStyle w:val="Indenta"/>
      </w:pPr>
      <w:r>
        <w:tab/>
        <w:t>(a)</w:t>
      </w:r>
      <w:r>
        <w:tab/>
        <w:t xml:space="preserve">if a person has been convicted or acquitted of a prescribed offence, the act constituting the prescribed offence cannot constitute an act of family violence for the purposes of establishing an offence against subsection (1) in separate or subsequent proceedings; and </w:t>
      </w:r>
    </w:p>
    <w:p>
      <w:pPr>
        <w:pStyle w:val="Indenta"/>
      </w:pPr>
      <w:r>
        <w:tab/>
        <w:t>(b)</w:t>
      </w:r>
      <w:r>
        <w:tab/>
        <w:t>if a person has been convicted or acquitted of an offence against subsection (1), the person cannot, in separate or subsequent proceedings, be found guilty of a prescribed offence constituted by an act that was the subject of evidence presented to the court for the purposes of proceedings for the offence against subsection (1); and</w:t>
      </w:r>
    </w:p>
    <w:p>
      <w:pPr>
        <w:pStyle w:val="Indenta"/>
      </w:pPr>
      <w:r>
        <w:tab/>
        <w:t>(c)</w:t>
      </w:r>
      <w:r>
        <w:tab/>
        <w:t>nothing in this section otherwise allows a person to be punished twice for the same act.</w:t>
      </w:r>
    </w:p>
    <w:p>
      <w:pPr>
        <w:pStyle w:val="Subsection"/>
      </w:pPr>
      <w:r>
        <w:tab/>
        <w:t>(9)</w:t>
      </w:r>
      <w:r>
        <w:tab/>
        <w:t>For the purposes of this section, a person ceases to be regarded as having been convicted of an offence if the conviction is set aside or quashed.</w:t>
      </w:r>
    </w:p>
    <w:p>
      <w:pPr>
        <w:pStyle w:val="Subsection"/>
      </w:pPr>
      <w:r>
        <w:tab/>
        <w:t>(10)</w:t>
      </w:r>
      <w:r>
        <w:tab/>
        <w:t>For the purposes of this section, an act that constitutes a prescribed offence may have occurred before the commencement of this section, unless the prescribed offence was not an offence at the time at which the act occurred.</w:t>
      </w:r>
    </w:p>
    <w:p>
      <w:pPr>
        <w:pStyle w:val="Footnotesection"/>
      </w:pPr>
      <w:r>
        <w:tab/>
        <w:t>[Section 300 inserted: No. 30 of 2020 s. 6.]</w:t>
      </w:r>
    </w:p>
    <w:p>
      <w:pPr>
        <w:pStyle w:val="Heading5"/>
        <w:keepNext w:val="0"/>
        <w:keepLines w:val="0"/>
        <w:spacing w:before="240"/>
        <w:rPr>
          <w:snapToGrid w:val="0"/>
        </w:rPr>
      </w:pPr>
      <w:bookmarkStart w:id="718" w:name="_Toc103864479"/>
      <w:bookmarkStart w:id="719" w:name="_Toc90996778"/>
      <w:r>
        <w:rPr>
          <w:rStyle w:val="CharSectno"/>
        </w:rPr>
        <w:t>301</w:t>
      </w:r>
      <w:r>
        <w:rPr>
          <w:snapToGrid w:val="0"/>
        </w:rPr>
        <w:t>.</w:t>
      </w:r>
      <w:r>
        <w:rPr>
          <w:snapToGrid w:val="0"/>
        </w:rPr>
        <w:tab/>
        <w:t>Wounding and similar acts</w:t>
      </w:r>
      <w:bookmarkEnd w:id="718"/>
      <w:bookmarkEnd w:id="71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No. 51 of 1992 s. 16(2); No. 82 of 1994 s. 6; No. 23 of 2001 s. 4; No. 38 of 2004 s. 66; No. 70 of 2004 s. 35(4).]</w:t>
      </w:r>
    </w:p>
    <w:p>
      <w:pPr>
        <w:pStyle w:val="Ednotesection"/>
        <w:keepNext/>
        <w:spacing w:before="180"/>
        <w:ind w:left="890" w:hanging="890"/>
      </w:pPr>
      <w:r>
        <w:t>[</w:t>
      </w:r>
      <w:r>
        <w:rPr>
          <w:b/>
        </w:rPr>
        <w:t>302.</w:t>
      </w:r>
      <w:r>
        <w:rPr>
          <w:b/>
        </w:rPr>
        <w:tab/>
      </w:r>
      <w:r>
        <w:t>Deleted: No. 4 of 2004 s. 20.]</w:t>
      </w:r>
    </w:p>
    <w:p>
      <w:pPr>
        <w:pStyle w:val="Ednotesection"/>
        <w:spacing w:before="180"/>
        <w:ind w:left="890" w:hanging="890"/>
      </w:pPr>
      <w:r>
        <w:t>[</w:t>
      </w:r>
      <w:r>
        <w:rPr>
          <w:b/>
        </w:rPr>
        <w:t>303.</w:t>
      </w:r>
      <w:r>
        <w:rPr>
          <w:b/>
        </w:rPr>
        <w:tab/>
      </w:r>
      <w:r>
        <w:t>Deleted: No. 4 of 2004 s. 61(4).]</w:t>
      </w:r>
    </w:p>
    <w:p>
      <w:pPr>
        <w:pStyle w:val="Heading5"/>
        <w:spacing w:before="180"/>
      </w:pPr>
      <w:bookmarkStart w:id="720" w:name="_Toc103864480"/>
      <w:bookmarkStart w:id="721" w:name="_Toc90996779"/>
      <w:r>
        <w:rPr>
          <w:rStyle w:val="CharSectno"/>
        </w:rPr>
        <w:t>304</w:t>
      </w:r>
      <w:r>
        <w:t>.</w:t>
      </w:r>
      <w:r>
        <w:tab/>
        <w:t>Act or omission causing bodily harm or danger</w:t>
      </w:r>
      <w:bookmarkEnd w:id="720"/>
      <w:bookmarkEnd w:id="721"/>
    </w:p>
    <w:p>
      <w:pPr>
        <w:pStyle w:val="Subsection"/>
        <w:keepNext/>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No. 4 of 2004 s. 21; amended: No. 70 of 2004 s. 35(2); No. 44 of 2009 s. 6.]</w:t>
      </w:r>
    </w:p>
    <w:p>
      <w:pPr>
        <w:pStyle w:val="Heading5"/>
      </w:pPr>
      <w:bookmarkStart w:id="722" w:name="_Toc103864481"/>
      <w:bookmarkStart w:id="723" w:name="_Toc90996780"/>
      <w:r>
        <w:rPr>
          <w:rStyle w:val="CharSectno"/>
        </w:rPr>
        <w:t>305</w:t>
      </w:r>
      <w:r>
        <w:t>.</w:t>
      </w:r>
      <w:r>
        <w:tab/>
        <w:t>Setting dangerous thing</w:t>
      </w:r>
      <w:bookmarkEnd w:id="722"/>
      <w:bookmarkEnd w:id="723"/>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keepNext/>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No. 4 of 2004 s. 21; amended: No. 70 of 2004 s. 35(1) and 36(3).]</w:t>
      </w:r>
    </w:p>
    <w:p>
      <w:pPr>
        <w:pStyle w:val="Heading5"/>
      </w:pPr>
      <w:bookmarkStart w:id="724" w:name="_Toc103864482"/>
      <w:bookmarkStart w:id="725" w:name="_Toc90996781"/>
      <w:r>
        <w:rPr>
          <w:rStyle w:val="CharSectno"/>
        </w:rPr>
        <w:t>305A</w:t>
      </w:r>
      <w:r>
        <w:t>.</w:t>
      </w:r>
      <w:r>
        <w:tab/>
        <w:t>Intoxication by deception</w:t>
      </w:r>
      <w:bookmarkEnd w:id="724"/>
      <w:bookmarkEnd w:id="725"/>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No. 31 of 2007 s. 4.]</w:t>
      </w:r>
    </w:p>
    <w:p>
      <w:pPr>
        <w:pStyle w:val="Heading5"/>
      </w:pPr>
      <w:bookmarkStart w:id="726" w:name="_Toc103864483"/>
      <w:bookmarkStart w:id="727" w:name="_Toc90996782"/>
      <w:r>
        <w:rPr>
          <w:rStyle w:val="CharSectno"/>
        </w:rPr>
        <w:t>306</w:t>
      </w:r>
      <w:r>
        <w:t>.</w:t>
      </w:r>
      <w:r>
        <w:tab/>
        <w:t>Female genital mutilation</w:t>
      </w:r>
      <w:bookmarkEnd w:id="726"/>
      <w:bookmarkEnd w:id="727"/>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keepNex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carried out on a person’s genitals by a medical practitioner as defined in section 3 of that Act; or</w:t>
      </w:r>
    </w:p>
    <w:p>
      <w:pPr>
        <w:pStyle w:val="Defpara"/>
      </w:pPr>
      <w:r>
        <w:tab/>
        <w:t>(e)</w:t>
      </w:r>
      <w:r>
        <w:tab/>
        <w:t>a medical procedure carried out for proper medical purposes.</w:t>
      </w:r>
    </w:p>
    <w:p>
      <w:pPr>
        <w:pStyle w:val="Subsection"/>
        <w:spacing w:before="120"/>
      </w:pPr>
      <w:r>
        <w:tab/>
        <w:t>(2)</w:t>
      </w:r>
      <w:r>
        <w:tab/>
        <w:t>A person who performs female genital mutilation on another person is guilty of a crime and is liable to imprisonment for 20 years.</w:t>
      </w:r>
    </w:p>
    <w:p>
      <w:pPr>
        <w:pStyle w:val="Subsection"/>
        <w:spacing w:before="120"/>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No. 4 of 2004 s. 22; amended: No. 19 of 2016 s. 128.]</w:t>
      </w:r>
    </w:p>
    <w:p>
      <w:pPr>
        <w:pStyle w:val="Ednotesection"/>
        <w:spacing w:before="180"/>
        <w:ind w:left="890" w:hanging="890"/>
      </w:pPr>
      <w:r>
        <w:t>[</w:t>
      </w:r>
      <w:r>
        <w:rPr>
          <w:b/>
        </w:rPr>
        <w:t>307</w:t>
      </w:r>
      <w:r>
        <w:rPr>
          <w:b/>
        </w:rPr>
        <w:noBreakHyphen/>
        <w:t>312.</w:t>
      </w:r>
      <w:r>
        <w:tab/>
        <w:t>Deleted: No. 4 of 2004 s. 21.]</w:t>
      </w:r>
    </w:p>
    <w:p>
      <w:pPr>
        <w:pStyle w:val="Heading3"/>
        <w:rPr>
          <w:snapToGrid w:val="0"/>
        </w:rPr>
      </w:pPr>
      <w:bookmarkStart w:id="728" w:name="_Toc103860958"/>
      <w:bookmarkStart w:id="729" w:name="_Toc103861480"/>
      <w:bookmarkStart w:id="730" w:name="_Toc103864484"/>
      <w:bookmarkStart w:id="731" w:name="_Toc90988771"/>
      <w:bookmarkStart w:id="732" w:name="_Toc90989294"/>
      <w:bookmarkStart w:id="733" w:name="_Toc90996783"/>
      <w:r>
        <w:rPr>
          <w:rStyle w:val="CharDivNo"/>
        </w:rPr>
        <w:t>Chapter XXX</w:t>
      </w:r>
      <w:r>
        <w:rPr>
          <w:snapToGrid w:val="0"/>
        </w:rPr>
        <w:t> — </w:t>
      </w:r>
      <w:r>
        <w:rPr>
          <w:rStyle w:val="CharDivText"/>
        </w:rPr>
        <w:t>Assaults</w:t>
      </w:r>
      <w:bookmarkEnd w:id="728"/>
      <w:bookmarkEnd w:id="729"/>
      <w:bookmarkEnd w:id="730"/>
      <w:bookmarkEnd w:id="731"/>
      <w:bookmarkEnd w:id="732"/>
      <w:bookmarkEnd w:id="733"/>
    </w:p>
    <w:p>
      <w:pPr>
        <w:pStyle w:val="Heading5"/>
        <w:spacing w:before="180"/>
        <w:rPr>
          <w:snapToGrid w:val="0"/>
        </w:rPr>
      </w:pPr>
      <w:bookmarkStart w:id="734" w:name="_Toc103864485"/>
      <w:bookmarkStart w:id="735" w:name="_Toc90996784"/>
      <w:r>
        <w:rPr>
          <w:rStyle w:val="CharSectno"/>
        </w:rPr>
        <w:t>313</w:t>
      </w:r>
      <w:r>
        <w:rPr>
          <w:snapToGrid w:val="0"/>
        </w:rPr>
        <w:t>.</w:t>
      </w:r>
      <w:r>
        <w:rPr>
          <w:snapToGrid w:val="0"/>
        </w:rPr>
        <w:tab/>
        <w:t>Common assault</w:t>
      </w:r>
      <w:bookmarkEnd w:id="734"/>
      <w:bookmarkEnd w:id="735"/>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No. 106 of 1987 s. 15; amended: No. 23 of 2001 s. 5; No. 38 of 2004 s. 67; No. 70 of 2004 s. 35(4); No. 2 of 2008 s. 6(1).]</w:t>
      </w:r>
    </w:p>
    <w:p>
      <w:pPr>
        <w:pStyle w:val="Ednotesection"/>
        <w:ind w:left="890" w:hanging="890"/>
      </w:pPr>
      <w:r>
        <w:t>[</w:t>
      </w:r>
      <w:r>
        <w:rPr>
          <w:b/>
        </w:rPr>
        <w:t>314, 315.</w:t>
      </w:r>
      <w:r>
        <w:tab/>
        <w:t>Deleted: No. 74 of 1985 s. 7.]</w:t>
      </w:r>
    </w:p>
    <w:p>
      <w:pPr>
        <w:pStyle w:val="Ednotesection"/>
        <w:ind w:left="890" w:hanging="890"/>
      </w:pPr>
      <w:r>
        <w:t>[</w:t>
      </w:r>
      <w:r>
        <w:rPr>
          <w:b/>
        </w:rPr>
        <w:t>316.</w:t>
      </w:r>
      <w:r>
        <w:tab/>
        <w:t>Deleted: No. 119 of 1985 s. 11.]</w:t>
      </w:r>
    </w:p>
    <w:p>
      <w:pPr>
        <w:pStyle w:val="Heading5"/>
        <w:rPr>
          <w:snapToGrid w:val="0"/>
        </w:rPr>
      </w:pPr>
      <w:bookmarkStart w:id="736" w:name="_Toc103864486"/>
      <w:bookmarkStart w:id="737" w:name="_Toc90996785"/>
      <w:r>
        <w:rPr>
          <w:rStyle w:val="CharSectno"/>
        </w:rPr>
        <w:t>317</w:t>
      </w:r>
      <w:r>
        <w:rPr>
          <w:snapToGrid w:val="0"/>
        </w:rPr>
        <w:t>.</w:t>
      </w:r>
      <w:r>
        <w:rPr>
          <w:snapToGrid w:val="0"/>
        </w:rPr>
        <w:tab/>
        <w:t>Assault causing bodily harm</w:t>
      </w:r>
      <w:bookmarkEnd w:id="736"/>
      <w:bookmarkEnd w:id="737"/>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keepNext/>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No. 119 of 1985 s. 12; amended: No. 106 of 1987 s. 24; No. 70 of 1988 s. 28; No. 82 of 1994 s. 12; No. 23 of 2001 s. 6; No. 38 of 2004 s. 68; No. 70 of 2004 s. 35(4) and 36(3); No. 2 of 2008 s. 7(1).]</w:t>
      </w:r>
    </w:p>
    <w:p>
      <w:pPr>
        <w:pStyle w:val="Heading5"/>
        <w:rPr>
          <w:snapToGrid w:val="0"/>
        </w:rPr>
      </w:pPr>
      <w:bookmarkStart w:id="738" w:name="_Toc103864487"/>
      <w:bookmarkStart w:id="739" w:name="_Toc90996786"/>
      <w:r>
        <w:rPr>
          <w:rStyle w:val="CharSectno"/>
        </w:rPr>
        <w:t>317A</w:t>
      </w:r>
      <w:r>
        <w:rPr>
          <w:snapToGrid w:val="0"/>
        </w:rPr>
        <w:t>.</w:t>
      </w:r>
      <w:r>
        <w:rPr>
          <w:snapToGrid w:val="0"/>
        </w:rPr>
        <w:tab/>
        <w:t>Assault with intent</w:t>
      </w:r>
      <w:bookmarkEnd w:id="738"/>
      <w:bookmarkEnd w:id="739"/>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No. 82 of 1994 s. 7; amended: No. 23 of 2001 s. 7; No. 38 of 2004 s. 69; No. 70 of 2004 s. 35(4) and 36(3); No. 2 of 2008 s. 8(1).]</w:t>
      </w:r>
    </w:p>
    <w:p>
      <w:pPr>
        <w:pStyle w:val="Heading5"/>
        <w:rPr>
          <w:snapToGrid w:val="0"/>
        </w:rPr>
      </w:pPr>
      <w:bookmarkStart w:id="740" w:name="_Toc103864488"/>
      <w:bookmarkStart w:id="741" w:name="_Toc90996787"/>
      <w:r>
        <w:rPr>
          <w:rStyle w:val="CharSectno"/>
        </w:rPr>
        <w:t>318</w:t>
      </w:r>
      <w:r>
        <w:rPr>
          <w:snapToGrid w:val="0"/>
        </w:rPr>
        <w:t>.</w:t>
      </w:r>
      <w:r>
        <w:rPr>
          <w:snapToGrid w:val="0"/>
        </w:rPr>
        <w:tab/>
        <w:t>Serious assault</w:t>
      </w:r>
      <w:bookmarkEnd w:id="740"/>
      <w:bookmarkEnd w:id="741"/>
    </w:p>
    <w:p>
      <w:pPr>
        <w:pStyle w:val="Subsection"/>
        <w:keepNext/>
        <w:keepLines/>
        <w:rPr>
          <w:snapToGrid w:val="0"/>
        </w:rPr>
      </w:pPr>
      <w:r>
        <w:rPr>
          <w:snapToGrid w:val="0"/>
        </w:rPr>
        <w:tab/>
        <w:t>(1)</w:t>
      </w:r>
      <w:r>
        <w:rPr>
          <w:snapToGrid w:val="0"/>
        </w:rPr>
        <w:tab/>
        <w:t>Any person who —</w:t>
      </w:r>
    </w:p>
    <w:p>
      <w:pPr>
        <w:pStyle w:val="Ednotepara"/>
        <w:tabs>
          <w:tab w:val="clear" w:pos="1325"/>
          <w:tab w:val="right" w:pos="1560"/>
        </w:tabs>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rPr>
          <w:snapToGrid w:val="0"/>
        </w:rPr>
      </w:pPr>
      <w:r>
        <w:rPr>
          <w:snapToGrid w:val="0"/>
        </w:rPr>
        <w:tab/>
        <w:t>(i)</w:t>
      </w:r>
      <w:r>
        <w:rPr>
          <w:snapToGrid w:val="0"/>
        </w:rPr>
        <w:tab/>
        <w:t>a vehicle travelling on a railway; or</w:t>
      </w:r>
    </w:p>
    <w:p>
      <w:pPr>
        <w:pStyle w:val="Indenti"/>
        <w:rPr>
          <w:snapToGrid w:val="0"/>
        </w:rPr>
      </w:pPr>
      <w:r>
        <w:rPr>
          <w:snapToGrid w:val="0"/>
        </w:rPr>
        <w:tab/>
        <w:t>(ii)</w:t>
      </w:r>
      <w:r>
        <w:rPr>
          <w:snapToGrid w:val="0"/>
        </w:rPr>
        <w:tab/>
        <w:t>a ferry; or</w:t>
      </w:r>
    </w:p>
    <w:p>
      <w:pPr>
        <w:pStyle w:val="Indenti"/>
      </w:pPr>
      <w:r>
        <w:tab/>
        <w:t>(iii)</w:t>
      </w:r>
      <w:r>
        <w:tab/>
        <w:t xml:space="preserve">a passenger transport vehicle as defined in the </w:t>
      </w:r>
      <w:r>
        <w:rPr>
          <w:i/>
        </w:rPr>
        <w:t>Transport (Road Passenger Services) Act 2018</w:t>
      </w:r>
      <w:r>
        <w:t xml:space="preserve"> section 4(1);</w:t>
      </w:r>
    </w:p>
    <w:p>
      <w:pPr>
        <w:pStyle w:val="Indenta"/>
        <w:rPr>
          <w:snapToGrid w:val="0"/>
        </w:rPr>
      </w:pPr>
      <w:r>
        <w:rPr>
          <w:snapToGrid w:val="0"/>
        </w:rPr>
        <w:tab/>
      </w:r>
      <w:r>
        <w:rPr>
          <w:snapToGrid w:val="0"/>
        </w:rPr>
        <w:tab/>
        <w:t>or</w:t>
      </w:r>
    </w:p>
    <w:p>
      <w:pPr>
        <w:pStyle w:val="Indenta"/>
      </w:pPr>
      <w:r>
        <w:tab/>
        <w:t>(h)</w:t>
      </w:r>
      <w:r>
        <w:tab/>
        <w:t>assaults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keepNext/>
        <w:spacing w:before="100"/>
      </w:pPr>
      <w:r>
        <w:tab/>
        <w:t>(iii)</w:t>
      </w:r>
      <w:r>
        <w:tab/>
        <w:t xml:space="preserve">a member or officer of a private fire brigade or volunteer fire brigade (within the meaning given to those terms by the </w:t>
      </w:r>
      <w:r>
        <w:rPr>
          <w:i/>
        </w:rPr>
        <w:t>Fire Brigades Act 1942</w:t>
      </w:r>
      <w:r>
        <w:t>),</w:t>
      </w:r>
    </w:p>
    <w:p>
      <w:pPr>
        <w:pStyle w:val="Indenta"/>
        <w:spacing w:before="100"/>
      </w:pPr>
      <w:r>
        <w:rPr>
          <w:szCs w:val="22"/>
        </w:rPr>
        <w:tab/>
      </w:r>
      <w:r>
        <w:rPr>
          <w:szCs w:val="22"/>
        </w:rPr>
        <w:tab/>
        <w:t>who is performing his or her duties as such; or</w:t>
      </w:r>
    </w:p>
    <w:p>
      <w:pPr>
        <w:pStyle w:val="Indenta"/>
        <w:spacing w:before="100"/>
      </w:pPr>
      <w:r>
        <w:tab/>
        <w:t>(i)</w:t>
      </w:r>
      <w:r>
        <w:tab/>
        <w:t>assaults a person who —</w:t>
      </w:r>
    </w:p>
    <w:p>
      <w:pPr>
        <w:pStyle w:val="Indenti"/>
        <w:spacing w:before="100"/>
      </w:pPr>
      <w:r>
        <w:rPr>
          <w:szCs w:val="22"/>
        </w:rPr>
        <w:tab/>
        <w:t>(i)</w:t>
      </w:r>
      <w:r>
        <w:rPr>
          <w:szCs w:val="22"/>
        </w:rPr>
        <w:tab/>
        <w:t>is working in a hospital; or</w:t>
      </w:r>
    </w:p>
    <w:p>
      <w:pPr>
        <w:pStyle w:val="Indenti"/>
        <w:spacing w:before="100"/>
      </w:pPr>
      <w:r>
        <w:tab/>
        <w:t>(ii)</w:t>
      </w:r>
      <w:r>
        <w:tab/>
        <w:t>is in the course of providing a health service to the public;</w:t>
      </w:r>
    </w:p>
    <w:p>
      <w:pPr>
        <w:pStyle w:val="Indenta"/>
        <w:spacing w:before="100"/>
      </w:pPr>
      <w:r>
        <w:rPr>
          <w:szCs w:val="22"/>
        </w:rPr>
        <w:tab/>
      </w:r>
      <w:r>
        <w:rPr>
          <w:szCs w:val="22"/>
        </w:rPr>
        <w:tab/>
        <w:t>or</w:t>
      </w:r>
    </w:p>
    <w:p>
      <w:pPr>
        <w:pStyle w:val="Indenta"/>
        <w:spacing w:before="100"/>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spacing w:before="100"/>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spacing w:before="180"/>
      </w:pPr>
      <w:r>
        <w:tab/>
      </w:r>
      <w:r>
        <w:tab/>
        <w:t>is guilty of a crime and is liable —</w:t>
      </w:r>
    </w:p>
    <w:p>
      <w:pPr>
        <w:pStyle w:val="Indenta"/>
        <w:spacing w:before="100"/>
      </w:pPr>
      <w:r>
        <w:tab/>
        <w:t>(l)</w:t>
      </w:r>
      <w:r>
        <w:tab/>
        <w:t>if at or immediately before or immediately after the commission of the offence —</w:t>
      </w:r>
    </w:p>
    <w:p>
      <w:pPr>
        <w:pStyle w:val="Indenti"/>
        <w:spacing w:before="100"/>
      </w:pPr>
      <w:r>
        <w:tab/>
        <w:t>(i)</w:t>
      </w:r>
      <w:r>
        <w:tab/>
        <w:t>the offender is armed with any dangerous or offensive weapon or instrument; or</w:t>
      </w:r>
    </w:p>
    <w:p>
      <w:pPr>
        <w:pStyle w:val="Indenti"/>
        <w:spacing w:before="100"/>
      </w:pPr>
      <w:r>
        <w:tab/>
        <w:t>(ii)</w:t>
      </w:r>
      <w:r>
        <w:tab/>
        <w:t>the offender is in company with another person or persons,</w:t>
      </w:r>
    </w:p>
    <w:p>
      <w:pPr>
        <w:pStyle w:val="Indenta"/>
        <w:spacing w:before="100"/>
      </w:pPr>
      <w:r>
        <w:tab/>
      </w:r>
      <w:r>
        <w:tab/>
        <w:t>to imprisonment for 10 years; or</w:t>
      </w:r>
    </w:p>
    <w:p>
      <w:pPr>
        <w:pStyle w:val="Indenta"/>
        <w:spacing w:before="100"/>
      </w:pPr>
      <w:r>
        <w:tab/>
        <w:t>(m)</w:t>
      </w:r>
      <w:r>
        <w:tab/>
        <w:t>in any other case, to imprisonment for 7 years.</w:t>
      </w:r>
    </w:p>
    <w:p>
      <w:pPr>
        <w:pStyle w:val="Penstart"/>
        <w:spacing w:before="100"/>
      </w:pPr>
      <w:r>
        <w:tab/>
        <w:t>Summary conviction penalty: in a case to which subsection (1)(m) applies: imprisonment for 3 years and a fine of $36 000.</w:t>
      </w:r>
    </w:p>
    <w:p>
      <w:pPr>
        <w:pStyle w:val="Subsection"/>
        <w:keepNext/>
        <w:keepLines/>
      </w:pPr>
      <w:r>
        <w:tab/>
        <w:t>(1A)</w:t>
      </w:r>
      <w:r>
        <w:tab/>
        <w:t xml:space="preserve">For the period of 27 months beginning on the day on which the </w:t>
      </w:r>
      <w:r>
        <w:rPr>
          <w:i/>
        </w:rPr>
        <w:t>Criminal Code Amendment (COVID</w:t>
      </w:r>
      <w:r>
        <w:rPr>
          <w:i/>
        </w:rPr>
        <w:noBreakHyphen/>
        <w:t>19 Response) Act 2020</w:t>
      </w:r>
      <w:r>
        <w:t xml:space="preserve"> section 4(1) comes into operation, subsection (1) applies as if amended by inserting after paragraph (l) — </w:t>
      </w:r>
    </w:p>
    <w:p>
      <w:pPr>
        <w:pStyle w:val="BlankOpen"/>
      </w:pPr>
    </w:p>
    <w:p>
      <w:pPr>
        <w:pStyle w:val="Indenta"/>
      </w:pPr>
      <w:r>
        <w:tab/>
        <w:t>(la)</w:t>
      </w:r>
      <w:r>
        <w:tab/>
        <w:t xml:space="preserve">to imprisonment for 10 years if — </w:t>
      </w:r>
    </w:p>
    <w:p>
      <w:pPr>
        <w:pStyle w:val="Indenti"/>
      </w:pPr>
      <w:r>
        <w:tab/>
        <w:t>(i)</w:t>
      </w:r>
      <w:r>
        <w:tab/>
        <w:t>at the commission of the offence the offender knows that the offender has COVID</w:t>
      </w:r>
      <w:r>
        <w:noBreakHyphen/>
        <w:t>19; or</w:t>
      </w:r>
    </w:p>
    <w:p>
      <w:pPr>
        <w:pStyle w:val="Indenti"/>
      </w:pPr>
      <w:r>
        <w:tab/>
        <w:t>(ii)</w:t>
      </w:r>
      <w:r>
        <w:tab/>
        <w:t>at or immediately before or immediately after the commission of the offence the offender makes a statement or does any other act that creates a belief, suspicion or fear that the offender has COVID</w:t>
      </w:r>
      <w:r>
        <w:noBreakHyphen/>
        <w:t>19;</w:t>
      </w:r>
    </w:p>
    <w:p>
      <w:pPr>
        <w:pStyle w:val="Indenta"/>
      </w:pPr>
      <w:r>
        <w:tab/>
      </w:r>
      <w:r>
        <w:tab/>
        <w:t>or</w:t>
      </w:r>
    </w:p>
    <w:p>
      <w:pPr>
        <w:pStyle w:val="BlankClose"/>
      </w:pPr>
    </w:p>
    <w:p>
      <w:pPr>
        <w:pStyle w:val="Subsection"/>
        <w:spacing w:before="180"/>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spacing w:before="100"/>
      </w:pPr>
      <w:r>
        <w:tab/>
        <w:t>(a)</w:t>
      </w:r>
      <w:r>
        <w:tab/>
        <w:t>must sentence the offender to either —</w:t>
      </w:r>
    </w:p>
    <w:p>
      <w:pPr>
        <w:pStyle w:val="Indenti"/>
        <w:spacing w:before="100"/>
      </w:pPr>
      <w:r>
        <w:tab/>
        <w:t>(i)</w:t>
      </w:r>
      <w:r>
        <w:tab/>
        <w:t xml:space="preserve">a term of imprisonment of at least 3 months, notwithstanding the </w:t>
      </w:r>
      <w:r>
        <w:rPr>
          <w:i/>
        </w:rPr>
        <w:t>Sentencing Act 1995</w:t>
      </w:r>
      <w:r>
        <w:t xml:space="preserve"> section 86; or</w:t>
      </w:r>
    </w:p>
    <w:p>
      <w:pPr>
        <w:pStyle w:val="Indenti"/>
        <w:spacing w:before="100"/>
      </w:pPr>
      <w:r>
        <w:tab/>
        <w:t>(ii)</w:t>
      </w:r>
      <w:r>
        <w:tab/>
        <w:t xml:space="preserve">to a term of detention (as defined in the </w:t>
      </w:r>
      <w:r>
        <w:rPr>
          <w:i/>
        </w:rPr>
        <w:t>Young Offenders Act 1994</w:t>
      </w:r>
      <w:r>
        <w:rPr>
          <w:iCs/>
        </w:rPr>
        <w:t xml:space="preserve"> section 3</w:t>
      </w:r>
      <w:r>
        <w:t>) of at least 3 months,</w:t>
      </w:r>
    </w:p>
    <w:p>
      <w:pPr>
        <w:pStyle w:val="Indenta"/>
        <w:spacing w:before="100"/>
      </w:pPr>
      <w:r>
        <w:tab/>
      </w:r>
      <w:r>
        <w:tab/>
        <w:t>as the court thinks fit; and</w:t>
      </w:r>
    </w:p>
    <w:p>
      <w:pPr>
        <w:pStyle w:val="Indenta"/>
        <w:spacing w:before="100"/>
      </w:pPr>
      <w:r>
        <w:tab/>
        <w:t>(b)</w:t>
      </w:r>
      <w:r>
        <w:tab/>
        <w:t>must not suspend any term of imprisonment imposed under paragraph (a)(i); and</w:t>
      </w:r>
    </w:p>
    <w:p>
      <w:pPr>
        <w:pStyle w:val="Indenta"/>
        <w:spacing w:before="100"/>
      </w:pPr>
      <w:r>
        <w:tab/>
        <w:t>(c)</w:t>
      </w:r>
      <w:r>
        <w:tab/>
        <w:t>must record a conviction against the person.</w:t>
      </w:r>
    </w:p>
    <w:p>
      <w:pPr>
        <w:pStyle w:val="Subsection"/>
        <w:spacing w:before="180"/>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spacing w:before="180"/>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spacing w:before="100"/>
      </w:pPr>
      <w:r>
        <w:tab/>
        <w:t>(a)</w:t>
      </w:r>
      <w:r>
        <w:tab/>
        <w:t>if the offence is committed in the circumstances set out in subsection (1)(l) — must sentence the person to a term of imprisonment of at least 9 months;</w:t>
      </w:r>
    </w:p>
    <w:p>
      <w:pPr>
        <w:pStyle w:val="Indenta"/>
        <w:spacing w:before="100"/>
      </w:pPr>
      <w:r>
        <w:tab/>
        <w:t>(b)</w:t>
      </w:r>
      <w:r>
        <w:tab/>
        <w:t>if the offence is not committed in the circumstances set out in subsection (1)(l) — must sentence the person to a term of imprisonment of at least 6 months,</w:t>
      </w:r>
    </w:p>
    <w:p>
      <w:pPr>
        <w:pStyle w:val="Subsection"/>
        <w:spacing w:before="180"/>
      </w:pPr>
      <w:r>
        <w:tab/>
      </w:r>
      <w:r>
        <w:tab/>
        <w:t>and must not suspend the term of imprisonment imposed under paragraph (a) or (b).</w:t>
      </w:r>
    </w:p>
    <w:p>
      <w:pPr>
        <w:pStyle w:val="Subsection"/>
        <w:keepNext/>
        <w:keepLines/>
        <w:spacing w:before="120"/>
      </w:pPr>
      <w:r>
        <w:tab/>
        <w:t>(5)</w:t>
      </w:r>
      <w:r>
        <w:tab/>
        <w:t>In subsections (2) and (4) —</w:t>
      </w:r>
    </w:p>
    <w:p>
      <w:pPr>
        <w:pStyle w:val="Defstart"/>
        <w:keepNext/>
        <w:keepLines/>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keepLines w:val="0"/>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keepLines w:val="0"/>
      </w:pPr>
      <w:r>
        <w:tab/>
        <w:t>(iiia)</w:t>
      </w:r>
      <w:r>
        <w:tab/>
        <w:t xml:space="preserve">a person appointed under the </w:t>
      </w:r>
      <w:r>
        <w:rPr>
          <w:i/>
        </w:rPr>
        <w:t>Young Offenders Act 1994</w:t>
      </w:r>
      <w:r>
        <w:t xml:space="preserve"> section 11(1a)(a); or</w:t>
      </w:r>
    </w:p>
    <w:p>
      <w:pPr>
        <w:pStyle w:val="Defsubpara"/>
        <w:keepLines w:val="0"/>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spacing w:before="120"/>
      </w:pPr>
      <w:r>
        <w:tab/>
      </w:r>
      <w:r>
        <w:tab/>
        <w:t>[Section 318 inserted: No. 119 of 1985 s. 13; amended: No 106 of 1987 s. 24; No. 70 of 1988 s. 29; No. 82 of 1994 s. 8; No. 70 of 2004 s. 35(3); No. 2 of 2008 s. 9; No. 21 of 2009 s. 5; No. 8 of 2012 s. 185; No. 22 of 2012 s. 116; No. 12 of 2013 s. 5; No. 26 of 2018 s. 309; No. 8 of 2020 s. 4(1); No. 39 of 2020 s. 4; No. 1 of 2021 s. 4; No. 21 of 2021 s. 4.]</w:t>
      </w:r>
    </w:p>
    <w:p>
      <w:pPr>
        <w:pStyle w:val="Heading5"/>
        <w:rPr>
          <w:snapToGrid w:val="0"/>
        </w:rPr>
      </w:pPr>
      <w:bookmarkStart w:id="742" w:name="_Toc103864489"/>
      <w:bookmarkStart w:id="743" w:name="_Toc90996788"/>
      <w:r>
        <w:rPr>
          <w:rStyle w:val="CharSectno"/>
        </w:rPr>
        <w:t>318A</w:t>
      </w:r>
      <w:r>
        <w:rPr>
          <w:snapToGrid w:val="0"/>
        </w:rPr>
        <w:t>.</w:t>
      </w:r>
      <w:r>
        <w:rPr>
          <w:snapToGrid w:val="0"/>
        </w:rPr>
        <w:tab/>
        <w:t>Assault on aircraft’s crew</w:t>
      </w:r>
      <w:bookmarkEnd w:id="742"/>
      <w:bookmarkEnd w:id="743"/>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No. 53 of 1964 s. 6; amended: No. 51 of 1992 s. 16(2); No. 70 of 2004 s. 36(3); No. 44 of 2009 s. 7.]</w:t>
      </w:r>
    </w:p>
    <w:p>
      <w:pPr>
        <w:pStyle w:val="Heading3"/>
        <w:pageBreakBefore/>
        <w:spacing w:before="0"/>
        <w:rPr>
          <w:snapToGrid w:val="0"/>
        </w:rPr>
      </w:pPr>
      <w:bookmarkStart w:id="744" w:name="_Toc103860964"/>
      <w:bookmarkStart w:id="745" w:name="_Toc103861486"/>
      <w:bookmarkStart w:id="746" w:name="_Toc103864490"/>
      <w:bookmarkStart w:id="747" w:name="_Toc90988777"/>
      <w:bookmarkStart w:id="748" w:name="_Toc90989300"/>
      <w:bookmarkStart w:id="749" w:name="_Toc90996789"/>
      <w:r>
        <w:rPr>
          <w:rStyle w:val="CharDivNo"/>
        </w:rPr>
        <w:t>Chapter XXXI</w:t>
      </w:r>
      <w:r>
        <w:rPr>
          <w:snapToGrid w:val="0"/>
        </w:rPr>
        <w:t> — </w:t>
      </w:r>
      <w:r>
        <w:rPr>
          <w:rStyle w:val="CharDivText"/>
        </w:rPr>
        <w:t>Sexual offences</w:t>
      </w:r>
      <w:bookmarkEnd w:id="744"/>
      <w:bookmarkEnd w:id="745"/>
      <w:bookmarkEnd w:id="746"/>
      <w:bookmarkEnd w:id="747"/>
      <w:bookmarkEnd w:id="748"/>
      <w:bookmarkEnd w:id="749"/>
    </w:p>
    <w:p>
      <w:pPr>
        <w:pStyle w:val="Footnoteheading"/>
        <w:rPr>
          <w:snapToGrid w:val="0"/>
        </w:rPr>
      </w:pPr>
      <w:r>
        <w:rPr>
          <w:snapToGrid w:val="0"/>
        </w:rPr>
        <w:tab/>
        <w:t>[Heading inserted: No. 14 of 1992 s. 6(1).]</w:t>
      </w:r>
    </w:p>
    <w:p>
      <w:pPr>
        <w:pStyle w:val="Heading5"/>
        <w:keepNext w:val="0"/>
        <w:keepLines w:val="0"/>
        <w:rPr>
          <w:snapToGrid w:val="0"/>
        </w:rPr>
      </w:pPr>
      <w:bookmarkStart w:id="750" w:name="_Toc103864491"/>
      <w:bookmarkStart w:id="751" w:name="_Toc90996790"/>
      <w:r>
        <w:rPr>
          <w:rStyle w:val="CharSectno"/>
        </w:rPr>
        <w:t>319</w:t>
      </w:r>
      <w:r>
        <w:rPr>
          <w:snapToGrid w:val="0"/>
        </w:rPr>
        <w:t>.</w:t>
      </w:r>
      <w:r>
        <w:rPr>
          <w:snapToGrid w:val="0"/>
        </w:rPr>
        <w:tab/>
        <w:t>Terms used</w:t>
      </w:r>
      <w:bookmarkEnd w:id="750"/>
      <w:bookmarkEnd w:id="751"/>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pPr>
      <w:r>
        <w:tab/>
        <w:t>(i)</w:t>
      </w:r>
      <w:r>
        <w:tab/>
        <w:t>the offender is armed with any dangerous or offensive weapon or instrument or pretends to be so armed; or</w:t>
      </w:r>
    </w:p>
    <w:p>
      <w:pPr>
        <w:pStyle w:val="Defsubpara"/>
        <w:keepLines w:val="0"/>
      </w:pPr>
      <w:r>
        <w:tab/>
        <w:t>(ii)</w:t>
      </w:r>
      <w:r>
        <w:tab/>
        <w:t>the offender is in company with another person or persons; or</w:t>
      </w:r>
    </w:p>
    <w:p>
      <w:pPr>
        <w:pStyle w:val="Defsubpara"/>
        <w:keepLines w:val="0"/>
      </w:pPr>
      <w:r>
        <w:tab/>
        <w:t>(iii)</w:t>
      </w:r>
      <w:r>
        <w:tab/>
        <w:t>the offender does bodily harm to any person; or</w:t>
      </w:r>
    </w:p>
    <w:p>
      <w:pPr>
        <w:pStyle w:val="Defsubpara"/>
        <w:keepLines w:val="0"/>
      </w:pPr>
      <w:r>
        <w:tab/>
        <w:t>(iv)</w:t>
      </w:r>
      <w:r>
        <w:tab/>
        <w:t>the offender does an act which is likely seriously and substantially to degrade or humiliate the victim; or</w:t>
      </w:r>
    </w:p>
    <w:p>
      <w:pPr>
        <w:pStyle w:val="Defsubpara"/>
        <w:keepNext/>
        <w:keepLines w:val="0"/>
      </w:pPr>
      <w:r>
        <w:tab/>
        <w:t>(v)</w:t>
      </w:r>
      <w: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spacing w:before="100"/>
      </w:pPr>
      <w:r>
        <w:rPr>
          <w:b/>
        </w:rPr>
        <w:tab/>
      </w:r>
      <w:r>
        <w:rPr>
          <w:rStyle w:val="CharDefText"/>
        </w:rPr>
        <w:t>to sexually penetrate</w:t>
      </w:r>
      <w:r>
        <w:t xml:space="preserve"> means —</w:t>
      </w:r>
    </w:p>
    <w:p>
      <w:pPr>
        <w:pStyle w:val="Defpara"/>
        <w:spacing w:before="60"/>
      </w:pPr>
      <w:r>
        <w:tab/>
        <w:t>(a)</w:t>
      </w:r>
      <w:r>
        <w:tab/>
        <w:t xml:space="preserve">to penetrate the vagina (which term includes the </w:t>
      </w:r>
      <w:r>
        <w:rPr>
          <w:i/>
        </w:rPr>
        <w:t>labia majora</w:t>
      </w:r>
      <w:r>
        <w:t>), the anus, or the urethra of any person with —</w:t>
      </w:r>
    </w:p>
    <w:p>
      <w:pPr>
        <w:pStyle w:val="Defsubpara"/>
        <w:spacing w:before="60"/>
      </w:pPr>
      <w:r>
        <w:tab/>
        <w:t>(i)</w:t>
      </w:r>
      <w:r>
        <w:tab/>
        <w:t>any part of the body of another person; or</w:t>
      </w:r>
    </w:p>
    <w:p>
      <w:pPr>
        <w:pStyle w:val="Defsubpara"/>
        <w:spacing w:before="60"/>
      </w:pPr>
      <w:r>
        <w:tab/>
        <w:t>(ii)</w:t>
      </w:r>
      <w:r>
        <w:tab/>
        <w:t>an object manipulated by another person,</w:t>
      </w:r>
    </w:p>
    <w:p>
      <w:pPr>
        <w:pStyle w:val="Defpara"/>
        <w:spacing w:before="60"/>
      </w:pPr>
      <w:r>
        <w:tab/>
      </w:r>
      <w:r>
        <w:tab/>
        <w:t>except where the penetration is carried out for proper medical purposes; or</w:t>
      </w:r>
    </w:p>
    <w:p>
      <w:pPr>
        <w:pStyle w:val="Defpara"/>
        <w:spacing w:before="60"/>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spacing w:before="60"/>
      </w:pPr>
      <w:r>
        <w:tab/>
        <w:t>(c)</w:t>
      </w:r>
      <w:r>
        <w:tab/>
        <w:t>to introduce any part of the penis of a person into the mouth of another person; or</w:t>
      </w:r>
    </w:p>
    <w:p>
      <w:pPr>
        <w:pStyle w:val="Defpara"/>
        <w:keepLines/>
        <w:spacing w:before="60"/>
      </w:pPr>
      <w:r>
        <w:tab/>
        <w:t>(d)</w:t>
      </w:r>
      <w:r>
        <w:tab/>
        <w:t>to engage in cunnilingus or fellatio; or</w:t>
      </w:r>
    </w:p>
    <w:p>
      <w:pPr>
        <w:pStyle w:val="Defpara"/>
        <w:spacing w:before="60"/>
      </w:pPr>
      <w:r>
        <w:tab/>
        <w:t>(e)</w:t>
      </w:r>
      <w:r>
        <w:tab/>
        <w:t>to continue sexual penetration as defined in paragraph (a), (b), (c) or (d).</w:t>
      </w:r>
    </w:p>
    <w:p>
      <w:pPr>
        <w:pStyle w:val="Subsection"/>
        <w:keepNext/>
        <w:keepLines/>
        <w:spacing w:before="120"/>
        <w:rPr>
          <w:snapToGrid w:val="0"/>
        </w:rPr>
      </w:pPr>
      <w:r>
        <w:rPr>
          <w:snapToGrid w:val="0"/>
        </w:rPr>
        <w:tab/>
        <w:t>(2)</w:t>
      </w:r>
      <w:r>
        <w:rPr>
          <w:snapToGrid w:val="0"/>
        </w:rPr>
        <w:tab/>
        <w:t>For the purposes of this Chapter —</w:t>
      </w:r>
    </w:p>
    <w:p>
      <w:pPr>
        <w:pStyle w:val="Indenta"/>
        <w:spacing w:before="60"/>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spacing w:before="60"/>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pPr>
        <w:pStyle w:val="Subsection"/>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spacing w:before="60"/>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No. 14 of 1992 s. 6(1); amended: No. 38 of 2004 s. 70.]</w:t>
      </w:r>
    </w:p>
    <w:p>
      <w:pPr>
        <w:pStyle w:val="Heading5"/>
        <w:spacing w:before="400"/>
        <w:rPr>
          <w:snapToGrid w:val="0"/>
        </w:rPr>
      </w:pPr>
      <w:bookmarkStart w:id="752" w:name="_Toc103864492"/>
      <w:bookmarkStart w:id="753" w:name="_Toc90996791"/>
      <w:r>
        <w:rPr>
          <w:rStyle w:val="CharSectno"/>
        </w:rPr>
        <w:t>320</w:t>
      </w:r>
      <w:r>
        <w:rPr>
          <w:snapToGrid w:val="0"/>
        </w:rPr>
        <w:t>.</w:t>
      </w:r>
      <w:r>
        <w:rPr>
          <w:snapToGrid w:val="0"/>
        </w:rPr>
        <w:tab/>
        <w:t>Child under 13, sexual offences against</w:t>
      </w:r>
      <w:bookmarkEnd w:id="752"/>
      <w:bookmarkEnd w:id="753"/>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keepNext/>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Subsection"/>
      </w:pPr>
      <w:r>
        <w:tab/>
        <w:t>(7)</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(2), (3), (4), (5) or (6) constitutes the offence.</w:t>
      </w:r>
    </w:p>
    <w:p>
      <w:pPr>
        <w:pStyle w:val="Subsection"/>
      </w:pPr>
      <w:r>
        <w:tab/>
        <w:t>(8)</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(9)</w:t>
      </w:r>
      <w:r>
        <w:tab/>
        <w:t xml:space="preserve">Subsection (8) does not prevent a court from making a direction under the </w:t>
      </w:r>
      <w:r>
        <w:rPr>
          <w:i/>
        </w:rPr>
        <w:t>Young Offenders Act 1994</w:t>
      </w:r>
      <w:r>
        <w:t xml:space="preserve"> section 118(4).</w:t>
      </w:r>
    </w:p>
    <w:p>
      <w:pPr>
        <w:pStyle w:val="Footnotesection"/>
        <w:keepLines w:val="0"/>
      </w:pPr>
      <w:r>
        <w:tab/>
        <w:t>[Section 320 inserted: No. 14 of 1992 s. 6(1); amended: No. 70 of 2004 s. 36(3); No. 25 of 2015 s. 11.]</w:t>
      </w:r>
    </w:p>
    <w:p>
      <w:pPr>
        <w:pStyle w:val="Heading5"/>
        <w:keepNext w:val="0"/>
        <w:keepLines w:val="0"/>
        <w:pageBreakBefore/>
        <w:spacing w:before="0"/>
        <w:rPr>
          <w:snapToGrid w:val="0"/>
        </w:rPr>
      </w:pPr>
      <w:bookmarkStart w:id="754" w:name="_Toc103864493"/>
      <w:bookmarkStart w:id="755" w:name="_Toc90996792"/>
      <w:r>
        <w:rPr>
          <w:rStyle w:val="CharSectno"/>
        </w:rPr>
        <w:t>321</w:t>
      </w:r>
      <w:r>
        <w:rPr>
          <w:snapToGrid w:val="0"/>
        </w:rPr>
        <w:t>.</w:t>
      </w:r>
      <w:r>
        <w:rPr>
          <w:snapToGrid w:val="0"/>
        </w:rPr>
        <w:tab/>
        <w:t>Child of or over 13 and under 16, sexual offences against</w:t>
      </w:r>
      <w:bookmarkEnd w:id="754"/>
      <w:bookmarkEnd w:id="755"/>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Ednotesubsection"/>
      </w:pPr>
      <w:r>
        <w:tab/>
        <w:t>[(10)-(13)</w:t>
      </w:r>
      <w:r>
        <w:tab/>
        <w:t>deleted]</w:t>
      </w:r>
    </w:p>
    <w:p>
      <w:pPr>
        <w:pStyle w:val="Subsection"/>
      </w:pPr>
      <w:r>
        <w:tab/>
        <w:t>(14)</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(15)</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(16)</w:t>
      </w:r>
      <w:r>
        <w:tab/>
        <w:t xml:space="preserve">Subsection (15) does not prevent a court from making a direction under the </w:t>
      </w:r>
      <w:r>
        <w:rPr>
          <w:i/>
        </w:rPr>
        <w:t>Young Offenders Act 1994</w:t>
      </w:r>
      <w:r>
        <w:t xml:space="preserve"> section 118(4).</w:t>
      </w:r>
    </w:p>
    <w:p>
      <w:pPr>
        <w:pStyle w:val="Footnotesection"/>
      </w:pPr>
      <w:r>
        <w:tab/>
        <w:t>[Section 321 inserted: No. 14 of 1992 s. 6(1); amended: No. 3 of 2002 s. 38; No. 4 of 2004 s. 62; No. 70 of 2004 s. 36(3); No. 25 of 2015 s. 12; No. 2 of 2020 s. 4.]</w:t>
      </w:r>
    </w:p>
    <w:p>
      <w:pPr>
        <w:pStyle w:val="Heading5"/>
      </w:pPr>
      <w:bookmarkStart w:id="756" w:name="_Toc103864494"/>
      <w:bookmarkStart w:id="757" w:name="_Toc90996793"/>
      <w:r>
        <w:rPr>
          <w:rStyle w:val="CharSectno"/>
        </w:rPr>
        <w:t>321A</w:t>
      </w:r>
      <w:r>
        <w:t>.</w:t>
      </w:r>
      <w:r>
        <w:tab/>
        <w:t>Child under 16, persistent sexual conduct with</w:t>
      </w:r>
      <w:bookmarkEnd w:id="756"/>
      <w:bookmarkEnd w:id="757"/>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keepNext/>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Ednotesubsection"/>
      </w:pPr>
      <w:r>
        <w:tab/>
        <w:t>[(10)</w:t>
      </w:r>
      <w:r>
        <w:tab/>
        <w:t>deleted]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No. 2 of 2008 s. 10; amended: No. 2 of 2020 s. 5.]</w:t>
      </w:r>
    </w:p>
    <w:p>
      <w:pPr>
        <w:pStyle w:val="Heading5"/>
        <w:keepLines w:val="0"/>
        <w:spacing w:before="180"/>
        <w:rPr>
          <w:snapToGrid w:val="0"/>
        </w:rPr>
      </w:pPr>
      <w:bookmarkStart w:id="758" w:name="_Toc103864495"/>
      <w:bookmarkStart w:id="759" w:name="_Toc90996794"/>
      <w:r>
        <w:rPr>
          <w:rStyle w:val="CharSectno"/>
        </w:rPr>
        <w:t>322</w:t>
      </w:r>
      <w:r>
        <w:rPr>
          <w:snapToGrid w:val="0"/>
        </w:rPr>
        <w:t>.</w:t>
      </w:r>
      <w:r>
        <w:rPr>
          <w:snapToGrid w:val="0"/>
        </w:rPr>
        <w:tab/>
        <w:t>Child of or over 16, sexual offences against by person in authority etc.</w:t>
      </w:r>
      <w:bookmarkEnd w:id="758"/>
      <w:bookmarkEnd w:id="759"/>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No. 14 of 1992 s. 6(1); amended: No. 3 of 2002 s. 40; No. 70 of 2004 s. 36(3).]</w:t>
      </w:r>
    </w:p>
    <w:p>
      <w:pPr>
        <w:pStyle w:val="Ednotesection"/>
      </w:pPr>
      <w:r>
        <w:t>[</w:t>
      </w:r>
      <w:r>
        <w:rPr>
          <w:b/>
        </w:rPr>
        <w:t>322A.</w:t>
      </w:r>
      <w:r>
        <w:tab/>
        <w:t>Deleted: No. 3 of 2002 s. 41(1).]</w:t>
      </w:r>
    </w:p>
    <w:p>
      <w:pPr>
        <w:pStyle w:val="Heading5"/>
        <w:rPr>
          <w:snapToGrid w:val="0"/>
        </w:rPr>
      </w:pPr>
      <w:bookmarkStart w:id="760" w:name="_Toc103864496"/>
      <w:bookmarkStart w:id="761" w:name="_Toc90996795"/>
      <w:r>
        <w:rPr>
          <w:rStyle w:val="CharSectno"/>
        </w:rPr>
        <w:t>323</w:t>
      </w:r>
      <w:r>
        <w:rPr>
          <w:snapToGrid w:val="0"/>
        </w:rPr>
        <w:t>.</w:t>
      </w:r>
      <w:r>
        <w:rPr>
          <w:snapToGrid w:val="0"/>
        </w:rPr>
        <w:tab/>
        <w:t>Indecent assault</w:t>
      </w:r>
      <w:bookmarkEnd w:id="760"/>
      <w:bookmarkEnd w:id="761"/>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No. 14 of 1992 s. 6(1); amended: No. 36 of 1996 s. 17; No. 70 of 2004 s. 35(2).]</w:t>
      </w:r>
    </w:p>
    <w:p>
      <w:pPr>
        <w:pStyle w:val="Heading5"/>
        <w:spacing w:before="180"/>
        <w:rPr>
          <w:snapToGrid w:val="0"/>
        </w:rPr>
      </w:pPr>
      <w:bookmarkStart w:id="762" w:name="_Toc103864497"/>
      <w:bookmarkStart w:id="763" w:name="_Toc90996796"/>
      <w:r>
        <w:rPr>
          <w:rStyle w:val="CharSectno"/>
        </w:rPr>
        <w:t>324</w:t>
      </w:r>
      <w:r>
        <w:rPr>
          <w:snapToGrid w:val="0"/>
        </w:rPr>
        <w:t>.</w:t>
      </w:r>
      <w:r>
        <w:rPr>
          <w:snapToGrid w:val="0"/>
        </w:rPr>
        <w:tab/>
        <w:t>Aggravated indecent assault</w:t>
      </w:r>
      <w:bookmarkEnd w:id="762"/>
      <w:bookmarkEnd w:id="763"/>
    </w:p>
    <w:p>
      <w:pPr>
        <w:pStyle w:val="Subsection"/>
        <w:keepNext/>
        <w:keepLines/>
        <w:rPr>
          <w:snapToGrid w:val="0"/>
        </w:rPr>
      </w:pPr>
      <w:r>
        <w:tab/>
        <w:t>(1)</w:t>
      </w:r>
      <w:r>
        <w:tab/>
        <w:t>A person</w:t>
      </w:r>
      <w:r>
        <w:rPr>
          <w:snapToGrid w:val="0"/>
        </w:rPr>
        <w:t xml:space="preserve">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Subsection"/>
      </w:pPr>
      <w:r>
        <w:tab/>
        <w:t>(2)</w:t>
      </w:r>
      <w:r>
        <w:tab/>
        <w:t>If the offence is committed in the course of conduct that constituted an aggravated home burglary it is not to be dealt with summarily.</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 (not being the term specified in the summary conviction penalty in that subsection).</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keepLines w:val="0"/>
      </w:pPr>
      <w:r>
        <w:tab/>
        <w:t>[Section 324 inserted: No. 14 of 1992 s. 6(1); amended: No. 36 of 1996 s. 18; No. 70 of 2004 s. 35(3) and 36(3); No. 25 of 2015 s. 13.]</w:t>
      </w:r>
    </w:p>
    <w:p>
      <w:pPr>
        <w:pStyle w:val="Heading5"/>
        <w:spacing w:before="180"/>
        <w:rPr>
          <w:snapToGrid w:val="0"/>
        </w:rPr>
      </w:pPr>
      <w:bookmarkStart w:id="764" w:name="_Toc103864498"/>
      <w:bookmarkStart w:id="765" w:name="_Toc90996797"/>
      <w:r>
        <w:rPr>
          <w:rStyle w:val="CharSectno"/>
        </w:rPr>
        <w:t>325</w:t>
      </w:r>
      <w:r>
        <w:rPr>
          <w:snapToGrid w:val="0"/>
        </w:rPr>
        <w:t>.</w:t>
      </w:r>
      <w:r>
        <w:rPr>
          <w:snapToGrid w:val="0"/>
        </w:rPr>
        <w:tab/>
        <w:t>Sexual penetration without consent</w:t>
      </w:r>
      <w:bookmarkEnd w:id="764"/>
      <w:bookmarkEnd w:id="765"/>
    </w:p>
    <w:p>
      <w:pPr>
        <w:pStyle w:val="Subsection"/>
        <w:keepNext/>
        <w:keepLines/>
        <w:spacing w:before="120"/>
        <w:rPr>
          <w:snapToGrid w:val="0"/>
        </w:rPr>
      </w:pPr>
      <w:r>
        <w:tab/>
        <w:t>(1)</w:t>
      </w:r>
      <w:r>
        <w:tab/>
        <w:t>A person</w:t>
      </w:r>
      <w:r>
        <w:rPr>
          <w:snapToGrid w:val="0"/>
        </w:rPr>
        <w:t xml:space="preserve">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325 inserted: No. 14 of 1992 s. 6(1); amended: No. 70 of 2004 s. 36(3); No. 25 of 2015 s. 14.]</w:t>
      </w:r>
    </w:p>
    <w:p>
      <w:pPr>
        <w:pStyle w:val="Heading5"/>
        <w:spacing w:before="180"/>
        <w:rPr>
          <w:snapToGrid w:val="0"/>
        </w:rPr>
      </w:pPr>
      <w:bookmarkStart w:id="766" w:name="_Toc103864499"/>
      <w:bookmarkStart w:id="767" w:name="_Toc90996798"/>
      <w:r>
        <w:rPr>
          <w:rStyle w:val="CharSectno"/>
        </w:rPr>
        <w:t>326</w:t>
      </w:r>
      <w:r>
        <w:rPr>
          <w:snapToGrid w:val="0"/>
        </w:rPr>
        <w:t>.</w:t>
      </w:r>
      <w:r>
        <w:rPr>
          <w:snapToGrid w:val="0"/>
        </w:rPr>
        <w:tab/>
        <w:t>Aggravated sexual penetration without consent</w:t>
      </w:r>
      <w:bookmarkEnd w:id="766"/>
      <w:bookmarkEnd w:id="767"/>
    </w:p>
    <w:p>
      <w:pPr>
        <w:pStyle w:val="Subsection"/>
        <w:keepNext/>
        <w:keepLines/>
        <w:spacing w:before="120"/>
        <w:rPr>
          <w:snapToGrid w:val="0"/>
        </w:rPr>
      </w:pPr>
      <w:r>
        <w:tab/>
        <w:t>(1)</w:t>
      </w:r>
      <w:r>
        <w:tab/>
        <w:t>A person</w:t>
      </w:r>
      <w:r>
        <w:rPr>
          <w:snapToGrid w:val="0"/>
        </w:rPr>
        <w:t xml:space="preserve">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ind w:left="890" w:hanging="890"/>
      </w:pPr>
      <w:r>
        <w:tab/>
        <w:t>[Section 326 inserted: No. 14 of 1992 s. 6(1); amended: No. 70 of 2004 s. 36(3); No. 25 of 2015 s. 15.]</w:t>
      </w:r>
    </w:p>
    <w:p>
      <w:pPr>
        <w:pStyle w:val="Heading5"/>
        <w:rPr>
          <w:snapToGrid w:val="0"/>
        </w:rPr>
      </w:pPr>
      <w:bookmarkStart w:id="768" w:name="_Toc103864500"/>
      <w:bookmarkStart w:id="769" w:name="_Toc90996799"/>
      <w:r>
        <w:rPr>
          <w:rStyle w:val="CharSectno"/>
        </w:rPr>
        <w:t>327</w:t>
      </w:r>
      <w:r>
        <w:rPr>
          <w:snapToGrid w:val="0"/>
        </w:rPr>
        <w:t>.</w:t>
      </w:r>
      <w:r>
        <w:rPr>
          <w:snapToGrid w:val="0"/>
        </w:rPr>
        <w:tab/>
        <w:t>Sexual coercion</w:t>
      </w:r>
      <w:bookmarkEnd w:id="768"/>
      <w:bookmarkEnd w:id="769"/>
    </w:p>
    <w:p>
      <w:pPr>
        <w:pStyle w:val="Subsection"/>
        <w:rPr>
          <w:snapToGrid w:val="0"/>
        </w:rPr>
      </w:pPr>
      <w:r>
        <w:tab/>
        <w:t>(1)</w:t>
      </w:r>
      <w:r>
        <w:tab/>
        <w:t>A person</w:t>
      </w:r>
      <w:r>
        <w:rPr>
          <w:snapToGrid w:val="0"/>
        </w:rPr>
        <w:t xml:space="preserve"> who compels another person to engage in sexual behaviour is guilty of a crime and is liable to imprisonment for 14 years.</w:t>
      </w:r>
    </w:p>
    <w:p>
      <w:pPr>
        <w:pStyle w:val="Penstart"/>
        <w:rPr>
          <w:snapToGrid w:val="0"/>
        </w:rPr>
      </w:pPr>
      <w:r>
        <w:tab/>
        <w:t>Alternative offence: s. 322(3), (4) or (5).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spacing w:before="80"/>
        <w:ind w:left="890" w:hanging="890"/>
      </w:pPr>
      <w:r>
        <w:tab/>
        <w:t>[Section 327 inserted: No. 14 of 1992 s. 6(1); amended: No. 70 of 2004 s. 36(3); No. 25 of 2015 s. 16.]</w:t>
      </w:r>
    </w:p>
    <w:p>
      <w:pPr>
        <w:pStyle w:val="Heading5"/>
        <w:keepLines w:val="0"/>
        <w:spacing w:before="180"/>
        <w:rPr>
          <w:snapToGrid w:val="0"/>
        </w:rPr>
      </w:pPr>
      <w:bookmarkStart w:id="770" w:name="_Toc103864501"/>
      <w:bookmarkStart w:id="771" w:name="_Toc90996800"/>
      <w:r>
        <w:rPr>
          <w:rStyle w:val="CharSectno"/>
        </w:rPr>
        <w:t>328</w:t>
      </w:r>
      <w:r>
        <w:rPr>
          <w:snapToGrid w:val="0"/>
        </w:rPr>
        <w:t>.</w:t>
      </w:r>
      <w:r>
        <w:rPr>
          <w:snapToGrid w:val="0"/>
        </w:rPr>
        <w:tab/>
        <w:t>Aggravated sexual coercion</w:t>
      </w:r>
      <w:bookmarkEnd w:id="770"/>
      <w:bookmarkEnd w:id="771"/>
    </w:p>
    <w:p>
      <w:pPr>
        <w:pStyle w:val="Subsection"/>
        <w:keepNext/>
        <w:rPr>
          <w:snapToGrid w:val="0"/>
        </w:rPr>
      </w:pPr>
      <w:r>
        <w:tab/>
        <w:t>(1)</w:t>
      </w:r>
      <w:r>
        <w:tab/>
        <w:t>A person</w:t>
      </w:r>
      <w:r>
        <w:rPr>
          <w:snapToGrid w:val="0"/>
        </w:rPr>
        <w:t xml:space="preserve">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Subsection"/>
        <w:spacing w:before="120"/>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spacing w:before="120"/>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pPr>
      <w:r>
        <w:tab/>
        <w:t>[Section 328 inserted: No. 14 of 1992 s. 6(1); amended: No. 70 of 2004 s. 36(3); No. 25 of 2015 s. 17.]</w:t>
      </w:r>
    </w:p>
    <w:p>
      <w:pPr>
        <w:pStyle w:val="Heading5"/>
        <w:rPr>
          <w:snapToGrid w:val="0"/>
        </w:rPr>
      </w:pPr>
      <w:bookmarkStart w:id="772" w:name="_Toc103864502"/>
      <w:bookmarkStart w:id="773" w:name="_Toc90996801"/>
      <w:r>
        <w:rPr>
          <w:rStyle w:val="CharSectno"/>
        </w:rPr>
        <w:t>329</w:t>
      </w:r>
      <w:r>
        <w:rPr>
          <w:snapToGrid w:val="0"/>
        </w:rPr>
        <w:t>.</w:t>
      </w:r>
      <w:r>
        <w:rPr>
          <w:snapToGrid w:val="0"/>
        </w:rPr>
        <w:tab/>
        <w:t>Relatives and the like, sexual offences by</w:t>
      </w:r>
      <w:bookmarkEnd w:id="772"/>
      <w:bookmarkEnd w:id="773"/>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No. 14 of 1992 s. 6(1); amended: No. 3 of 2002 s. 42; No. 70 of 2004 s. 36(3).]</w:t>
      </w:r>
    </w:p>
    <w:p>
      <w:pPr>
        <w:pStyle w:val="Heading5"/>
        <w:spacing w:before="180"/>
        <w:rPr>
          <w:snapToGrid w:val="0"/>
        </w:rPr>
      </w:pPr>
      <w:bookmarkStart w:id="774" w:name="_Toc103864503"/>
      <w:bookmarkStart w:id="775" w:name="_Toc90996802"/>
      <w:r>
        <w:rPr>
          <w:rStyle w:val="CharSectno"/>
        </w:rPr>
        <w:t>330</w:t>
      </w:r>
      <w:r>
        <w:rPr>
          <w:snapToGrid w:val="0"/>
        </w:rPr>
        <w:t>.</w:t>
      </w:r>
      <w:r>
        <w:rPr>
          <w:snapToGrid w:val="0"/>
        </w:rPr>
        <w:tab/>
        <w:t>Incapable person, sexual offences against</w:t>
      </w:r>
      <w:bookmarkEnd w:id="774"/>
      <w:bookmarkEnd w:id="775"/>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keepNext/>
        <w:spacing w:before="120"/>
        <w:rPr>
          <w:snapToGrid w:val="0"/>
        </w:rPr>
      </w:pPr>
      <w:r>
        <w:rPr>
          <w:snapToGrid w:val="0"/>
        </w:rPr>
        <w:tab/>
        <w:t>(8)</w:t>
      </w:r>
      <w:r>
        <w:rPr>
          <w:snapToGrid w:val="0"/>
        </w:rPr>
        <w:tab/>
        <w:t>A person who is guilty of a crime under subsection (4), (5) or (6) is liable to imprisonment for —</w:t>
      </w:r>
    </w:p>
    <w:p>
      <w:pPr>
        <w:pStyle w:val="Indenta"/>
        <w:keepNext/>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rPr>
          <w:snapToGrid w:val="0"/>
        </w:rPr>
      </w:pPr>
      <w:r>
        <w:rPr>
          <w:snapToGrid w:val="0"/>
        </w:rPr>
        <w:tab/>
        <w:t>(9)</w:t>
      </w:r>
      <w:r>
        <w:rPr>
          <w:snapToGrid w:val="0"/>
        </w:rPr>
        <w:tab/>
        <w:t>It is a defence to a charge under this section to prove the accused person was lawfully married to the incapable person.</w:t>
      </w:r>
    </w:p>
    <w:p>
      <w:pPr>
        <w:pStyle w:val="Subsection"/>
      </w:pPr>
      <w:r>
        <w:tab/>
        <w:t>(10)</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(11)</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(12)</w:t>
      </w:r>
      <w:r>
        <w:tab/>
        <w:t xml:space="preserve">Subsection (11) does not prevent a court from making a direction under the </w:t>
      </w:r>
      <w:r>
        <w:rPr>
          <w:i/>
        </w:rPr>
        <w:t>Young Offenders Act 1994</w:t>
      </w:r>
      <w:r>
        <w:t xml:space="preserve"> section 118(4).</w:t>
      </w:r>
    </w:p>
    <w:p>
      <w:pPr>
        <w:pStyle w:val="Footnotesection"/>
      </w:pPr>
      <w:r>
        <w:tab/>
        <w:t>[Section 330 inserted: No. 14 of 1992 s. 6(1); amended: No. 69 of 1996 s. 11; No. 70 of 2004 s. 36(3); No. 25 of 2015 s. 18.]</w:t>
      </w:r>
    </w:p>
    <w:p>
      <w:pPr>
        <w:pStyle w:val="Heading5"/>
        <w:rPr>
          <w:snapToGrid w:val="0"/>
        </w:rPr>
      </w:pPr>
      <w:bookmarkStart w:id="776" w:name="_Toc103864504"/>
      <w:bookmarkStart w:id="777" w:name="_Toc90996803"/>
      <w:r>
        <w:rPr>
          <w:rStyle w:val="CharSectno"/>
        </w:rPr>
        <w:t>331</w:t>
      </w:r>
      <w:r>
        <w:rPr>
          <w:snapToGrid w:val="0"/>
        </w:rPr>
        <w:t>.</w:t>
      </w:r>
      <w:r>
        <w:rPr>
          <w:snapToGrid w:val="0"/>
        </w:rPr>
        <w:tab/>
        <w:t>Ignorance of age no defence for s. 320 and 329</w:t>
      </w:r>
      <w:bookmarkEnd w:id="776"/>
      <w:bookmarkEnd w:id="777"/>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No. 14 of 1992 s. 6(1).]</w:t>
      </w:r>
    </w:p>
    <w:p>
      <w:pPr>
        <w:pStyle w:val="Heading5"/>
        <w:spacing w:before="240"/>
      </w:pPr>
      <w:bookmarkStart w:id="778" w:name="_Toc103864505"/>
      <w:bookmarkStart w:id="779" w:name="_Toc90996804"/>
      <w:r>
        <w:rPr>
          <w:rStyle w:val="CharSectno"/>
        </w:rPr>
        <w:t>331A</w:t>
      </w:r>
      <w:r>
        <w:t>.</w:t>
      </w:r>
      <w:r>
        <w:tab/>
        <w:t>Terms used in s. 331B to 331D</w:t>
      </w:r>
      <w:bookmarkEnd w:id="778"/>
      <w:bookmarkEnd w:id="779"/>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No. 4 of 2004 s. 25.]</w:t>
      </w:r>
    </w:p>
    <w:p>
      <w:pPr>
        <w:pStyle w:val="Heading5"/>
      </w:pPr>
      <w:bookmarkStart w:id="780" w:name="_Toc103864506"/>
      <w:bookmarkStart w:id="781" w:name="_Toc90996805"/>
      <w:r>
        <w:rPr>
          <w:rStyle w:val="CharSectno"/>
        </w:rPr>
        <w:t>331B</w:t>
      </w:r>
      <w:r>
        <w:t>.</w:t>
      </w:r>
      <w:r>
        <w:tab/>
        <w:t>Sexual servitude</w:t>
      </w:r>
      <w:bookmarkEnd w:id="780"/>
      <w:bookmarkEnd w:id="781"/>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No. 4 of 2004 s. 25.]</w:t>
      </w:r>
    </w:p>
    <w:p>
      <w:pPr>
        <w:pStyle w:val="Heading5"/>
        <w:spacing w:before="240"/>
      </w:pPr>
      <w:bookmarkStart w:id="782" w:name="_Toc103864507"/>
      <w:bookmarkStart w:id="783" w:name="_Toc90996806"/>
      <w:r>
        <w:rPr>
          <w:rStyle w:val="CharSectno"/>
        </w:rPr>
        <w:t>331C</w:t>
      </w:r>
      <w:r>
        <w:t>.</w:t>
      </w:r>
      <w:r>
        <w:tab/>
        <w:t>Conducting business involving sexual servitude</w:t>
      </w:r>
      <w:bookmarkEnd w:id="782"/>
      <w:bookmarkEnd w:id="783"/>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No. 4 of 2004 s. 25.]</w:t>
      </w:r>
    </w:p>
    <w:p>
      <w:pPr>
        <w:pStyle w:val="Heading5"/>
        <w:spacing w:before="240"/>
      </w:pPr>
      <w:bookmarkStart w:id="784" w:name="_Toc103864508"/>
      <w:bookmarkStart w:id="785" w:name="_Toc90996807"/>
      <w:r>
        <w:rPr>
          <w:rStyle w:val="CharSectno"/>
        </w:rPr>
        <w:t>331D</w:t>
      </w:r>
      <w:r>
        <w:t>.</w:t>
      </w:r>
      <w:r>
        <w:tab/>
        <w:t>Deceptive recruiting for commercial sexual service</w:t>
      </w:r>
      <w:bookmarkEnd w:id="784"/>
      <w:bookmarkEnd w:id="785"/>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No. 4 of 2004 s. 25.]</w:t>
      </w:r>
    </w:p>
    <w:p>
      <w:pPr>
        <w:pStyle w:val="Ednotedivision"/>
        <w:spacing w:before="240"/>
      </w:pPr>
      <w:r>
        <w:t>[Chapter XXXIA deleted: No. 14 of 1992 s. 6(4).]</w:t>
      </w:r>
    </w:p>
    <w:p>
      <w:pPr>
        <w:pStyle w:val="Ednotedivision"/>
        <w:spacing w:before="240"/>
      </w:pPr>
      <w:r>
        <w:t>[Chapter XXXII deleted: No. 48 of 1991 s. 12(9).]</w:t>
      </w:r>
    </w:p>
    <w:p>
      <w:pPr>
        <w:pStyle w:val="Heading3"/>
        <w:keepLines/>
        <w:spacing w:before="260"/>
        <w:rPr>
          <w:snapToGrid w:val="0"/>
        </w:rPr>
      </w:pPr>
      <w:bookmarkStart w:id="786" w:name="_Toc103860983"/>
      <w:bookmarkStart w:id="787" w:name="_Toc103861505"/>
      <w:bookmarkStart w:id="788" w:name="_Toc103864509"/>
      <w:bookmarkStart w:id="789" w:name="_Toc90988796"/>
      <w:bookmarkStart w:id="790" w:name="_Toc90989319"/>
      <w:bookmarkStart w:id="791" w:name="_Toc90996808"/>
      <w:r>
        <w:rPr>
          <w:rStyle w:val="CharDivNo"/>
        </w:rPr>
        <w:t>Chapter XXXIII</w:t>
      </w:r>
      <w:r>
        <w:rPr>
          <w:snapToGrid w:val="0"/>
        </w:rPr>
        <w:t> — </w:t>
      </w:r>
      <w:r>
        <w:rPr>
          <w:rStyle w:val="CharDivText"/>
        </w:rPr>
        <w:t>Offences against liberty</w:t>
      </w:r>
      <w:bookmarkEnd w:id="786"/>
      <w:bookmarkEnd w:id="787"/>
      <w:bookmarkEnd w:id="788"/>
      <w:bookmarkEnd w:id="789"/>
      <w:bookmarkEnd w:id="790"/>
      <w:bookmarkEnd w:id="791"/>
    </w:p>
    <w:p>
      <w:pPr>
        <w:pStyle w:val="Heading5"/>
        <w:spacing w:before="240"/>
        <w:rPr>
          <w:snapToGrid w:val="0"/>
        </w:rPr>
      </w:pPr>
      <w:bookmarkStart w:id="792" w:name="_Toc103864510"/>
      <w:bookmarkStart w:id="793" w:name="_Toc90996809"/>
      <w:r>
        <w:rPr>
          <w:rStyle w:val="CharSectno"/>
        </w:rPr>
        <w:t>332</w:t>
      </w:r>
      <w:r>
        <w:rPr>
          <w:snapToGrid w:val="0"/>
        </w:rPr>
        <w:t>.</w:t>
      </w:r>
      <w:r>
        <w:rPr>
          <w:snapToGrid w:val="0"/>
        </w:rPr>
        <w:tab/>
        <w:t>Kidnapping</w:t>
      </w:r>
      <w:bookmarkEnd w:id="792"/>
      <w:bookmarkEnd w:id="793"/>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No. 101 of 1990 s. 14; amended: No. 70 of 2004 s. 36(3).]</w:t>
      </w:r>
    </w:p>
    <w:p>
      <w:pPr>
        <w:pStyle w:val="Heading5"/>
      </w:pPr>
      <w:bookmarkStart w:id="794" w:name="_Toc103864511"/>
      <w:bookmarkStart w:id="795" w:name="_Toc90996810"/>
      <w:r>
        <w:rPr>
          <w:rStyle w:val="CharSectno"/>
        </w:rPr>
        <w:t>333</w:t>
      </w:r>
      <w:r>
        <w:t>.</w:t>
      </w:r>
      <w:r>
        <w:tab/>
        <w:t>Deprivation of liberty</w:t>
      </w:r>
      <w:bookmarkEnd w:id="794"/>
      <w:bookmarkEnd w:id="795"/>
    </w:p>
    <w:p>
      <w:pPr>
        <w:pStyle w:val="Subsection"/>
      </w:pPr>
      <w:r>
        <w:tab/>
      </w:r>
      <w:r>
        <w:tab/>
        <w:t>A person commits a crime if the person unlawfully detains another person.</w:t>
      </w:r>
    </w:p>
    <w:p>
      <w:pPr>
        <w:pStyle w:val="Penstart"/>
      </w:pPr>
      <w:r>
        <w:tab/>
        <w:t>Penalty:</w:t>
      </w:r>
    </w:p>
    <w:p>
      <w:pPr>
        <w:pStyle w:val="Penpara"/>
      </w:pPr>
      <w:r>
        <w:tab/>
        <w:t>(a)</w:t>
      </w:r>
      <w:r>
        <w:tab/>
        <w:t>if the offence is committed in circumstances of aggravation, imprisonment for 14 years; or</w:t>
      </w:r>
    </w:p>
    <w:p>
      <w:pPr>
        <w:pStyle w:val="Penpara"/>
      </w:pPr>
      <w:r>
        <w:tab/>
        <w:t>(b)</w:t>
      </w:r>
      <w:r>
        <w:tab/>
        <w:t>in any other case, imprisonment for 10 years.</w:t>
      </w:r>
    </w:p>
    <w:p>
      <w:pPr>
        <w:pStyle w:val="Footnotesection"/>
      </w:pPr>
      <w:r>
        <w:tab/>
        <w:t>[Section 333 inserted: No. 30 of 2020 s. 7.]</w:t>
      </w:r>
    </w:p>
    <w:p>
      <w:pPr>
        <w:pStyle w:val="Ednotesection"/>
        <w:spacing w:before="180"/>
      </w:pPr>
      <w:r>
        <w:t>[</w:t>
      </w:r>
      <w:r>
        <w:rPr>
          <w:b/>
        </w:rPr>
        <w:t>334, 335.</w:t>
      </w:r>
      <w:r>
        <w:tab/>
        <w:t>Deleted: No. 101 of 1990 s. 15.]</w:t>
      </w:r>
    </w:p>
    <w:p>
      <w:pPr>
        <w:pStyle w:val="Heading5"/>
        <w:spacing w:before="180"/>
      </w:pPr>
      <w:bookmarkStart w:id="796" w:name="_Toc103864512"/>
      <w:bookmarkStart w:id="797" w:name="_Toc90996811"/>
      <w:r>
        <w:rPr>
          <w:rStyle w:val="CharSectno"/>
        </w:rPr>
        <w:t>336</w:t>
      </w:r>
      <w:r>
        <w:t>.</w:t>
      </w:r>
      <w:r>
        <w:tab/>
        <w:t>Procuring apprehension or detention of person not suffering from mental illness or impairment</w:t>
      </w:r>
      <w:bookmarkEnd w:id="796"/>
      <w:bookmarkEnd w:id="797"/>
    </w:p>
    <w:p>
      <w:pPr>
        <w:pStyle w:val="Subsection"/>
      </w:pPr>
      <w:r>
        <w:tab/>
      </w:r>
      <w:r>
        <w:tab/>
        <w:t xml:space="preserve">Any person who, by the production of a false certificate or other document, knowingly and wilfully, procures any person, not suffering from mental illness (as defined in the </w:t>
      </w:r>
      <w:r>
        <w:rPr>
          <w:i/>
          <w:snapToGrid w:val="0"/>
        </w:rPr>
        <w:t>Mental Health Act 2014</w:t>
      </w:r>
      <w:r>
        <w:rPr>
          <w:snapToGrid w:val="0"/>
        </w:rPr>
        <w:t xml:space="preserve"> section 4</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No. 69 of 1996 s. 12; amended: No. 70 of 2004 s. 34(1); No. 25 of 2014 s. 49.]</w:t>
      </w:r>
    </w:p>
    <w:p>
      <w:pPr>
        <w:pStyle w:val="Heading5"/>
      </w:pPr>
      <w:bookmarkStart w:id="798" w:name="_Toc103864513"/>
      <w:bookmarkStart w:id="799" w:name="_Toc90996812"/>
      <w:r>
        <w:rPr>
          <w:rStyle w:val="CharSectno"/>
        </w:rPr>
        <w:t>337</w:t>
      </w:r>
      <w:r>
        <w:t>.</w:t>
      </w:r>
      <w:r>
        <w:tab/>
        <w:t>Unlawful detention or custody of person who is mentally ill or impaired</w:t>
      </w:r>
      <w:bookmarkEnd w:id="798"/>
      <w:bookmarkEnd w:id="799"/>
    </w:p>
    <w:p>
      <w:pPr>
        <w:pStyle w:val="Subsection"/>
      </w:pPr>
      <w:r>
        <w:tab/>
      </w:r>
      <w:r>
        <w:tab/>
        <w:t xml:space="preserve">Any person who detains, or assumes the custody of, a person suffering from mental illness (as defined in the </w:t>
      </w:r>
      <w:r>
        <w:rPr>
          <w:i/>
          <w:snapToGrid w:val="0"/>
        </w:rPr>
        <w:t>Mental Health Act 2014</w:t>
      </w:r>
      <w:r>
        <w:rPr>
          <w:snapToGrid w:val="0"/>
        </w:rPr>
        <w:t xml:space="preserve"> section 4</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No. 69 of 1996 s. 13; amended: No. 70 of 2004 s. 34(1) and 35(1); No. 25 of 2014 s. 50.]</w:t>
      </w:r>
    </w:p>
    <w:p>
      <w:pPr>
        <w:pStyle w:val="Heading3"/>
        <w:spacing w:before="300"/>
        <w:rPr>
          <w:snapToGrid w:val="0"/>
        </w:rPr>
      </w:pPr>
      <w:bookmarkStart w:id="800" w:name="_Toc103860988"/>
      <w:bookmarkStart w:id="801" w:name="_Toc103861510"/>
      <w:bookmarkStart w:id="802" w:name="_Toc103864514"/>
      <w:bookmarkStart w:id="803" w:name="_Toc90988801"/>
      <w:bookmarkStart w:id="804" w:name="_Toc90989324"/>
      <w:bookmarkStart w:id="805" w:name="_Toc90996813"/>
      <w:r>
        <w:rPr>
          <w:rStyle w:val="CharDivNo"/>
        </w:rPr>
        <w:t>Chapter XXXIIIA</w:t>
      </w:r>
      <w:r>
        <w:rPr>
          <w:snapToGrid w:val="0"/>
        </w:rPr>
        <w:t> — </w:t>
      </w:r>
      <w:r>
        <w:rPr>
          <w:rStyle w:val="CharDivText"/>
        </w:rPr>
        <w:t>Threats</w:t>
      </w:r>
      <w:bookmarkEnd w:id="800"/>
      <w:bookmarkEnd w:id="801"/>
      <w:bookmarkEnd w:id="802"/>
      <w:bookmarkEnd w:id="803"/>
      <w:bookmarkEnd w:id="804"/>
      <w:bookmarkEnd w:id="805"/>
    </w:p>
    <w:p>
      <w:pPr>
        <w:pStyle w:val="Footnoteheading"/>
      </w:pPr>
      <w:r>
        <w:tab/>
        <w:t>[Heading inserted: No. 101 of 1990 s. 17.]</w:t>
      </w:r>
    </w:p>
    <w:p>
      <w:pPr>
        <w:pStyle w:val="Heading5"/>
        <w:spacing w:before="240"/>
        <w:rPr>
          <w:snapToGrid w:val="0"/>
        </w:rPr>
      </w:pPr>
      <w:bookmarkStart w:id="806" w:name="_Toc103864515"/>
      <w:bookmarkStart w:id="807" w:name="_Toc90996814"/>
      <w:r>
        <w:rPr>
          <w:rStyle w:val="CharSectno"/>
        </w:rPr>
        <w:t>338</w:t>
      </w:r>
      <w:r>
        <w:rPr>
          <w:snapToGrid w:val="0"/>
        </w:rPr>
        <w:t>.</w:t>
      </w:r>
      <w:r>
        <w:rPr>
          <w:snapToGrid w:val="0"/>
        </w:rPr>
        <w:tab/>
        <w:t xml:space="preserve">Term used: </w:t>
      </w:r>
      <w:r>
        <w:rPr>
          <w:rStyle w:val="CharDefText"/>
          <w:b/>
          <w:bCs/>
          <w:i w:val="0"/>
          <w:iCs/>
        </w:rPr>
        <w:t>threat</w:t>
      </w:r>
      <w:bookmarkEnd w:id="806"/>
      <w:bookmarkEnd w:id="807"/>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 xml:space="preserve">cause a detriment of any kind to any person, whether a particular person or </w:t>
      </w:r>
      <w:r>
        <w:t>not; or</w:t>
      </w:r>
    </w:p>
    <w:p>
      <w:pPr>
        <w:pStyle w:val="Indenta"/>
      </w:pPr>
      <w:r>
        <w:tab/>
        <w:t>(e)</w:t>
      </w:r>
      <w:r>
        <w:tab/>
        <w:t>distribute an intimate image (within the meaning given to those terms in section 221BA) of any person other than the distributor.</w:t>
      </w:r>
    </w:p>
    <w:p>
      <w:pPr>
        <w:pStyle w:val="Footnotesection"/>
        <w:ind w:left="890" w:hanging="890"/>
      </w:pPr>
      <w:r>
        <w:tab/>
        <w:t>[Section 338 inserted: No. 101 of 1990 s. 17; amended: No. 4 of 2019 s. 5.]</w:t>
      </w:r>
    </w:p>
    <w:p>
      <w:pPr>
        <w:pStyle w:val="Heading5"/>
        <w:spacing w:before="260"/>
        <w:rPr>
          <w:snapToGrid w:val="0"/>
        </w:rPr>
      </w:pPr>
      <w:bookmarkStart w:id="808" w:name="_Toc103864516"/>
      <w:bookmarkStart w:id="809" w:name="_Toc90996815"/>
      <w:r>
        <w:rPr>
          <w:rStyle w:val="CharSectno"/>
        </w:rPr>
        <w:t>338A</w:t>
      </w:r>
      <w:r>
        <w:rPr>
          <w:snapToGrid w:val="0"/>
        </w:rPr>
        <w:t>.</w:t>
      </w:r>
      <w:r>
        <w:rPr>
          <w:snapToGrid w:val="0"/>
        </w:rPr>
        <w:tab/>
        <w:t>Threat with intent to gain etc.</w:t>
      </w:r>
      <w:bookmarkEnd w:id="808"/>
      <w:bookmarkEnd w:id="809"/>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pPr>
      <w:r>
        <w:tab/>
        <w:t>(e)</w:t>
      </w:r>
      <w:r>
        <w:tab/>
        <w:t>where the threat is to kill a person —</w:t>
      </w:r>
    </w:p>
    <w:p>
      <w:pPr>
        <w:pStyle w:val="Indenti"/>
      </w:pPr>
      <w:r>
        <w:tab/>
        <w:t>(i)</w:t>
      </w:r>
      <w:r>
        <w:tab/>
        <w:t>if the offence is committed in circumstances of aggravation, to imprisonment for 14 years; or</w:t>
      </w:r>
    </w:p>
    <w:p>
      <w:pPr>
        <w:pStyle w:val="Indenti"/>
      </w:pPr>
      <w:r>
        <w:tab/>
        <w:t>(ii)</w:t>
      </w:r>
      <w:r>
        <w:tab/>
        <w:t>in any other case, to imprisonment for 10 years;</w:t>
      </w:r>
    </w:p>
    <w:p>
      <w:pPr>
        <w:pStyle w:val="Indenta"/>
      </w:pPr>
      <w:r>
        <w:tab/>
      </w:r>
      <w:r>
        <w:tab/>
        <w:t>or</w:t>
      </w:r>
    </w:p>
    <w:p>
      <w:pPr>
        <w:pStyle w:val="Indenta"/>
      </w:pPr>
      <w:r>
        <w:tab/>
        <w:t>(f)</w:t>
      </w:r>
      <w:r>
        <w:tab/>
        <w:t>in the case of any other threat —</w:t>
      </w:r>
    </w:p>
    <w:p>
      <w:pPr>
        <w:pStyle w:val="Indenti"/>
      </w:pPr>
      <w:r>
        <w:tab/>
        <w:t>(i)</w:t>
      </w:r>
      <w:r>
        <w:tab/>
        <w:t>if the offence is committed in circumstances of aggravation, to imprisonment for 10 years; or</w:t>
      </w:r>
    </w:p>
    <w:p>
      <w:pPr>
        <w:pStyle w:val="Indenti"/>
      </w:pPr>
      <w:r>
        <w:tab/>
        <w:t>(ii)</w:t>
      </w:r>
      <w:r>
        <w:tab/>
        <w:t>in any other case, to imprisonment for 7 years.</w:t>
      </w:r>
    </w:p>
    <w:p>
      <w:pPr>
        <w:pStyle w:val="Penstart"/>
        <w:keepLines/>
        <w:spacing w:before="160"/>
        <w:rPr>
          <w:snapToGrid w:val="0"/>
        </w:rPr>
      </w:pPr>
      <w:r>
        <w:rPr>
          <w:snapToGrid w:val="0"/>
        </w:rPr>
        <w:tab/>
      </w:r>
      <w:r>
        <w:t>Alternative offence: s. 338B.</w:t>
      </w:r>
    </w:p>
    <w:p>
      <w:pPr>
        <w:pStyle w:val="Footnotesection"/>
        <w:ind w:left="890" w:hanging="890"/>
      </w:pPr>
      <w:r>
        <w:tab/>
        <w:t>[Section 338A inserted: No. 101 of 1990 s. 17; amended: No. 70 of 2004 s. 36(3); No. 30 of 2020 s. 8.]</w:t>
      </w:r>
    </w:p>
    <w:p>
      <w:pPr>
        <w:pStyle w:val="Heading5"/>
        <w:spacing w:before="260"/>
        <w:rPr>
          <w:snapToGrid w:val="0"/>
        </w:rPr>
      </w:pPr>
      <w:bookmarkStart w:id="810" w:name="_Toc103864517"/>
      <w:bookmarkStart w:id="811" w:name="_Toc90996816"/>
      <w:r>
        <w:rPr>
          <w:rStyle w:val="CharSectno"/>
        </w:rPr>
        <w:t>338B</w:t>
      </w:r>
      <w:r>
        <w:rPr>
          <w:snapToGrid w:val="0"/>
        </w:rPr>
        <w:t>.</w:t>
      </w:r>
      <w:r>
        <w:rPr>
          <w:snapToGrid w:val="0"/>
        </w:rPr>
        <w:tab/>
        <w:t>Threats</w:t>
      </w:r>
      <w:bookmarkEnd w:id="810"/>
      <w:bookmarkEnd w:id="811"/>
    </w:p>
    <w:p>
      <w:pPr>
        <w:pStyle w:val="Subsection"/>
        <w:spacing w:before="200"/>
        <w:rPr>
          <w:snapToGrid w:val="0"/>
        </w:rPr>
      </w:pPr>
      <w:r>
        <w:rPr>
          <w:snapToGrid w:val="0"/>
        </w:rPr>
        <w:tab/>
      </w:r>
      <w:r>
        <w:t>(1)</w:t>
      </w:r>
      <w:r>
        <w:tab/>
        <w:t>Any person</w:t>
      </w:r>
      <w:r>
        <w:rPr>
          <w:snapToGrid w:val="0"/>
        </w:rPr>
        <w:t xml:space="preserve"> who makes a threat to unlawfully do anything mentioned in section 338(a), (b), </w:t>
      </w:r>
      <w:r>
        <w:t>(c), (d) or (e)</w:t>
      </w:r>
      <w:r>
        <w:rPr>
          <w:snapToGrid w:val="0"/>
        </w:rPr>
        <w:t xml:space="preserve"> is guilty of a crime and is liable —</w:t>
      </w:r>
    </w:p>
    <w:p>
      <w:pPr>
        <w:pStyle w:val="Indenta"/>
      </w:pPr>
      <w:r>
        <w:tab/>
        <w:t>(a)</w:t>
      </w:r>
      <w:r>
        <w:tab/>
        <w:t>where the threat is to kill a person —</w:t>
      </w:r>
    </w:p>
    <w:p>
      <w:pPr>
        <w:pStyle w:val="Indenti"/>
      </w:pPr>
      <w:r>
        <w:tab/>
        <w:t>(i)</w:t>
      </w:r>
      <w:r>
        <w:tab/>
        <w:t>if the offence is committed in circumstances of racial aggravation, to imprisonment for 14 years; or</w:t>
      </w:r>
    </w:p>
    <w:p>
      <w:pPr>
        <w:pStyle w:val="Indenti"/>
      </w:pPr>
      <w:r>
        <w:tab/>
        <w:t>(ii)</w:t>
      </w:r>
      <w:r>
        <w:tab/>
        <w:t>if the offence is committed in circumstances of aggravation, to imprisonment for 10 years; or</w:t>
      </w:r>
    </w:p>
    <w:p>
      <w:pPr>
        <w:pStyle w:val="Indenti"/>
      </w:pPr>
      <w:r>
        <w:tab/>
        <w:t>(iii)</w:t>
      </w:r>
      <w:r>
        <w:tab/>
        <w:t>in any other case, to imprisonment for 7 years;</w:t>
      </w:r>
    </w:p>
    <w:p>
      <w:pPr>
        <w:pStyle w:val="Indenta"/>
      </w:pPr>
      <w:r>
        <w:tab/>
      </w:r>
      <w:r>
        <w:tab/>
        <w:t>or</w:t>
      </w:r>
    </w:p>
    <w:p>
      <w:pPr>
        <w:pStyle w:val="Indenta"/>
      </w:pPr>
      <w:r>
        <w:tab/>
        <w:t>(b)</w:t>
      </w:r>
      <w:r>
        <w:tab/>
        <w:t>in the case of any other threat —</w:t>
      </w:r>
    </w:p>
    <w:p>
      <w:pPr>
        <w:pStyle w:val="Indenti"/>
      </w:pPr>
      <w:r>
        <w:tab/>
        <w:t>(i)</w:t>
      </w:r>
      <w:r>
        <w:tab/>
        <w:t>if the offence is committed in circumstances of racial aggravation, to imprisonment for 6 years; or</w:t>
      </w:r>
    </w:p>
    <w:p>
      <w:pPr>
        <w:pStyle w:val="Indenti"/>
      </w:pPr>
      <w:r>
        <w:tab/>
        <w:t>(ii)</w:t>
      </w:r>
      <w:r>
        <w:tab/>
        <w:t>if the offence is committed in circumstances of aggravation, to imprisonment for 5 years; or</w:t>
      </w:r>
    </w:p>
    <w:p>
      <w:pPr>
        <w:pStyle w:val="Indenti"/>
      </w:pPr>
      <w:r>
        <w:tab/>
        <w:t>(iii)</w:t>
      </w:r>
      <w:r>
        <w:tab/>
        <w:t>in any other case, to imprisonment for 3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18 months and a fine of $18 000.</w:t>
      </w:r>
    </w:p>
    <w:p>
      <w:pPr>
        <w:pStyle w:val="Subsection"/>
      </w:pPr>
      <w:r>
        <w:tab/>
        <w:t>(2)</w:t>
      </w:r>
      <w:r>
        <w:tab/>
        <w:t xml:space="preserve">For the period of 27 months beginning on the day on which the </w:t>
      </w:r>
      <w:r>
        <w:rPr>
          <w:i/>
        </w:rPr>
        <w:t>Criminal Code Amendment (COVID</w:t>
      </w:r>
      <w:r>
        <w:rPr>
          <w:i/>
        </w:rPr>
        <w:noBreakHyphen/>
        <w:t>19 Response) Act 2020</w:t>
      </w:r>
      <w:r>
        <w:t xml:space="preserve"> section 5(2) comes into operation, subsection (1) applies as if amended as follows — </w:t>
      </w:r>
    </w:p>
    <w:p>
      <w:pPr>
        <w:pStyle w:val="Indenta"/>
      </w:pPr>
      <w:r>
        <w:tab/>
        <w:t>(a)</w:t>
      </w:r>
      <w:r>
        <w:tab/>
        <w:t>after paragraph (a) insert:</w:t>
      </w:r>
    </w:p>
    <w:p>
      <w:pPr>
        <w:pStyle w:val="BlankOpen"/>
        <w:keepNext w:val="0"/>
      </w:pPr>
    </w:p>
    <w:p>
      <w:pPr>
        <w:pStyle w:val="Indenta"/>
      </w:pPr>
      <w:r>
        <w:tab/>
        <w:t>(aa)</w:t>
      </w:r>
      <w:r>
        <w:tab/>
        <w:t>where the threat is to injure, endanger or harm a person referred to in section 318(1)(d) to (k) by exposing the person to COVID</w:t>
      </w:r>
      <w:r>
        <w:noBreakHyphen/>
        <w:t>19, to imprisonment for 7 years;</w:t>
      </w:r>
    </w:p>
    <w:p>
      <w:pPr>
        <w:pStyle w:val="BlankClose"/>
        <w:keepLines w:val="0"/>
      </w:pPr>
    </w:p>
    <w:p>
      <w:pPr>
        <w:pStyle w:val="Indenta"/>
      </w:pPr>
      <w:r>
        <w:tab/>
        <w:t>(b)</w:t>
      </w:r>
      <w:r>
        <w:tab/>
        <w:t>in the Summary conviction penalty paragraph (a) after “paragraph (a)” insert:</w:t>
      </w:r>
    </w:p>
    <w:p>
      <w:pPr>
        <w:pStyle w:val="BlankOpen"/>
      </w:pPr>
    </w:p>
    <w:p>
      <w:pPr>
        <w:pStyle w:val="Indenta"/>
      </w:pPr>
      <w:r>
        <w:tab/>
      </w:r>
      <w:r>
        <w:tab/>
        <w:t>or (aa)</w:t>
      </w:r>
    </w:p>
    <w:p>
      <w:pPr>
        <w:pStyle w:val="BlankClose"/>
      </w:pPr>
    </w:p>
    <w:p>
      <w:pPr>
        <w:pStyle w:val="Footnotesection"/>
        <w:ind w:left="890" w:hanging="890"/>
      </w:pPr>
      <w:r>
        <w:tab/>
        <w:t>[Section 338B inserted: No. 101 of 1990 s. 17; amended: No. 70 of 2004 s. 35(5); No. 80 of 2004 s. 10; No. 28 of 2018 s. 7; No. 4 of 2019 s. 6; No. 8 of 2020 s. 5(1) and (2); No. 30 of 2020 s. 9; No. 39 of 2020 s. 5; No. 1 of 2021 s. 5; No. 21 of 2021 s. 5.]</w:t>
      </w:r>
    </w:p>
    <w:p>
      <w:pPr>
        <w:pStyle w:val="Heading5"/>
        <w:rPr>
          <w:snapToGrid w:val="0"/>
        </w:rPr>
      </w:pPr>
      <w:bookmarkStart w:id="812" w:name="_Toc103864518"/>
      <w:bookmarkStart w:id="813" w:name="_Toc90996817"/>
      <w:r>
        <w:rPr>
          <w:rStyle w:val="CharSectno"/>
        </w:rPr>
        <w:t>338C</w:t>
      </w:r>
      <w:r>
        <w:t>.</w:t>
      </w:r>
      <w:r>
        <w:tab/>
      </w:r>
      <w:r>
        <w:rPr>
          <w:snapToGrid w:val="0"/>
        </w:rPr>
        <w:t>Statement or act creating false apprehension as to existence of threat or danger</w:t>
      </w:r>
      <w:bookmarkEnd w:id="812"/>
      <w:bookmarkEnd w:id="813"/>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 xml:space="preserve">that a threat to unlawfully do anything mentioned in section 338(a), (b), </w:t>
      </w:r>
      <w:r>
        <w:t>(c), (d) or (e)</w:t>
      </w:r>
      <w:r>
        <w:rPr>
          <w:snapToGrid w:val="0"/>
        </w:rPr>
        <w:t xml:space="preserve"> has been made; or</w:t>
      </w:r>
    </w:p>
    <w:p>
      <w:pPr>
        <w:pStyle w:val="Indenta"/>
        <w:rPr>
          <w:snapToGrid w:val="0"/>
        </w:rPr>
      </w:pPr>
      <w:r>
        <w:rPr>
          <w:snapToGrid w:val="0"/>
        </w:rPr>
        <w:tab/>
        <w:t>(b)</w:t>
      </w:r>
      <w:r>
        <w:rPr>
          <w:snapToGrid w:val="0"/>
        </w:rPr>
        <w:tab/>
        <w:t xml:space="preserve">that there has been, is, or is to be an intention, proposal, plan or conspiracy to unlawfully do anything mentioned in section 338(a), (b), </w:t>
      </w:r>
      <w:r>
        <w:t>(c), (d) or (e),</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 xml:space="preserve">does any act with the intention of creating a belief, suspicion or fear that anything mentioned in section 338(a), (b), </w:t>
      </w:r>
      <w:r>
        <w:t>(c), (d) or (e)</w:t>
      </w:r>
      <w:r>
        <w:rPr>
          <w:snapToGrid w:val="0"/>
        </w:rPr>
        <w:t xml:space="preserve">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 xml:space="preserve">imprisonment for 10 years </w:t>
      </w:r>
      <w:r>
        <w:t xml:space="preserve">or, if the offence is committed in circumstances of aggravation, imprisonment for 14 years, </w:t>
      </w:r>
      <w:r>
        <w:rPr>
          <w:snapToGrid w:val="0"/>
        </w:rPr>
        <w:t>if the —</w:t>
      </w:r>
    </w:p>
    <w:p>
      <w:pPr>
        <w:pStyle w:val="Indenti"/>
        <w:rPr>
          <w:snapToGrid w:val="0"/>
        </w:rPr>
      </w:pPr>
      <w:r>
        <w:rPr>
          <w:snapToGrid w:val="0"/>
        </w:rPr>
        <w:tab/>
        <w:t>(i)</w:t>
      </w:r>
      <w:r>
        <w:rPr>
          <w:snapToGrid w:val="0"/>
        </w:rPr>
        <w:tab/>
        <w:t>threat referred to in subsection (1)(a); or</w:t>
      </w:r>
    </w:p>
    <w:p>
      <w:pPr>
        <w:pStyle w:val="Indenti"/>
        <w:spacing w:before="100"/>
        <w:rPr>
          <w:snapToGrid w:val="0"/>
        </w:rPr>
      </w:pPr>
      <w:r>
        <w:rPr>
          <w:snapToGrid w:val="0"/>
        </w:rPr>
        <w:tab/>
        <w:t>(ii)</w:t>
      </w:r>
      <w:r>
        <w:rPr>
          <w:snapToGrid w:val="0"/>
        </w:rPr>
        <w:tab/>
        <w:t>intention, proposal, plan or conspiracy referred to in subsection (1)(b); or</w:t>
      </w:r>
    </w:p>
    <w:p>
      <w:pPr>
        <w:pStyle w:val="Indenti"/>
        <w:spacing w:before="100"/>
        <w:rPr>
          <w:snapToGrid w:val="0"/>
        </w:rPr>
      </w:pPr>
      <w:r>
        <w:rPr>
          <w:snapToGrid w:val="0"/>
        </w:rPr>
        <w:tab/>
        <w:t>(iii)</w:t>
      </w:r>
      <w:r>
        <w:rPr>
          <w:snapToGrid w:val="0"/>
        </w:rPr>
        <w:tab/>
        <w:t>belief, suspicion or fear referred to in subsection (2)(a),</w:t>
      </w:r>
    </w:p>
    <w:p>
      <w:pPr>
        <w:pStyle w:val="Indenta"/>
        <w:spacing w:before="100"/>
        <w:rPr>
          <w:snapToGrid w:val="0"/>
        </w:rPr>
      </w:pPr>
      <w:r>
        <w:rPr>
          <w:snapToGrid w:val="0"/>
        </w:rPr>
        <w:tab/>
      </w:r>
      <w:r>
        <w:rPr>
          <w:snapToGrid w:val="0"/>
        </w:rPr>
        <w:tab/>
        <w:t>relates to something mentioned in section 338(a), (b) or (c); or</w:t>
      </w:r>
    </w:p>
    <w:p>
      <w:pPr>
        <w:pStyle w:val="Indenta"/>
        <w:keepNext/>
        <w:keepLines/>
        <w:spacing w:before="100"/>
        <w:rPr>
          <w:snapToGrid w:val="0"/>
        </w:rPr>
      </w:pPr>
      <w:r>
        <w:rPr>
          <w:snapToGrid w:val="0"/>
        </w:rPr>
        <w:tab/>
        <w:t>(b)</w:t>
      </w:r>
      <w:r>
        <w:rPr>
          <w:snapToGrid w:val="0"/>
        </w:rPr>
        <w:tab/>
        <w:t>imprisonment for 3 years</w:t>
      </w:r>
      <w:r>
        <w:t xml:space="preserve"> or, if the offence is committed in circumstances of aggravation, imprisonment for 5 years, </w:t>
      </w:r>
      <w:r>
        <w:rPr>
          <w:snapToGrid w:val="0"/>
        </w:rPr>
        <w:t>in any other case.</w:t>
      </w:r>
    </w:p>
    <w:p>
      <w:pPr>
        <w:pStyle w:val="Penstart"/>
        <w:keepNext/>
        <w:keepLines/>
        <w:spacing w:before="100"/>
      </w:pPr>
      <w:r>
        <w:tab/>
        <w:t>Summary conviction penalty for this subsection:</w:t>
      </w:r>
    </w:p>
    <w:p>
      <w:pPr>
        <w:pStyle w:val="Penpara"/>
        <w:spacing w:before="100"/>
      </w:pPr>
      <w:r>
        <w:tab/>
        <w:t>(a)</w:t>
      </w:r>
      <w:r>
        <w:tab/>
        <w:t>in a case to which subsection (3)(a) applies: imprisonment for 3 years and a fine of $36 000; or</w:t>
      </w:r>
    </w:p>
    <w:p>
      <w:pPr>
        <w:pStyle w:val="Penpara"/>
      </w:pPr>
      <w:r>
        <w:tab/>
        <w:t>(b)</w:t>
      </w:r>
      <w:r>
        <w:tab/>
        <w:t>in a case to which subsection (3)(b) applies —</w:t>
      </w:r>
    </w:p>
    <w:p>
      <w:pPr>
        <w:pStyle w:val="Pensubpara"/>
      </w:pPr>
      <w:r>
        <w:tab/>
        <w:t>(i)</w:t>
      </w:r>
      <w:r>
        <w:tab/>
        <w:t>if the offence is committed in circumstances of aggravation, imprisonment for 2 years and a fine of $24 000; or</w:t>
      </w:r>
    </w:p>
    <w:p>
      <w:pPr>
        <w:pStyle w:val="Pensubpara"/>
      </w:pPr>
      <w:r>
        <w:tab/>
        <w:t>(ii)</w:t>
      </w:r>
      <w:r>
        <w:tab/>
        <w:t>in any other case,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spacing w:before="100"/>
        <w:rPr>
          <w:snapToGrid w:val="0"/>
        </w:rPr>
      </w:pPr>
      <w:r>
        <w:rPr>
          <w:snapToGrid w:val="0"/>
        </w:rPr>
        <w:tab/>
        <w:t>(a)</w:t>
      </w:r>
      <w:r>
        <w:rPr>
          <w:snapToGrid w:val="0"/>
        </w:rPr>
        <w:tab/>
        <w:t>must specify to whom and in what manner the amount is to be paid; and</w:t>
      </w:r>
    </w:p>
    <w:p>
      <w:pPr>
        <w:pStyle w:val="Indenta"/>
        <w:spacing w:before="100"/>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No. 34 of 2001 s. 3; amended: No. 70 of 2004 s. 35(6); No. 2 of 2008 s. 11; No. 4 of 2019 s. 7; No. 30 of 2020 s. 10.]</w:t>
      </w:r>
    </w:p>
    <w:p>
      <w:pPr>
        <w:pStyle w:val="Heading3"/>
        <w:keepLines/>
        <w:spacing w:before="300"/>
      </w:pPr>
      <w:bookmarkStart w:id="814" w:name="_Toc103860993"/>
      <w:bookmarkStart w:id="815" w:name="_Toc103861515"/>
      <w:bookmarkStart w:id="816" w:name="_Toc103864519"/>
      <w:bookmarkStart w:id="817" w:name="_Toc90988806"/>
      <w:bookmarkStart w:id="818" w:name="_Toc90989329"/>
      <w:bookmarkStart w:id="819" w:name="_Toc90996818"/>
      <w:r>
        <w:rPr>
          <w:rStyle w:val="CharDivNo"/>
        </w:rPr>
        <w:t>Chapter XXXIIIB</w:t>
      </w:r>
      <w:r>
        <w:t> — </w:t>
      </w:r>
      <w:r>
        <w:rPr>
          <w:rStyle w:val="CharDivText"/>
        </w:rPr>
        <w:t>Stalking</w:t>
      </w:r>
      <w:bookmarkEnd w:id="814"/>
      <w:bookmarkEnd w:id="815"/>
      <w:bookmarkEnd w:id="816"/>
      <w:bookmarkEnd w:id="817"/>
      <w:bookmarkEnd w:id="818"/>
      <w:bookmarkEnd w:id="819"/>
    </w:p>
    <w:p>
      <w:pPr>
        <w:pStyle w:val="Footnoteheading"/>
        <w:keepNext/>
        <w:keepLines/>
      </w:pPr>
      <w:r>
        <w:tab/>
        <w:t>[Heading inserted: No. 38 of 1998 s. 4.]</w:t>
      </w:r>
    </w:p>
    <w:p>
      <w:pPr>
        <w:pStyle w:val="Heading5"/>
      </w:pPr>
      <w:bookmarkStart w:id="820" w:name="_Toc103864520"/>
      <w:bookmarkStart w:id="821" w:name="_Toc90996819"/>
      <w:r>
        <w:rPr>
          <w:rStyle w:val="CharSectno"/>
        </w:rPr>
        <w:t>338D</w:t>
      </w:r>
      <w:r>
        <w:t>.</w:t>
      </w:r>
      <w:r>
        <w:tab/>
        <w:t>Terms used</w:t>
      </w:r>
      <w:bookmarkEnd w:id="820"/>
      <w:bookmarkEnd w:id="821"/>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spacing w:before="60"/>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ind w:left="890" w:hanging="890"/>
      </w:pPr>
      <w:r>
        <w:tab/>
        <w:t>[Section 338D inserted: No. 38 of 1998 s. 4(1); amended: No. 38 of 2004 s. 71.]</w:t>
      </w:r>
    </w:p>
    <w:p>
      <w:pPr>
        <w:pStyle w:val="Heading5"/>
        <w:spacing w:before="240"/>
      </w:pPr>
      <w:bookmarkStart w:id="822" w:name="_Toc103864521"/>
      <w:bookmarkStart w:id="823" w:name="_Toc90996820"/>
      <w:r>
        <w:rPr>
          <w:rStyle w:val="CharSectno"/>
        </w:rPr>
        <w:t>338E</w:t>
      </w:r>
      <w:r>
        <w:t>.</w:t>
      </w:r>
      <w:r>
        <w:tab/>
        <w:t>Stalking</w:t>
      </w:r>
      <w:bookmarkEnd w:id="822"/>
      <w:bookmarkEnd w:id="823"/>
    </w:p>
    <w:p>
      <w:pPr>
        <w:pStyle w:val="Subsection"/>
        <w:keepNext/>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No. 38 of 1998 s. 4(1); amended: No. 70 of 2004 s. 35(7), 35(8) and 36(3); No. 2 of 2008 s. 12.]</w:t>
      </w:r>
    </w:p>
    <w:p>
      <w:pPr>
        <w:pStyle w:val="Heading3"/>
        <w:keepLines/>
        <w:spacing w:before="280"/>
        <w:rPr>
          <w:snapToGrid w:val="0"/>
        </w:rPr>
      </w:pPr>
      <w:bookmarkStart w:id="824" w:name="_Toc103860996"/>
      <w:bookmarkStart w:id="825" w:name="_Toc103861518"/>
      <w:bookmarkStart w:id="826" w:name="_Toc103864522"/>
      <w:bookmarkStart w:id="827" w:name="_Toc90988809"/>
      <w:bookmarkStart w:id="828" w:name="_Toc90989332"/>
      <w:bookmarkStart w:id="829" w:name="_Toc90996821"/>
      <w:r>
        <w:rPr>
          <w:rStyle w:val="CharDivNo"/>
        </w:rPr>
        <w:t>Chapter XXXIV</w:t>
      </w:r>
      <w:r>
        <w:t> — </w:t>
      </w:r>
      <w:r>
        <w:rPr>
          <w:rStyle w:val="CharDivText"/>
        </w:rPr>
        <w:t>Offences relating to parental rights and duties</w:t>
      </w:r>
      <w:bookmarkEnd w:id="824"/>
      <w:bookmarkEnd w:id="825"/>
      <w:bookmarkEnd w:id="826"/>
      <w:bookmarkEnd w:id="827"/>
      <w:bookmarkEnd w:id="828"/>
      <w:bookmarkEnd w:id="829"/>
    </w:p>
    <w:p>
      <w:pPr>
        <w:pStyle w:val="Footnoteheading"/>
        <w:keepNext/>
        <w:keepLines/>
        <w:spacing w:before="100"/>
      </w:pPr>
      <w:r>
        <w:tab/>
        <w:t>[Heading amended: No. 70 of 2004 s. 24(2).]</w:t>
      </w:r>
    </w:p>
    <w:p>
      <w:pPr>
        <w:pStyle w:val="Ednotesection"/>
        <w:keepLines/>
        <w:ind w:left="890" w:hanging="890"/>
      </w:pPr>
      <w:r>
        <w:t>[</w:t>
      </w:r>
      <w:r>
        <w:rPr>
          <w:b/>
          <w:bCs/>
        </w:rPr>
        <w:t>339</w:t>
      </w:r>
      <w:r>
        <w:rPr>
          <w:b/>
          <w:bCs/>
        </w:rPr>
        <w:noBreakHyphen/>
        <w:t>342.</w:t>
      </w:r>
      <w:r>
        <w:tab/>
        <w:t>Deleted: No. 70 of 2004 s. 24(1).]</w:t>
      </w:r>
    </w:p>
    <w:p>
      <w:pPr>
        <w:pStyle w:val="Heading5"/>
        <w:spacing w:before="260"/>
        <w:rPr>
          <w:snapToGrid w:val="0"/>
        </w:rPr>
      </w:pPr>
      <w:bookmarkStart w:id="830" w:name="_Toc103864523"/>
      <w:bookmarkStart w:id="831" w:name="_Toc90996822"/>
      <w:r>
        <w:rPr>
          <w:rStyle w:val="CharSectno"/>
        </w:rPr>
        <w:t>343</w:t>
      </w:r>
      <w:r>
        <w:rPr>
          <w:snapToGrid w:val="0"/>
        </w:rPr>
        <w:t>.</w:t>
      </w:r>
      <w:r>
        <w:rPr>
          <w:snapToGrid w:val="0"/>
        </w:rPr>
        <w:tab/>
        <w:t>Child stealing</w:t>
      </w:r>
      <w:bookmarkEnd w:id="830"/>
      <w:bookmarkEnd w:id="831"/>
    </w:p>
    <w:p>
      <w:pPr>
        <w:pStyle w:val="Subsection"/>
        <w:keepLines/>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spacing w:before="80"/>
        <w:ind w:left="890" w:hanging="890"/>
      </w:pPr>
      <w:r>
        <w:tab/>
        <w:t>[Section 343 amended: No. 25 of 1960 s. 3; No. 118 of 1981 s. 4; No. 51 of 1992 s. 16(2); No. 3 of 2002 s. 43; No. 70 of 2004 s. 36(7).]</w:t>
      </w:r>
    </w:p>
    <w:p>
      <w:pPr>
        <w:pStyle w:val="Heading5"/>
        <w:spacing w:before="180"/>
        <w:rPr>
          <w:snapToGrid w:val="0"/>
        </w:rPr>
      </w:pPr>
      <w:bookmarkStart w:id="832" w:name="_Toc103864524"/>
      <w:bookmarkStart w:id="833" w:name="_Toc90996823"/>
      <w:r>
        <w:rPr>
          <w:rStyle w:val="CharSectno"/>
        </w:rPr>
        <w:t>343A</w:t>
      </w:r>
      <w:r>
        <w:rPr>
          <w:snapToGrid w:val="0"/>
        </w:rPr>
        <w:t>.</w:t>
      </w:r>
      <w:r>
        <w:rPr>
          <w:snapToGrid w:val="0"/>
        </w:rPr>
        <w:tab/>
        <w:t>Publication of report of child</w:t>
      </w:r>
      <w:r>
        <w:rPr>
          <w:snapToGrid w:val="0"/>
        </w:rPr>
        <w:noBreakHyphen/>
        <w:t>stealing unlawful unless approved</w:t>
      </w:r>
      <w:bookmarkEnd w:id="832"/>
      <w:bookmarkEnd w:id="833"/>
    </w:p>
    <w:p>
      <w:pPr>
        <w:pStyle w:val="Subsection"/>
        <w:spacing w:before="120"/>
        <w:rPr>
          <w:snapToGrid w:val="0"/>
        </w:rPr>
      </w:pPr>
      <w:r>
        <w:rPr>
          <w:snapToGrid w:val="0"/>
        </w:rPr>
        <w:tab/>
        <w:t>(1)</w:t>
      </w:r>
      <w:r>
        <w:rPr>
          <w:snapToGrid w:val="0"/>
        </w:rPr>
        <w:tab/>
        <w:t>Any person who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keepNext/>
        <w:spacing w:before="6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12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spacing w:before="120"/>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60"/>
        <w:ind w:left="890" w:hanging="890"/>
      </w:pPr>
      <w:r>
        <w:tab/>
        <w:t>[Section 343A inserted: No. 25 of 1960 s. 4; amended: No. 113 of 1965 s. 8; No. 73 of 1994 s. 4; No. 70 of 2004 s. 35(9).]</w:t>
      </w:r>
    </w:p>
    <w:p>
      <w:pPr>
        <w:pStyle w:val="Heading5"/>
        <w:rPr>
          <w:snapToGrid w:val="0"/>
        </w:rPr>
      </w:pPr>
      <w:bookmarkStart w:id="834" w:name="_Toc103864525"/>
      <w:bookmarkStart w:id="835" w:name="_Toc90996824"/>
      <w:r>
        <w:rPr>
          <w:rStyle w:val="CharSectno"/>
        </w:rPr>
        <w:t>344</w:t>
      </w:r>
      <w:r>
        <w:rPr>
          <w:snapToGrid w:val="0"/>
        </w:rPr>
        <w:t>.</w:t>
      </w:r>
      <w:r>
        <w:rPr>
          <w:snapToGrid w:val="0"/>
        </w:rPr>
        <w:tab/>
        <w:t>Deserting child under 16</w:t>
      </w:r>
      <w:bookmarkEnd w:id="834"/>
      <w:bookmarkEnd w:id="835"/>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No. 70 of 2004 s. 34(1).]</w:t>
      </w:r>
    </w:p>
    <w:p>
      <w:pPr>
        <w:pStyle w:val="Heading3"/>
      </w:pPr>
      <w:bookmarkStart w:id="836" w:name="_Toc103861000"/>
      <w:bookmarkStart w:id="837" w:name="_Toc103861522"/>
      <w:bookmarkStart w:id="838" w:name="_Toc103864526"/>
      <w:bookmarkStart w:id="839" w:name="_Toc90988813"/>
      <w:bookmarkStart w:id="840" w:name="_Toc90989336"/>
      <w:bookmarkStart w:id="841" w:name="_Toc90996825"/>
      <w:r>
        <w:rPr>
          <w:rStyle w:val="CharDivNo"/>
        </w:rPr>
        <w:t>Chapter XXXV</w:t>
      </w:r>
      <w:r>
        <w:rPr>
          <w:b w:val="0"/>
        </w:rPr>
        <w:t> </w:t>
      </w:r>
      <w:r>
        <w:t>—</w:t>
      </w:r>
      <w:r>
        <w:rPr>
          <w:b w:val="0"/>
        </w:rPr>
        <w:t> </w:t>
      </w:r>
      <w:r>
        <w:rPr>
          <w:rStyle w:val="CharDivText"/>
        </w:rPr>
        <w:t>Criminal defamation</w:t>
      </w:r>
      <w:bookmarkEnd w:id="836"/>
      <w:bookmarkEnd w:id="837"/>
      <w:bookmarkEnd w:id="838"/>
      <w:bookmarkEnd w:id="839"/>
      <w:bookmarkEnd w:id="840"/>
      <w:bookmarkEnd w:id="841"/>
    </w:p>
    <w:p>
      <w:pPr>
        <w:pStyle w:val="Footnoteheading"/>
        <w:keepNext/>
      </w:pPr>
      <w:r>
        <w:tab/>
        <w:t>[Heading inserted: No. 44 of 2005 s. 47.]</w:t>
      </w:r>
    </w:p>
    <w:p>
      <w:pPr>
        <w:pStyle w:val="Heading5"/>
      </w:pPr>
      <w:bookmarkStart w:id="842" w:name="_Toc103864527"/>
      <w:bookmarkStart w:id="843" w:name="_Toc90996826"/>
      <w:r>
        <w:rPr>
          <w:rStyle w:val="CharSectno"/>
        </w:rPr>
        <w:t>345</w:t>
      </w:r>
      <w:r>
        <w:t>.</w:t>
      </w:r>
      <w:r>
        <w:tab/>
        <w:t>Criminal defamation</w:t>
      </w:r>
      <w:bookmarkEnd w:id="842"/>
      <w:bookmarkEnd w:id="843"/>
    </w:p>
    <w:p>
      <w:pPr>
        <w:pStyle w:val="Subsection"/>
        <w:keepNext/>
      </w:pPr>
      <w:r>
        <w:tab/>
        <w:t>(1)</w:t>
      </w:r>
      <w:r>
        <w:tab/>
        <w:t xml:space="preserve">A person who, without lawful excuse, publishes matter defamatory of another living person (the </w:t>
      </w:r>
      <w:r>
        <w:rPr>
          <w:rStyle w:val="CharDefText"/>
        </w:rPr>
        <w:t>victim</w:t>
      </w:r>
      <w:r>
        <w:t>) —</w:t>
      </w:r>
    </w:p>
    <w:p>
      <w:pPr>
        <w:pStyle w:val="Indenta"/>
      </w:pPr>
      <w:r>
        <w:tab/>
        <w:t>(a)</w:t>
      </w:r>
      <w:r>
        <w:tab/>
        <w:t>knowing the matter to be false or without having regard to whether the matter is true or false; and</w:t>
      </w:r>
    </w:p>
    <w:p>
      <w:pPr>
        <w:pStyle w:val="Indenta"/>
        <w:keepLines/>
      </w:pPr>
      <w:r>
        <w:tab/>
        <w:t>(b)</w:t>
      </w:r>
      <w: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In proceedings for an offence under this section the accused person has a lawful excuse for the publication of defamatory matter about the victim if, and only if, subsection (3) applies.</w:t>
      </w:r>
    </w:p>
    <w:p>
      <w:pPr>
        <w:pStyle w:val="Subsection"/>
      </w:pPr>
      <w:r>
        <w:tab/>
        <w:t>(3)</w:t>
      </w:r>
      <w: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pPr>
      <w:r>
        <w:tab/>
        <w:t>(4)</w:t>
      </w:r>
      <w:r>
        <w:tab/>
        <w:t>The prosecutor bears the onus of negativing the existence of a lawful excuse if, and only if, evidence directed to establishing the excuse is first adduced by or on behalf of the accused person.</w:t>
      </w:r>
    </w:p>
    <w:p>
      <w:pPr>
        <w:pStyle w:val="Subsection"/>
        <w:keepNext/>
        <w:keepLines/>
      </w:pPr>
      <w:r>
        <w:tab/>
        <w:t>(5)</w:t>
      </w:r>
      <w:r>
        <w:tab/>
        <w:t>On a trial before a jury for an offence under this section —</w:t>
      </w:r>
    </w:p>
    <w:p>
      <w:pPr>
        <w:pStyle w:val="Indenta"/>
      </w:pPr>
      <w:r>
        <w:tab/>
        <w:t>(a)</w:t>
      </w:r>
      <w:r>
        <w:tab/>
        <w:t>the question of whether the matter complained of is capable of bearing a defamatory meaning is a question for determination by the judge; and</w:t>
      </w:r>
    </w:p>
    <w:p>
      <w:pPr>
        <w:pStyle w:val="Indenta"/>
      </w:pPr>
      <w:r>
        <w:tab/>
        <w:t>(b)</w:t>
      </w:r>
      <w:r>
        <w:tab/>
        <w:t>the question of whether the matter complained of does bear a defamatory meaning is a question for the jury; and</w:t>
      </w:r>
    </w:p>
    <w:p>
      <w:pPr>
        <w:pStyle w:val="Indenta"/>
      </w:pPr>
      <w:r>
        <w:tab/>
        <w:t>(c)</w:t>
      </w:r>
      <w: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pPr>
      <w:r>
        <w:tab/>
        <w:t>(7)</w:t>
      </w:r>
      <w:r>
        <w:tab/>
        <w:t>In this section —</w:t>
      </w:r>
    </w:p>
    <w:p>
      <w:pPr>
        <w:pStyle w:val="Defstart"/>
      </w:pPr>
      <w:r>
        <w:rPr>
          <w:b/>
        </w:rPr>
        <w:tab/>
      </w:r>
      <w:r>
        <w:rPr>
          <w:rStyle w:val="CharDefText"/>
        </w:rPr>
        <w:t>publish</w:t>
      </w:r>
      <w:r>
        <w:t xml:space="preserve"> and </w:t>
      </w:r>
      <w:r>
        <w:rPr>
          <w:rStyle w:val="CharDefText"/>
        </w:rPr>
        <w:t>defamatory</w:t>
      </w:r>
      <w:r>
        <w:rPr>
          <w:b/>
        </w:rPr>
        <w:t xml:space="preserve"> </w:t>
      </w:r>
      <w:r>
        <w:t xml:space="preserve">have the meanings that those terms have in the law of tort (as modified by the </w:t>
      </w:r>
      <w:r>
        <w:rPr>
          <w:i/>
          <w:iCs/>
        </w:rPr>
        <w:t>Defamation Act 2005</w:t>
      </w:r>
      <w:r>
        <w:t>) relating to defamation.</w:t>
      </w:r>
    </w:p>
    <w:p>
      <w:pPr>
        <w:pStyle w:val="Footnotesection"/>
      </w:pPr>
      <w:r>
        <w:tab/>
        <w:t>[Section 345 inserted: No. 44 of 2005 s. 47.]</w:t>
      </w:r>
    </w:p>
    <w:p>
      <w:pPr>
        <w:pStyle w:val="Ednotesection"/>
      </w:pPr>
      <w:r>
        <w:t>[</w:t>
      </w:r>
      <w:r>
        <w:rPr>
          <w:b/>
          <w:bCs/>
        </w:rPr>
        <w:t>346</w:t>
      </w:r>
      <w:r>
        <w:rPr>
          <w:b/>
          <w:bCs/>
        </w:rPr>
        <w:noBreakHyphen/>
        <w:t>369.</w:t>
      </w:r>
      <w:r>
        <w:tab/>
        <w:t>Deleted: No. 44 of 2005 s. 47.]</w:t>
      </w:r>
    </w:p>
    <w:p>
      <w:pPr>
        <w:pStyle w:val="Heading2"/>
      </w:pPr>
      <w:bookmarkStart w:id="844" w:name="_Toc103861002"/>
      <w:bookmarkStart w:id="845" w:name="_Toc103861524"/>
      <w:bookmarkStart w:id="846" w:name="_Toc103864528"/>
      <w:bookmarkStart w:id="847" w:name="_Toc90988815"/>
      <w:bookmarkStart w:id="848" w:name="_Toc90989338"/>
      <w:bookmarkStart w:id="849" w:name="_Toc90996827"/>
      <w:r>
        <w:rPr>
          <w:rStyle w:val="CharPartNo"/>
        </w:rPr>
        <w:t>Part VI</w:t>
      </w:r>
      <w:r>
        <w:t> — </w:t>
      </w:r>
      <w:r>
        <w:rPr>
          <w:rStyle w:val="CharPartText"/>
        </w:rPr>
        <w:t>Offences relating to property and contracts</w:t>
      </w:r>
      <w:bookmarkEnd w:id="844"/>
      <w:bookmarkEnd w:id="845"/>
      <w:bookmarkEnd w:id="846"/>
      <w:bookmarkEnd w:id="847"/>
      <w:bookmarkEnd w:id="848"/>
      <w:bookmarkEnd w:id="849"/>
    </w:p>
    <w:p>
      <w:pPr>
        <w:pStyle w:val="Heading3"/>
        <w:spacing w:before="200"/>
        <w:rPr>
          <w:snapToGrid w:val="0"/>
        </w:rPr>
      </w:pPr>
      <w:bookmarkStart w:id="850" w:name="_Toc103861003"/>
      <w:bookmarkStart w:id="851" w:name="_Toc103861525"/>
      <w:bookmarkStart w:id="852" w:name="_Toc103864529"/>
      <w:bookmarkStart w:id="853" w:name="_Toc90988816"/>
      <w:bookmarkStart w:id="854" w:name="_Toc90989339"/>
      <w:bookmarkStart w:id="855" w:name="_Toc90996828"/>
      <w:r>
        <w:rPr>
          <w:snapToGrid w:val="0"/>
        </w:rPr>
        <w:t>Division I — Stealing and like offences</w:t>
      </w:r>
      <w:bookmarkEnd w:id="850"/>
      <w:bookmarkEnd w:id="851"/>
      <w:bookmarkEnd w:id="852"/>
      <w:bookmarkEnd w:id="853"/>
      <w:bookmarkEnd w:id="854"/>
      <w:bookmarkEnd w:id="855"/>
    </w:p>
    <w:p>
      <w:pPr>
        <w:pStyle w:val="Heading3"/>
        <w:spacing w:before="200"/>
        <w:rPr>
          <w:snapToGrid w:val="0"/>
        </w:rPr>
      </w:pPr>
      <w:bookmarkStart w:id="856" w:name="_Toc103861004"/>
      <w:bookmarkStart w:id="857" w:name="_Toc103861526"/>
      <w:bookmarkStart w:id="858" w:name="_Toc103864530"/>
      <w:bookmarkStart w:id="859" w:name="_Toc90988817"/>
      <w:bookmarkStart w:id="860" w:name="_Toc90989340"/>
      <w:bookmarkStart w:id="861" w:name="_Toc90996829"/>
      <w:r>
        <w:rPr>
          <w:rStyle w:val="CharDivNo"/>
        </w:rPr>
        <w:t>Chapter XXXVI</w:t>
      </w:r>
      <w:r>
        <w:rPr>
          <w:snapToGrid w:val="0"/>
        </w:rPr>
        <w:t> — </w:t>
      </w:r>
      <w:r>
        <w:rPr>
          <w:rStyle w:val="CharDivText"/>
        </w:rPr>
        <w:t>Stealing</w:t>
      </w:r>
      <w:bookmarkEnd w:id="856"/>
      <w:bookmarkEnd w:id="857"/>
      <w:bookmarkEnd w:id="858"/>
      <w:bookmarkEnd w:id="859"/>
      <w:bookmarkEnd w:id="860"/>
      <w:bookmarkEnd w:id="861"/>
    </w:p>
    <w:p>
      <w:pPr>
        <w:pStyle w:val="Heading5"/>
        <w:spacing w:before="200"/>
        <w:rPr>
          <w:snapToGrid w:val="0"/>
        </w:rPr>
      </w:pPr>
      <w:bookmarkStart w:id="862" w:name="_Toc103864531"/>
      <w:bookmarkStart w:id="863" w:name="_Toc90996830"/>
      <w:r>
        <w:rPr>
          <w:rStyle w:val="CharSectno"/>
        </w:rPr>
        <w:t>370</w:t>
      </w:r>
      <w:r>
        <w:rPr>
          <w:snapToGrid w:val="0"/>
        </w:rPr>
        <w:t>.</w:t>
      </w:r>
      <w:r>
        <w:rPr>
          <w:snapToGrid w:val="0"/>
        </w:rPr>
        <w:tab/>
        <w:t>Things capable of being stolen</w:t>
      </w:r>
      <w:bookmarkEnd w:id="862"/>
      <w:bookmarkEnd w:id="863"/>
    </w:p>
    <w:p>
      <w:pPr>
        <w:pStyle w:val="Subsection"/>
        <w:spacing w:before="120"/>
        <w:rPr>
          <w:snapToGrid w:val="0"/>
        </w:rPr>
      </w:pPr>
      <w:r>
        <w:rPr>
          <w:snapToGrid w:val="0"/>
        </w:rPr>
        <w:tab/>
      </w:r>
      <w:r>
        <w:rPr>
          <w:snapToGrid w:val="0"/>
        </w:rPr>
        <w:tab/>
        <w:t>Every inanimate thing whatever which is the property of any person, and which is movable, is capable of being stolen.</w:t>
      </w:r>
    </w:p>
    <w:p>
      <w:pPr>
        <w:pStyle w:val="Subsection"/>
        <w:spacing w:before="120"/>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spacing w:before="120"/>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spacing w:before="120"/>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spacing w:before="120"/>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spacing w:before="120"/>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No. 4 of 2004 s. 64.]</w:t>
      </w:r>
    </w:p>
    <w:p>
      <w:pPr>
        <w:pStyle w:val="Heading5"/>
        <w:spacing w:before="180"/>
        <w:rPr>
          <w:snapToGrid w:val="0"/>
        </w:rPr>
      </w:pPr>
      <w:bookmarkStart w:id="864" w:name="_Toc103864532"/>
      <w:bookmarkStart w:id="865" w:name="_Toc90996831"/>
      <w:r>
        <w:rPr>
          <w:rStyle w:val="CharSectno"/>
        </w:rPr>
        <w:t>371</w:t>
      </w:r>
      <w:r>
        <w:rPr>
          <w:snapToGrid w:val="0"/>
        </w:rPr>
        <w:t>.</w:t>
      </w:r>
      <w:r>
        <w:rPr>
          <w:snapToGrid w:val="0"/>
        </w:rPr>
        <w:tab/>
        <w:t xml:space="preserve">Term used: </w:t>
      </w:r>
      <w:r>
        <w:rPr>
          <w:rStyle w:val="CharDefText"/>
          <w:b/>
          <w:bCs/>
          <w:i w:val="0"/>
          <w:iCs/>
        </w:rPr>
        <w:t>steal</w:t>
      </w:r>
      <w:bookmarkEnd w:id="864"/>
      <w:bookmarkEnd w:id="865"/>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No. 20 of 1954 s. 2.]</w:t>
      </w:r>
    </w:p>
    <w:p>
      <w:pPr>
        <w:pStyle w:val="Heading5"/>
        <w:rPr>
          <w:snapToGrid w:val="0"/>
        </w:rPr>
      </w:pPr>
      <w:bookmarkStart w:id="866" w:name="_Toc103864533"/>
      <w:bookmarkStart w:id="867" w:name="_Toc90996832"/>
      <w:r>
        <w:rPr>
          <w:rStyle w:val="CharSectno"/>
        </w:rPr>
        <w:t>371A</w:t>
      </w:r>
      <w:r>
        <w:rPr>
          <w:snapToGrid w:val="0"/>
        </w:rPr>
        <w:t>.</w:t>
      </w:r>
      <w:r>
        <w:rPr>
          <w:snapToGrid w:val="0"/>
        </w:rPr>
        <w:tab/>
        <w:t>Using etc. motor vehicle without consent is stealing</w:t>
      </w:r>
      <w:bookmarkEnd w:id="866"/>
      <w:bookmarkEnd w:id="867"/>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No. 37 of 1991 s. 17.]</w:t>
      </w:r>
    </w:p>
    <w:p>
      <w:pPr>
        <w:pStyle w:val="Heading5"/>
        <w:rPr>
          <w:snapToGrid w:val="0"/>
        </w:rPr>
      </w:pPr>
      <w:bookmarkStart w:id="868" w:name="_Toc103864534"/>
      <w:bookmarkStart w:id="869" w:name="_Toc90996833"/>
      <w:r>
        <w:rPr>
          <w:rStyle w:val="CharSectno"/>
        </w:rPr>
        <w:t>372</w:t>
      </w:r>
      <w:r>
        <w:rPr>
          <w:snapToGrid w:val="0"/>
        </w:rPr>
        <w:t>.</w:t>
      </w:r>
      <w:r>
        <w:rPr>
          <w:snapToGrid w:val="0"/>
        </w:rPr>
        <w:tab/>
        <w:t>Cases which are not stealing</w:t>
      </w:r>
      <w:bookmarkEnd w:id="868"/>
      <w:bookmarkEnd w:id="869"/>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No. 4 of 2004 s. 61(5).]</w:t>
      </w:r>
    </w:p>
    <w:p>
      <w:pPr>
        <w:pStyle w:val="Heading5"/>
        <w:rPr>
          <w:snapToGrid w:val="0"/>
        </w:rPr>
      </w:pPr>
      <w:bookmarkStart w:id="870" w:name="_Toc103864535"/>
      <w:bookmarkStart w:id="871" w:name="_Toc90996834"/>
      <w:r>
        <w:rPr>
          <w:rStyle w:val="CharSectno"/>
        </w:rPr>
        <w:t>373</w:t>
      </w:r>
      <w:r>
        <w:rPr>
          <w:snapToGrid w:val="0"/>
        </w:rPr>
        <w:t>.</w:t>
      </w:r>
      <w:r>
        <w:rPr>
          <w:snapToGrid w:val="0"/>
        </w:rPr>
        <w:tab/>
        <w:t>Funds etc. held under direction, who owns etc.</w:t>
      </w:r>
      <w:bookmarkEnd w:id="870"/>
      <w:bookmarkEnd w:id="871"/>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872" w:name="_Toc103864536"/>
      <w:bookmarkStart w:id="873" w:name="_Toc90996835"/>
      <w:r>
        <w:rPr>
          <w:rStyle w:val="CharSectno"/>
        </w:rPr>
        <w:t>374</w:t>
      </w:r>
      <w:r>
        <w:rPr>
          <w:snapToGrid w:val="0"/>
        </w:rPr>
        <w:t>.</w:t>
      </w:r>
      <w:r>
        <w:rPr>
          <w:snapToGrid w:val="0"/>
        </w:rPr>
        <w:tab/>
        <w:t>Proceeds of sale etc. of property by agent, who owns</w:t>
      </w:r>
      <w:bookmarkEnd w:id="872"/>
      <w:bookmarkEnd w:id="873"/>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874" w:name="_Toc103864537"/>
      <w:bookmarkStart w:id="875" w:name="_Toc90996836"/>
      <w:r>
        <w:rPr>
          <w:rStyle w:val="CharSectno"/>
        </w:rPr>
        <w:t>375</w:t>
      </w:r>
      <w:r>
        <w:rPr>
          <w:snapToGrid w:val="0"/>
        </w:rPr>
        <w:t>.</w:t>
      </w:r>
      <w:r>
        <w:rPr>
          <w:snapToGrid w:val="0"/>
        </w:rPr>
        <w:tab/>
        <w:t>Money received for another, who owns</w:t>
      </w:r>
      <w:bookmarkEnd w:id="874"/>
      <w:bookmarkEnd w:id="875"/>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876" w:name="_Toc103864538"/>
      <w:bookmarkStart w:id="877" w:name="_Toc90996837"/>
      <w:r>
        <w:rPr>
          <w:rStyle w:val="CharSectno"/>
        </w:rPr>
        <w:t>376</w:t>
      </w:r>
      <w:r>
        <w:rPr>
          <w:snapToGrid w:val="0"/>
        </w:rPr>
        <w:t>.</w:t>
      </w:r>
      <w:r>
        <w:rPr>
          <w:snapToGrid w:val="0"/>
        </w:rPr>
        <w:tab/>
        <w:t>Stealing by person having an interest in the thing stolen</w:t>
      </w:r>
      <w:bookmarkEnd w:id="876"/>
      <w:bookmarkEnd w:id="877"/>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No. 28 of 2003 s. 118(4).]</w:t>
      </w:r>
    </w:p>
    <w:p>
      <w:pPr>
        <w:pStyle w:val="Heading5"/>
        <w:spacing w:before="180"/>
        <w:rPr>
          <w:snapToGrid w:val="0"/>
        </w:rPr>
      </w:pPr>
      <w:bookmarkStart w:id="878" w:name="_Toc103864539"/>
      <w:bookmarkStart w:id="879" w:name="_Toc90996838"/>
      <w:r>
        <w:rPr>
          <w:rStyle w:val="CharSectno"/>
        </w:rPr>
        <w:t>378</w:t>
      </w:r>
      <w:r>
        <w:rPr>
          <w:snapToGrid w:val="0"/>
        </w:rPr>
        <w:t>.</w:t>
      </w:r>
      <w:r>
        <w:rPr>
          <w:snapToGrid w:val="0"/>
        </w:rPr>
        <w:tab/>
        <w:t>Penalty for stealing</w:t>
      </w:r>
      <w:bookmarkEnd w:id="878"/>
      <w:bookmarkEnd w:id="879"/>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417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keepNext/>
        <w:rPr>
          <w:snapToGrid w:val="0"/>
        </w:rPr>
      </w:pPr>
      <w:r>
        <w:rPr>
          <w:snapToGrid w:val="0"/>
        </w:rPr>
        <w:tab/>
        <w:t>(2)</w:t>
      </w:r>
      <w:r>
        <w:rPr>
          <w:snapToGrid w:val="0"/>
        </w:rPr>
        <w:tab/>
        <w:t>If the thing stolen is a motor vehicle and the offender —</w:t>
      </w:r>
    </w:p>
    <w:p>
      <w:pPr>
        <w:pStyle w:val="Indenta"/>
        <w:rPr>
          <w:snapToGrid w:val="0"/>
        </w:rPr>
      </w:pPr>
      <w:r>
        <w:rPr>
          <w:snapToGrid w:val="0"/>
        </w:rPr>
        <w:tab/>
        <w:t>(a)</w:t>
      </w:r>
      <w:r>
        <w:rPr>
          <w:snapToGrid w:val="0"/>
        </w:rPr>
        <w:tab/>
        <w:t xml:space="preserve">wilfully drives the motor vehicle in a manner that constitutes an offence under </w:t>
      </w:r>
      <w:r>
        <w:t xml:space="preserve">the </w:t>
      </w:r>
      <w:r>
        <w:rPr>
          <w:i/>
        </w:rPr>
        <w:t>Road Traffic Act 1974</w:t>
      </w:r>
      <w:r>
        <w:t xml:space="preserve"> section 60 or 60A;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deleted]</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rPr>
          <w:snapToGrid w:val="0"/>
        </w:rPr>
      </w:pPr>
      <w:r>
        <w:rPr>
          <w:snapToGrid w:val="0"/>
        </w:rPr>
        <w:tab/>
        <w:t>(5)</w:t>
      </w:r>
      <w:r>
        <w:rPr>
          <w:snapToGrid w:val="0"/>
        </w:rPr>
        <w:tab/>
        <w:t>If the offence is committed under any of the circumstances following, that is to say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rPr>
          <w:snapToGrid w:val="0"/>
        </w:rPr>
      </w:pPr>
      <w:r>
        <w:rPr>
          <w:snapToGrid w:val="0"/>
        </w:rPr>
        <w:tab/>
        <w:t>(9)</w:t>
      </w:r>
      <w:r>
        <w:rPr>
          <w:snapToGrid w:val="0"/>
        </w:rPr>
        <w:tab/>
        <w:t>If the thing stolen is any of the things following, that is to say —</w:t>
      </w:r>
    </w:p>
    <w:p>
      <w:pPr>
        <w:pStyle w:val="Indenta"/>
        <w:rPr>
          <w:snapToGrid w:val="0"/>
        </w:rPr>
      </w:pPr>
      <w:r>
        <w:rPr>
          <w:snapToGrid w:val="0"/>
        </w:rPr>
        <w:tab/>
        <w:t>(a)</w:t>
      </w:r>
      <w:r>
        <w:rPr>
          <w:snapToGrid w:val="0"/>
        </w:rPr>
        <w:tab/>
        <w:t>Property which has been received by the offender with a power of attorney for the disposition thereof;</w:t>
      </w:r>
    </w:p>
    <w:p>
      <w:pPr>
        <w:pStyle w:val="Indenta"/>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No. 53 of 1964 s. 7; No. 113 of 1965 s. 8(1); No. 1 of 1969 s. 2; No. 106 of 1987 s. 24; No. 101 of 1990 s. 18; No. 1 of 1992 s. 5; No. 51 of 1992 s. 16(2); No. 36 of 1996 s. 20; No. 70 of 2004 s. 36(8); No. 84 of 2004 s. 27(2); No. 11 of 2014 s. 6; No. 51 of 2016 s. 49.]</w:t>
      </w:r>
    </w:p>
    <w:p>
      <w:pPr>
        <w:pStyle w:val="Ednotesection"/>
        <w:ind w:left="890" w:hanging="890"/>
      </w:pPr>
      <w:r>
        <w:t>[</w:t>
      </w:r>
      <w:r>
        <w:rPr>
          <w:b/>
        </w:rPr>
        <w:t>378A.</w:t>
      </w:r>
      <w:r>
        <w:tab/>
        <w:t>Deleted: No. 101 of 1990 s. 19.]</w:t>
      </w:r>
    </w:p>
    <w:p>
      <w:pPr>
        <w:pStyle w:val="Heading3"/>
      </w:pPr>
      <w:bookmarkStart w:id="880" w:name="_Toc103861014"/>
      <w:bookmarkStart w:id="881" w:name="_Toc103861536"/>
      <w:bookmarkStart w:id="882" w:name="_Toc103864540"/>
      <w:bookmarkStart w:id="883" w:name="_Toc90988827"/>
      <w:bookmarkStart w:id="884" w:name="_Toc90989350"/>
      <w:bookmarkStart w:id="885" w:name="_Toc90996839"/>
      <w:r>
        <w:rPr>
          <w:rStyle w:val="CharDivNo"/>
        </w:rPr>
        <w:t>Chapter XXXVII</w:t>
      </w:r>
      <w:r>
        <w:rPr>
          <w:snapToGrid w:val="0"/>
        </w:rPr>
        <w:t> — </w:t>
      </w:r>
      <w:r>
        <w:rPr>
          <w:rStyle w:val="CharDivText"/>
        </w:rPr>
        <w:t>Offences analogous to stealing</w:t>
      </w:r>
      <w:bookmarkEnd w:id="880"/>
      <w:bookmarkEnd w:id="881"/>
      <w:bookmarkEnd w:id="882"/>
      <w:bookmarkEnd w:id="883"/>
      <w:bookmarkEnd w:id="884"/>
      <w:bookmarkEnd w:id="885"/>
    </w:p>
    <w:p>
      <w:pPr>
        <w:pStyle w:val="Heading5"/>
        <w:rPr>
          <w:snapToGrid w:val="0"/>
        </w:rPr>
      </w:pPr>
      <w:bookmarkStart w:id="886" w:name="_Toc103864541"/>
      <w:bookmarkStart w:id="887" w:name="_Toc90996840"/>
      <w:r>
        <w:rPr>
          <w:rStyle w:val="CharSectno"/>
        </w:rPr>
        <w:t>379</w:t>
      </w:r>
      <w:r>
        <w:rPr>
          <w:snapToGrid w:val="0"/>
        </w:rPr>
        <w:t>.</w:t>
      </w:r>
      <w:r>
        <w:rPr>
          <w:snapToGrid w:val="0"/>
        </w:rPr>
        <w:tab/>
        <w:t>Concealing official register</w:t>
      </w:r>
      <w:bookmarkEnd w:id="886"/>
      <w:bookmarkEnd w:id="887"/>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No. 51 of 1992 s. 16(2); No. 70 of 2004 s. 36(3).]</w:t>
      </w:r>
    </w:p>
    <w:p>
      <w:pPr>
        <w:pStyle w:val="Heading5"/>
        <w:rPr>
          <w:snapToGrid w:val="0"/>
        </w:rPr>
      </w:pPr>
      <w:bookmarkStart w:id="888" w:name="_Toc103864542"/>
      <w:bookmarkStart w:id="889" w:name="_Toc90996841"/>
      <w:r>
        <w:rPr>
          <w:rStyle w:val="CharSectno"/>
        </w:rPr>
        <w:t>380</w:t>
      </w:r>
      <w:r>
        <w:rPr>
          <w:snapToGrid w:val="0"/>
        </w:rPr>
        <w:t>.</w:t>
      </w:r>
      <w:r>
        <w:rPr>
          <w:snapToGrid w:val="0"/>
        </w:rPr>
        <w:tab/>
        <w:t>Concealing will</w:t>
      </w:r>
      <w:bookmarkEnd w:id="888"/>
      <w:bookmarkEnd w:id="889"/>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No. 51 of 1992 s. 16(2).]</w:t>
      </w:r>
    </w:p>
    <w:p>
      <w:pPr>
        <w:pStyle w:val="Heading5"/>
        <w:keepNext w:val="0"/>
        <w:keepLines w:val="0"/>
        <w:spacing w:before="180"/>
        <w:rPr>
          <w:snapToGrid w:val="0"/>
        </w:rPr>
      </w:pPr>
      <w:bookmarkStart w:id="890" w:name="_Toc103864543"/>
      <w:bookmarkStart w:id="891" w:name="_Toc90996842"/>
      <w:r>
        <w:rPr>
          <w:rStyle w:val="CharSectno"/>
        </w:rPr>
        <w:t>381</w:t>
      </w:r>
      <w:r>
        <w:rPr>
          <w:snapToGrid w:val="0"/>
        </w:rPr>
        <w:t>.</w:t>
      </w:r>
      <w:r>
        <w:rPr>
          <w:snapToGrid w:val="0"/>
        </w:rPr>
        <w:tab/>
        <w:t>Concealing certificate of title etc.</w:t>
      </w:r>
      <w:bookmarkEnd w:id="890"/>
      <w:bookmarkEnd w:id="891"/>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No. 51 of 1992 s. 16(2).]</w:t>
      </w:r>
    </w:p>
    <w:p>
      <w:pPr>
        <w:pStyle w:val="Heading5"/>
        <w:keepNext w:val="0"/>
        <w:keepLines w:val="0"/>
        <w:rPr>
          <w:snapToGrid w:val="0"/>
        </w:rPr>
      </w:pPr>
      <w:bookmarkStart w:id="892" w:name="_Toc103864544"/>
      <w:bookmarkStart w:id="893" w:name="_Toc90996843"/>
      <w:r>
        <w:rPr>
          <w:rStyle w:val="CharSectno"/>
        </w:rPr>
        <w:t>382</w:t>
      </w:r>
      <w:r>
        <w:rPr>
          <w:snapToGrid w:val="0"/>
        </w:rPr>
        <w:t>.</w:t>
      </w:r>
      <w:r>
        <w:rPr>
          <w:snapToGrid w:val="0"/>
        </w:rPr>
        <w:tab/>
        <w:t>Killing animal with intent to steal</w:t>
      </w:r>
      <w:bookmarkEnd w:id="892"/>
      <w:bookmarkEnd w:id="893"/>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keepLines w:val="0"/>
        <w:spacing w:before="120"/>
        <w:rPr>
          <w:snapToGrid w:val="0"/>
        </w:rPr>
      </w:pPr>
      <w:bookmarkStart w:id="894" w:name="_Toc103864545"/>
      <w:bookmarkStart w:id="895" w:name="_Toc90996844"/>
      <w:r>
        <w:rPr>
          <w:rStyle w:val="CharSectno"/>
        </w:rPr>
        <w:t>383</w:t>
      </w:r>
      <w:r>
        <w:rPr>
          <w:snapToGrid w:val="0"/>
        </w:rPr>
        <w:t>.</w:t>
      </w:r>
      <w:r>
        <w:rPr>
          <w:snapToGrid w:val="0"/>
        </w:rPr>
        <w:tab/>
        <w:t>Severing with intent to steal</w:t>
      </w:r>
      <w:bookmarkEnd w:id="894"/>
      <w:bookmarkEnd w:id="895"/>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spacing w:before="240"/>
        <w:rPr>
          <w:snapToGrid w:val="0"/>
        </w:rPr>
      </w:pPr>
      <w:bookmarkStart w:id="896" w:name="_Toc103864546"/>
      <w:bookmarkStart w:id="897" w:name="_Toc90996845"/>
      <w:r>
        <w:rPr>
          <w:rStyle w:val="CharSectno"/>
        </w:rPr>
        <w:t>384</w:t>
      </w:r>
      <w:r>
        <w:rPr>
          <w:snapToGrid w:val="0"/>
        </w:rPr>
        <w:t>.</w:t>
      </w:r>
      <w:r>
        <w:rPr>
          <w:snapToGrid w:val="0"/>
        </w:rPr>
        <w:tab/>
        <w:t>Using registered brand with criminal intention</w:t>
      </w:r>
      <w:bookmarkEnd w:id="896"/>
      <w:bookmarkEnd w:id="897"/>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No. 51 of 1992 s. 16(2); No. 70 of 2004 s. 34(1).]</w:t>
      </w:r>
    </w:p>
    <w:p>
      <w:pPr>
        <w:pStyle w:val="Heading5"/>
        <w:spacing w:before="240"/>
        <w:rPr>
          <w:snapToGrid w:val="0"/>
        </w:rPr>
      </w:pPr>
      <w:bookmarkStart w:id="898" w:name="_Toc103864547"/>
      <w:bookmarkStart w:id="899" w:name="_Toc90996846"/>
      <w:r>
        <w:rPr>
          <w:rStyle w:val="CharSectno"/>
        </w:rPr>
        <w:t>385</w:t>
      </w:r>
      <w:r>
        <w:rPr>
          <w:snapToGrid w:val="0"/>
        </w:rPr>
        <w:t>.</w:t>
      </w:r>
      <w:r>
        <w:rPr>
          <w:snapToGrid w:val="0"/>
        </w:rPr>
        <w:tab/>
        <w:t>Fraudulently dealing with ore at mine</w:t>
      </w:r>
      <w:bookmarkEnd w:id="898"/>
      <w:bookmarkEnd w:id="899"/>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ind w:left="890" w:hanging="890"/>
      </w:pPr>
      <w:r>
        <w:tab/>
        <w:t>[Section 385 amended: No. 51 of 1992 s. 16(2); No. 70 of 2004 s. 34(1).]</w:t>
      </w:r>
    </w:p>
    <w:p>
      <w:pPr>
        <w:pStyle w:val="Heading5"/>
        <w:keepLines w:val="0"/>
        <w:spacing w:before="240"/>
        <w:rPr>
          <w:snapToGrid w:val="0"/>
        </w:rPr>
      </w:pPr>
      <w:bookmarkStart w:id="900" w:name="_Toc103864548"/>
      <w:bookmarkStart w:id="901" w:name="_Toc90996847"/>
      <w:r>
        <w:rPr>
          <w:rStyle w:val="CharSectno"/>
        </w:rPr>
        <w:t>386</w:t>
      </w:r>
      <w:r>
        <w:rPr>
          <w:snapToGrid w:val="0"/>
        </w:rPr>
        <w:t>.</w:t>
      </w:r>
      <w:r>
        <w:rPr>
          <w:snapToGrid w:val="0"/>
        </w:rPr>
        <w:tab/>
        <w:t>Concealing royalty</w:t>
      </w:r>
      <w:bookmarkEnd w:id="900"/>
      <w:bookmarkEnd w:id="901"/>
    </w:p>
    <w:p>
      <w:pPr>
        <w:pStyle w:val="Subsection"/>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keepNext/>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No. 51 of 1992 s. 16(2); No. 70 of 2004 s. 34(1).]</w:t>
      </w:r>
    </w:p>
    <w:p>
      <w:pPr>
        <w:pStyle w:val="Heading5"/>
        <w:spacing w:before="260"/>
        <w:rPr>
          <w:snapToGrid w:val="0"/>
        </w:rPr>
      </w:pPr>
      <w:bookmarkStart w:id="902" w:name="_Toc103864549"/>
      <w:bookmarkStart w:id="903" w:name="_Toc90996848"/>
      <w:r>
        <w:rPr>
          <w:rStyle w:val="CharSectno"/>
        </w:rPr>
        <w:t>387</w:t>
      </w:r>
      <w:r>
        <w:rPr>
          <w:snapToGrid w:val="0"/>
        </w:rPr>
        <w:t>.</w:t>
      </w:r>
      <w:r>
        <w:rPr>
          <w:snapToGrid w:val="0"/>
        </w:rPr>
        <w:tab/>
        <w:t>Removing guano without licence</w:t>
      </w:r>
      <w:bookmarkEnd w:id="902"/>
      <w:bookmarkEnd w:id="903"/>
    </w:p>
    <w:p>
      <w:pPr>
        <w:pStyle w:val="Subsection"/>
        <w:spacing w:before="200"/>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spacing w:before="80"/>
        <w:ind w:left="890" w:hanging="890"/>
      </w:pPr>
      <w:r>
        <w:tab/>
        <w:t>[Section 387 amended: No. 51 of 1992 s. 16(2); No. 70 of 2004 s. 34(1).]</w:t>
      </w:r>
    </w:p>
    <w:p>
      <w:pPr>
        <w:pStyle w:val="Heading5"/>
        <w:spacing w:before="260"/>
        <w:rPr>
          <w:snapToGrid w:val="0"/>
        </w:rPr>
      </w:pPr>
      <w:bookmarkStart w:id="904" w:name="_Toc103864550"/>
      <w:bookmarkStart w:id="905" w:name="_Toc90996849"/>
      <w:r>
        <w:rPr>
          <w:rStyle w:val="CharSectno"/>
        </w:rPr>
        <w:t>388</w:t>
      </w:r>
      <w:r>
        <w:rPr>
          <w:snapToGrid w:val="0"/>
        </w:rPr>
        <w:t>.</w:t>
      </w:r>
      <w:r>
        <w:rPr>
          <w:snapToGrid w:val="0"/>
        </w:rPr>
        <w:tab/>
        <w:t>Bringing stolen goods into WA</w:t>
      </w:r>
      <w:bookmarkEnd w:id="904"/>
      <w:bookmarkEnd w:id="905"/>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No. 70 of 2004 s. 36(3).]</w:t>
      </w:r>
    </w:p>
    <w:p>
      <w:pPr>
        <w:pStyle w:val="Heading5"/>
        <w:spacing w:before="260"/>
        <w:rPr>
          <w:snapToGrid w:val="0"/>
        </w:rPr>
      </w:pPr>
      <w:bookmarkStart w:id="906" w:name="_Toc103864551"/>
      <w:bookmarkStart w:id="907" w:name="_Toc90996850"/>
      <w:r>
        <w:rPr>
          <w:rStyle w:val="CharSectno"/>
        </w:rPr>
        <w:t>389</w:t>
      </w:r>
      <w:r>
        <w:rPr>
          <w:snapToGrid w:val="0"/>
        </w:rPr>
        <w:t>.</w:t>
      </w:r>
      <w:r>
        <w:rPr>
          <w:snapToGrid w:val="0"/>
        </w:rPr>
        <w:tab/>
        <w:t>Fraudulent disposition of mortgaged goods</w:t>
      </w:r>
      <w:bookmarkEnd w:id="906"/>
      <w:bookmarkEnd w:id="907"/>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No. 51 of 1992 s. 16(2); No. 70 of 2004 s. 34(1).]</w:t>
      </w:r>
    </w:p>
    <w:p>
      <w:pPr>
        <w:pStyle w:val="Heading5"/>
        <w:spacing w:before="240"/>
        <w:rPr>
          <w:snapToGrid w:val="0"/>
        </w:rPr>
      </w:pPr>
      <w:bookmarkStart w:id="908" w:name="_Toc103864552"/>
      <w:bookmarkStart w:id="909" w:name="_Toc90996851"/>
      <w:r>
        <w:rPr>
          <w:rStyle w:val="CharSectno"/>
        </w:rPr>
        <w:t>390</w:t>
      </w:r>
      <w:r>
        <w:rPr>
          <w:snapToGrid w:val="0"/>
        </w:rPr>
        <w:t>.</w:t>
      </w:r>
      <w:r>
        <w:rPr>
          <w:snapToGrid w:val="0"/>
        </w:rPr>
        <w:tab/>
        <w:t>Fraudulent appropriation of electricity etc.</w:t>
      </w:r>
      <w:bookmarkEnd w:id="908"/>
      <w:bookmarkEnd w:id="909"/>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No. 51 of 1992 s. 16(2).]</w:t>
      </w:r>
    </w:p>
    <w:p>
      <w:pPr>
        <w:pStyle w:val="Heading5"/>
      </w:pPr>
      <w:bookmarkStart w:id="910" w:name="_Toc103864553"/>
      <w:bookmarkStart w:id="911" w:name="_Toc90996852"/>
      <w:r>
        <w:rPr>
          <w:rStyle w:val="CharSectno"/>
        </w:rPr>
        <w:t>390A</w:t>
      </w:r>
      <w:r>
        <w:t>.</w:t>
      </w:r>
      <w:r>
        <w:tab/>
        <w:t>Unlawful use of conveyance (not of motor vehicle)</w:t>
      </w:r>
      <w:bookmarkEnd w:id="910"/>
      <w:bookmarkEnd w:id="911"/>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No. 70 of 2004 s. 25.]</w:t>
      </w:r>
    </w:p>
    <w:p>
      <w:pPr>
        <w:pStyle w:val="Ednotesection"/>
        <w:ind w:left="890" w:hanging="890"/>
      </w:pPr>
      <w:r>
        <w:t>[</w:t>
      </w:r>
      <w:r>
        <w:rPr>
          <w:b/>
        </w:rPr>
        <w:t>390B.</w:t>
      </w:r>
      <w:r>
        <w:tab/>
        <w:t>Deleted: No. 70 of 2004 s. 26.]</w:t>
      </w:r>
    </w:p>
    <w:p>
      <w:pPr>
        <w:pStyle w:val="Heading3"/>
        <w:keepNext w:val="0"/>
        <w:rPr>
          <w:snapToGrid w:val="0"/>
        </w:rPr>
      </w:pPr>
      <w:bookmarkStart w:id="912" w:name="_Toc103861028"/>
      <w:bookmarkStart w:id="913" w:name="_Toc103861550"/>
      <w:bookmarkStart w:id="914" w:name="_Toc103864554"/>
      <w:bookmarkStart w:id="915" w:name="_Toc90988841"/>
      <w:bookmarkStart w:id="916" w:name="_Toc90989364"/>
      <w:bookmarkStart w:id="917" w:name="_Toc90996853"/>
      <w:r>
        <w:rPr>
          <w:rStyle w:val="CharDivNo"/>
        </w:rPr>
        <w:t>Chapter XXXVIII</w:t>
      </w:r>
      <w:r>
        <w:rPr>
          <w:snapToGrid w:val="0"/>
        </w:rPr>
        <w:t> — </w:t>
      </w:r>
      <w:r>
        <w:rPr>
          <w:rStyle w:val="CharDivText"/>
        </w:rPr>
        <w:t>Robbery: Extortion by threats</w:t>
      </w:r>
      <w:bookmarkEnd w:id="912"/>
      <w:bookmarkEnd w:id="913"/>
      <w:bookmarkEnd w:id="914"/>
      <w:bookmarkEnd w:id="915"/>
      <w:bookmarkEnd w:id="916"/>
      <w:bookmarkEnd w:id="917"/>
    </w:p>
    <w:p>
      <w:pPr>
        <w:pStyle w:val="Footnoteheading"/>
      </w:pPr>
      <w:r>
        <w:tab/>
        <w:t>[Heading amended: No. 23 of 2001 s. 8.]</w:t>
      </w:r>
    </w:p>
    <w:p>
      <w:pPr>
        <w:pStyle w:val="Heading5"/>
        <w:keepNext w:val="0"/>
        <w:keepLines w:val="0"/>
      </w:pPr>
      <w:bookmarkStart w:id="918" w:name="_Toc103864555"/>
      <w:bookmarkStart w:id="919" w:name="_Toc90996854"/>
      <w:r>
        <w:rPr>
          <w:rStyle w:val="CharSectno"/>
        </w:rPr>
        <w:t>391</w:t>
      </w:r>
      <w:r>
        <w:t>.</w:t>
      </w:r>
      <w:r>
        <w:tab/>
        <w:t>Term used: circumstances of aggravation</w:t>
      </w:r>
      <w:bookmarkEnd w:id="918"/>
      <w:bookmarkEnd w:id="919"/>
    </w:p>
    <w:p>
      <w:pPr>
        <w:pStyle w:val="Subsection"/>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Lines w:val="0"/>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No. 23 of 2001 s. 9.]</w:t>
      </w:r>
    </w:p>
    <w:p>
      <w:pPr>
        <w:pStyle w:val="Heading5"/>
        <w:spacing w:before="240"/>
      </w:pPr>
      <w:bookmarkStart w:id="920" w:name="_Toc103864556"/>
      <w:bookmarkStart w:id="921" w:name="_Toc90996855"/>
      <w:r>
        <w:rPr>
          <w:rStyle w:val="CharSectno"/>
        </w:rPr>
        <w:t>392</w:t>
      </w:r>
      <w:r>
        <w:t>.</w:t>
      </w:r>
      <w:r>
        <w:tab/>
        <w:t>Robbery</w:t>
      </w:r>
      <w:bookmarkEnd w:id="920"/>
      <w:bookmarkEnd w:id="921"/>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No. 23 of 2001 s. 9; amended: No. 70 of 2004 s. 36(3).]</w:t>
      </w:r>
    </w:p>
    <w:p>
      <w:pPr>
        <w:pStyle w:val="Heading5"/>
      </w:pPr>
      <w:bookmarkStart w:id="922" w:name="_Toc103864557"/>
      <w:bookmarkStart w:id="923" w:name="_Toc90996856"/>
      <w:r>
        <w:rPr>
          <w:rStyle w:val="CharSectno"/>
        </w:rPr>
        <w:t>393</w:t>
      </w:r>
      <w:r>
        <w:t>.</w:t>
      </w:r>
      <w:r>
        <w:tab/>
        <w:t>Assault with intent to rob</w:t>
      </w:r>
      <w:bookmarkEnd w:id="922"/>
      <w:bookmarkEnd w:id="923"/>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keepNext/>
        <w:keepLines/>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No. 23 of 2001 s. 9; amended: No. 70 of 2004 s. 36(3).]</w:t>
      </w:r>
    </w:p>
    <w:p>
      <w:pPr>
        <w:pStyle w:val="Ednotesection"/>
        <w:spacing w:before="180"/>
      </w:pPr>
      <w:r>
        <w:t>[</w:t>
      </w:r>
      <w:r>
        <w:rPr>
          <w:b/>
        </w:rPr>
        <w:t>394.</w:t>
      </w:r>
      <w:r>
        <w:tab/>
        <w:t>Deleted: No. 23 of 2001 s. 9.]</w:t>
      </w:r>
    </w:p>
    <w:p>
      <w:pPr>
        <w:pStyle w:val="Ednotesection"/>
        <w:spacing w:before="180"/>
        <w:ind w:left="890" w:hanging="890"/>
      </w:pPr>
      <w:r>
        <w:t>[</w:t>
      </w:r>
      <w:r>
        <w:rPr>
          <w:b/>
        </w:rPr>
        <w:t>395.</w:t>
      </w:r>
      <w:r>
        <w:tab/>
        <w:t>Deleted: No. 36 of 1996 s. 21.]</w:t>
      </w:r>
    </w:p>
    <w:p>
      <w:pPr>
        <w:pStyle w:val="Heading5"/>
        <w:spacing w:before="180"/>
        <w:rPr>
          <w:snapToGrid w:val="0"/>
        </w:rPr>
      </w:pPr>
      <w:bookmarkStart w:id="924" w:name="_Toc103864558"/>
      <w:bookmarkStart w:id="925" w:name="_Toc90996857"/>
      <w:r>
        <w:rPr>
          <w:rStyle w:val="CharSectno"/>
        </w:rPr>
        <w:t>396</w:t>
      </w:r>
      <w:r>
        <w:rPr>
          <w:snapToGrid w:val="0"/>
        </w:rPr>
        <w:t>.</w:t>
      </w:r>
      <w:r>
        <w:rPr>
          <w:snapToGrid w:val="0"/>
        </w:rPr>
        <w:tab/>
        <w:t>Demanding property with threats with intent to steal</w:t>
      </w:r>
      <w:bookmarkEnd w:id="924"/>
      <w:bookmarkEnd w:id="925"/>
    </w:p>
    <w:p>
      <w:pPr>
        <w:pStyle w:val="Subsection"/>
        <w:spacing w:before="12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No. 51 of 1992 s. 16(2).]</w:t>
      </w:r>
    </w:p>
    <w:p>
      <w:pPr>
        <w:pStyle w:val="Heading5"/>
        <w:spacing w:before="180"/>
        <w:rPr>
          <w:snapToGrid w:val="0"/>
          <w:spacing w:val="-4"/>
        </w:rPr>
      </w:pPr>
      <w:bookmarkStart w:id="926" w:name="_Toc103864559"/>
      <w:bookmarkStart w:id="927" w:name="_Toc90996858"/>
      <w:r>
        <w:rPr>
          <w:rStyle w:val="CharSectno"/>
        </w:rPr>
        <w:t>397</w:t>
      </w:r>
      <w:r>
        <w:rPr>
          <w:snapToGrid w:val="0"/>
        </w:rPr>
        <w:t>.</w:t>
      </w:r>
      <w:r>
        <w:rPr>
          <w:snapToGrid w:val="0"/>
        </w:rPr>
        <w:tab/>
        <w:t xml:space="preserve">Demanding property </w:t>
      </w:r>
      <w:r>
        <w:rPr>
          <w:snapToGrid w:val="0"/>
          <w:spacing w:val="-4"/>
        </w:rPr>
        <w:t>with threats with intent to extort or gain</w:t>
      </w:r>
      <w:bookmarkEnd w:id="926"/>
      <w:bookmarkEnd w:id="927"/>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No. 1 of 1969 s. 3; amended: No. 51 of 1992 s. 16(2); No. 70 of 2004 s. 36(9).]</w:t>
      </w:r>
    </w:p>
    <w:p>
      <w:pPr>
        <w:pStyle w:val="Heading5"/>
        <w:spacing w:before="240"/>
        <w:rPr>
          <w:snapToGrid w:val="0"/>
        </w:rPr>
      </w:pPr>
      <w:bookmarkStart w:id="928" w:name="_Toc103864560"/>
      <w:bookmarkStart w:id="929" w:name="_Toc90996859"/>
      <w:r>
        <w:rPr>
          <w:rStyle w:val="CharSectno"/>
        </w:rPr>
        <w:t>398</w:t>
      </w:r>
      <w:r>
        <w:rPr>
          <w:snapToGrid w:val="0"/>
        </w:rPr>
        <w:t>.</w:t>
      </w:r>
      <w:r>
        <w:rPr>
          <w:snapToGrid w:val="0"/>
        </w:rPr>
        <w:tab/>
        <w:t>Threats etc. with intent to extort etc.</w:t>
      </w:r>
      <w:bookmarkEnd w:id="928"/>
      <w:bookmarkEnd w:id="929"/>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No. 118 of 1981 s. 4; No. 52 of 1984 s. 21; No. 74 of 1985 s. 11; No. 101 of 1990 s. 22; No. 14 of 1992 s. 6(6); No. 51 of 1992 s. 16(2).]</w:t>
      </w:r>
    </w:p>
    <w:p>
      <w:pPr>
        <w:pStyle w:val="Heading5"/>
        <w:rPr>
          <w:snapToGrid w:val="0"/>
        </w:rPr>
      </w:pPr>
      <w:bookmarkStart w:id="930" w:name="_Toc103864561"/>
      <w:bookmarkStart w:id="931" w:name="_Toc90996860"/>
      <w:r>
        <w:rPr>
          <w:rStyle w:val="CharSectno"/>
        </w:rPr>
        <w:t>399</w:t>
      </w:r>
      <w:r>
        <w:rPr>
          <w:snapToGrid w:val="0"/>
        </w:rPr>
        <w:t>.</w:t>
      </w:r>
      <w:r>
        <w:rPr>
          <w:snapToGrid w:val="0"/>
        </w:rPr>
        <w:tab/>
        <w:t>Procuring execution of deed etc. by threat etc. with intent to defraud</w:t>
      </w:r>
      <w:bookmarkEnd w:id="930"/>
      <w:bookmarkEnd w:id="931"/>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ind w:left="890" w:hanging="890"/>
      </w:pPr>
      <w:r>
        <w:tab/>
        <w:t>[Section 399 amended: No. 51 of 1992 s. 16(2).]</w:t>
      </w:r>
    </w:p>
    <w:p>
      <w:pPr>
        <w:pStyle w:val="Ednotesection"/>
        <w:spacing w:before="240"/>
        <w:ind w:left="890" w:hanging="890"/>
      </w:pPr>
      <w:r>
        <w:t>[</w:t>
      </w:r>
      <w:r>
        <w:rPr>
          <w:b/>
        </w:rPr>
        <w:t>399A.</w:t>
      </w:r>
      <w:r>
        <w:rPr>
          <w:b/>
        </w:rPr>
        <w:tab/>
      </w:r>
      <w:r>
        <w:t>Deleted: No. 4 of 2004 s. 65.]</w:t>
      </w:r>
    </w:p>
    <w:p>
      <w:pPr>
        <w:pStyle w:val="Heading3"/>
        <w:rPr>
          <w:snapToGrid w:val="0"/>
        </w:rPr>
      </w:pPr>
      <w:bookmarkStart w:id="932" w:name="_Toc103861036"/>
      <w:bookmarkStart w:id="933" w:name="_Toc103861558"/>
      <w:bookmarkStart w:id="934" w:name="_Toc103864562"/>
      <w:bookmarkStart w:id="935" w:name="_Toc90988849"/>
      <w:bookmarkStart w:id="936" w:name="_Toc90989372"/>
      <w:bookmarkStart w:id="937" w:name="_Toc90996861"/>
      <w:r>
        <w:rPr>
          <w:rStyle w:val="CharDivNo"/>
        </w:rPr>
        <w:t>Chapter XXXIX</w:t>
      </w:r>
      <w:r>
        <w:rPr>
          <w:snapToGrid w:val="0"/>
        </w:rPr>
        <w:t> — </w:t>
      </w:r>
      <w:r>
        <w:rPr>
          <w:rStyle w:val="CharDivText"/>
        </w:rPr>
        <w:t>Offences in or in respect of buildings etc.</w:t>
      </w:r>
      <w:bookmarkEnd w:id="932"/>
      <w:bookmarkEnd w:id="933"/>
      <w:bookmarkEnd w:id="934"/>
      <w:bookmarkEnd w:id="935"/>
      <w:bookmarkEnd w:id="936"/>
      <w:bookmarkEnd w:id="937"/>
    </w:p>
    <w:p>
      <w:pPr>
        <w:pStyle w:val="Footnoteheading"/>
      </w:pPr>
      <w:r>
        <w:tab/>
        <w:t>[Heading inserted: No. 37 of 1991 s. 12.]</w:t>
      </w:r>
    </w:p>
    <w:p>
      <w:pPr>
        <w:pStyle w:val="Heading5"/>
        <w:keepNext w:val="0"/>
        <w:rPr>
          <w:snapToGrid w:val="0"/>
        </w:rPr>
      </w:pPr>
      <w:bookmarkStart w:id="938" w:name="_Toc103864563"/>
      <w:bookmarkStart w:id="939" w:name="_Toc90996862"/>
      <w:r>
        <w:rPr>
          <w:rStyle w:val="CharSectno"/>
        </w:rPr>
        <w:t>400</w:t>
      </w:r>
      <w:r>
        <w:rPr>
          <w:snapToGrid w:val="0"/>
        </w:rPr>
        <w:t>.</w:t>
      </w:r>
      <w:r>
        <w:rPr>
          <w:snapToGrid w:val="0"/>
        </w:rPr>
        <w:tab/>
        <w:t>Terms used</w:t>
      </w:r>
      <w:bookmarkEnd w:id="938"/>
      <w:bookmarkEnd w:id="939"/>
    </w:p>
    <w:p>
      <w:pPr>
        <w:pStyle w:val="Subsection"/>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pPr>
      <w:r>
        <w:tab/>
        <w:t>(i)</w:t>
      </w:r>
      <w:r>
        <w:tab/>
        <w:t>is or pretends to be armed with a dangerous or offensive weapon or instrument; or</w:t>
      </w:r>
    </w:p>
    <w:p>
      <w:pPr>
        <w:pStyle w:val="Defsubpara"/>
        <w:keepLines w:val="0"/>
      </w:pPr>
      <w:r>
        <w:tab/>
        <w:t>(ii)</w:t>
      </w:r>
      <w:r>
        <w:tab/>
        <w:t>is or pretends to be in possession of an explosive substance; or</w:t>
      </w:r>
    </w:p>
    <w:p>
      <w:pPr>
        <w:pStyle w:val="Defsubpara"/>
        <w:keepLines w:val="0"/>
      </w:pPr>
      <w:r>
        <w:tab/>
        <w:t>(iii)</w:t>
      </w:r>
      <w:r>
        <w:tab/>
        <w:t>is in company with another person or other persons; or</w:t>
      </w:r>
    </w:p>
    <w:p>
      <w:pPr>
        <w:pStyle w:val="Defsubpara"/>
        <w:keepLines w:val="0"/>
      </w:pPr>
      <w:r>
        <w:tab/>
        <w:t>(iv)</w:t>
      </w:r>
      <w:r>
        <w:tab/>
        <w:t>does bodily harm to any person; or</w:t>
      </w:r>
    </w:p>
    <w:p>
      <w:pPr>
        <w:pStyle w:val="Defsubpara"/>
        <w:keepLines w:val="0"/>
        <w:tabs>
          <w:tab w:val="left" w:pos="3720"/>
        </w:tabs>
      </w:pPr>
      <w:r>
        <w:tab/>
        <w:t>(v)</w:t>
      </w:r>
      <w:r>
        <w:tab/>
        <w:t>threatens to kill or injure any person; or</w:t>
      </w:r>
    </w:p>
    <w:p>
      <w:pPr>
        <w:pStyle w:val="Defsubpara"/>
        <w:keepLines w:val="0"/>
        <w:spacing w:before="60"/>
      </w:pPr>
      <w:r>
        <w:tab/>
        <w:t>(vi)</w:t>
      </w:r>
      <w:r>
        <w:tab/>
        <w:t>detains any person (within the meaning of section 332(1));</w:t>
      </w:r>
    </w:p>
    <w:p>
      <w:pPr>
        <w:pStyle w:val="Defpara"/>
        <w:spacing w:before="60"/>
      </w:pPr>
      <w:r>
        <w:tab/>
      </w:r>
      <w:r>
        <w:tab/>
        <w:t>or</w:t>
      </w:r>
    </w:p>
    <w:p>
      <w:pPr>
        <w:pStyle w:val="Defpara"/>
        <w:spacing w:before="60"/>
      </w:pPr>
      <w:r>
        <w:tab/>
        <w:t>(b)</w:t>
      </w:r>
      <w:r>
        <w:tab/>
        <w:t>immediately before the commission of the offence the offender knew or ought to have known that there was another person (other than a co</w:t>
      </w:r>
      <w:r>
        <w:noBreakHyphen/>
        <w:t>offender) in the place;</w:t>
      </w:r>
    </w:p>
    <w:p>
      <w:pPr>
        <w:pStyle w:val="Defstart"/>
        <w:spacing w:before="60"/>
      </w:pPr>
      <w:r>
        <w:rPr>
          <w:b/>
        </w:rPr>
        <w:tab/>
      </w:r>
      <w:r>
        <w:rPr>
          <w:rStyle w:val="CharDefText"/>
        </w:rPr>
        <w:t>commencement day</w:t>
      </w:r>
      <w:r>
        <w:t xml:space="preserve"> means the day on which the</w:t>
      </w:r>
      <w:r>
        <w:rPr>
          <w:i/>
        </w:rPr>
        <w:t xml:space="preserve"> Criminal Law Amendment (Home Burglary and Other Offences) Act 2015 </w:t>
      </w:r>
      <w:r>
        <w:t>section 19 comes into operation;</w:t>
      </w:r>
    </w:p>
    <w:p>
      <w:pPr>
        <w:pStyle w:val="Defstart"/>
        <w:spacing w:before="60"/>
      </w:pPr>
      <w:r>
        <w:rPr>
          <w:b/>
        </w:rPr>
        <w:tab/>
      </w:r>
      <w:r>
        <w:rPr>
          <w:rStyle w:val="CharDefText"/>
        </w:rPr>
        <w:t>place</w:t>
      </w:r>
      <w:r>
        <w:t xml:space="preserve"> means a building, structure, tent, or conveyance, or a part of a building, structure, tent, or conveyance, and includes —</w:t>
      </w:r>
    </w:p>
    <w:p>
      <w:pPr>
        <w:pStyle w:val="Defpara"/>
        <w:spacing w:before="60"/>
      </w:pPr>
      <w:r>
        <w:tab/>
        <w:t>(a)</w:t>
      </w:r>
      <w:r>
        <w:tab/>
        <w:t>a conveyance that at the time of an offence is immovable; or</w:t>
      </w:r>
    </w:p>
    <w:p>
      <w:pPr>
        <w:pStyle w:val="Defpara"/>
        <w:spacing w:before="60"/>
      </w:pPr>
      <w:r>
        <w:tab/>
        <w:t>(b)</w:t>
      </w:r>
      <w:r>
        <w:tab/>
        <w:t>a place that is from time to time uninhabited or empty of property.</w:t>
      </w:r>
    </w:p>
    <w:p>
      <w:pPr>
        <w:pStyle w:val="Subsection"/>
        <w:spacing w:before="120"/>
      </w:pPr>
      <w:r>
        <w:tab/>
        <w:t>(2)</w:t>
      </w:r>
      <w:r>
        <w:tab/>
        <w:t>For the purposes of this Chapter a person enters or is in a place as soon as —</w:t>
      </w:r>
    </w:p>
    <w:p>
      <w:pPr>
        <w:pStyle w:val="Indenta"/>
        <w:spacing w:before="60"/>
        <w:rPr>
          <w:snapToGrid w:val="0"/>
        </w:rPr>
      </w:pPr>
      <w:r>
        <w:rPr>
          <w:snapToGrid w:val="0"/>
        </w:rPr>
        <w:tab/>
        <w:t>(a)</w:t>
      </w:r>
      <w:r>
        <w:rPr>
          <w:snapToGrid w:val="0"/>
        </w:rPr>
        <w:tab/>
        <w:t>any part of the person’s body; or</w:t>
      </w:r>
    </w:p>
    <w:p>
      <w:pPr>
        <w:pStyle w:val="Indenta"/>
        <w:spacing w:before="60"/>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Footnotesection"/>
        <w:spacing w:before="80"/>
        <w:ind w:left="890" w:hanging="890"/>
      </w:pPr>
      <w:r>
        <w:tab/>
        <w:t>[Section 400 inserted: No. 37 of 1991 s. 13; amended: No. 60 of 1996 s. 4</w:t>
      </w:r>
      <w:r>
        <w:rPr>
          <w:vertAlign w:val="superscript"/>
        </w:rPr>
        <w:t> </w:t>
      </w:r>
      <w:r>
        <w:rPr>
          <w:i w:val="0"/>
          <w:vertAlign w:val="superscript"/>
        </w:rPr>
        <w:t>6</w:t>
      </w:r>
      <w:r>
        <w:t>; No. 29 of 1998 s. 6; No. 25 of 2015 s. 19.]</w:t>
      </w:r>
    </w:p>
    <w:p>
      <w:pPr>
        <w:pStyle w:val="Heading5"/>
        <w:spacing w:before="180"/>
        <w:rPr>
          <w:snapToGrid w:val="0"/>
        </w:rPr>
      </w:pPr>
      <w:bookmarkStart w:id="940" w:name="_Toc103864564"/>
      <w:bookmarkStart w:id="941" w:name="_Toc90996863"/>
      <w:r>
        <w:rPr>
          <w:rStyle w:val="CharSectno"/>
        </w:rPr>
        <w:t>401A</w:t>
      </w:r>
      <w:r>
        <w:rPr>
          <w:snapToGrid w:val="0"/>
        </w:rPr>
        <w:t>.</w:t>
      </w:r>
      <w:r>
        <w:rPr>
          <w:snapToGrid w:val="0"/>
        </w:rPr>
        <w:tab/>
        <w:t>Term used: relevant conviction</w:t>
      </w:r>
      <w:bookmarkEnd w:id="940"/>
      <w:bookmarkEnd w:id="941"/>
    </w:p>
    <w:p>
      <w:pPr>
        <w:pStyle w:val="Subsection"/>
        <w:spacing w:before="120"/>
      </w:pPr>
      <w:r>
        <w:tab/>
        <w:t>(1)</w:t>
      </w:r>
      <w:r>
        <w:tab/>
        <w:t xml:space="preserve">For the purposes of this Chapter, subject to subsections (2), (3) and (4), a person’s conviction for a home burglary is a </w:t>
      </w:r>
      <w:r>
        <w:rPr>
          <w:rStyle w:val="CharDefText"/>
        </w:rPr>
        <w:t>relevant conviction</w:t>
      </w:r>
      <w:r>
        <w:t xml:space="preserve"> for that person if — </w:t>
      </w:r>
    </w:p>
    <w:p>
      <w:pPr>
        <w:pStyle w:val="Indenta"/>
      </w:pPr>
      <w:r>
        <w:tab/>
        <w:t>(a)</w:t>
      </w:r>
      <w:r>
        <w:tab/>
        <w:t>the home burglary was committed before the commencement day and either —</w:t>
      </w:r>
    </w:p>
    <w:p>
      <w:pPr>
        <w:pStyle w:val="Indenti"/>
        <w:spacing w:before="60"/>
      </w:pPr>
      <w:r>
        <w:tab/>
        <w:t>(i)</w:t>
      </w:r>
      <w:r>
        <w:tab/>
        <w:t xml:space="preserve">it is the person’s first conviction for a home burglary (the person’s </w:t>
      </w:r>
      <w:r>
        <w:rPr>
          <w:rStyle w:val="CharDefText"/>
        </w:rPr>
        <w:t>first relevant conviction</w:t>
      </w:r>
      <w:r>
        <w:t>); or</w:t>
      </w:r>
    </w:p>
    <w:p>
      <w:pPr>
        <w:pStyle w:val="Indenti"/>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
      </w:pPr>
      <w:r>
        <w:tab/>
        <w:t>(iii)</w:t>
      </w:r>
      <w:r>
        <w:tab/>
        <w:t>it is a conviction for a home burglary committed after the date on which the person’s second relevant conviction was recorded;</w:t>
      </w:r>
    </w:p>
    <w:p>
      <w:pPr>
        <w:pStyle w:val="Indenta"/>
      </w:pPr>
      <w:r>
        <w:tab/>
      </w:r>
      <w:r>
        <w:tab/>
        <w:t>or</w:t>
      </w:r>
    </w:p>
    <w:p>
      <w:pPr>
        <w:pStyle w:val="Indenta"/>
      </w:pPr>
      <w:r>
        <w:tab/>
        <w:t>(b)</w:t>
      </w:r>
      <w:r>
        <w:tab/>
        <w:t>the home burglary was committed on or after the commencement day and —</w:t>
      </w:r>
    </w:p>
    <w:p>
      <w:pPr>
        <w:pStyle w:val="Indenti"/>
      </w:pPr>
      <w:r>
        <w:tab/>
        <w:t>(i)</w:t>
      </w:r>
      <w:r>
        <w:tab/>
        <w:t>the person is an adult offender with respect to the home burglary; or</w:t>
      </w:r>
    </w:p>
    <w:p>
      <w:pPr>
        <w:pStyle w:val="Indenti"/>
      </w:pPr>
      <w:r>
        <w:tab/>
        <w:t>(ii)</w:t>
      </w:r>
      <w:r>
        <w:tab/>
        <w:t>the person is a juvenile offender with respect to the home burglary and either —</w:t>
      </w:r>
    </w:p>
    <w:p>
      <w:pPr>
        <w:pStyle w:val="IndentI0"/>
      </w:pPr>
      <w:r>
        <w:tab/>
        <w:t>(I)</w:t>
      </w:r>
      <w:r>
        <w:tab/>
        <w:t>it is the person’s first conviction for a home burglary; or</w:t>
      </w:r>
    </w:p>
    <w:p>
      <w:pPr>
        <w:pStyle w:val="IndentI0"/>
      </w:pPr>
      <w:r>
        <w:tab/>
        <w:t>(II)</w:t>
      </w:r>
      <w:r>
        <w:tab/>
        <w:t>at the time of the home burglary, the person already had a conviction for a previous home burglary;</w:t>
      </w:r>
    </w:p>
    <w:p>
      <w:pPr>
        <w:pStyle w:val="Indenti"/>
      </w:pPr>
      <w:r>
        <w:tab/>
      </w:r>
      <w:r>
        <w:tab/>
        <w:t>or</w:t>
      </w:r>
    </w:p>
    <w:p>
      <w:pPr>
        <w:pStyle w:val="Indenti"/>
      </w:pPr>
      <w:r>
        <w:tab/>
        <w:t>(iii)</w:t>
      </w:r>
      <w:r>
        <w:tab/>
        <w:t>at the time of the home burglary the person had not reached 16 years of age, and either —</w:t>
      </w:r>
    </w:p>
    <w:p>
      <w:pPr>
        <w:pStyle w:val="IndentI0"/>
      </w:pPr>
      <w:r>
        <w:tab/>
        <w:t>(I)</w:t>
      </w:r>
      <w:r>
        <w:tab/>
        <w:t xml:space="preserve">it is the person’s first conviction for a home burglary (the person’s </w:t>
      </w:r>
      <w:r>
        <w:rPr>
          <w:rStyle w:val="CharDefText"/>
        </w:rPr>
        <w:t>first relevant conviction</w:t>
      </w:r>
      <w:r>
        <w:t>); or</w:t>
      </w:r>
    </w:p>
    <w:p>
      <w:pPr>
        <w:pStyle w:val="IndentI0"/>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0"/>
      </w:pPr>
      <w:r>
        <w:tab/>
        <w:t>(III)</w:t>
      </w:r>
      <w:r>
        <w:tab/>
        <w:t>it is a conviction for a home burglary committed after the date on which the person’s second relevant conviction was recorded.</w:t>
      </w:r>
    </w:p>
    <w:p>
      <w:pPr>
        <w:pStyle w:val="Subsection"/>
      </w:pPr>
      <w:r>
        <w:tab/>
        <w:t>(2)</w:t>
      </w:r>
      <w:r>
        <w:tab/>
        <w:t>In this section —</w:t>
      </w:r>
    </w:p>
    <w:p>
      <w:pPr>
        <w:pStyle w:val="Indenta"/>
      </w:pPr>
      <w:r>
        <w:tab/>
        <w:t>(a)</w:t>
      </w:r>
      <w:r>
        <w:tab/>
        <w:t>a conviction includes a finding or admission of guilt that leads to a punishment being imposed on, or an order being made in respect of, the person, whether or not a conviction was recorded; and</w:t>
      </w:r>
    </w:p>
    <w:p>
      <w:pPr>
        <w:pStyle w:val="Indenta"/>
      </w:pPr>
      <w:r>
        <w:tab/>
        <w:t>(b)</w:t>
      </w:r>
      <w:r>
        <w:tab/>
        <w:t>a conviction does not include a conviction that has been set aside or quashed.</w:t>
      </w:r>
    </w:p>
    <w:p>
      <w:pPr>
        <w:pStyle w:val="Subsection"/>
      </w:pPr>
      <w:r>
        <w:tab/>
        <w:t>(3)</w:t>
      </w:r>
      <w:r>
        <w:tab/>
        <w:t>For the purposes of this section, convictions for 2 or more home burglaries committed on the same day on or after the commencement day are to be treated as a single conviction.</w:t>
      </w:r>
    </w:p>
    <w:p>
      <w:pPr>
        <w:pStyle w:val="Subsection"/>
      </w:pPr>
      <w:r>
        <w:tab/>
        <w:t>(4)</w:t>
      </w:r>
      <w:r>
        <w:tab/>
        <w:t xml:space="preserve">Where — </w:t>
      </w:r>
    </w:p>
    <w:p>
      <w:pPr>
        <w:pStyle w:val="Indenta"/>
      </w:pPr>
      <w:r>
        <w:tab/>
        <w:t>(a)</w:t>
      </w:r>
      <w:r>
        <w:tab/>
        <w:t xml:space="preserve">a person has 2 or more relevant convictions (the </w:t>
      </w:r>
      <w:r>
        <w:rPr>
          <w:rStyle w:val="CharDefText"/>
        </w:rPr>
        <w:t>prior relevant convictions</w:t>
      </w:r>
      <w:r>
        <w:t>); and</w:t>
      </w:r>
    </w:p>
    <w:p>
      <w:pPr>
        <w:pStyle w:val="Indenta"/>
      </w:pPr>
      <w:r>
        <w:tab/>
        <w:t>(b)</w:t>
      </w:r>
      <w:r>
        <w:tab/>
        <w:t xml:space="preserve">after the sentence completion date for the latest of the prior relevant convictions, the person is convicted for another home burglary (the </w:t>
      </w:r>
      <w:r>
        <w:rPr>
          <w:rStyle w:val="CharDefText"/>
        </w:rPr>
        <w:t>new conviction</w:t>
      </w:r>
      <w:r>
        <w:t>); and</w:t>
      </w:r>
    </w:p>
    <w:p>
      <w:pPr>
        <w:pStyle w:val="Indenta"/>
      </w:pPr>
      <w:r>
        <w:tab/>
        <w:t>(c)</w:t>
      </w:r>
      <w:r>
        <w:tab/>
        <w:t>the new conviction relates to a home burglary which was committed before the date on which the home burglary to which the latest of the prior relevant convictions relates was committed; and</w:t>
      </w:r>
    </w:p>
    <w:p>
      <w:pPr>
        <w:pStyle w:val="Indenta"/>
      </w:pPr>
      <w:r>
        <w:tab/>
        <w:t>(d)</w:t>
      </w:r>
      <w:r>
        <w:tab/>
        <w:t xml:space="preserve">the court sentencing the offender for the home burglary to which the new conviction relates (the </w:t>
      </w:r>
      <w:r>
        <w:rPr>
          <w:rStyle w:val="CharDefText"/>
        </w:rPr>
        <w:t>sentencing court</w:t>
      </w:r>
      <w:r>
        <w:t>) considers that exceptional circumstances exist which justify imposing a lesser sentence than would be required by section 401(4),</w:t>
      </w:r>
    </w:p>
    <w:p>
      <w:pPr>
        <w:pStyle w:val="Subsection"/>
      </w:pPr>
      <w:r>
        <w:tab/>
      </w:r>
      <w:r>
        <w:tab/>
        <w:t>the sentencing court may decide to impose a lesser sentence than would be required by section 401(4).</w:t>
      </w:r>
    </w:p>
    <w:p>
      <w:pPr>
        <w:pStyle w:val="Subsection"/>
      </w:pPr>
      <w:r>
        <w:tab/>
        <w:t>(5)</w:t>
      </w:r>
      <w:r>
        <w:tab/>
        <w:t xml:space="preserve">In subsection (4) — </w:t>
      </w:r>
    </w:p>
    <w:p>
      <w:pPr>
        <w:pStyle w:val="Defstart"/>
      </w:pPr>
      <w:r>
        <w:tab/>
      </w:r>
      <w:r>
        <w:rPr>
          <w:rStyle w:val="CharDefText"/>
        </w:rPr>
        <w:t>sentence completion date</w:t>
      </w:r>
      <w:r>
        <w:t xml:space="preserve"> for a conviction means — </w:t>
      </w:r>
    </w:p>
    <w:p>
      <w:pPr>
        <w:pStyle w:val="Defpara"/>
      </w:pPr>
      <w:r>
        <w:tab/>
        <w:t>(a)</w:t>
      </w:r>
      <w:r>
        <w:tab/>
        <w:t>where no sentence or other punishment is imposed in respect of the conviction, the date of the conviction; and</w:t>
      </w:r>
    </w:p>
    <w:p>
      <w:pPr>
        <w:pStyle w:val="Defpara"/>
      </w:pPr>
      <w:r>
        <w:tab/>
        <w:t>(b)</w:t>
      </w:r>
      <w:r>
        <w:tab/>
        <w:t xml:space="preserve">where a conditional release order is imposed under the </w:t>
      </w:r>
      <w:r>
        <w:rPr>
          <w:i/>
        </w:rPr>
        <w:t>Sentencing Act 1995</w:t>
      </w:r>
      <w:r>
        <w:t xml:space="preserve"> Part 7 in respect of the conviction, the date on which the conditional release order ceases to be in force under section 48(2) of that Act; and</w:t>
      </w:r>
    </w:p>
    <w:p>
      <w:pPr>
        <w:pStyle w:val="Defpara"/>
      </w:pPr>
      <w:r>
        <w:tab/>
        <w:t>(c)</w:t>
      </w:r>
      <w:r>
        <w:tab/>
        <w:t>where a fine is imposed under the</w:t>
      </w:r>
      <w:r>
        <w:rPr>
          <w:i/>
        </w:rPr>
        <w:t xml:space="preserve"> Sentencing Act 1995</w:t>
      </w:r>
      <w:r>
        <w:t xml:space="preserve"> Part 8 in respect of the conviction, the earlier of — </w:t>
      </w:r>
    </w:p>
    <w:p>
      <w:pPr>
        <w:pStyle w:val="Defsubpara"/>
      </w:pPr>
      <w:r>
        <w:tab/>
        <w:t>(i)</w:t>
      </w:r>
      <w:r>
        <w:tab/>
        <w:t>the date on which the fine is paid; or</w:t>
      </w:r>
    </w:p>
    <w:p>
      <w:pPr>
        <w:pStyle w:val="Defsubpara"/>
      </w:pPr>
      <w:r>
        <w:tab/>
        <w:t>(ii)</w:t>
      </w:r>
      <w:r>
        <w:tab/>
        <w:t>the date on which the offender’s liability to pay the fine is discharged under section 58(6) or 59(1) of that Act;</w:t>
      </w:r>
    </w:p>
    <w:p>
      <w:pPr>
        <w:pStyle w:val="Defpara"/>
      </w:pPr>
      <w:r>
        <w:tab/>
      </w:r>
      <w:r>
        <w:tab/>
        <w:t>and</w:t>
      </w:r>
    </w:p>
    <w:p>
      <w:pPr>
        <w:pStyle w:val="Defpara"/>
      </w:pPr>
      <w:r>
        <w:tab/>
        <w:t>(d)</w:t>
      </w:r>
      <w:r>
        <w:tab/>
        <w:t>where a community based order is imposed under the</w:t>
      </w:r>
      <w:r>
        <w:rPr>
          <w:i/>
        </w:rPr>
        <w:t xml:space="preserve"> Sentencing Act 1995</w:t>
      </w:r>
      <w:r>
        <w:t xml:space="preserve"> Part 9 in respect of the conviction, the date on which the community based order ceases to be in force under section 62(4) of that Act; and</w:t>
      </w:r>
    </w:p>
    <w:p>
      <w:pPr>
        <w:pStyle w:val="Defpara"/>
      </w:pPr>
      <w:r>
        <w:tab/>
        <w:t>(e)</w:t>
      </w:r>
      <w:r>
        <w:tab/>
        <w:t>where an intensive supervision order is imposed under the</w:t>
      </w:r>
      <w:r>
        <w:rPr>
          <w:i/>
        </w:rPr>
        <w:t xml:space="preserve"> Sentencing Act 1995</w:t>
      </w:r>
      <w:r>
        <w:t xml:space="preserve"> Part 10 in respect of the conviction, the date on which the intensive supervision order ceases to be in force under section 69(5) of that Act; and</w:t>
      </w:r>
    </w:p>
    <w:p>
      <w:pPr>
        <w:pStyle w:val="Defpara"/>
      </w:pPr>
      <w:r>
        <w:tab/>
        <w:t>(f)</w:t>
      </w:r>
      <w:r>
        <w:tab/>
        <w:t>where suspended imprisonment is imposed under the</w:t>
      </w:r>
      <w:r>
        <w:rPr>
          <w:i/>
        </w:rPr>
        <w:t xml:space="preserve"> Sentencing Act 1995</w:t>
      </w:r>
      <w:r>
        <w:t xml:space="preserve"> Part 11 in respect of the conviction, the date on which the offender is taken to be discharged under section 77(4) of that Act; and</w:t>
      </w:r>
    </w:p>
    <w:p>
      <w:pPr>
        <w:pStyle w:val="Defpara"/>
      </w:pPr>
      <w:r>
        <w:tab/>
        <w:t>(g)</w:t>
      </w:r>
      <w:r>
        <w:tab/>
        <w:t>where conditional suspended imprisonment is imposed under the</w:t>
      </w:r>
      <w:r>
        <w:rPr>
          <w:i/>
        </w:rPr>
        <w:t xml:space="preserve"> Sentencing Act 1995 </w:t>
      </w:r>
      <w:r>
        <w:t>Part 12 in respect of the conviction, the date on which the offender is taken to be discharged under section 82(4) of that Act; and</w:t>
      </w:r>
    </w:p>
    <w:p>
      <w:pPr>
        <w:pStyle w:val="Defpara"/>
      </w:pPr>
      <w:r>
        <w:tab/>
        <w:t>(h)</w:t>
      </w:r>
      <w:r>
        <w:tab/>
        <w:t>where a term of imprisonment is imposed under the</w:t>
      </w:r>
      <w:r>
        <w:rPr>
          <w:i/>
        </w:rPr>
        <w:t xml:space="preserve"> Sentencing Act 1995 </w:t>
      </w:r>
      <w:r>
        <w:t xml:space="preserve">Part 13 in respect of the conviction, the date on which the offender is discharged under section 93(3) or 95 of that Act or the </w:t>
      </w:r>
      <w:r>
        <w:rPr>
          <w:i/>
        </w:rPr>
        <w:t>Sentence Administration Act 2003</w:t>
      </w:r>
      <w:r>
        <w:t xml:space="preserve"> section 66(2); and</w:t>
      </w:r>
    </w:p>
    <w:p>
      <w:pPr>
        <w:pStyle w:val="Defpara"/>
      </w:pPr>
      <w:r>
        <w:tab/>
        <w:t>(i)</w:t>
      </w:r>
      <w:r>
        <w:tab/>
        <w:t>where a youth community based order is imposed under the</w:t>
      </w:r>
      <w:r>
        <w:rPr>
          <w:i/>
        </w:rPr>
        <w:t xml:space="preserve"> Young Offenders Act 1994</w:t>
      </w:r>
      <w:r>
        <w:t xml:space="preserve"> Part 7 Division 6 in respect of the conviction, the date on which the order ceases to be in force under section 76(2) of that Act; and</w:t>
      </w:r>
    </w:p>
    <w:p>
      <w:pPr>
        <w:pStyle w:val="Defpara"/>
      </w:pPr>
      <w:r>
        <w:tab/>
        <w:t>(j)</w:t>
      </w:r>
      <w:r>
        <w:tab/>
        <w:t>where an intensive youth supervision order is imposed under the</w:t>
      </w:r>
      <w:r>
        <w:rPr>
          <w:i/>
        </w:rPr>
        <w:t xml:space="preserve"> Young Offenders Act 1994</w:t>
      </w:r>
      <w:r>
        <w:t xml:space="preserve"> Part 7 Division 7 in respect of the conviction without a sentence of detention, the date on which the order ceases to be in force under section 76(2) of that Act; and</w:t>
      </w:r>
    </w:p>
    <w:p>
      <w:pPr>
        <w:pStyle w:val="Defpara"/>
      </w:pPr>
      <w:r>
        <w:tab/>
        <w:t>(k)</w:t>
      </w:r>
      <w:r>
        <w:tab/>
        <w:t>where a term of detention is imposed under the</w:t>
      </w:r>
      <w:r>
        <w:rPr>
          <w:i/>
        </w:rPr>
        <w:t xml:space="preserve"> Young Offenders Act 1994</w:t>
      </w:r>
      <w:r>
        <w:t xml:space="preserve"> section 118(1)(b) in respect of the conviction, whether or not an intensive youth supervision order is also imposed under Part 7 Division 7 of that Act, the last day of that term.</w:t>
      </w:r>
    </w:p>
    <w:p>
      <w:pPr>
        <w:pStyle w:val="Subsection"/>
      </w:pPr>
      <w:r>
        <w:tab/>
        <w:t>(6)</w:t>
      </w:r>
      <w:r>
        <w:tab/>
        <w:t>A court making the decision referred to in subsection (4) must give written reasons why the decision was made.</w:t>
      </w:r>
    </w:p>
    <w:p>
      <w:pPr>
        <w:pStyle w:val="Footnotesection"/>
        <w:spacing w:before="160"/>
        <w:ind w:left="890" w:hanging="890"/>
      </w:pPr>
      <w:r>
        <w:tab/>
        <w:t>[Section 401A inserted: No. 25 of 2015 s. 20.]</w:t>
      </w:r>
    </w:p>
    <w:p>
      <w:pPr>
        <w:pStyle w:val="Heading5"/>
        <w:rPr>
          <w:snapToGrid w:val="0"/>
        </w:rPr>
      </w:pPr>
      <w:bookmarkStart w:id="942" w:name="_Toc103864565"/>
      <w:bookmarkStart w:id="943" w:name="_Toc90996864"/>
      <w:r>
        <w:rPr>
          <w:rStyle w:val="CharSectno"/>
        </w:rPr>
        <w:t>401B</w:t>
      </w:r>
      <w:r>
        <w:rPr>
          <w:snapToGrid w:val="0"/>
        </w:rPr>
        <w:t>.</w:t>
      </w:r>
      <w:r>
        <w:rPr>
          <w:snapToGrid w:val="0"/>
        </w:rPr>
        <w:tab/>
        <w:t>Term used: repeat offender</w:t>
      </w:r>
      <w:bookmarkEnd w:id="942"/>
      <w:bookmarkEnd w:id="943"/>
    </w:p>
    <w:p>
      <w:pPr>
        <w:pStyle w:val="Subsection"/>
      </w:pPr>
      <w:r>
        <w:tab/>
        <w:t>(1)</w:t>
      </w:r>
      <w:r>
        <w:tab/>
        <w:t xml:space="preserve">For the purposes of this Chapter, a person who is being sentenced for a home burglary (the </w:t>
      </w:r>
      <w:r>
        <w:rPr>
          <w:rStyle w:val="CharDefText"/>
        </w:rPr>
        <w:t>current offence</w:t>
      </w:r>
      <w:r>
        <w:t xml:space="preserve">) is a </w:t>
      </w:r>
      <w:r>
        <w:rPr>
          <w:rStyle w:val="CharDefText"/>
        </w:rPr>
        <w:t>repeat offender</w:t>
      </w:r>
      <w:r>
        <w:t xml:space="preserve"> if the person has at least 3 relevant convictions.</w:t>
      </w:r>
    </w:p>
    <w:p>
      <w:pPr>
        <w:pStyle w:val="Subsection"/>
      </w:pPr>
      <w:r>
        <w:tab/>
        <w:t>(2)</w:t>
      </w:r>
      <w:r>
        <w:tab/>
        <w:t>For the purposes of subsection (1) —</w:t>
      </w:r>
    </w:p>
    <w:p>
      <w:pPr>
        <w:pStyle w:val="Indenta"/>
        <w:spacing w:before="120"/>
      </w:pPr>
      <w:r>
        <w:tab/>
        <w:t>(a)</w:t>
      </w:r>
      <w:r>
        <w:tab/>
        <w:t>the person’s conviction for the current offence, if it is a relevant conviction, is to be counted; and</w:t>
      </w:r>
    </w:p>
    <w:p>
      <w:pPr>
        <w:pStyle w:val="Indenta"/>
        <w:spacing w:before="120"/>
      </w:pPr>
      <w:r>
        <w:tab/>
        <w:t>(b)</w:t>
      </w:r>
      <w:r>
        <w:tab/>
        <w:t>each of the person’s relevant convictions is to be counted, regardless of whether the home burglary to which it relates was committed before or after the date of any previous relevant conviction; and</w:t>
      </w:r>
    </w:p>
    <w:p>
      <w:pPr>
        <w:pStyle w:val="Indenta"/>
        <w:spacing w:before="120"/>
      </w:pPr>
      <w:r>
        <w:tab/>
        <w:t>(c)</w:t>
      </w:r>
      <w:r>
        <w:tab/>
        <w:t>each of the person’s relevant convictions is to be counted, regardless of whether it has been counted on the occasion of sentencing for a previous home burglary to determine whether the person was, on that occasion, a repeat offender.</w:t>
      </w:r>
    </w:p>
    <w:p>
      <w:pPr>
        <w:pStyle w:val="Footnotesection"/>
        <w:spacing w:before="160"/>
        <w:ind w:left="890" w:hanging="890"/>
      </w:pPr>
      <w:r>
        <w:tab/>
        <w:t>[Section 401B inserted: No. 25 of 2015 s. 20.]</w:t>
      </w:r>
    </w:p>
    <w:p>
      <w:pPr>
        <w:pStyle w:val="Heading5"/>
        <w:rPr>
          <w:snapToGrid w:val="0"/>
        </w:rPr>
      </w:pPr>
      <w:bookmarkStart w:id="944" w:name="_Toc103864566"/>
      <w:bookmarkStart w:id="945" w:name="_Toc90996865"/>
      <w:r>
        <w:rPr>
          <w:rStyle w:val="CharSectno"/>
        </w:rPr>
        <w:t>401</w:t>
      </w:r>
      <w:r>
        <w:rPr>
          <w:snapToGrid w:val="0"/>
        </w:rPr>
        <w:t>.</w:t>
      </w:r>
      <w:r>
        <w:rPr>
          <w:snapToGrid w:val="0"/>
        </w:rPr>
        <w:tab/>
        <w:t>Burglary</w:t>
      </w:r>
      <w:bookmarkEnd w:id="944"/>
      <w:bookmarkEnd w:id="945"/>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 xml:space="preserve">If the offence committed in the place is an offence against property and the value of the property is more than </w:t>
      </w:r>
      <w:r>
        <w:t xml:space="preserve">$50 000 </w:t>
      </w:r>
      <w:r>
        <w:rPr>
          <w:snapToGrid w:val="0"/>
        </w:rPr>
        <w:t>the offence is not to be dealt with summarily.</w:t>
      </w:r>
    </w:p>
    <w:p>
      <w:pPr>
        <w:pStyle w:val="Subsection"/>
        <w:rPr>
          <w:snapToGrid w:val="0"/>
        </w:rPr>
      </w:pPr>
      <w:r>
        <w:rPr>
          <w:snapToGrid w:val="0"/>
        </w:rPr>
        <w:tab/>
        <w:t>(4)</w:t>
      </w:r>
      <w:r>
        <w:rPr>
          <w:snapToGrid w:val="0"/>
        </w:rPr>
        <w:tab/>
        <w:t xml:space="preserve">Subject to section 401A(4), where a person convicted under this section of a home burglary (the </w:t>
      </w:r>
      <w:r>
        <w:rPr>
          <w:rStyle w:val="CharDefText"/>
        </w:rPr>
        <w:t>current offence</w:t>
      </w:r>
      <w:r>
        <w:rPr>
          <w:snapToGrid w:val="0"/>
        </w:rPr>
        <w:t>) is a repeat offender, whether or not the conviction for the current offence is a relevant conviction the court sentencing the person for the current offence —</w:t>
      </w:r>
    </w:p>
    <w:p>
      <w:pPr>
        <w:pStyle w:val="Indenta"/>
        <w:rPr>
          <w:snapToGrid w:val="0"/>
        </w:rPr>
      </w:pPr>
      <w:r>
        <w:rPr>
          <w:snapToGrid w:val="0"/>
        </w:rPr>
        <w:tab/>
        <w:t>(a)</w:t>
      </w:r>
      <w:r>
        <w:rPr>
          <w:snapToGrid w:val="0"/>
        </w:rPr>
        <w:tab/>
        <w:t xml:space="preserve">if the current offence was committed before </w:t>
      </w:r>
      <w:r>
        <w:t>the commencement day</w:t>
      </w:r>
      <w:r>
        <w:rPr>
          <w:snapToGrid w:val="0"/>
        </w:rPr>
        <w:t xml:space="preserve"> —</w:t>
      </w:r>
    </w:p>
    <w:p>
      <w:pPr>
        <w:pStyle w:val="Indenti"/>
        <w:rPr>
          <w:snapToGrid w:val="0"/>
        </w:rPr>
      </w:pPr>
      <w:r>
        <w:rPr>
          <w:snapToGrid w:val="0"/>
        </w:rPr>
        <w:tab/>
        <w:t>(i)</w:t>
      </w:r>
      <w:r>
        <w:rPr>
          <w:snapToGrid w:val="0"/>
        </w:rPr>
        <w:tab/>
        <w:t>if the person is an adult offender, notwithstanding any other written law, must impose a term of imprisonment of at least 12 months;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the current offence was committed on or after </w:t>
      </w:r>
      <w:r>
        <w:t>the commencement day</w:t>
      </w:r>
      <w:r>
        <w:rPr>
          <w:snapToGrid w:val="0"/>
        </w:rPr>
        <w:t> —</w:t>
      </w:r>
    </w:p>
    <w:p>
      <w:pPr>
        <w:pStyle w:val="Indenti"/>
        <w:rPr>
          <w:snapToGrid w:val="0"/>
        </w:rPr>
      </w:pPr>
      <w:r>
        <w:rPr>
          <w:snapToGrid w:val="0"/>
        </w:rPr>
        <w:tab/>
        <w:t>(i)</w:t>
      </w:r>
      <w:r>
        <w:rPr>
          <w:snapToGrid w:val="0"/>
        </w:rPr>
        <w:tab/>
        <w:t>if the person is an adult offender, notwithstanding any other written law, must impose a term of imprisonment of at least 2 years;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keepNext/>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Subsection"/>
        <w:rPr>
          <w:snapToGrid w:val="0"/>
        </w:rPr>
      </w:pPr>
      <w:r>
        <w:rPr>
          <w:snapToGrid w:val="0"/>
        </w:rPr>
        <w:tab/>
        <w:t>(5)</w:t>
      </w:r>
      <w:r>
        <w:rPr>
          <w:snapToGrid w:val="0"/>
        </w:rPr>
        <w:tab/>
        <w:t xml:space="preserve">A court </w:t>
      </w:r>
      <w:r>
        <w:t>must</w:t>
      </w:r>
      <w:r>
        <w:rPr>
          <w:snapToGrid w:val="0"/>
        </w:rPr>
        <w:t xml:space="preserve"> not suspend a term of imprisonment imposed under subsection (4).</w:t>
      </w:r>
    </w:p>
    <w:p>
      <w:pPr>
        <w:pStyle w:val="Subsection"/>
      </w:pPr>
      <w:r>
        <w:tab/>
        <w:t>(6)</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401 inserted: No. 60 of 1996 s. 5; amended: No. 4 of 2004 s. 66; No. 70 of 2004 s. 35(4); No. 25 of 2015 s. 21; No. 28 of 2018 s. 8.]</w:t>
      </w:r>
    </w:p>
    <w:p>
      <w:pPr>
        <w:pStyle w:val="Ednotesection"/>
        <w:spacing w:before="240"/>
      </w:pPr>
      <w:r>
        <w:t>[</w:t>
      </w:r>
      <w:r>
        <w:rPr>
          <w:b/>
        </w:rPr>
        <w:t>402</w:t>
      </w:r>
      <w:r>
        <w:rPr>
          <w:b/>
        </w:rPr>
        <w:noBreakHyphen/>
        <w:t>404.</w:t>
      </w:r>
      <w:r>
        <w:tab/>
        <w:t>Deleted: No. 37 of 1991 s. 13.]</w:t>
      </w:r>
    </w:p>
    <w:p>
      <w:pPr>
        <w:pStyle w:val="Ednotesection"/>
        <w:spacing w:before="240"/>
      </w:pPr>
      <w:r>
        <w:t>[</w:t>
      </w:r>
      <w:r>
        <w:rPr>
          <w:b/>
        </w:rPr>
        <w:t>405, 406.</w:t>
      </w:r>
      <w:r>
        <w:tab/>
        <w:t>Deleted: No. 1 of 1969 s. 7.]</w:t>
      </w:r>
    </w:p>
    <w:p>
      <w:pPr>
        <w:pStyle w:val="Heading5"/>
        <w:spacing w:before="240"/>
        <w:rPr>
          <w:snapToGrid w:val="0"/>
        </w:rPr>
      </w:pPr>
      <w:bookmarkStart w:id="946" w:name="_Toc103864567"/>
      <w:bookmarkStart w:id="947" w:name="_Toc90996866"/>
      <w:r>
        <w:rPr>
          <w:rStyle w:val="CharSectno"/>
        </w:rPr>
        <w:t>407</w:t>
      </w:r>
      <w:r>
        <w:rPr>
          <w:snapToGrid w:val="0"/>
        </w:rPr>
        <w:t>.</w:t>
      </w:r>
      <w:r>
        <w:rPr>
          <w:snapToGrid w:val="0"/>
        </w:rPr>
        <w:tab/>
        <w:t>Person found armed etc. with intent to commit crime</w:t>
      </w:r>
      <w:bookmarkEnd w:id="946"/>
      <w:bookmarkEnd w:id="947"/>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keepNext/>
        <w:keepLines/>
        <w:rPr>
          <w:snapToGrid w:val="0"/>
        </w:rPr>
      </w:pPr>
      <w:r>
        <w:rPr>
          <w:snapToGrid w:val="0"/>
        </w:rPr>
        <w:tab/>
        <w:t>(e)</w:t>
      </w:r>
      <w:r>
        <w:rPr>
          <w:snapToGrid w:val="0"/>
        </w:rPr>
        <w:tab/>
        <w:t>Having his face masked or blackened or being otherwise disguised, with intent to commit an offence;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No. 37 of 1991 s. 13(2); No. 51 of 1992 s. 16(2); No. 4 of 2004 s. 67; No. 70 of 2004 s. 35(2); No. 84 of 2004 s. 27(3).]</w:t>
      </w:r>
    </w:p>
    <w:p>
      <w:pPr>
        <w:pStyle w:val="Ednotesection"/>
        <w:ind w:left="890" w:hanging="890"/>
      </w:pPr>
      <w:r>
        <w:t>[</w:t>
      </w:r>
      <w:r>
        <w:rPr>
          <w:b/>
        </w:rPr>
        <w:t>407A.</w:t>
      </w:r>
      <w:r>
        <w:tab/>
        <w:t>Deleted: No. 106 of 1987 s. 17.]</w:t>
      </w:r>
    </w:p>
    <w:p>
      <w:pPr>
        <w:pStyle w:val="Heading3"/>
        <w:rPr>
          <w:snapToGrid w:val="0"/>
        </w:rPr>
      </w:pPr>
      <w:bookmarkStart w:id="948" w:name="_Toc103861042"/>
      <w:bookmarkStart w:id="949" w:name="_Toc103861564"/>
      <w:bookmarkStart w:id="950" w:name="_Toc103864568"/>
      <w:bookmarkStart w:id="951" w:name="_Toc90988855"/>
      <w:bookmarkStart w:id="952" w:name="_Toc90989378"/>
      <w:bookmarkStart w:id="953" w:name="_Toc90996867"/>
      <w:r>
        <w:rPr>
          <w:rStyle w:val="CharDivNo"/>
        </w:rPr>
        <w:t>Chapter XL</w:t>
      </w:r>
      <w:r>
        <w:rPr>
          <w:snapToGrid w:val="0"/>
        </w:rPr>
        <w:t> — </w:t>
      </w:r>
      <w:r>
        <w:rPr>
          <w:rStyle w:val="CharDivText"/>
        </w:rPr>
        <w:t>Fraud</w:t>
      </w:r>
      <w:bookmarkEnd w:id="948"/>
      <w:bookmarkEnd w:id="949"/>
      <w:bookmarkEnd w:id="950"/>
      <w:bookmarkEnd w:id="951"/>
      <w:bookmarkEnd w:id="952"/>
      <w:bookmarkEnd w:id="953"/>
    </w:p>
    <w:p>
      <w:pPr>
        <w:pStyle w:val="Footnoteheading"/>
      </w:pPr>
      <w:r>
        <w:tab/>
        <w:t>[Heading inserted: No. 101 of 1990 s. 24.]</w:t>
      </w:r>
    </w:p>
    <w:p>
      <w:pPr>
        <w:pStyle w:val="Ednotesection"/>
        <w:ind w:left="890" w:hanging="890"/>
      </w:pPr>
      <w:r>
        <w:t>[</w:t>
      </w:r>
      <w:r>
        <w:rPr>
          <w:b/>
        </w:rPr>
        <w:t>408.</w:t>
      </w:r>
      <w:r>
        <w:rPr>
          <w:b/>
        </w:rPr>
        <w:tab/>
      </w:r>
      <w:r>
        <w:t>Deleted: No. 101 of 1990 s. 24.]</w:t>
      </w:r>
    </w:p>
    <w:p>
      <w:pPr>
        <w:pStyle w:val="Heading5"/>
        <w:keepNext w:val="0"/>
        <w:rPr>
          <w:snapToGrid w:val="0"/>
        </w:rPr>
      </w:pPr>
      <w:bookmarkStart w:id="954" w:name="_Toc103864569"/>
      <w:bookmarkStart w:id="955" w:name="_Toc90996868"/>
      <w:r>
        <w:rPr>
          <w:rStyle w:val="CharSectno"/>
        </w:rPr>
        <w:t>409</w:t>
      </w:r>
      <w:r>
        <w:rPr>
          <w:snapToGrid w:val="0"/>
        </w:rPr>
        <w:t>.</w:t>
      </w:r>
      <w:r>
        <w:rPr>
          <w:snapToGrid w:val="0"/>
        </w:rPr>
        <w:tab/>
        <w:t>Fraud</w:t>
      </w:r>
      <w:bookmarkEnd w:id="954"/>
      <w:bookmarkEnd w:id="955"/>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417.</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 xml:space="preserve">is more than </w:t>
      </w:r>
      <w:r>
        <w:t xml:space="preserve">$50 000 </w:t>
      </w:r>
      <w:r>
        <w:rPr>
          <w:snapToGrid w:val="0"/>
        </w:rPr>
        <w:t>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No. 101 of 1990 s. 24; amended: No. 36 of 1996 s. 23; No. 23 of 2001 s. 11; No. 70 of 2004 s. 35(4) and 36(3); No. 11 of 2014 s. 6; No. 28 of 2018 s. 9.]</w:t>
      </w:r>
    </w:p>
    <w:p>
      <w:pPr>
        <w:pStyle w:val="Ednotesection"/>
      </w:pPr>
      <w:r>
        <w:t>[</w:t>
      </w:r>
      <w:r>
        <w:rPr>
          <w:b/>
        </w:rPr>
        <w:t>410</w:t>
      </w:r>
      <w:r>
        <w:rPr>
          <w:b/>
        </w:rPr>
        <w:noBreakHyphen/>
        <w:t>413.</w:t>
      </w:r>
      <w:r>
        <w:tab/>
        <w:t>Deleted: No. 101 of 1990 s. 24.]</w:t>
      </w:r>
    </w:p>
    <w:p>
      <w:pPr>
        <w:pStyle w:val="Heading3"/>
        <w:rPr>
          <w:snapToGrid w:val="0"/>
        </w:rPr>
      </w:pPr>
      <w:bookmarkStart w:id="956" w:name="_Toc103861044"/>
      <w:bookmarkStart w:id="957" w:name="_Toc103861566"/>
      <w:bookmarkStart w:id="958" w:name="_Toc103864570"/>
      <w:bookmarkStart w:id="959" w:name="_Toc90988857"/>
      <w:bookmarkStart w:id="960" w:name="_Toc90989380"/>
      <w:bookmarkStart w:id="961" w:name="_Toc90996869"/>
      <w:r>
        <w:rPr>
          <w:rStyle w:val="CharDivNo"/>
        </w:rPr>
        <w:t>Chapter XLI</w:t>
      </w:r>
      <w:r>
        <w:rPr>
          <w:snapToGrid w:val="0"/>
        </w:rPr>
        <w:t> — </w:t>
      </w:r>
      <w:r>
        <w:rPr>
          <w:rStyle w:val="CharDivText"/>
        </w:rPr>
        <w:t>Receiving property stolen or fraudulently obtained and like offences</w:t>
      </w:r>
      <w:bookmarkEnd w:id="956"/>
      <w:bookmarkEnd w:id="957"/>
      <w:bookmarkEnd w:id="958"/>
      <w:bookmarkEnd w:id="959"/>
      <w:bookmarkEnd w:id="960"/>
      <w:bookmarkEnd w:id="961"/>
    </w:p>
    <w:p>
      <w:pPr>
        <w:pStyle w:val="Heading5"/>
        <w:rPr>
          <w:snapToGrid w:val="0"/>
        </w:rPr>
      </w:pPr>
      <w:bookmarkStart w:id="962" w:name="_Toc103864571"/>
      <w:bookmarkStart w:id="963" w:name="_Toc90996870"/>
      <w:r>
        <w:rPr>
          <w:rStyle w:val="CharSectno"/>
        </w:rPr>
        <w:t>414</w:t>
      </w:r>
      <w:r>
        <w:rPr>
          <w:snapToGrid w:val="0"/>
        </w:rPr>
        <w:t>.</w:t>
      </w:r>
      <w:r>
        <w:rPr>
          <w:snapToGrid w:val="0"/>
        </w:rPr>
        <w:tab/>
        <w:t>Receiving stolen property etc.</w:t>
      </w:r>
      <w:bookmarkEnd w:id="962"/>
      <w:bookmarkEnd w:id="963"/>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417.</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ind w:left="890" w:hanging="890"/>
      </w:pPr>
      <w:r>
        <w:tab/>
        <w:t>[Section 414 amended: No. 20 of 1954 s. 3; No. 51 of 1992 s. 10; No. 73 of 1994 s. 4; No. 4 of 2004 s. 68; No. 70 of 2004 s. 36(10); No. 11 of 2014 s. 6.]</w:t>
      </w:r>
    </w:p>
    <w:p>
      <w:pPr>
        <w:pStyle w:val="Heading5"/>
        <w:rPr>
          <w:snapToGrid w:val="0"/>
        </w:rPr>
      </w:pPr>
      <w:bookmarkStart w:id="964" w:name="_Toc103864572"/>
      <w:bookmarkStart w:id="965" w:name="_Toc90996871"/>
      <w:r>
        <w:rPr>
          <w:rStyle w:val="CharSectno"/>
        </w:rPr>
        <w:t>415</w:t>
      </w:r>
      <w:r>
        <w:rPr>
          <w:snapToGrid w:val="0"/>
        </w:rPr>
        <w:t>.</w:t>
      </w:r>
      <w:r>
        <w:rPr>
          <w:snapToGrid w:val="0"/>
        </w:rPr>
        <w:tab/>
        <w:t>Receiving after change of ownership</w:t>
      </w:r>
      <w:bookmarkEnd w:id="964"/>
      <w:bookmarkEnd w:id="965"/>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keepLines w:val="0"/>
        <w:spacing w:before="180"/>
        <w:rPr>
          <w:snapToGrid w:val="0"/>
        </w:rPr>
      </w:pPr>
      <w:bookmarkStart w:id="966" w:name="_Toc103864573"/>
      <w:bookmarkStart w:id="967" w:name="_Toc90996872"/>
      <w:r>
        <w:rPr>
          <w:rStyle w:val="CharSectno"/>
        </w:rPr>
        <w:t>416</w:t>
      </w:r>
      <w:r>
        <w:rPr>
          <w:snapToGrid w:val="0"/>
        </w:rPr>
        <w:t>.</w:t>
      </w:r>
      <w:r>
        <w:rPr>
          <w:snapToGrid w:val="0"/>
        </w:rPr>
        <w:tab/>
        <w:t>Taking reward for recovery of property obtained by means of indictable offence</w:t>
      </w:r>
      <w:bookmarkEnd w:id="966"/>
      <w:bookmarkEnd w:id="967"/>
    </w:p>
    <w:p>
      <w:pPr>
        <w:pStyle w:val="Subsection"/>
        <w:spacing w:before="12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No. 51 of 1992 s. 16(2).]</w:t>
      </w:r>
    </w:p>
    <w:p>
      <w:pPr>
        <w:pStyle w:val="Heading5"/>
      </w:pPr>
      <w:bookmarkStart w:id="968" w:name="_Toc103864574"/>
      <w:bookmarkStart w:id="969" w:name="_Toc90996873"/>
      <w:r>
        <w:rPr>
          <w:rStyle w:val="CharSectno"/>
        </w:rPr>
        <w:t>417</w:t>
      </w:r>
      <w:r>
        <w:t>.</w:t>
      </w:r>
      <w:r>
        <w:tab/>
        <w:t>Possessing stolen or unlawfully obtained property</w:t>
      </w:r>
      <w:bookmarkEnd w:id="968"/>
      <w:bookmarkEnd w:id="969"/>
    </w:p>
    <w:p>
      <w:pPr>
        <w:pStyle w:val="Subsection"/>
      </w:pPr>
      <w:r>
        <w:tab/>
        <w:t>(1)</w:t>
      </w:r>
      <w:r>
        <w:tab/>
        <w:t>A person who is in possession of any thing capable of being stolen that is reasonably suspected to be stolen or otherwise unlawfully obtained is guilty of a crime and is liable, if no other punishment is provided under section 417A, to imprisonment for 7 years.</w:t>
      </w:r>
    </w:p>
    <w:p>
      <w:pPr>
        <w:pStyle w:val="Subsection"/>
      </w:pPr>
      <w:r>
        <w:tab/>
      </w:r>
      <w:r>
        <w:tab/>
        <w:t>Summary conviction penalty: imprisonment for 2 years and a fine of $24 000.</w:t>
      </w:r>
    </w:p>
    <w:p>
      <w:pPr>
        <w:pStyle w:val="Subsection"/>
      </w:pPr>
      <w:r>
        <w:tab/>
        <w:t>(2)</w:t>
      </w:r>
      <w:r>
        <w:tab/>
        <w:t>It is a defence to a charge under subsection (1) to prove that at the time the accused was allegedly in possession of the thing, the accused had no reasonable grounds for suspecting that the thing was stolen or unlawfully obtained.</w:t>
      </w:r>
    </w:p>
    <w:p>
      <w:pPr>
        <w:pStyle w:val="Footnotesection"/>
      </w:pPr>
      <w:r>
        <w:tab/>
        <w:t>[Section 417 inserted: No. 11 of 2014 s. 4.]</w:t>
      </w:r>
    </w:p>
    <w:p>
      <w:pPr>
        <w:pStyle w:val="Heading5"/>
      </w:pPr>
      <w:bookmarkStart w:id="970" w:name="_Toc103864575"/>
      <w:bookmarkStart w:id="971" w:name="_Toc90996874"/>
      <w:r>
        <w:rPr>
          <w:rStyle w:val="CharSectno"/>
        </w:rPr>
        <w:t>417A</w:t>
      </w:r>
      <w:r>
        <w:t>.</w:t>
      </w:r>
      <w:r>
        <w:tab/>
        <w:t>Punishment for possession in special cases</w:t>
      </w:r>
      <w:bookmarkEnd w:id="970"/>
      <w:bookmarkEnd w:id="971"/>
    </w:p>
    <w:p>
      <w:pPr>
        <w:pStyle w:val="Subsection"/>
      </w:pPr>
      <w:r>
        <w:tab/>
        <w:t>(1)</w:t>
      </w:r>
      <w:r>
        <w:tab/>
        <w:t>The penalty for a crime committed under section 417(1) in a case specified in this section is the penalty specified for that case.</w:t>
      </w:r>
    </w:p>
    <w:p>
      <w:pPr>
        <w:pStyle w:val="Subsection"/>
      </w:pPr>
      <w:r>
        <w:tab/>
        <w:t>(2)</w:t>
      </w:r>
      <w:r>
        <w:tab/>
        <w:t>If the thing is a testamentary instrument, whether the testator is living or dead, the offender is liable to imprisonment for 10 years.</w:t>
      </w:r>
    </w:p>
    <w:p>
      <w:pPr>
        <w:pStyle w:val="Subsection"/>
      </w:pPr>
      <w:r>
        <w:tab/>
        <w:t>(3)</w:t>
      </w:r>
      <w:r>
        <w:tab/>
        <w:t xml:space="preserve">If the thing is a motor vehicle, the offender is liable to imprisonment for 8 years if the offender — </w:t>
      </w:r>
    </w:p>
    <w:p>
      <w:pPr>
        <w:pStyle w:val="Indenta"/>
      </w:pPr>
      <w:r>
        <w:tab/>
        <w:t>(a)</w:t>
      </w:r>
      <w:r>
        <w:tab/>
        <w:t xml:space="preserve">wilfully drives the motor vehicle in a manner that constitutes an offence under the </w:t>
      </w:r>
      <w:r>
        <w:rPr>
          <w:i/>
        </w:rPr>
        <w:t>Road Traffic Act 1974</w:t>
      </w:r>
      <w:r>
        <w:t xml:space="preserve"> section 60 or 60A; or</w:t>
      </w:r>
    </w:p>
    <w:p>
      <w:pPr>
        <w:pStyle w:val="Indenta"/>
      </w:pPr>
      <w:r>
        <w:tab/>
        <w:t>(b)</w:t>
      </w:r>
      <w:r>
        <w:tab/>
        <w:t xml:space="preserve">drives the motor vehicle in a manner that constitutes an offence under the </w:t>
      </w:r>
      <w:r>
        <w:rPr>
          <w:i/>
        </w:rPr>
        <w:t>Road Traffic Act 1974</w:t>
      </w:r>
      <w:r>
        <w:t xml:space="preserve"> section 61 (i.e. the offence known as dangerous driving).</w:t>
      </w:r>
    </w:p>
    <w:p>
      <w:pPr>
        <w:pStyle w:val="Subsection"/>
      </w:pPr>
      <w:r>
        <w:tab/>
        <w:t>(4)</w:t>
      </w:r>
      <w:r>
        <w:tab/>
        <w:t>If the thing is an aircraft, the offender is liable to imprisonment for 10 years.</w:t>
      </w:r>
    </w:p>
    <w:p>
      <w:pPr>
        <w:pStyle w:val="Subsection"/>
      </w:pPr>
      <w:r>
        <w:tab/>
        <w:t>(5)</w:t>
      </w:r>
      <w:r>
        <w:tab/>
        <w:t>If the offender is employed in the Public Service and the thing came into the possession of the offender by virtue of his or her employment, the offender is liable to imprisonment for 10 years.</w:t>
      </w:r>
    </w:p>
    <w:p>
      <w:pPr>
        <w:pStyle w:val="Subsection"/>
      </w:pPr>
      <w:r>
        <w:tab/>
        <w:t>(6)</w:t>
      </w:r>
      <w:r>
        <w:tab/>
        <w:t>If the offender is an employee and the thing came into the possession of the offender on account of his or her employer, the offender is liable to imprisonment for 10 years.</w:t>
      </w:r>
    </w:p>
    <w:p>
      <w:pPr>
        <w:pStyle w:val="Subsection"/>
      </w:pPr>
      <w:r>
        <w:tab/>
        <w:t>(7)</w:t>
      </w:r>
      <w:r>
        <w:tab/>
        <w:t>If the offender is a director or officer of a corporation or company, and the thing is the property of the corporation or company, the offender is liable to imprisonment for 10 years.</w:t>
      </w:r>
    </w:p>
    <w:p>
      <w:pPr>
        <w:pStyle w:val="Footnotesection"/>
      </w:pPr>
      <w:r>
        <w:tab/>
        <w:t>[Section 417A inserted: No. 11 of 2014 s. 4; amended: No. 51 of 2016 s. 50.]</w:t>
      </w:r>
    </w:p>
    <w:p>
      <w:pPr>
        <w:pStyle w:val="Heading3"/>
        <w:rPr>
          <w:snapToGrid w:val="0"/>
        </w:rPr>
      </w:pPr>
      <w:bookmarkStart w:id="972" w:name="_Toc103861050"/>
      <w:bookmarkStart w:id="973" w:name="_Toc103861572"/>
      <w:bookmarkStart w:id="974" w:name="_Toc103864576"/>
      <w:bookmarkStart w:id="975" w:name="_Toc90988863"/>
      <w:bookmarkStart w:id="976" w:name="_Toc90989386"/>
      <w:bookmarkStart w:id="977" w:name="_Toc90996875"/>
      <w:r>
        <w:rPr>
          <w:rStyle w:val="CharDivNo"/>
        </w:rPr>
        <w:t>Chapter XLII</w:t>
      </w:r>
      <w:r>
        <w:rPr>
          <w:snapToGrid w:val="0"/>
        </w:rPr>
        <w:t> — </w:t>
      </w:r>
      <w:r>
        <w:rPr>
          <w:rStyle w:val="CharDivText"/>
        </w:rPr>
        <w:t>Frauds by trustees and officers of companies and corporations: False accounting</w:t>
      </w:r>
      <w:bookmarkEnd w:id="972"/>
      <w:bookmarkEnd w:id="973"/>
      <w:bookmarkEnd w:id="974"/>
      <w:bookmarkEnd w:id="975"/>
      <w:bookmarkEnd w:id="976"/>
      <w:bookmarkEnd w:id="977"/>
    </w:p>
    <w:p>
      <w:pPr>
        <w:pStyle w:val="Heading5"/>
        <w:rPr>
          <w:snapToGrid w:val="0"/>
        </w:rPr>
      </w:pPr>
      <w:bookmarkStart w:id="978" w:name="_Toc103864577"/>
      <w:bookmarkStart w:id="979" w:name="_Toc90996876"/>
      <w:r>
        <w:rPr>
          <w:rStyle w:val="CharSectno"/>
        </w:rPr>
        <w:t>418</w:t>
      </w:r>
      <w:r>
        <w:rPr>
          <w:snapToGrid w:val="0"/>
        </w:rPr>
        <w:t>.</w:t>
      </w:r>
      <w:r>
        <w:rPr>
          <w:snapToGrid w:val="0"/>
        </w:rPr>
        <w:tab/>
        <w:t>Signing false document relating to company</w:t>
      </w:r>
      <w:bookmarkEnd w:id="978"/>
      <w:bookmarkEnd w:id="979"/>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No. 113 of 1965 s. 8(1); No. 10 of 1982 s. 28; No. 51 of 1992 s. 16(2); No. 70 of 2004 s. 34(1) and 35(4).]</w:t>
      </w:r>
    </w:p>
    <w:p>
      <w:pPr>
        <w:pStyle w:val="Heading5"/>
        <w:rPr>
          <w:snapToGrid w:val="0"/>
        </w:rPr>
      </w:pPr>
      <w:bookmarkStart w:id="980" w:name="_Toc103864578"/>
      <w:bookmarkStart w:id="981" w:name="_Toc90996877"/>
      <w:r>
        <w:rPr>
          <w:rStyle w:val="CharSectno"/>
        </w:rPr>
        <w:t>419</w:t>
      </w:r>
      <w:r>
        <w:rPr>
          <w:snapToGrid w:val="0"/>
        </w:rPr>
        <w:t>.</w:t>
      </w:r>
      <w:r>
        <w:rPr>
          <w:snapToGrid w:val="0"/>
        </w:rPr>
        <w:tab/>
        <w:t>Company’s books etc., acts etc. as to by director etc. with intent to defraud</w:t>
      </w:r>
      <w:bookmarkEnd w:id="980"/>
      <w:bookmarkEnd w:id="981"/>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No. 119 of 1985 s. 30; No. 51 of 1992 s. 16(2).]</w:t>
      </w:r>
    </w:p>
    <w:p>
      <w:pPr>
        <w:pStyle w:val="Heading5"/>
        <w:rPr>
          <w:snapToGrid w:val="0"/>
        </w:rPr>
      </w:pPr>
      <w:bookmarkStart w:id="982" w:name="_Toc103864579"/>
      <w:bookmarkStart w:id="983" w:name="_Toc90996878"/>
      <w:r>
        <w:rPr>
          <w:rStyle w:val="CharSectno"/>
        </w:rPr>
        <w:t>420</w:t>
      </w:r>
      <w:r>
        <w:rPr>
          <w:snapToGrid w:val="0"/>
        </w:rPr>
        <w:t>.</w:t>
      </w:r>
      <w:r>
        <w:rPr>
          <w:snapToGrid w:val="0"/>
        </w:rPr>
        <w:tab/>
        <w:t>False statement by company’s official</w:t>
      </w:r>
      <w:bookmarkEnd w:id="982"/>
      <w:bookmarkEnd w:id="983"/>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No. 119 of 1985 s. 30; No. 51 of 1992 s. 16(2).]</w:t>
      </w:r>
    </w:p>
    <w:p>
      <w:pPr>
        <w:pStyle w:val="Heading5"/>
        <w:rPr>
          <w:snapToGrid w:val="0"/>
        </w:rPr>
      </w:pPr>
      <w:bookmarkStart w:id="984" w:name="_Toc103864580"/>
      <w:bookmarkStart w:id="985" w:name="_Toc90996879"/>
      <w:r>
        <w:rPr>
          <w:rStyle w:val="CharSectno"/>
        </w:rPr>
        <w:t>421</w:t>
      </w:r>
      <w:r>
        <w:rPr>
          <w:snapToGrid w:val="0"/>
        </w:rPr>
        <w:t>.</w:t>
      </w:r>
      <w:r>
        <w:rPr>
          <w:snapToGrid w:val="0"/>
        </w:rPr>
        <w:tab/>
        <w:t>False statement by company’s official with intent to affect share price</w:t>
      </w:r>
      <w:bookmarkEnd w:id="984"/>
      <w:bookmarkEnd w:id="985"/>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No. 113 of 1965 s. 8(1); No. 101 of 1990 s. 26; No. 51 of 1992 s. 16(2); No. 70 of 2004 s. 34(1) and 35(4).]</w:t>
      </w:r>
    </w:p>
    <w:p>
      <w:pPr>
        <w:pStyle w:val="Heading5"/>
        <w:spacing w:before="180"/>
        <w:rPr>
          <w:snapToGrid w:val="0"/>
        </w:rPr>
      </w:pPr>
      <w:bookmarkStart w:id="986" w:name="_Toc103864581"/>
      <w:bookmarkStart w:id="987" w:name="_Toc90996880"/>
      <w:r>
        <w:rPr>
          <w:rStyle w:val="CharSectno"/>
        </w:rPr>
        <w:t>422</w:t>
      </w:r>
      <w:r>
        <w:rPr>
          <w:snapToGrid w:val="0"/>
        </w:rPr>
        <w:t>.</w:t>
      </w:r>
      <w:r>
        <w:rPr>
          <w:snapToGrid w:val="0"/>
        </w:rPr>
        <w:tab/>
        <w:t>Defence for this Chapter</w:t>
      </w:r>
      <w:bookmarkEnd w:id="986"/>
      <w:bookmarkEnd w:id="987"/>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No. 101 of 1990 s. 25.]</w:t>
      </w:r>
    </w:p>
    <w:p>
      <w:pPr>
        <w:pStyle w:val="Heading5"/>
        <w:spacing w:before="180"/>
        <w:rPr>
          <w:snapToGrid w:val="0"/>
        </w:rPr>
      </w:pPr>
      <w:bookmarkStart w:id="988" w:name="_Toc103864582"/>
      <w:bookmarkStart w:id="989" w:name="_Toc90996881"/>
      <w:r>
        <w:rPr>
          <w:rStyle w:val="CharSectno"/>
        </w:rPr>
        <w:t>424</w:t>
      </w:r>
      <w:r>
        <w:rPr>
          <w:snapToGrid w:val="0"/>
        </w:rPr>
        <w:t>.</w:t>
      </w:r>
      <w:r>
        <w:rPr>
          <w:snapToGrid w:val="0"/>
        </w:rPr>
        <w:tab/>
        <w:t>Fraudulent falsification of record</w:t>
      </w:r>
      <w:bookmarkEnd w:id="988"/>
      <w:bookmarkEnd w:id="989"/>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No. 101 of 1990 s. 27; amended: No. 70 of 2004 s. 35(2).]</w:t>
      </w:r>
    </w:p>
    <w:p>
      <w:pPr>
        <w:pStyle w:val="Ednotesection"/>
        <w:ind w:left="890" w:hanging="890"/>
      </w:pPr>
      <w:r>
        <w:t>[</w:t>
      </w:r>
      <w:r>
        <w:rPr>
          <w:b/>
        </w:rPr>
        <w:t>425.</w:t>
      </w:r>
      <w:r>
        <w:tab/>
      </w:r>
      <w:r>
        <w:tab/>
        <w:t>Deleted: No. 101 of 1990 s. 28.]</w:t>
      </w:r>
    </w:p>
    <w:p>
      <w:pPr>
        <w:pStyle w:val="Heading3"/>
        <w:rPr>
          <w:snapToGrid w:val="0"/>
        </w:rPr>
      </w:pPr>
      <w:bookmarkStart w:id="990" w:name="_Toc103861057"/>
      <w:bookmarkStart w:id="991" w:name="_Toc103861579"/>
      <w:bookmarkStart w:id="992" w:name="_Toc103864583"/>
      <w:bookmarkStart w:id="993" w:name="_Toc90988870"/>
      <w:bookmarkStart w:id="994" w:name="_Toc90989393"/>
      <w:bookmarkStart w:id="995" w:name="_Toc90996882"/>
      <w:r>
        <w:rPr>
          <w:rStyle w:val="CharDivNo"/>
        </w:rPr>
        <w:t>Chapter XLIII</w:t>
      </w:r>
      <w:r>
        <w:rPr>
          <w:snapToGrid w:val="0"/>
        </w:rPr>
        <w:t> — </w:t>
      </w:r>
      <w:r>
        <w:rPr>
          <w:rStyle w:val="CharDivText"/>
        </w:rPr>
        <w:t>Summary conviction for stealing and like indictable offences</w:t>
      </w:r>
      <w:bookmarkEnd w:id="990"/>
      <w:bookmarkEnd w:id="991"/>
      <w:bookmarkEnd w:id="992"/>
      <w:bookmarkEnd w:id="993"/>
      <w:bookmarkEnd w:id="994"/>
      <w:bookmarkEnd w:id="995"/>
    </w:p>
    <w:p>
      <w:pPr>
        <w:pStyle w:val="Footnoteheading"/>
      </w:pPr>
      <w:r>
        <w:tab/>
        <w:t>[Heading amended: No. 106 of 1987 s. 18; No. 37 of 1991 s. 13(3).]</w:t>
      </w:r>
    </w:p>
    <w:p>
      <w:pPr>
        <w:pStyle w:val="Heading5"/>
        <w:spacing w:before="180"/>
        <w:rPr>
          <w:snapToGrid w:val="0"/>
        </w:rPr>
      </w:pPr>
      <w:bookmarkStart w:id="996" w:name="_Toc103864584"/>
      <w:bookmarkStart w:id="997" w:name="_Toc90996883"/>
      <w:r>
        <w:rPr>
          <w:rStyle w:val="CharSectno"/>
        </w:rPr>
        <w:t>426</w:t>
      </w:r>
      <w:r>
        <w:rPr>
          <w:snapToGrid w:val="0"/>
        </w:rPr>
        <w:t>.</w:t>
      </w:r>
      <w:r>
        <w:rPr>
          <w:snapToGrid w:val="0"/>
        </w:rPr>
        <w:tab/>
        <w:t>Summary conviction penalty for certain stealing and like offences</w:t>
      </w:r>
      <w:bookmarkEnd w:id="996"/>
      <w:bookmarkEnd w:id="997"/>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$50 000,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No. 106 of 1987 s. 19; amended: No. 101 of 1990 s. 29; No. 37 of 1991 s. 19; No. 36 of 1996 s. 24; No. 50 of 2003 s. 51(12); No. 4 of 2004 s. 33; No. 70 of 2004 s. 35(4); No. 28 of 2018 s. 10.]</w:t>
      </w:r>
    </w:p>
    <w:p>
      <w:pPr>
        <w:pStyle w:val="Ednotesection"/>
      </w:pPr>
      <w:r>
        <w:t>[</w:t>
      </w:r>
      <w:r>
        <w:rPr>
          <w:b/>
        </w:rPr>
        <w:t>426A.</w:t>
      </w:r>
      <w:r>
        <w:tab/>
        <w:t>Deleted: No. 4 of 2004 s. 34.]</w:t>
      </w:r>
    </w:p>
    <w:p>
      <w:pPr>
        <w:pStyle w:val="Heading5"/>
      </w:pPr>
      <w:bookmarkStart w:id="998" w:name="_Toc103864585"/>
      <w:bookmarkStart w:id="999" w:name="_Toc90996884"/>
      <w:r>
        <w:rPr>
          <w:rStyle w:val="CharSectno"/>
        </w:rPr>
        <w:t>427</w:t>
      </w:r>
      <w:r>
        <w:t>.</w:t>
      </w:r>
      <w:r>
        <w:tab/>
        <w:t>Summary conviction penalty for certain offences of fraudulent nature</w:t>
      </w:r>
      <w:bookmarkEnd w:id="998"/>
      <w:bookmarkEnd w:id="999"/>
    </w:p>
    <w:p>
      <w:pPr>
        <w:pStyle w:val="Subsection"/>
      </w:pPr>
      <w:r>
        <w:tab/>
      </w:r>
      <w:r>
        <w:tab/>
        <w:t>Summary conviction penalty: for an offence under section 381, 384, 385, 386, 387, 389 or 390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keepLines w:val="0"/>
        <w:ind w:left="890" w:hanging="890"/>
      </w:pPr>
      <w:r>
        <w:tab/>
        <w:t>[Section 427 inserted: No. 4 of 2004 s. 35; amended: No. 70 of 2004 s. 35(4) and (10).]</w:t>
      </w:r>
    </w:p>
    <w:p>
      <w:pPr>
        <w:pStyle w:val="Ednotesection"/>
        <w:ind w:left="890" w:hanging="890"/>
      </w:pPr>
      <w:r>
        <w:t>[</w:t>
      </w:r>
      <w:r>
        <w:rPr>
          <w:b/>
        </w:rPr>
        <w:t>427A.</w:t>
      </w:r>
      <w:r>
        <w:tab/>
        <w:t>Deleted: No. 101 of 1990 s. 32.]</w:t>
      </w:r>
    </w:p>
    <w:p>
      <w:pPr>
        <w:pStyle w:val="Heading3"/>
        <w:pageBreakBefore/>
        <w:spacing w:before="0"/>
      </w:pPr>
      <w:bookmarkStart w:id="1000" w:name="_Toc103861060"/>
      <w:bookmarkStart w:id="1001" w:name="_Toc103861582"/>
      <w:bookmarkStart w:id="1002" w:name="_Toc103864586"/>
      <w:bookmarkStart w:id="1003" w:name="_Toc90988873"/>
      <w:bookmarkStart w:id="1004" w:name="_Toc90989396"/>
      <w:bookmarkStart w:id="1005" w:name="_Toc90996885"/>
      <w:r>
        <w:rPr>
          <w:rStyle w:val="CharDivNo"/>
        </w:rPr>
        <w:t>Chapter XLIV</w:t>
      </w:r>
      <w:r>
        <w:t> — </w:t>
      </w:r>
      <w:r>
        <w:rPr>
          <w:rStyle w:val="CharDivText"/>
        </w:rPr>
        <w:t>Simple offences analogous to stealing</w:t>
      </w:r>
      <w:bookmarkEnd w:id="1000"/>
      <w:bookmarkEnd w:id="1001"/>
      <w:bookmarkEnd w:id="1002"/>
      <w:bookmarkEnd w:id="1003"/>
      <w:bookmarkEnd w:id="1004"/>
      <w:bookmarkEnd w:id="1005"/>
    </w:p>
    <w:p>
      <w:pPr>
        <w:pStyle w:val="Footnoteheading"/>
        <w:keepNext/>
      </w:pPr>
      <w:r>
        <w:tab/>
        <w:t>[Heading inserted: No. 70 of 2004 s. 27.]</w:t>
      </w:r>
    </w:p>
    <w:p>
      <w:pPr>
        <w:pStyle w:val="Ednotesection"/>
        <w:ind w:left="890" w:hanging="890"/>
      </w:pPr>
      <w:r>
        <w:t>[</w:t>
      </w:r>
      <w:r>
        <w:rPr>
          <w:b/>
        </w:rPr>
        <w:t>428.</w:t>
      </w:r>
      <w:r>
        <w:tab/>
        <w:t>Deleted: No. 11 of 2014 s. 5.]</w:t>
      </w:r>
    </w:p>
    <w:p>
      <w:pPr>
        <w:pStyle w:val="Heading5"/>
        <w:spacing w:before="180"/>
      </w:pPr>
      <w:bookmarkStart w:id="1006" w:name="_Toc103864587"/>
      <w:bookmarkStart w:id="1007" w:name="_Toc90996886"/>
      <w:r>
        <w:rPr>
          <w:rStyle w:val="CharSectno"/>
        </w:rPr>
        <w:t>429</w:t>
      </w:r>
      <w:r>
        <w:t>.</w:t>
      </w:r>
      <w:r>
        <w:tab/>
        <w:t>Unlawfully using another person’s animal</w:t>
      </w:r>
      <w:bookmarkEnd w:id="1006"/>
      <w:bookmarkEnd w:id="1007"/>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No. 70 of 2004 s. 28.]</w:t>
      </w:r>
    </w:p>
    <w:p>
      <w:pPr>
        <w:pStyle w:val="Ednotesection"/>
        <w:ind w:left="890" w:hanging="890"/>
      </w:pPr>
      <w:r>
        <w:t>[</w:t>
      </w:r>
      <w:r>
        <w:rPr>
          <w:b/>
        </w:rPr>
        <w:t>430</w:t>
      </w:r>
      <w:r>
        <w:rPr>
          <w:b/>
        </w:rPr>
        <w:noBreakHyphen/>
        <w:t>432.</w:t>
      </w:r>
      <w:r>
        <w:rPr>
          <w:bCs/>
        </w:rPr>
        <w:tab/>
      </w:r>
      <w:r>
        <w:t>Deleted: No. 70 of 2004 s. 28.]</w:t>
      </w:r>
    </w:p>
    <w:p>
      <w:pPr>
        <w:pStyle w:val="Ednotesection"/>
        <w:ind w:left="890" w:hanging="890"/>
      </w:pPr>
      <w:r>
        <w:t>[</w:t>
      </w:r>
      <w:r>
        <w:rPr>
          <w:b/>
        </w:rPr>
        <w:t>433.</w:t>
      </w:r>
      <w:r>
        <w:tab/>
        <w:t>Deleted: No. 4 of 2004 s. 36.]</w:t>
      </w:r>
    </w:p>
    <w:p>
      <w:pPr>
        <w:pStyle w:val="Ednotesection"/>
        <w:ind w:left="890" w:hanging="890"/>
      </w:pPr>
      <w:r>
        <w:t>[</w:t>
      </w:r>
      <w:r>
        <w:rPr>
          <w:b/>
        </w:rPr>
        <w:t>434, 435.</w:t>
      </w:r>
      <w:r>
        <w:rPr>
          <w:b/>
        </w:rPr>
        <w:tab/>
      </w:r>
      <w:r>
        <w:t>Deleted: No. 70 of 2004 s. 28.]</w:t>
      </w:r>
    </w:p>
    <w:p>
      <w:pPr>
        <w:pStyle w:val="Heading5"/>
      </w:pPr>
      <w:bookmarkStart w:id="1008" w:name="_Toc103864588"/>
      <w:bookmarkStart w:id="1009" w:name="_Toc90996887"/>
      <w:r>
        <w:rPr>
          <w:rStyle w:val="CharSectno"/>
        </w:rPr>
        <w:t>436</w:t>
      </w:r>
      <w:r>
        <w:t>.</w:t>
      </w:r>
      <w:r>
        <w:tab/>
        <w:t>Unlawful fishing</w:t>
      </w:r>
      <w:bookmarkEnd w:id="1008"/>
      <w:bookmarkEnd w:id="1009"/>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No. 4 of 2004 s. 69; amended: No. 70 of 2004 s. 35(4).]</w:t>
      </w:r>
    </w:p>
    <w:p>
      <w:pPr>
        <w:pStyle w:val="Heading5"/>
      </w:pPr>
      <w:bookmarkStart w:id="1010" w:name="_Toc103864589"/>
      <w:bookmarkStart w:id="1011" w:name="_Toc90996888"/>
      <w:r>
        <w:rPr>
          <w:rStyle w:val="CharSectno"/>
        </w:rPr>
        <w:t>437</w:t>
      </w:r>
      <w:r>
        <w:t>.</w:t>
      </w:r>
      <w:r>
        <w:tab/>
        <w:t>Unlawfully taking fish etc.</w:t>
      </w:r>
      <w:bookmarkEnd w:id="1010"/>
      <w:bookmarkEnd w:id="1011"/>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spacing w:before="120"/>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No. 4 of 2004 s. 69; amended: No. 70 of 2004 s. 35(4).]</w:t>
      </w:r>
    </w:p>
    <w:p>
      <w:pPr>
        <w:pStyle w:val="Ednotesection"/>
        <w:ind w:left="890" w:hanging="890"/>
      </w:pPr>
      <w:r>
        <w:t>[</w:t>
      </w:r>
      <w:r>
        <w:rPr>
          <w:b/>
        </w:rPr>
        <w:t>438.</w:t>
      </w:r>
      <w:r>
        <w:tab/>
        <w:t>Deleted: No. 119 of 1985 s. 18.]</w:t>
      </w:r>
    </w:p>
    <w:p>
      <w:pPr>
        <w:pStyle w:val="Ednotesection"/>
        <w:spacing w:before="180"/>
        <w:ind w:left="890" w:hanging="890"/>
      </w:pPr>
      <w:r>
        <w:t>[</w:t>
      </w:r>
      <w:r>
        <w:rPr>
          <w:b/>
        </w:rPr>
        <w:t>439, 440.</w:t>
      </w:r>
      <w:r>
        <w:rPr>
          <w:bCs/>
        </w:rPr>
        <w:tab/>
      </w:r>
      <w:r>
        <w:t>Deleted: No. 70 of 2004 s. 29.]</w:t>
      </w:r>
    </w:p>
    <w:p>
      <w:pPr>
        <w:pStyle w:val="Heading3"/>
        <w:rPr>
          <w:snapToGrid w:val="0"/>
        </w:rPr>
      </w:pPr>
      <w:bookmarkStart w:id="1012" w:name="_Toc103861064"/>
      <w:bookmarkStart w:id="1013" w:name="_Toc103861586"/>
      <w:bookmarkStart w:id="1014" w:name="_Toc103864590"/>
      <w:bookmarkStart w:id="1015" w:name="_Toc90988877"/>
      <w:bookmarkStart w:id="1016" w:name="_Toc90989400"/>
      <w:bookmarkStart w:id="1017" w:name="_Toc90996889"/>
      <w:r>
        <w:rPr>
          <w:rStyle w:val="CharDivNo"/>
        </w:rPr>
        <w:t>Chapter XLIVA</w:t>
      </w:r>
      <w:r>
        <w:rPr>
          <w:snapToGrid w:val="0"/>
        </w:rPr>
        <w:t> — </w:t>
      </w:r>
      <w:r>
        <w:rPr>
          <w:rStyle w:val="CharDivText"/>
        </w:rPr>
        <w:t>Unauthorised use of computer systems</w:t>
      </w:r>
      <w:bookmarkEnd w:id="1012"/>
      <w:bookmarkEnd w:id="1013"/>
      <w:bookmarkEnd w:id="1014"/>
      <w:bookmarkEnd w:id="1015"/>
      <w:bookmarkEnd w:id="1016"/>
      <w:bookmarkEnd w:id="1017"/>
    </w:p>
    <w:p>
      <w:pPr>
        <w:pStyle w:val="Footnoteheading"/>
        <w:keepNext/>
      </w:pPr>
      <w:r>
        <w:tab/>
        <w:t>[Heading inserted: No. 101 of 1990 s. 33.]</w:t>
      </w:r>
    </w:p>
    <w:p>
      <w:pPr>
        <w:pStyle w:val="Heading5"/>
        <w:spacing w:before="180"/>
      </w:pPr>
      <w:bookmarkStart w:id="1018" w:name="_Toc103864591"/>
      <w:bookmarkStart w:id="1019" w:name="_Toc90996890"/>
      <w:r>
        <w:rPr>
          <w:rStyle w:val="CharSectno"/>
        </w:rPr>
        <w:t>440A</w:t>
      </w:r>
      <w:r>
        <w:t>.</w:t>
      </w:r>
      <w:r>
        <w:tab/>
        <w:t>Unlawful use of computer</w:t>
      </w:r>
      <w:bookmarkEnd w:id="1018"/>
      <w:bookmarkEnd w:id="1019"/>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keepNext/>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No. 70 of 2004 s. 30.]</w:t>
      </w:r>
    </w:p>
    <w:p>
      <w:pPr>
        <w:pStyle w:val="Heading3"/>
        <w:spacing w:before="280"/>
        <w:rPr>
          <w:snapToGrid w:val="0"/>
        </w:rPr>
      </w:pPr>
      <w:bookmarkStart w:id="1020" w:name="_Toc103861066"/>
      <w:bookmarkStart w:id="1021" w:name="_Toc103861588"/>
      <w:bookmarkStart w:id="1022" w:name="_Toc103864592"/>
      <w:bookmarkStart w:id="1023" w:name="_Toc90988879"/>
      <w:bookmarkStart w:id="1024" w:name="_Toc90989402"/>
      <w:bookmarkStart w:id="1025" w:name="_Toc90996891"/>
      <w:r>
        <w:rPr>
          <w:snapToGrid w:val="0"/>
        </w:rPr>
        <w:t>Division II — Injuries to property</w:t>
      </w:r>
      <w:bookmarkEnd w:id="1020"/>
      <w:bookmarkEnd w:id="1021"/>
      <w:bookmarkEnd w:id="1022"/>
      <w:bookmarkEnd w:id="1023"/>
      <w:bookmarkEnd w:id="1024"/>
      <w:bookmarkEnd w:id="1025"/>
    </w:p>
    <w:p>
      <w:pPr>
        <w:pStyle w:val="Heading3"/>
        <w:rPr>
          <w:snapToGrid w:val="0"/>
        </w:rPr>
      </w:pPr>
      <w:bookmarkStart w:id="1026" w:name="_Toc103861067"/>
      <w:bookmarkStart w:id="1027" w:name="_Toc103861589"/>
      <w:bookmarkStart w:id="1028" w:name="_Toc103864593"/>
      <w:bookmarkStart w:id="1029" w:name="_Toc90988880"/>
      <w:bookmarkStart w:id="1030" w:name="_Toc90989403"/>
      <w:bookmarkStart w:id="1031" w:name="_Toc90996892"/>
      <w:r>
        <w:rPr>
          <w:rStyle w:val="CharDivNo"/>
        </w:rPr>
        <w:t>Chapter XLV</w:t>
      </w:r>
      <w:r>
        <w:rPr>
          <w:snapToGrid w:val="0"/>
        </w:rPr>
        <w:t> — </w:t>
      </w:r>
      <w:r>
        <w:rPr>
          <w:rStyle w:val="CharDivText"/>
        </w:rPr>
        <w:t>Preliminary matters</w:t>
      </w:r>
      <w:bookmarkEnd w:id="1026"/>
      <w:bookmarkEnd w:id="1027"/>
      <w:bookmarkEnd w:id="1028"/>
      <w:bookmarkEnd w:id="1029"/>
      <w:bookmarkEnd w:id="1030"/>
      <w:bookmarkEnd w:id="1031"/>
    </w:p>
    <w:p>
      <w:pPr>
        <w:pStyle w:val="Footnoteheading"/>
      </w:pPr>
      <w:r>
        <w:tab/>
        <w:t>[Heading amended: No. 43 of 2009 s. 9.]</w:t>
      </w:r>
    </w:p>
    <w:p>
      <w:pPr>
        <w:pStyle w:val="Heading5"/>
        <w:spacing w:before="180"/>
        <w:rPr>
          <w:snapToGrid w:val="0"/>
        </w:rPr>
      </w:pPr>
      <w:bookmarkStart w:id="1032" w:name="_Toc103864594"/>
      <w:bookmarkStart w:id="1033" w:name="_Toc90996893"/>
      <w:r>
        <w:rPr>
          <w:rStyle w:val="CharSectno"/>
        </w:rPr>
        <w:t>441</w:t>
      </w:r>
      <w:r>
        <w:rPr>
          <w:snapToGrid w:val="0"/>
        </w:rPr>
        <w:t>.</w:t>
      </w:r>
      <w:r>
        <w:rPr>
          <w:snapToGrid w:val="0"/>
        </w:rPr>
        <w:tab/>
        <w:t>Acts injuring property, when unlawful etc.</w:t>
      </w:r>
      <w:bookmarkEnd w:id="1032"/>
      <w:bookmarkEnd w:id="1033"/>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No. 29 of 2008 s. 9.]</w:t>
      </w:r>
    </w:p>
    <w:p>
      <w:pPr>
        <w:pStyle w:val="Heading5"/>
        <w:spacing w:before="180"/>
        <w:rPr>
          <w:snapToGrid w:val="0"/>
        </w:rPr>
      </w:pPr>
      <w:bookmarkStart w:id="1034" w:name="_Toc103864595"/>
      <w:bookmarkStart w:id="1035" w:name="_Toc90996894"/>
      <w:r>
        <w:rPr>
          <w:rStyle w:val="CharSectno"/>
        </w:rPr>
        <w:t>442</w:t>
      </w:r>
      <w:r>
        <w:rPr>
          <w:snapToGrid w:val="0"/>
        </w:rPr>
        <w:t>.</w:t>
      </w:r>
      <w:r>
        <w:rPr>
          <w:snapToGrid w:val="0"/>
        </w:rPr>
        <w:tab/>
        <w:t>Lawful act done with intent to defraud is unlawful</w:t>
      </w:r>
      <w:bookmarkEnd w:id="1034"/>
      <w:bookmarkEnd w:id="1035"/>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1036" w:name="_Toc103864596"/>
      <w:bookmarkStart w:id="1037" w:name="_Toc90996895"/>
      <w:r>
        <w:rPr>
          <w:rStyle w:val="CharSectno"/>
        </w:rPr>
        <w:t>443</w:t>
      </w:r>
      <w:r>
        <w:rPr>
          <w:snapToGrid w:val="0"/>
        </w:rPr>
        <w:t>.</w:t>
      </w:r>
      <w:r>
        <w:rPr>
          <w:iCs/>
          <w:snapToGrid w:val="0"/>
        </w:rPr>
        <w:tab/>
        <w:t xml:space="preserve">Term used: </w:t>
      </w:r>
      <w:r>
        <w:rPr>
          <w:rStyle w:val="CharDefText"/>
          <w:b/>
          <w:bCs/>
          <w:i w:val="0"/>
        </w:rPr>
        <w:t>wilfully destroy or damage</w:t>
      </w:r>
      <w:bookmarkEnd w:id="1036"/>
      <w:bookmarkEnd w:id="1037"/>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ind w:left="890" w:hanging="890"/>
      </w:pPr>
      <w:r>
        <w:tab/>
        <w:t>[Section 443 inserted: No. 101 of 1990 s. 34.]</w:t>
      </w:r>
    </w:p>
    <w:p>
      <w:pPr>
        <w:pStyle w:val="Heading5"/>
      </w:pPr>
      <w:bookmarkStart w:id="1038" w:name="_Toc103864597"/>
      <w:bookmarkStart w:id="1039" w:name="_Toc90996896"/>
      <w:r>
        <w:rPr>
          <w:rStyle w:val="CharSectno"/>
        </w:rPr>
        <w:t>444A</w:t>
      </w:r>
      <w:r>
        <w:t>.</w:t>
      </w:r>
      <w:r>
        <w:tab/>
        <w:t>Duty of person in control of ignition source or fire</w:t>
      </w:r>
      <w:bookmarkEnd w:id="1038"/>
      <w:bookmarkEnd w:id="1039"/>
    </w:p>
    <w:p>
      <w:pPr>
        <w:pStyle w:val="Subsection"/>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pPr>
      <w:r>
        <w:tab/>
        <w:t>(3)</w:t>
      </w:r>
      <w:r>
        <w:tab/>
        <w:t>A person does not breach a duty imposed by this section if the fire does not spread beyond the capacity of the person to extinguish it.</w:t>
      </w:r>
    </w:p>
    <w:p>
      <w:pPr>
        <w:pStyle w:val="Subsection"/>
        <w:keepNext/>
      </w:pPr>
      <w:r>
        <w:tab/>
        <w:t>(4)</w:t>
      </w:r>
      <w:r>
        <w:tab/>
        <w:t>Property that is capable of being destroyed or damaged by fire includes vegetation.</w:t>
      </w:r>
    </w:p>
    <w:p>
      <w:pPr>
        <w:pStyle w:val="Footnotesection"/>
        <w:spacing w:before="160"/>
        <w:ind w:left="890" w:hanging="890"/>
      </w:pPr>
      <w:r>
        <w:tab/>
        <w:t>[Section 444A inserted: No. 43 of 2009 s. 10.]</w:t>
      </w:r>
    </w:p>
    <w:p>
      <w:pPr>
        <w:pStyle w:val="Heading3"/>
        <w:spacing w:before="200"/>
        <w:rPr>
          <w:snapToGrid w:val="0"/>
        </w:rPr>
      </w:pPr>
      <w:bookmarkStart w:id="1040" w:name="_Toc103861072"/>
      <w:bookmarkStart w:id="1041" w:name="_Toc103861594"/>
      <w:bookmarkStart w:id="1042" w:name="_Toc103864598"/>
      <w:bookmarkStart w:id="1043" w:name="_Toc90988885"/>
      <w:bookmarkStart w:id="1044" w:name="_Toc90989408"/>
      <w:bookmarkStart w:id="1045" w:name="_Toc90996897"/>
      <w:r>
        <w:rPr>
          <w:rStyle w:val="CharDivNo"/>
        </w:rPr>
        <w:t>Chapter XLVI</w:t>
      </w:r>
      <w:r>
        <w:rPr>
          <w:snapToGrid w:val="0"/>
        </w:rPr>
        <w:t> — </w:t>
      </w:r>
      <w:r>
        <w:rPr>
          <w:rStyle w:val="CharDivText"/>
        </w:rPr>
        <w:t>Offences</w:t>
      </w:r>
      <w:bookmarkEnd w:id="1040"/>
      <w:bookmarkEnd w:id="1041"/>
      <w:bookmarkEnd w:id="1042"/>
      <w:bookmarkEnd w:id="1043"/>
      <w:bookmarkEnd w:id="1044"/>
      <w:bookmarkEnd w:id="1045"/>
    </w:p>
    <w:p>
      <w:pPr>
        <w:pStyle w:val="Heading5"/>
        <w:spacing w:before="260"/>
      </w:pPr>
      <w:bookmarkStart w:id="1046" w:name="_Toc103864599"/>
      <w:bookmarkStart w:id="1047" w:name="_Toc90996898"/>
      <w:r>
        <w:rPr>
          <w:rStyle w:val="CharSectno"/>
        </w:rPr>
        <w:t>444</w:t>
      </w:r>
      <w:r>
        <w:t>.</w:t>
      </w:r>
      <w:r>
        <w:tab/>
        <w:t>Criminal damage</w:t>
      </w:r>
      <w:bookmarkEnd w:id="1046"/>
      <w:bookmarkEnd w:id="1047"/>
    </w:p>
    <w:p>
      <w:pPr>
        <w:pStyle w:val="Subsection"/>
      </w:pPr>
      <w:r>
        <w:tab/>
        <w:t>(1A)</w:t>
      </w:r>
      <w:r>
        <w:tab/>
        <w:t>In this section —</w:t>
      </w:r>
    </w:p>
    <w:p>
      <w:pPr>
        <w:pStyle w:val="Defstart"/>
      </w:pPr>
      <w:r>
        <w:tab/>
      </w:r>
      <w:r>
        <w:rPr>
          <w:rStyle w:val="CharDefText"/>
        </w:rPr>
        <w:t>circumstances of aggravation</w:t>
      </w:r>
      <w:r>
        <w:t xml:space="preserve"> has the meaning given in section 221.</w:t>
      </w:r>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w:t>
      </w:r>
      <w:r>
        <w:t>circumstances of aggravation or in</w:t>
      </w:r>
      <w:r>
        <w:rPr>
          <w:snapToGrid w:val="0"/>
        </w:rPr>
        <w:t xml:space="preserve">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in a case where subsection (1)(b) applies; and</w:t>
      </w:r>
    </w:p>
    <w:p>
      <w:pPr>
        <w:pStyle w:val="Penpara"/>
      </w:pPr>
      <w:r>
        <w:tab/>
        <w:t>(b)</w:t>
      </w:r>
      <w:r>
        <w:tab/>
        <w:t>the amount of the injury done does not exceed $50 000,</w:t>
      </w:r>
    </w:p>
    <w:p>
      <w:pPr>
        <w:pStyle w:val="Penstart"/>
      </w:pPr>
      <w:r>
        <w:tab/>
      </w:r>
      <w:r>
        <w:tab/>
        <w:t>imprisonment for 3 years and a fine of $36 000.</w:t>
      </w:r>
    </w:p>
    <w:p>
      <w:pPr>
        <w:pStyle w:val="Subsection"/>
        <w:keepNext/>
        <w:keepLines/>
      </w:pPr>
      <w:r>
        <w:tab/>
        <w:t>(2)</w:t>
      </w:r>
      <w:r>
        <w:tab/>
        <w:t>Property that is capable of being destroyed or damaged by fire includes vegetation.</w:t>
      </w:r>
    </w:p>
    <w:p>
      <w:pPr>
        <w:pStyle w:val="Footnotesection"/>
        <w:ind w:left="890" w:hanging="890"/>
      </w:pPr>
      <w:r>
        <w:tab/>
        <w:t>[Section 444 inserted: No. 4 of 2004 s. 37; amended: No. 70 of 2004 s. 35(4) and 36(3); No. 80 of 2004 s. 11; No. 43 of 2009 s. 11; No. 30 of 2020 s. 11.]</w:t>
      </w:r>
    </w:p>
    <w:p>
      <w:pPr>
        <w:pStyle w:val="Heading5"/>
        <w:keepLines w:val="0"/>
      </w:pPr>
      <w:bookmarkStart w:id="1048" w:name="_Toc103864600"/>
      <w:bookmarkStart w:id="1049" w:name="_Toc90996899"/>
      <w:r>
        <w:rPr>
          <w:rStyle w:val="CharSectno"/>
        </w:rPr>
        <w:t>445A</w:t>
      </w:r>
      <w:r>
        <w:t>.</w:t>
      </w:r>
      <w:r>
        <w:tab/>
        <w:t>Breach of s. 444A duty</w:t>
      </w:r>
      <w:bookmarkEnd w:id="1048"/>
      <w:bookmarkEnd w:id="1049"/>
    </w:p>
    <w:p>
      <w:pPr>
        <w:pStyle w:val="Subsection"/>
      </w:pPr>
      <w:r>
        <w:tab/>
      </w:r>
      <w:r>
        <w:tab/>
        <w:t>A person who unlawfully omits or refuses to do any act which it is the person’s duty to do under section 444A is guilty of a crime, and is liable to imprisonment for 15 years.</w:t>
      </w:r>
    </w:p>
    <w:p>
      <w:pPr>
        <w:pStyle w:val="Footnotesection"/>
        <w:spacing w:before="80"/>
        <w:ind w:left="890" w:hanging="890"/>
      </w:pPr>
      <w:r>
        <w:tab/>
        <w:t>[Section 445A inserted: No. 43 of 2009 s. 12.]</w:t>
      </w:r>
    </w:p>
    <w:p>
      <w:pPr>
        <w:pStyle w:val="Heading5"/>
        <w:keepNext w:val="0"/>
        <w:keepLines w:val="0"/>
        <w:spacing w:before="120"/>
      </w:pPr>
      <w:bookmarkStart w:id="1050" w:name="_Toc103864601"/>
      <w:bookmarkStart w:id="1051" w:name="_Toc90996900"/>
      <w:r>
        <w:rPr>
          <w:rStyle w:val="CharSectno"/>
        </w:rPr>
        <w:t>445</w:t>
      </w:r>
      <w:r>
        <w:t>.</w:t>
      </w:r>
      <w:r>
        <w:tab/>
        <w:t>Damaging property</w:t>
      </w:r>
      <w:bookmarkEnd w:id="1050"/>
      <w:bookmarkEnd w:id="1051"/>
    </w:p>
    <w:p>
      <w:pPr>
        <w:pStyle w:val="Subsection"/>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No. 70 of 2004 s. 31; amended: No. 26 of 2009 s. 5.]</w:t>
      </w:r>
    </w:p>
    <w:p>
      <w:pPr>
        <w:pStyle w:val="Ednotesection"/>
      </w:pPr>
      <w:r>
        <w:t>[</w:t>
      </w:r>
      <w:r>
        <w:rPr>
          <w:b/>
        </w:rPr>
        <w:t>446.</w:t>
      </w:r>
      <w:r>
        <w:rPr>
          <w:b/>
        </w:rPr>
        <w:tab/>
      </w:r>
      <w:r>
        <w:t>Deleted: No. 16 of 2016 s. 38.]</w:t>
      </w:r>
    </w:p>
    <w:p>
      <w:pPr>
        <w:pStyle w:val="Ednotesection"/>
        <w:spacing w:before="180"/>
      </w:pPr>
      <w:r>
        <w:t>[</w:t>
      </w:r>
      <w:r>
        <w:rPr>
          <w:b/>
        </w:rPr>
        <w:t>447.</w:t>
      </w:r>
      <w:r>
        <w:tab/>
        <w:t>Deleted: No. 101 of 1990 s. 35.]</w:t>
      </w:r>
    </w:p>
    <w:p>
      <w:pPr>
        <w:pStyle w:val="Ednotesection"/>
        <w:spacing w:before="120"/>
        <w:ind w:left="890" w:hanging="890"/>
      </w:pPr>
      <w:r>
        <w:t>[</w:t>
      </w:r>
      <w:r>
        <w:rPr>
          <w:b/>
        </w:rPr>
        <w:t>448.</w:t>
      </w:r>
      <w:r>
        <w:tab/>
        <w:t>Deleted: No. 106 of 1987 s. 14(5).]</w:t>
      </w:r>
    </w:p>
    <w:p>
      <w:pPr>
        <w:pStyle w:val="Heading5"/>
        <w:spacing w:before="120"/>
        <w:rPr>
          <w:snapToGrid w:val="0"/>
        </w:rPr>
      </w:pPr>
      <w:bookmarkStart w:id="1052" w:name="_Toc103864602"/>
      <w:bookmarkStart w:id="1053" w:name="_Toc90996901"/>
      <w:r>
        <w:rPr>
          <w:rStyle w:val="CharSectno"/>
        </w:rPr>
        <w:t>449</w:t>
      </w:r>
      <w:r>
        <w:rPr>
          <w:snapToGrid w:val="0"/>
        </w:rPr>
        <w:t>.</w:t>
      </w:r>
      <w:r>
        <w:rPr>
          <w:snapToGrid w:val="0"/>
        </w:rPr>
        <w:tab/>
        <w:t>Casting away etc. vessel</w:t>
      </w:r>
      <w:bookmarkEnd w:id="1052"/>
      <w:bookmarkEnd w:id="1053"/>
    </w:p>
    <w:p>
      <w:pPr>
        <w:pStyle w:val="Subsection"/>
        <w:spacing w:before="120"/>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No. 118 of 1981 s. 4; No. 51 of 1992 s. 16(2).]</w:t>
      </w:r>
    </w:p>
    <w:p>
      <w:pPr>
        <w:pStyle w:val="Ednotesection"/>
      </w:pPr>
      <w:r>
        <w:t>[</w:t>
      </w:r>
      <w:r>
        <w:rPr>
          <w:b/>
        </w:rPr>
        <w:t>450.</w:t>
      </w:r>
      <w:r>
        <w:rPr>
          <w:b/>
        </w:rPr>
        <w:tab/>
      </w:r>
      <w:r>
        <w:t>Deleted: No. 106 of 1987 s. 14(5).]</w:t>
      </w:r>
    </w:p>
    <w:p>
      <w:pPr>
        <w:pStyle w:val="Heading5"/>
        <w:keepLines w:val="0"/>
        <w:rPr>
          <w:snapToGrid w:val="0"/>
        </w:rPr>
      </w:pPr>
      <w:bookmarkStart w:id="1054" w:name="_Toc103864603"/>
      <w:bookmarkStart w:id="1055" w:name="_Toc90996902"/>
      <w:r>
        <w:rPr>
          <w:rStyle w:val="CharSectno"/>
        </w:rPr>
        <w:t>451</w:t>
      </w:r>
      <w:r>
        <w:rPr>
          <w:snapToGrid w:val="0"/>
        </w:rPr>
        <w:t>.</w:t>
      </w:r>
      <w:r>
        <w:rPr>
          <w:snapToGrid w:val="0"/>
        </w:rPr>
        <w:tab/>
        <w:t>Acts etc. with intent to obstruct or injure railway</w:t>
      </w:r>
      <w:bookmarkEnd w:id="1054"/>
      <w:bookmarkEnd w:id="1055"/>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No. 118 of 1981 s. 4; No. 51 of 1992 s. 16(2).]</w:t>
      </w:r>
    </w:p>
    <w:p>
      <w:pPr>
        <w:pStyle w:val="Heading5"/>
        <w:rPr>
          <w:snapToGrid w:val="0"/>
        </w:rPr>
      </w:pPr>
      <w:bookmarkStart w:id="1056" w:name="_Toc103864604"/>
      <w:bookmarkStart w:id="1057" w:name="_Toc90996903"/>
      <w:r>
        <w:rPr>
          <w:rStyle w:val="CharSectno"/>
        </w:rPr>
        <w:t>451A</w:t>
      </w:r>
      <w:r>
        <w:rPr>
          <w:snapToGrid w:val="0"/>
        </w:rPr>
        <w:t>.</w:t>
      </w:r>
      <w:r>
        <w:rPr>
          <w:snapToGrid w:val="0"/>
        </w:rPr>
        <w:tab/>
        <w:t>Acts etc. with intent to prejudice safe use of aircraft etc.</w:t>
      </w:r>
      <w:bookmarkEnd w:id="1056"/>
      <w:bookmarkEnd w:id="1057"/>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keepLines/>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No. 53 of 1964 s. 9; amended: No. 118 of 1981 s. 4; No. 51 of 1992 s. 16(2); No. 44 of 2009 s. 8.]</w:t>
      </w:r>
    </w:p>
    <w:p>
      <w:pPr>
        <w:pStyle w:val="Heading5"/>
        <w:rPr>
          <w:snapToGrid w:val="0"/>
        </w:rPr>
      </w:pPr>
      <w:bookmarkStart w:id="1058" w:name="_Toc103864605"/>
      <w:bookmarkStart w:id="1059" w:name="_Toc90996904"/>
      <w:r>
        <w:rPr>
          <w:rStyle w:val="CharSectno"/>
        </w:rPr>
        <w:t>451B</w:t>
      </w:r>
      <w:r>
        <w:rPr>
          <w:snapToGrid w:val="0"/>
        </w:rPr>
        <w:t>.</w:t>
      </w:r>
      <w:r>
        <w:rPr>
          <w:snapToGrid w:val="0"/>
        </w:rPr>
        <w:tab/>
        <w:t>Unlawfully interfering with aircraft</w:t>
      </w:r>
      <w:bookmarkEnd w:id="1058"/>
      <w:bookmarkEnd w:id="1059"/>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No. 41 of 1972 s. 5; amended: No. 51 of 1992 s. 16(2).]</w:t>
      </w:r>
    </w:p>
    <w:p>
      <w:pPr>
        <w:pStyle w:val="Ednotesection"/>
      </w:pPr>
      <w:r>
        <w:t>[</w:t>
      </w:r>
      <w:r>
        <w:rPr>
          <w:b/>
        </w:rPr>
        <w:t>452, 453</w:t>
      </w:r>
      <w:r>
        <w:rPr>
          <w:b/>
          <w:bCs/>
        </w:rPr>
        <w:t>.</w:t>
      </w:r>
      <w:r>
        <w:tab/>
        <w:t>Deleted: No. 101 of 1990 s. 36.]</w:t>
      </w:r>
    </w:p>
    <w:p>
      <w:pPr>
        <w:pStyle w:val="Heading5"/>
        <w:rPr>
          <w:snapToGrid w:val="0"/>
        </w:rPr>
      </w:pPr>
      <w:bookmarkStart w:id="1060" w:name="_Toc103864606"/>
      <w:bookmarkStart w:id="1061" w:name="_Toc90996905"/>
      <w:r>
        <w:rPr>
          <w:rStyle w:val="CharSectno"/>
        </w:rPr>
        <w:t>454</w:t>
      </w:r>
      <w:r>
        <w:rPr>
          <w:snapToGrid w:val="0"/>
        </w:rPr>
        <w:t>.</w:t>
      </w:r>
      <w:r>
        <w:rPr>
          <w:snapToGrid w:val="0"/>
        </w:rPr>
        <w:tab/>
        <w:t>Causing explosion likely to do serious injury to property</w:t>
      </w:r>
      <w:bookmarkEnd w:id="1060"/>
      <w:bookmarkEnd w:id="1061"/>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No. 118 of 1981 s. 4; No. 51 of 1992 s. 16(2).]</w:t>
      </w:r>
    </w:p>
    <w:p>
      <w:pPr>
        <w:pStyle w:val="Heading5"/>
        <w:spacing w:before="180"/>
        <w:rPr>
          <w:snapToGrid w:val="0"/>
        </w:rPr>
      </w:pPr>
      <w:bookmarkStart w:id="1062" w:name="_Toc103864607"/>
      <w:bookmarkStart w:id="1063" w:name="_Toc90996906"/>
      <w:r>
        <w:rPr>
          <w:rStyle w:val="CharSectno"/>
        </w:rPr>
        <w:t>455</w:t>
      </w:r>
      <w:r>
        <w:rPr>
          <w:snapToGrid w:val="0"/>
        </w:rPr>
        <w:t>.</w:t>
      </w:r>
      <w:r>
        <w:rPr>
          <w:snapToGrid w:val="0"/>
        </w:rPr>
        <w:tab/>
        <w:t>Acts done with intent to cause explosion likely to do serious injury to property</w:t>
      </w:r>
      <w:bookmarkEnd w:id="1062"/>
      <w:bookmarkEnd w:id="1063"/>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No. 51 of 1992 s. 16(2).]</w:t>
      </w:r>
    </w:p>
    <w:p>
      <w:pPr>
        <w:pStyle w:val="Heading5"/>
        <w:spacing w:before="240"/>
        <w:rPr>
          <w:snapToGrid w:val="0"/>
        </w:rPr>
      </w:pPr>
      <w:bookmarkStart w:id="1064" w:name="_Toc103864608"/>
      <w:bookmarkStart w:id="1065" w:name="_Toc90996907"/>
      <w:r>
        <w:rPr>
          <w:rStyle w:val="CharSectno"/>
        </w:rPr>
        <w:t>456</w:t>
      </w:r>
      <w:r>
        <w:rPr>
          <w:snapToGrid w:val="0"/>
        </w:rPr>
        <w:t>.</w:t>
      </w:r>
      <w:r>
        <w:rPr>
          <w:snapToGrid w:val="0"/>
        </w:rPr>
        <w:tab/>
        <w:t>Acts with intent to injure mine etc.</w:t>
      </w:r>
      <w:bookmarkEnd w:id="1064"/>
      <w:bookmarkEnd w:id="1065"/>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No. 51 of 1992 s. 16(2).]</w:t>
      </w:r>
    </w:p>
    <w:p>
      <w:pPr>
        <w:pStyle w:val="Heading5"/>
        <w:rPr>
          <w:snapToGrid w:val="0"/>
        </w:rPr>
      </w:pPr>
      <w:bookmarkStart w:id="1066" w:name="_Toc103864609"/>
      <w:bookmarkStart w:id="1067" w:name="_Toc90996908"/>
      <w:r>
        <w:rPr>
          <w:rStyle w:val="CharSectno"/>
        </w:rPr>
        <w:t>457</w:t>
      </w:r>
      <w:r>
        <w:rPr>
          <w:snapToGrid w:val="0"/>
        </w:rPr>
        <w:t>.</w:t>
      </w:r>
      <w:r>
        <w:rPr>
          <w:snapToGrid w:val="0"/>
        </w:rPr>
        <w:tab/>
        <w:t>Interfering with marine navigation aid</w:t>
      </w:r>
      <w:bookmarkEnd w:id="1066"/>
      <w:bookmarkEnd w:id="1067"/>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No. 51 of 1992 s. 16(2).]</w:t>
      </w:r>
    </w:p>
    <w:p>
      <w:pPr>
        <w:pStyle w:val="Heading5"/>
        <w:keepNext w:val="0"/>
        <w:keepLines w:val="0"/>
        <w:rPr>
          <w:snapToGrid w:val="0"/>
        </w:rPr>
      </w:pPr>
      <w:bookmarkStart w:id="1068" w:name="_Toc103864610"/>
      <w:bookmarkStart w:id="1069" w:name="_Toc90996909"/>
      <w:r>
        <w:rPr>
          <w:rStyle w:val="CharSectno"/>
        </w:rPr>
        <w:t>458</w:t>
      </w:r>
      <w:r>
        <w:rPr>
          <w:snapToGrid w:val="0"/>
        </w:rPr>
        <w:t>.</w:t>
      </w:r>
      <w:r>
        <w:rPr>
          <w:snapToGrid w:val="0"/>
        </w:rPr>
        <w:tab/>
        <w:t>Interfering with navigation works</w:t>
      </w:r>
      <w:bookmarkEnd w:id="1068"/>
      <w:bookmarkEnd w:id="106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No. 51 of 1992 s. 16(2).]</w:t>
      </w:r>
    </w:p>
    <w:p>
      <w:pPr>
        <w:pStyle w:val="Heading5"/>
        <w:keepLines w:val="0"/>
        <w:rPr>
          <w:snapToGrid w:val="0"/>
        </w:rPr>
      </w:pPr>
      <w:bookmarkStart w:id="1070" w:name="_Toc103864611"/>
      <w:bookmarkStart w:id="1071" w:name="_Toc90996910"/>
      <w:r>
        <w:rPr>
          <w:rStyle w:val="CharSectno"/>
        </w:rPr>
        <w:t>459</w:t>
      </w:r>
      <w:r>
        <w:rPr>
          <w:snapToGrid w:val="0"/>
        </w:rPr>
        <w:t>.</w:t>
      </w:r>
      <w:r>
        <w:rPr>
          <w:snapToGrid w:val="0"/>
        </w:rPr>
        <w:tab/>
        <w:t>Communicating infectious disease to animal</w:t>
      </w:r>
      <w:bookmarkEnd w:id="1070"/>
      <w:bookmarkEnd w:id="1071"/>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No. 51 of 1992 s. 16(2).]</w:t>
      </w:r>
    </w:p>
    <w:p>
      <w:pPr>
        <w:pStyle w:val="Heading5"/>
        <w:spacing w:before="200"/>
        <w:rPr>
          <w:snapToGrid w:val="0"/>
        </w:rPr>
      </w:pPr>
      <w:bookmarkStart w:id="1072" w:name="_Toc103864612"/>
      <w:bookmarkStart w:id="1073" w:name="_Toc90996911"/>
      <w:r>
        <w:rPr>
          <w:rStyle w:val="CharSectno"/>
        </w:rPr>
        <w:t>460</w:t>
      </w:r>
      <w:r>
        <w:rPr>
          <w:snapToGrid w:val="0"/>
        </w:rPr>
        <w:t>.</w:t>
      </w:r>
      <w:r>
        <w:rPr>
          <w:snapToGrid w:val="0"/>
        </w:rPr>
        <w:tab/>
        <w:t>Unlawfully travelling with infected animal</w:t>
      </w:r>
      <w:bookmarkEnd w:id="1072"/>
      <w:bookmarkEnd w:id="1073"/>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No. 70 of 2004 s. 34(1).]</w:t>
      </w:r>
    </w:p>
    <w:p>
      <w:pPr>
        <w:pStyle w:val="Heading5"/>
        <w:spacing w:before="200"/>
        <w:rPr>
          <w:snapToGrid w:val="0"/>
        </w:rPr>
      </w:pPr>
      <w:bookmarkStart w:id="1074" w:name="_Toc103864613"/>
      <w:bookmarkStart w:id="1075" w:name="_Toc90996912"/>
      <w:r>
        <w:rPr>
          <w:rStyle w:val="CharSectno"/>
        </w:rPr>
        <w:t>461</w:t>
      </w:r>
      <w:r>
        <w:rPr>
          <w:snapToGrid w:val="0"/>
        </w:rPr>
        <w:t>.</w:t>
      </w:r>
      <w:r>
        <w:rPr>
          <w:snapToGrid w:val="0"/>
        </w:rPr>
        <w:tab/>
        <w:t>Removing boundary mark with intent to defraud</w:t>
      </w:r>
      <w:bookmarkEnd w:id="1074"/>
      <w:bookmarkEnd w:id="1075"/>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No. 51 of 1992 s. 16(2); No. 70 of 2004 s. 34(1).]</w:t>
      </w:r>
    </w:p>
    <w:p>
      <w:pPr>
        <w:pStyle w:val="Heading5"/>
        <w:spacing w:before="200"/>
        <w:rPr>
          <w:snapToGrid w:val="0"/>
        </w:rPr>
      </w:pPr>
      <w:bookmarkStart w:id="1076" w:name="_Toc103864614"/>
      <w:bookmarkStart w:id="1077" w:name="_Toc90996913"/>
      <w:r>
        <w:rPr>
          <w:rStyle w:val="CharSectno"/>
        </w:rPr>
        <w:t>462</w:t>
      </w:r>
      <w:r>
        <w:rPr>
          <w:snapToGrid w:val="0"/>
        </w:rPr>
        <w:t>.</w:t>
      </w:r>
      <w:r>
        <w:rPr>
          <w:snapToGrid w:val="0"/>
        </w:rPr>
        <w:tab/>
        <w:t>Obstructing railway</w:t>
      </w:r>
      <w:bookmarkEnd w:id="1076"/>
      <w:bookmarkEnd w:id="1077"/>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No. 51 of 1992 s. 16(2); No. 70 of 2004 s. 34(1).]</w:t>
      </w:r>
    </w:p>
    <w:p>
      <w:pPr>
        <w:pStyle w:val="Ednotesection"/>
        <w:keepLines/>
        <w:ind w:left="890" w:hanging="890"/>
      </w:pPr>
      <w:r>
        <w:t>[</w:t>
      </w:r>
      <w:r>
        <w:rPr>
          <w:b/>
        </w:rPr>
        <w:t>463</w:t>
      </w:r>
      <w:r>
        <w:rPr>
          <w:b/>
        </w:rPr>
        <w:noBreakHyphen/>
        <w:t>463B.</w:t>
      </w:r>
      <w:r>
        <w:tab/>
        <w:t>Deleted: No. 101 of 1990 s. 37.]</w:t>
      </w:r>
    </w:p>
    <w:p>
      <w:pPr>
        <w:pStyle w:val="Ednotesection"/>
        <w:keepLines/>
        <w:ind w:left="890" w:hanging="890"/>
      </w:pPr>
      <w:r>
        <w:t>[</w:t>
      </w:r>
      <w:r>
        <w:rPr>
          <w:b/>
        </w:rPr>
        <w:t>464</w:t>
      </w:r>
      <w:r>
        <w:rPr>
          <w:b/>
          <w:bCs/>
        </w:rPr>
        <w:t>.</w:t>
      </w:r>
      <w:r>
        <w:tab/>
        <w:t>Deleted: No. 119 of 1985 s. 19.]</w:t>
      </w:r>
    </w:p>
    <w:p>
      <w:pPr>
        <w:pStyle w:val="Ednotedivision"/>
        <w:keepNext/>
        <w:keepLines/>
        <w:ind w:left="601" w:hanging="601"/>
      </w:pPr>
      <w:r>
        <w:t>[Chapter XLVII:</w:t>
      </w:r>
      <w:r>
        <w:br/>
        <w:t>s. 465, 466 deleted: No. 4 of 2004 s. 38;</w:t>
      </w:r>
      <w:r>
        <w:br/>
        <w:t>s. 467 deleted: No. 78 of 1995 s. 26;</w:t>
      </w:r>
      <w:r>
        <w:br/>
        <w:t>s. 468 deleted: No. 1 of 1969 s. 16.]</w:t>
      </w:r>
    </w:p>
    <w:p>
      <w:pPr>
        <w:pStyle w:val="Heading3"/>
        <w:keepNext w:val="0"/>
        <w:spacing w:before="260"/>
      </w:pPr>
      <w:bookmarkStart w:id="1078" w:name="_Toc103861089"/>
      <w:bookmarkStart w:id="1079" w:name="_Toc103861611"/>
      <w:bookmarkStart w:id="1080" w:name="_Toc103864615"/>
      <w:bookmarkStart w:id="1081" w:name="_Toc90988902"/>
      <w:bookmarkStart w:id="1082" w:name="_Toc90989425"/>
      <w:bookmarkStart w:id="1083" w:name="_Toc90996914"/>
      <w:r>
        <w:t>Division III — Forgery and like offences: Identity crime: Personation</w:t>
      </w:r>
      <w:bookmarkEnd w:id="1078"/>
      <w:bookmarkEnd w:id="1079"/>
      <w:bookmarkEnd w:id="1080"/>
      <w:bookmarkEnd w:id="1081"/>
      <w:bookmarkEnd w:id="1082"/>
      <w:bookmarkEnd w:id="1083"/>
    </w:p>
    <w:p>
      <w:pPr>
        <w:pStyle w:val="Footnoteheading"/>
        <w:rPr>
          <w:snapToGrid w:val="0"/>
        </w:rPr>
      </w:pPr>
      <w:r>
        <w:rPr>
          <w:snapToGrid w:val="0"/>
        </w:rPr>
        <w:tab/>
        <w:t>[Heading inserted: No. 16 of 2010 s. 4.]</w:t>
      </w:r>
    </w:p>
    <w:p>
      <w:pPr>
        <w:pStyle w:val="Ednotedivision"/>
      </w:pPr>
      <w:r>
        <w:t>[Chapter XLVIII (s. 469</w:t>
      </w:r>
      <w:r>
        <w:noBreakHyphen/>
        <w:t>472) deleted: No. 101 of 1990 s. 40.]</w:t>
      </w:r>
    </w:p>
    <w:p>
      <w:pPr>
        <w:pStyle w:val="Heading3"/>
        <w:keepNext w:val="0"/>
        <w:rPr>
          <w:snapToGrid w:val="0"/>
        </w:rPr>
      </w:pPr>
      <w:bookmarkStart w:id="1084" w:name="_Toc103861090"/>
      <w:bookmarkStart w:id="1085" w:name="_Toc103861612"/>
      <w:bookmarkStart w:id="1086" w:name="_Toc103864616"/>
      <w:bookmarkStart w:id="1087" w:name="_Toc90988903"/>
      <w:bookmarkStart w:id="1088" w:name="_Toc90989426"/>
      <w:bookmarkStart w:id="1089" w:name="_Toc90996915"/>
      <w:r>
        <w:rPr>
          <w:rStyle w:val="CharDivNo"/>
        </w:rPr>
        <w:t>Chapter XLIX</w:t>
      </w:r>
      <w:r>
        <w:rPr>
          <w:snapToGrid w:val="0"/>
        </w:rPr>
        <w:t> — </w:t>
      </w:r>
      <w:r>
        <w:rPr>
          <w:rStyle w:val="CharDivText"/>
        </w:rPr>
        <w:t>Forgery and uttering</w:t>
      </w:r>
      <w:bookmarkEnd w:id="1084"/>
      <w:bookmarkEnd w:id="1085"/>
      <w:bookmarkEnd w:id="1086"/>
      <w:bookmarkEnd w:id="1087"/>
      <w:bookmarkEnd w:id="1088"/>
      <w:bookmarkEnd w:id="1089"/>
    </w:p>
    <w:p>
      <w:pPr>
        <w:pStyle w:val="Footnoteheading"/>
        <w:rPr>
          <w:snapToGrid w:val="0"/>
        </w:rPr>
      </w:pPr>
      <w:r>
        <w:rPr>
          <w:snapToGrid w:val="0"/>
        </w:rPr>
        <w:tab/>
        <w:t>[Heading inserted: No. 101 of 1990 s. 41.]</w:t>
      </w:r>
    </w:p>
    <w:p>
      <w:pPr>
        <w:pStyle w:val="Heading5"/>
        <w:keepNext w:val="0"/>
        <w:spacing w:before="180"/>
        <w:rPr>
          <w:snapToGrid w:val="0"/>
        </w:rPr>
      </w:pPr>
      <w:bookmarkStart w:id="1090" w:name="_Toc103864617"/>
      <w:bookmarkStart w:id="1091" w:name="_Toc90996916"/>
      <w:r>
        <w:rPr>
          <w:rStyle w:val="CharSectno"/>
        </w:rPr>
        <w:t>473</w:t>
      </w:r>
      <w:r>
        <w:rPr>
          <w:snapToGrid w:val="0"/>
        </w:rPr>
        <w:t>.</w:t>
      </w:r>
      <w:r>
        <w:rPr>
          <w:snapToGrid w:val="0"/>
        </w:rPr>
        <w:tab/>
        <w:t>Forgery and uttering</w:t>
      </w:r>
      <w:bookmarkEnd w:id="1090"/>
      <w:bookmarkEnd w:id="1091"/>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No. 101 of 1990 s. 41; amended: No. 70 of 2004 s. 35(2); No. 59 of 2006 s. 24.]</w:t>
      </w:r>
    </w:p>
    <w:p>
      <w:pPr>
        <w:pStyle w:val="Heading5"/>
        <w:keepLines w:val="0"/>
        <w:spacing w:before="180"/>
      </w:pPr>
      <w:bookmarkStart w:id="1092" w:name="_Toc103864618"/>
      <w:bookmarkStart w:id="1093" w:name="_Toc90996917"/>
      <w:r>
        <w:rPr>
          <w:rStyle w:val="CharSectno"/>
        </w:rPr>
        <w:t>474</w:t>
      </w:r>
      <w:r>
        <w:t>.</w:t>
      </w:r>
      <w:r>
        <w:tab/>
        <w:t>Preparation for forgery etc.</w:t>
      </w:r>
      <w:bookmarkEnd w:id="1092"/>
      <w:bookmarkEnd w:id="1093"/>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No. 29 of 1998 s. 4; amended: No. 70 of 2004 s. 35(11).]</w:t>
      </w:r>
    </w:p>
    <w:p>
      <w:pPr>
        <w:pStyle w:val="Ednotesection"/>
        <w:ind w:left="890" w:hanging="890"/>
      </w:pPr>
      <w:r>
        <w:t>[</w:t>
      </w:r>
      <w:r>
        <w:rPr>
          <w:b/>
          <w:bCs/>
        </w:rPr>
        <w:t>475</w:t>
      </w:r>
      <w:r>
        <w:rPr>
          <w:b/>
          <w:bCs/>
        </w:rPr>
        <w:noBreakHyphen/>
        <w:t>487.</w:t>
      </w:r>
      <w:r>
        <w:tab/>
        <w:t>Deleted: No. 101 of 1990 s. 41.]</w:t>
      </w:r>
    </w:p>
    <w:p>
      <w:pPr>
        <w:pStyle w:val="Heading3"/>
        <w:keepLines/>
        <w:rPr>
          <w:snapToGrid w:val="0"/>
        </w:rPr>
      </w:pPr>
      <w:bookmarkStart w:id="1094" w:name="_Toc103861093"/>
      <w:bookmarkStart w:id="1095" w:name="_Toc103861615"/>
      <w:bookmarkStart w:id="1096" w:name="_Toc103864619"/>
      <w:bookmarkStart w:id="1097" w:name="_Toc90988906"/>
      <w:bookmarkStart w:id="1098" w:name="_Toc90989429"/>
      <w:bookmarkStart w:id="1099" w:name="_Toc90996918"/>
      <w:r>
        <w:rPr>
          <w:rStyle w:val="CharDivNo"/>
        </w:rPr>
        <w:t>Chapter L</w:t>
      </w:r>
      <w:r>
        <w:rPr>
          <w:snapToGrid w:val="0"/>
        </w:rPr>
        <w:t> — </w:t>
      </w:r>
      <w:r>
        <w:rPr>
          <w:rStyle w:val="CharDivText"/>
        </w:rPr>
        <w:t>False representations as to status</w:t>
      </w:r>
      <w:bookmarkEnd w:id="1094"/>
      <w:bookmarkEnd w:id="1095"/>
      <w:bookmarkEnd w:id="1096"/>
      <w:bookmarkEnd w:id="1097"/>
      <w:bookmarkEnd w:id="1098"/>
      <w:bookmarkEnd w:id="1099"/>
    </w:p>
    <w:p>
      <w:pPr>
        <w:pStyle w:val="Footnoteheading"/>
        <w:keepNext/>
        <w:keepLines/>
      </w:pPr>
      <w:r>
        <w:tab/>
        <w:t>[Heading inserted: No. 101 of 1990 s. 41.]</w:t>
      </w:r>
    </w:p>
    <w:p>
      <w:pPr>
        <w:pStyle w:val="Heading5"/>
        <w:rPr>
          <w:snapToGrid w:val="0"/>
        </w:rPr>
      </w:pPr>
      <w:bookmarkStart w:id="1100" w:name="_Toc103864620"/>
      <w:bookmarkStart w:id="1101" w:name="_Toc90996919"/>
      <w:r>
        <w:rPr>
          <w:rStyle w:val="CharSectno"/>
        </w:rPr>
        <w:t>488</w:t>
      </w:r>
      <w:r>
        <w:rPr>
          <w:snapToGrid w:val="0"/>
        </w:rPr>
        <w:t>.</w:t>
      </w:r>
      <w:r>
        <w:rPr>
          <w:snapToGrid w:val="0"/>
        </w:rPr>
        <w:tab/>
        <w:t>Procuring or claiming unauthorised status</w:t>
      </w:r>
      <w:bookmarkEnd w:id="1100"/>
      <w:bookmarkEnd w:id="1101"/>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No. 101 of 1990 s. 41; amended: No. 70 of 2004 s. 35(1).]</w:t>
      </w:r>
    </w:p>
    <w:p>
      <w:pPr>
        <w:pStyle w:val="Heading3"/>
      </w:pPr>
      <w:bookmarkStart w:id="1102" w:name="_Toc103861095"/>
      <w:bookmarkStart w:id="1103" w:name="_Toc103861617"/>
      <w:bookmarkStart w:id="1104" w:name="_Toc103864621"/>
      <w:bookmarkStart w:id="1105" w:name="_Toc90988908"/>
      <w:bookmarkStart w:id="1106" w:name="_Toc90989431"/>
      <w:bookmarkStart w:id="1107" w:name="_Toc90996920"/>
      <w:r>
        <w:rPr>
          <w:rStyle w:val="CharDivNo"/>
        </w:rPr>
        <w:t>Chapter LI</w:t>
      </w:r>
      <w:r>
        <w:t> — </w:t>
      </w:r>
      <w:r>
        <w:rPr>
          <w:rStyle w:val="CharDivText"/>
        </w:rPr>
        <w:t>Identity crime</w:t>
      </w:r>
      <w:bookmarkEnd w:id="1102"/>
      <w:bookmarkEnd w:id="1103"/>
      <w:bookmarkEnd w:id="1104"/>
      <w:bookmarkEnd w:id="1105"/>
      <w:bookmarkEnd w:id="1106"/>
      <w:bookmarkEnd w:id="1107"/>
    </w:p>
    <w:p>
      <w:pPr>
        <w:pStyle w:val="Footnoteheading"/>
        <w:rPr>
          <w:snapToGrid w:val="0"/>
        </w:rPr>
      </w:pPr>
      <w:r>
        <w:rPr>
          <w:snapToGrid w:val="0"/>
        </w:rPr>
        <w:tab/>
        <w:t>[Heading inserted: No. 16 of 2010 s. 5.]</w:t>
      </w:r>
    </w:p>
    <w:p>
      <w:pPr>
        <w:pStyle w:val="Heading5"/>
      </w:pPr>
      <w:bookmarkStart w:id="1108" w:name="_Toc103864622"/>
      <w:bookmarkStart w:id="1109" w:name="_Toc90996921"/>
      <w:r>
        <w:rPr>
          <w:rStyle w:val="CharSectno"/>
        </w:rPr>
        <w:t>489</w:t>
      </w:r>
      <w:r>
        <w:t>.</w:t>
      </w:r>
      <w:r>
        <w:tab/>
        <w:t>Terms used</w:t>
      </w:r>
      <w:bookmarkEnd w:id="1108"/>
      <w:bookmarkEnd w:id="1109"/>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p>
    <w:p>
      <w:pPr>
        <w:pStyle w:val="Defpara"/>
      </w:pPr>
      <w:r>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identification material</w:t>
      </w:r>
      <w:r>
        <w:rPr>
          <w:b/>
          <w:i/>
        </w:rPr>
        <w:t xml:space="preserve">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No. 16 of 2010 s. 5; amended: No. 46 of 2011 s. 26.]</w:t>
      </w:r>
    </w:p>
    <w:p>
      <w:pPr>
        <w:pStyle w:val="Heading5"/>
      </w:pPr>
      <w:bookmarkStart w:id="1110" w:name="_Toc103864623"/>
      <w:bookmarkStart w:id="1111" w:name="_Toc90996922"/>
      <w:r>
        <w:rPr>
          <w:rStyle w:val="CharSectno"/>
        </w:rPr>
        <w:t>490</w:t>
      </w:r>
      <w:r>
        <w:t>.</w:t>
      </w:r>
      <w:r>
        <w:tab/>
        <w:t>Making, using or supplying identification material with intent to commit indictable offence</w:t>
      </w:r>
      <w:bookmarkEnd w:id="1110"/>
      <w:bookmarkEnd w:id="1111"/>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No. 16 of 2010 s. 5.]</w:t>
      </w:r>
    </w:p>
    <w:p>
      <w:pPr>
        <w:pStyle w:val="Heading5"/>
      </w:pPr>
      <w:bookmarkStart w:id="1112" w:name="_Toc103864624"/>
      <w:bookmarkStart w:id="1113" w:name="_Toc90996923"/>
      <w:r>
        <w:rPr>
          <w:rStyle w:val="CharSectno"/>
        </w:rPr>
        <w:t>491</w:t>
      </w:r>
      <w:r>
        <w:t>.</w:t>
      </w:r>
      <w:r>
        <w:tab/>
        <w:t>Possessing identification material with intent to commit indictable offence</w:t>
      </w:r>
      <w:bookmarkEnd w:id="1112"/>
      <w:bookmarkEnd w:id="1113"/>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No. 16 of 2010 s. 5.]</w:t>
      </w:r>
    </w:p>
    <w:p>
      <w:pPr>
        <w:pStyle w:val="Heading5"/>
        <w:spacing w:before="180"/>
      </w:pPr>
      <w:bookmarkStart w:id="1114" w:name="_Toc103864625"/>
      <w:bookmarkStart w:id="1115" w:name="_Toc90996924"/>
      <w:r>
        <w:rPr>
          <w:rStyle w:val="CharSectno"/>
        </w:rPr>
        <w:t>492</w:t>
      </w:r>
      <w:r>
        <w:t>.</w:t>
      </w:r>
      <w:r>
        <w:tab/>
        <w:t>Possessing identification equipment with intent that it be used to commit indictable offence</w:t>
      </w:r>
      <w:bookmarkEnd w:id="1114"/>
      <w:bookmarkEnd w:id="1115"/>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spacing w:before="120"/>
      </w:pPr>
      <w:r>
        <w:tab/>
        <w:t>(3)</w:t>
      </w:r>
      <w:r>
        <w:tab/>
        <w:t>For the purposes of subsection (2), it does not matter that it is impossible in fact to commit the indictable offence.</w:t>
      </w:r>
    </w:p>
    <w:p>
      <w:pPr>
        <w:pStyle w:val="Footnotesection"/>
      </w:pPr>
      <w:r>
        <w:tab/>
        <w:t>[Section 492 inserted: No. 16 of 2010 s. 5.]</w:t>
      </w:r>
    </w:p>
    <w:p>
      <w:pPr>
        <w:pStyle w:val="Heading5"/>
        <w:spacing w:before="180"/>
      </w:pPr>
      <w:bookmarkStart w:id="1116" w:name="_Toc103864626"/>
      <w:bookmarkStart w:id="1117" w:name="_Toc90996925"/>
      <w:r>
        <w:rPr>
          <w:rStyle w:val="CharSectno"/>
        </w:rPr>
        <w:t>493</w:t>
      </w:r>
      <w:r>
        <w:t>.</w:t>
      </w:r>
      <w:r>
        <w:tab/>
        <w:t>Attempt offences do not apply</w:t>
      </w:r>
      <w:bookmarkEnd w:id="1116"/>
      <w:bookmarkEnd w:id="1117"/>
    </w:p>
    <w:p>
      <w:pPr>
        <w:pStyle w:val="Subsection"/>
        <w:spacing w:before="120"/>
      </w:pPr>
      <w:r>
        <w:tab/>
      </w:r>
      <w:r>
        <w:tab/>
        <w:t>Section 552(1) does not apply to an offence against section 490, 491 or 492.</w:t>
      </w:r>
    </w:p>
    <w:p>
      <w:pPr>
        <w:pStyle w:val="Footnotesection"/>
      </w:pPr>
      <w:r>
        <w:tab/>
        <w:t>[Section 493 inserted: No. 16 of 2010 s. 5.]</w:t>
      </w:r>
    </w:p>
    <w:p>
      <w:pPr>
        <w:pStyle w:val="Heading5"/>
      </w:pPr>
      <w:bookmarkStart w:id="1118" w:name="_Toc103864627"/>
      <w:bookmarkStart w:id="1119" w:name="_Toc90996926"/>
      <w:r>
        <w:rPr>
          <w:rStyle w:val="CharSectno"/>
        </w:rPr>
        <w:t>494</w:t>
      </w:r>
      <w:r>
        <w:t>.</w:t>
      </w:r>
      <w:r>
        <w:tab/>
        <w:t>Court may grant certificate to victim of identity offence</w:t>
      </w:r>
      <w:bookmarkEnd w:id="1118"/>
      <w:bookmarkEnd w:id="1119"/>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keepNext/>
      </w:pPr>
      <w:r>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keepNext/>
      </w:pPr>
      <w:r>
        <w:tab/>
        <w:t>(7)</w:t>
      </w:r>
      <w:r>
        <w:tab/>
        <w:t>The Governor may make regulations providing for any matter to be set out in certificates issued under this section.</w:t>
      </w:r>
    </w:p>
    <w:p>
      <w:pPr>
        <w:pStyle w:val="Footnotesection"/>
      </w:pPr>
      <w:r>
        <w:tab/>
        <w:t>[Section 494 inserted: No. 16 of 2010 s. 5.]</w:t>
      </w:r>
    </w:p>
    <w:p>
      <w:pPr>
        <w:pStyle w:val="Ednotesection"/>
      </w:pPr>
      <w:r>
        <w:t>[</w:t>
      </w:r>
      <w:r>
        <w:rPr>
          <w:b/>
        </w:rPr>
        <w:t>495.</w:t>
      </w:r>
      <w:r>
        <w:tab/>
        <w:t>Deleted: No. 101 of 1990 s. 42.]</w:t>
      </w:r>
    </w:p>
    <w:p>
      <w:pPr>
        <w:pStyle w:val="Ednotedivision"/>
      </w:pPr>
      <w:r>
        <w:t>[Chapter LII (s. 496</w:t>
      </w:r>
      <w:r>
        <w:noBreakHyphen/>
        <w:t>509) deleted: No. 101 of 1990 s. 42.]</w:t>
      </w:r>
    </w:p>
    <w:p>
      <w:pPr>
        <w:pStyle w:val="Heading3"/>
        <w:rPr>
          <w:snapToGrid w:val="0"/>
        </w:rPr>
      </w:pPr>
      <w:bookmarkStart w:id="1120" w:name="_Toc103861102"/>
      <w:bookmarkStart w:id="1121" w:name="_Toc103861624"/>
      <w:bookmarkStart w:id="1122" w:name="_Toc103864628"/>
      <w:bookmarkStart w:id="1123" w:name="_Toc90988915"/>
      <w:bookmarkStart w:id="1124" w:name="_Toc90989438"/>
      <w:bookmarkStart w:id="1125" w:name="_Toc90996927"/>
      <w:r>
        <w:rPr>
          <w:rStyle w:val="CharDivNo"/>
        </w:rPr>
        <w:t>Chapter LIII</w:t>
      </w:r>
      <w:r>
        <w:rPr>
          <w:snapToGrid w:val="0"/>
        </w:rPr>
        <w:t> — </w:t>
      </w:r>
      <w:r>
        <w:rPr>
          <w:rStyle w:val="CharDivText"/>
        </w:rPr>
        <w:t>Personation</w:t>
      </w:r>
      <w:bookmarkEnd w:id="1120"/>
      <w:bookmarkEnd w:id="1121"/>
      <w:bookmarkEnd w:id="1122"/>
      <w:bookmarkEnd w:id="1123"/>
      <w:bookmarkEnd w:id="1124"/>
      <w:bookmarkEnd w:id="1125"/>
    </w:p>
    <w:p>
      <w:pPr>
        <w:pStyle w:val="Heading5"/>
        <w:rPr>
          <w:snapToGrid w:val="0"/>
        </w:rPr>
      </w:pPr>
      <w:bookmarkStart w:id="1126" w:name="_Toc103864629"/>
      <w:bookmarkStart w:id="1127" w:name="_Toc90996928"/>
      <w:r>
        <w:rPr>
          <w:rStyle w:val="CharSectno"/>
        </w:rPr>
        <w:t>510</w:t>
      </w:r>
      <w:r>
        <w:rPr>
          <w:snapToGrid w:val="0"/>
        </w:rPr>
        <w:t>.</w:t>
      </w:r>
      <w:r>
        <w:rPr>
          <w:snapToGrid w:val="0"/>
        </w:rPr>
        <w:tab/>
        <w:t>Personation in general</w:t>
      </w:r>
      <w:bookmarkEnd w:id="1126"/>
      <w:bookmarkEnd w:id="1127"/>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keepNext/>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No. 51 of 1992 s. 16(2); No. 70 of 2004 s. 34(1).]</w:t>
      </w:r>
    </w:p>
    <w:p>
      <w:pPr>
        <w:pStyle w:val="Heading5"/>
        <w:spacing w:before="180"/>
        <w:rPr>
          <w:snapToGrid w:val="0"/>
        </w:rPr>
      </w:pPr>
      <w:bookmarkStart w:id="1128" w:name="_Toc103864630"/>
      <w:bookmarkStart w:id="1129" w:name="_Toc90996929"/>
      <w:r>
        <w:rPr>
          <w:rStyle w:val="CharSectno"/>
        </w:rPr>
        <w:t>511</w:t>
      </w:r>
      <w:r>
        <w:rPr>
          <w:snapToGrid w:val="0"/>
        </w:rPr>
        <w:t>.</w:t>
      </w:r>
      <w:r>
        <w:rPr>
          <w:snapToGrid w:val="0"/>
        </w:rPr>
        <w:tab/>
        <w:t>Personating owner of shares</w:t>
      </w:r>
      <w:bookmarkEnd w:id="1128"/>
      <w:bookmarkEnd w:id="1129"/>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No. 118 of 1981 s. 4; No. 10 of 1982 s. 28; No. 51 of 1992 s. 16(2).]</w:t>
      </w:r>
    </w:p>
    <w:p>
      <w:pPr>
        <w:pStyle w:val="Heading5"/>
        <w:spacing w:before="180"/>
        <w:rPr>
          <w:snapToGrid w:val="0"/>
        </w:rPr>
      </w:pPr>
      <w:bookmarkStart w:id="1130" w:name="_Toc103864631"/>
      <w:bookmarkStart w:id="1131" w:name="_Toc90996930"/>
      <w:r>
        <w:rPr>
          <w:rStyle w:val="CharSectno"/>
        </w:rPr>
        <w:t>512</w:t>
      </w:r>
      <w:r>
        <w:rPr>
          <w:snapToGrid w:val="0"/>
        </w:rPr>
        <w:t>.</w:t>
      </w:r>
      <w:r>
        <w:rPr>
          <w:snapToGrid w:val="0"/>
        </w:rPr>
        <w:tab/>
        <w:t>Falsely acknowledging liability etc. of another</w:t>
      </w:r>
      <w:bookmarkEnd w:id="1130"/>
      <w:bookmarkEnd w:id="1131"/>
    </w:p>
    <w:p>
      <w:pPr>
        <w:pStyle w:val="Subsection"/>
        <w:spacing w:before="180"/>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spacing w:before="120"/>
      </w:pPr>
      <w:r>
        <w:tab/>
        <w:t>Summary conviction penalty: imprisonment for 2 years and a fine of $24 000.</w:t>
      </w:r>
    </w:p>
    <w:p>
      <w:pPr>
        <w:pStyle w:val="Footnotesection"/>
        <w:spacing w:before="140"/>
        <w:ind w:left="890" w:hanging="890"/>
      </w:pPr>
      <w:r>
        <w:tab/>
        <w:t>[Section 512 amended: No. 51 of 1992 s. 16(2); No. 36 of 1996 s. 27; No. 70 of 2004 s. 35(2).]</w:t>
      </w:r>
    </w:p>
    <w:p>
      <w:pPr>
        <w:pStyle w:val="Heading5"/>
        <w:spacing w:before="240"/>
        <w:rPr>
          <w:snapToGrid w:val="0"/>
        </w:rPr>
      </w:pPr>
      <w:bookmarkStart w:id="1132" w:name="_Toc103864632"/>
      <w:bookmarkStart w:id="1133" w:name="_Toc90996931"/>
      <w:r>
        <w:rPr>
          <w:rStyle w:val="CharSectno"/>
        </w:rPr>
        <w:t>513</w:t>
      </w:r>
      <w:r>
        <w:rPr>
          <w:snapToGrid w:val="0"/>
        </w:rPr>
        <w:t>.</w:t>
      </w:r>
      <w:r>
        <w:rPr>
          <w:snapToGrid w:val="0"/>
        </w:rPr>
        <w:tab/>
        <w:t>Uttering qualification etc. of another</w:t>
      </w:r>
      <w:bookmarkEnd w:id="1132"/>
      <w:bookmarkEnd w:id="1133"/>
    </w:p>
    <w:p>
      <w:pPr>
        <w:pStyle w:val="Subsection"/>
        <w:spacing w:before="180"/>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spacing w:before="260"/>
        <w:rPr>
          <w:snapToGrid w:val="0"/>
        </w:rPr>
      </w:pPr>
      <w:bookmarkStart w:id="1134" w:name="_Toc103864633"/>
      <w:bookmarkStart w:id="1135" w:name="_Toc90996932"/>
      <w:r>
        <w:rPr>
          <w:rStyle w:val="CharSectno"/>
        </w:rPr>
        <w:t>514</w:t>
      </w:r>
      <w:r>
        <w:rPr>
          <w:snapToGrid w:val="0"/>
        </w:rPr>
        <w:t>.</w:t>
      </w:r>
      <w:r>
        <w:rPr>
          <w:snapToGrid w:val="0"/>
        </w:rPr>
        <w:tab/>
        <w:t>Lending qualification etc. to another with intent it be used for personation</w:t>
      </w:r>
      <w:bookmarkEnd w:id="1134"/>
      <w:bookmarkEnd w:id="1135"/>
    </w:p>
    <w:p>
      <w:pPr>
        <w:pStyle w:val="Subsection"/>
        <w:spacing w:before="200"/>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No. 51 of 1992 s. 16(2); No. 36 of 1996 s. 28; No. 70 of 2004 s. 34(1) and 35(11).]</w:t>
      </w:r>
    </w:p>
    <w:p>
      <w:pPr>
        <w:pStyle w:val="Heading3"/>
        <w:keepLines/>
        <w:rPr>
          <w:snapToGrid w:val="0"/>
        </w:rPr>
      </w:pPr>
      <w:bookmarkStart w:id="1136" w:name="_Toc103861108"/>
      <w:bookmarkStart w:id="1137" w:name="_Toc103861630"/>
      <w:bookmarkStart w:id="1138" w:name="_Toc103864634"/>
      <w:bookmarkStart w:id="1139" w:name="_Toc90988921"/>
      <w:bookmarkStart w:id="1140" w:name="_Toc90989444"/>
      <w:bookmarkStart w:id="1141" w:name="_Toc90996933"/>
      <w:r>
        <w:rPr>
          <w:snapToGrid w:val="0"/>
        </w:rPr>
        <w:t>Division IV — Offences connected with trade and breach of contract, and corruption of agents, trustees, and others</w:t>
      </w:r>
      <w:bookmarkEnd w:id="1136"/>
      <w:bookmarkEnd w:id="1137"/>
      <w:bookmarkEnd w:id="1138"/>
      <w:bookmarkEnd w:id="1139"/>
      <w:bookmarkEnd w:id="1140"/>
      <w:bookmarkEnd w:id="1141"/>
    </w:p>
    <w:p>
      <w:pPr>
        <w:pStyle w:val="Heading3"/>
        <w:rPr>
          <w:snapToGrid w:val="0"/>
        </w:rPr>
      </w:pPr>
      <w:bookmarkStart w:id="1142" w:name="_Toc103861109"/>
      <w:bookmarkStart w:id="1143" w:name="_Toc103861631"/>
      <w:bookmarkStart w:id="1144" w:name="_Toc103864635"/>
      <w:bookmarkStart w:id="1145" w:name="_Toc90988922"/>
      <w:bookmarkStart w:id="1146" w:name="_Toc90989445"/>
      <w:bookmarkStart w:id="1147" w:name="_Toc90996934"/>
      <w:r>
        <w:rPr>
          <w:rStyle w:val="CharDivNo"/>
        </w:rPr>
        <w:t>Chapter LIV</w:t>
      </w:r>
      <w:r>
        <w:rPr>
          <w:snapToGrid w:val="0"/>
        </w:rPr>
        <w:t> — </w:t>
      </w:r>
      <w:r>
        <w:rPr>
          <w:rStyle w:val="CharDivText"/>
        </w:rPr>
        <w:t>Fraudulent debtors</w:t>
      </w:r>
      <w:bookmarkEnd w:id="1142"/>
      <w:bookmarkEnd w:id="1143"/>
      <w:bookmarkEnd w:id="1144"/>
      <w:bookmarkEnd w:id="1145"/>
      <w:bookmarkEnd w:id="1146"/>
      <w:bookmarkEnd w:id="1147"/>
    </w:p>
    <w:p>
      <w:pPr>
        <w:pStyle w:val="Ednotesection"/>
        <w:keepNext/>
        <w:keepLines/>
      </w:pPr>
      <w:r>
        <w:t>[</w:t>
      </w:r>
      <w:r>
        <w:rPr>
          <w:b/>
        </w:rPr>
        <w:t>515</w:t>
      </w:r>
      <w:r>
        <w:rPr>
          <w:b/>
        </w:rPr>
        <w:noBreakHyphen/>
        <w:t>526.</w:t>
      </w:r>
      <w:r>
        <w:tab/>
        <w:t>Deleted: No. 51 of 1992 s. 11.]</w:t>
      </w:r>
    </w:p>
    <w:p>
      <w:pPr>
        <w:pStyle w:val="Heading5"/>
        <w:rPr>
          <w:snapToGrid w:val="0"/>
        </w:rPr>
      </w:pPr>
      <w:bookmarkStart w:id="1148" w:name="_Toc103864636"/>
      <w:bookmarkStart w:id="1149" w:name="_Toc90996935"/>
      <w:r>
        <w:rPr>
          <w:rStyle w:val="CharSectno"/>
        </w:rPr>
        <w:t>527</w:t>
      </w:r>
      <w:r>
        <w:rPr>
          <w:snapToGrid w:val="0"/>
        </w:rPr>
        <w:t>.</w:t>
      </w:r>
      <w:r>
        <w:rPr>
          <w:snapToGrid w:val="0"/>
        </w:rPr>
        <w:tab/>
        <w:t>Fraudulent dealing by judgment debtor</w:t>
      </w:r>
      <w:bookmarkEnd w:id="1148"/>
      <w:bookmarkEnd w:id="1149"/>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$50 000 the charge is not to be dealt with summarily.</w:t>
      </w:r>
    </w:p>
    <w:p>
      <w:pPr>
        <w:pStyle w:val="Footnotesection"/>
      </w:pPr>
      <w:r>
        <w:tab/>
        <w:t>[Section 527 inserted: No. 51 of 1992 s. 12; amended: No. 36 of 1996 s. 29; No. 70 of 2004 s. 35(12); No. 28 of 2018 s. 11.]</w:t>
      </w:r>
    </w:p>
    <w:p>
      <w:pPr>
        <w:pStyle w:val="Ednotesection"/>
      </w:pPr>
      <w:r>
        <w:t>[</w:t>
      </w:r>
      <w:r>
        <w:rPr>
          <w:b/>
        </w:rPr>
        <w:t>528.</w:t>
      </w:r>
      <w:r>
        <w:rPr>
          <w:b/>
        </w:rPr>
        <w:tab/>
      </w:r>
      <w:r>
        <w:t>Deleted: No. 51 of 1992 s. 11.]</w:t>
      </w:r>
    </w:p>
    <w:p>
      <w:pPr>
        <w:pStyle w:val="Heading3"/>
        <w:rPr>
          <w:snapToGrid w:val="0"/>
        </w:rPr>
      </w:pPr>
      <w:bookmarkStart w:id="1150" w:name="_Toc103861111"/>
      <w:bookmarkStart w:id="1151" w:name="_Toc103861633"/>
      <w:bookmarkStart w:id="1152" w:name="_Toc103864637"/>
      <w:bookmarkStart w:id="1153" w:name="_Toc90988924"/>
      <w:bookmarkStart w:id="1154" w:name="_Toc90989447"/>
      <w:bookmarkStart w:id="1155" w:name="_Toc90996936"/>
      <w:r>
        <w:rPr>
          <w:rStyle w:val="CharDivNo"/>
        </w:rPr>
        <w:t>Chapter LV</w:t>
      </w:r>
      <w:r>
        <w:rPr>
          <w:snapToGrid w:val="0"/>
        </w:rPr>
        <w:t> — </w:t>
      </w:r>
      <w:r>
        <w:rPr>
          <w:rStyle w:val="CharDivText"/>
        </w:rPr>
        <w:t>Corruption of agents, trustees, and others in whom confidence is reposed</w:t>
      </w:r>
      <w:bookmarkEnd w:id="1150"/>
      <w:bookmarkEnd w:id="1151"/>
      <w:bookmarkEnd w:id="1152"/>
      <w:bookmarkEnd w:id="1153"/>
      <w:bookmarkEnd w:id="1154"/>
      <w:bookmarkEnd w:id="1155"/>
    </w:p>
    <w:p>
      <w:pPr>
        <w:pStyle w:val="Heading5"/>
        <w:rPr>
          <w:snapToGrid w:val="0"/>
        </w:rPr>
      </w:pPr>
      <w:bookmarkStart w:id="1156" w:name="_Toc103864638"/>
      <w:bookmarkStart w:id="1157" w:name="_Toc90996937"/>
      <w:r>
        <w:rPr>
          <w:rStyle w:val="CharSectno"/>
        </w:rPr>
        <w:t>529</w:t>
      </w:r>
      <w:r>
        <w:rPr>
          <w:snapToGrid w:val="0"/>
        </w:rPr>
        <w:t>.</w:t>
      </w:r>
      <w:r>
        <w:rPr>
          <w:snapToGrid w:val="0"/>
        </w:rPr>
        <w:tab/>
        <w:t>Agent corruptly receiving or soliciting reward etc.</w:t>
      </w:r>
      <w:bookmarkEnd w:id="1156"/>
      <w:bookmarkEnd w:id="1157"/>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No. 101 of 1990 s. 43.]</w:t>
      </w:r>
    </w:p>
    <w:p>
      <w:pPr>
        <w:pStyle w:val="Heading5"/>
        <w:rPr>
          <w:snapToGrid w:val="0"/>
        </w:rPr>
      </w:pPr>
      <w:bookmarkStart w:id="1158" w:name="_Toc103864639"/>
      <w:bookmarkStart w:id="1159" w:name="_Toc90996938"/>
      <w:r>
        <w:rPr>
          <w:rStyle w:val="CharSectno"/>
        </w:rPr>
        <w:t>530</w:t>
      </w:r>
      <w:r>
        <w:rPr>
          <w:snapToGrid w:val="0"/>
        </w:rPr>
        <w:t>.</w:t>
      </w:r>
      <w:r>
        <w:rPr>
          <w:snapToGrid w:val="0"/>
        </w:rPr>
        <w:tab/>
        <w:t>Corruptly giving or offering agent reward etc.</w:t>
      </w:r>
      <w:bookmarkEnd w:id="1158"/>
      <w:bookmarkEnd w:id="1159"/>
    </w:p>
    <w:p>
      <w:pPr>
        <w:pStyle w:val="Subsection"/>
        <w:keepNext/>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No. 101 of 1990 s. 43.]</w:t>
      </w:r>
    </w:p>
    <w:p>
      <w:pPr>
        <w:pStyle w:val="Heading5"/>
        <w:spacing w:before="240"/>
        <w:rPr>
          <w:snapToGrid w:val="0"/>
        </w:rPr>
      </w:pPr>
      <w:bookmarkStart w:id="1160" w:name="_Toc103864640"/>
      <w:bookmarkStart w:id="1161" w:name="_Toc90996939"/>
      <w:r>
        <w:rPr>
          <w:rStyle w:val="CharSectno"/>
        </w:rPr>
        <w:t>531</w:t>
      </w:r>
      <w:r>
        <w:rPr>
          <w:snapToGrid w:val="0"/>
        </w:rPr>
        <w:t>.</w:t>
      </w:r>
      <w:r>
        <w:rPr>
          <w:snapToGrid w:val="0"/>
        </w:rPr>
        <w:tab/>
        <w:t>Gift to agent’s parent etc. deemed gift to agent</w:t>
      </w:r>
      <w:bookmarkEnd w:id="1160"/>
      <w:bookmarkEnd w:id="1161"/>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No. 28 of 2003 s. 33.]</w:t>
      </w:r>
    </w:p>
    <w:p>
      <w:pPr>
        <w:pStyle w:val="Heading5"/>
        <w:rPr>
          <w:snapToGrid w:val="0"/>
        </w:rPr>
      </w:pPr>
      <w:bookmarkStart w:id="1162" w:name="_Toc103864641"/>
      <w:bookmarkStart w:id="1163" w:name="_Toc90996940"/>
      <w:r>
        <w:rPr>
          <w:rStyle w:val="CharSectno"/>
        </w:rPr>
        <w:t>532</w:t>
      </w:r>
      <w:r>
        <w:rPr>
          <w:snapToGrid w:val="0"/>
        </w:rPr>
        <w:t>.</w:t>
      </w:r>
      <w:r>
        <w:rPr>
          <w:snapToGrid w:val="0"/>
        </w:rPr>
        <w:tab/>
        <w:t>Giving agent, or agent using, false receipt etc. with intent to defraud principal</w:t>
      </w:r>
      <w:bookmarkEnd w:id="1162"/>
      <w:bookmarkEnd w:id="1163"/>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No. 101 of 1990 s. 43.]</w:t>
      </w:r>
    </w:p>
    <w:p>
      <w:pPr>
        <w:pStyle w:val="Heading5"/>
        <w:rPr>
          <w:snapToGrid w:val="0"/>
        </w:rPr>
      </w:pPr>
      <w:bookmarkStart w:id="1164" w:name="_Toc103864642"/>
      <w:bookmarkStart w:id="1165" w:name="_Toc90996941"/>
      <w:r>
        <w:rPr>
          <w:rStyle w:val="CharSectno"/>
        </w:rPr>
        <w:t>533</w:t>
      </w:r>
      <w:r>
        <w:rPr>
          <w:snapToGrid w:val="0"/>
        </w:rPr>
        <w:t>.</w:t>
      </w:r>
      <w:r>
        <w:rPr>
          <w:snapToGrid w:val="0"/>
        </w:rPr>
        <w:tab/>
        <w:t>Secret commission given by third party to person advising another to contract with third party etc.</w:t>
      </w:r>
      <w:bookmarkEnd w:id="1164"/>
      <w:bookmarkEnd w:id="1165"/>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No. 101 of 1990 s. 43.]</w:t>
      </w:r>
    </w:p>
    <w:p>
      <w:pPr>
        <w:pStyle w:val="Heading5"/>
        <w:spacing w:before="240"/>
        <w:rPr>
          <w:snapToGrid w:val="0"/>
        </w:rPr>
      </w:pPr>
      <w:bookmarkStart w:id="1166" w:name="_Toc103864643"/>
      <w:bookmarkStart w:id="1167" w:name="_Toc90996942"/>
      <w:r>
        <w:rPr>
          <w:rStyle w:val="CharSectno"/>
        </w:rPr>
        <w:t>534</w:t>
      </w:r>
      <w:r>
        <w:rPr>
          <w:snapToGrid w:val="0"/>
        </w:rPr>
        <w:t>.</w:t>
      </w:r>
      <w:r>
        <w:rPr>
          <w:snapToGrid w:val="0"/>
        </w:rPr>
        <w:tab/>
        <w:t>Secret commission for advice to another</w:t>
      </w:r>
      <w:bookmarkEnd w:id="1166"/>
      <w:bookmarkEnd w:id="1167"/>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No. 101 of 1990 s. 43.]</w:t>
      </w:r>
    </w:p>
    <w:p>
      <w:pPr>
        <w:pStyle w:val="Heading5"/>
        <w:spacing w:before="240"/>
        <w:rPr>
          <w:snapToGrid w:val="0"/>
        </w:rPr>
      </w:pPr>
      <w:bookmarkStart w:id="1168" w:name="_Toc103864644"/>
      <w:bookmarkStart w:id="1169" w:name="_Toc90996943"/>
      <w:r>
        <w:rPr>
          <w:rStyle w:val="CharSectno"/>
        </w:rPr>
        <w:t>535</w:t>
      </w:r>
      <w:r>
        <w:rPr>
          <w:snapToGrid w:val="0"/>
        </w:rPr>
        <w:t>.</w:t>
      </w:r>
      <w:r>
        <w:rPr>
          <w:snapToGrid w:val="0"/>
        </w:rPr>
        <w:tab/>
        <w:t>Secret commission to trustee for substituted appointment</w:t>
      </w:r>
      <w:bookmarkEnd w:id="1168"/>
      <w:bookmarkEnd w:id="1169"/>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No. 101 of 1990 s. 43.]</w:t>
      </w:r>
    </w:p>
    <w:p>
      <w:pPr>
        <w:pStyle w:val="Heading5"/>
        <w:spacing w:before="240"/>
        <w:rPr>
          <w:snapToGrid w:val="0"/>
        </w:rPr>
      </w:pPr>
      <w:bookmarkStart w:id="1170" w:name="_Toc103864645"/>
      <w:bookmarkStart w:id="1171" w:name="_Toc90996944"/>
      <w:r>
        <w:rPr>
          <w:rStyle w:val="CharSectno"/>
        </w:rPr>
        <w:t>536</w:t>
      </w:r>
      <w:r>
        <w:rPr>
          <w:snapToGrid w:val="0"/>
        </w:rPr>
        <w:t>.</w:t>
      </w:r>
      <w:r>
        <w:rPr>
          <w:snapToGrid w:val="0"/>
        </w:rPr>
        <w:tab/>
        <w:t>Aiding etc. Chapter LV offences within or outside WA</w:t>
      </w:r>
      <w:bookmarkEnd w:id="1170"/>
      <w:bookmarkEnd w:id="1171"/>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No. 101 of 1990 s. 43.]</w:t>
      </w:r>
    </w:p>
    <w:p>
      <w:pPr>
        <w:pStyle w:val="Heading5"/>
        <w:spacing w:before="240"/>
        <w:rPr>
          <w:snapToGrid w:val="0"/>
        </w:rPr>
      </w:pPr>
      <w:bookmarkStart w:id="1172" w:name="_Toc103864646"/>
      <w:bookmarkStart w:id="1173" w:name="_Toc90996945"/>
      <w:r>
        <w:rPr>
          <w:rStyle w:val="CharSectno"/>
        </w:rPr>
        <w:t>537</w:t>
      </w:r>
      <w:r>
        <w:rPr>
          <w:snapToGrid w:val="0"/>
        </w:rPr>
        <w:t>.</w:t>
      </w:r>
      <w:r>
        <w:rPr>
          <w:snapToGrid w:val="0"/>
        </w:rPr>
        <w:tab/>
        <w:t>Liability of director etc. acting without authority</w:t>
      </w:r>
      <w:bookmarkEnd w:id="1172"/>
      <w:bookmarkEnd w:id="1173"/>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No. 101 of 1990 s. 43.]</w:t>
      </w:r>
    </w:p>
    <w:p>
      <w:pPr>
        <w:pStyle w:val="Heading5"/>
        <w:spacing w:before="240"/>
        <w:rPr>
          <w:snapToGrid w:val="0"/>
        </w:rPr>
      </w:pPr>
      <w:bookmarkStart w:id="1174" w:name="_Toc103864647"/>
      <w:bookmarkStart w:id="1175" w:name="_Toc90996946"/>
      <w:r>
        <w:rPr>
          <w:rStyle w:val="CharSectno"/>
        </w:rPr>
        <w:t>538</w:t>
      </w:r>
      <w:r>
        <w:rPr>
          <w:snapToGrid w:val="0"/>
        </w:rPr>
        <w:t>.</w:t>
      </w:r>
      <w:r>
        <w:rPr>
          <w:snapToGrid w:val="0"/>
        </w:rPr>
        <w:tab/>
        <w:t>Penalty for Chapter LV offences</w:t>
      </w:r>
      <w:bookmarkEnd w:id="1174"/>
      <w:bookmarkEnd w:id="1175"/>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keepNext/>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No. 113 of 1965 s. 8(1); No. 101 of 1990 s. 43 and 44.]</w:t>
      </w:r>
    </w:p>
    <w:p>
      <w:pPr>
        <w:pStyle w:val="Heading5"/>
        <w:spacing w:before="240"/>
        <w:rPr>
          <w:snapToGrid w:val="0"/>
        </w:rPr>
      </w:pPr>
      <w:bookmarkStart w:id="1176" w:name="_Toc103864648"/>
      <w:bookmarkStart w:id="1177" w:name="_Toc90996947"/>
      <w:r>
        <w:rPr>
          <w:rStyle w:val="CharSectno"/>
        </w:rPr>
        <w:t>539</w:t>
      </w:r>
      <w:r>
        <w:rPr>
          <w:snapToGrid w:val="0"/>
        </w:rPr>
        <w:t>.</w:t>
      </w:r>
      <w:r>
        <w:rPr>
          <w:snapToGrid w:val="0"/>
        </w:rPr>
        <w:tab/>
        <w:t>Court may order withdrawal of trifling or technical case</w:t>
      </w:r>
      <w:bookmarkEnd w:id="1176"/>
      <w:bookmarkEnd w:id="1177"/>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No. 44 of 2009 s. 14.]</w:t>
      </w:r>
    </w:p>
    <w:p>
      <w:pPr>
        <w:pStyle w:val="Heading5"/>
        <w:keepNext w:val="0"/>
        <w:keepLines w:val="0"/>
        <w:spacing w:before="260"/>
        <w:rPr>
          <w:snapToGrid w:val="0"/>
        </w:rPr>
      </w:pPr>
      <w:bookmarkStart w:id="1178" w:name="_Toc103864649"/>
      <w:bookmarkStart w:id="1179" w:name="_Toc90996948"/>
      <w:r>
        <w:rPr>
          <w:rStyle w:val="CharSectno"/>
        </w:rPr>
        <w:t>540</w:t>
      </w:r>
      <w:r>
        <w:rPr>
          <w:snapToGrid w:val="0"/>
        </w:rPr>
        <w:t>.</w:t>
      </w:r>
      <w:r>
        <w:rPr>
          <w:snapToGrid w:val="0"/>
        </w:rPr>
        <w:tab/>
        <w:t>Protection of witness giving answers criminating himself</w:t>
      </w:r>
      <w:bookmarkEnd w:id="1178"/>
      <w:bookmarkEnd w:id="1179"/>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No. 59 of 2004 s. 80.]</w:t>
      </w:r>
    </w:p>
    <w:p>
      <w:pPr>
        <w:pStyle w:val="Heading5"/>
        <w:rPr>
          <w:snapToGrid w:val="0"/>
        </w:rPr>
      </w:pPr>
      <w:bookmarkStart w:id="1180" w:name="_Toc103864650"/>
      <w:bookmarkStart w:id="1181" w:name="_Toc90996949"/>
      <w:r>
        <w:rPr>
          <w:rStyle w:val="CharSectno"/>
        </w:rPr>
        <w:t>541</w:t>
      </w:r>
      <w:r>
        <w:rPr>
          <w:snapToGrid w:val="0"/>
        </w:rPr>
        <w:t>.</w:t>
      </w:r>
      <w:r>
        <w:rPr>
          <w:snapToGrid w:val="0"/>
        </w:rPr>
        <w:tab/>
        <w:t>Stay of proceedings against such witness</w:t>
      </w:r>
      <w:bookmarkEnd w:id="1180"/>
      <w:bookmarkEnd w:id="1181"/>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ind w:left="890" w:hanging="890"/>
      </w:pPr>
      <w:r>
        <w:tab/>
        <w:t>[Section 541 amended: No. 59 of 2004 s. 80.]</w:t>
      </w:r>
    </w:p>
    <w:p>
      <w:pPr>
        <w:pStyle w:val="Heading5"/>
        <w:keepLines w:val="0"/>
        <w:spacing w:before="180"/>
        <w:rPr>
          <w:snapToGrid w:val="0"/>
        </w:rPr>
      </w:pPr>
      <w:bookmarkStart w:id="1182" w:name="_Toc103864651"/>
      <w:bookmarkStart w:id="1183" w:name="_Toc90996950"/>
      <w:r>
        <w:rPr>
          <w:rStyle w:val="CharSectno"/>
        </w:rPr>
        <w:t>542</w:t>
      </w:r>
      <w:r>
        <w:rPr>
          <w:snapToGrid w:val="0"/>
        </w:rPr>
        <w:t>.</w:t>
      </w:r>
      <w:r>
        <w:rPr>
          <w:snapToGrid w:val="0"/>
        </w:rPr>
        <w:tab/>
        <w:t>Custom of itself no defence</w:t>
      </w:r>
      <w:bookmarkEnd w:id="1182"/>
      <w:bookmarkEnd w:id="1183"/>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keepLines w:val="0"/>
        <w:spacing w:before="180"/>
        <w:rPr>
          <w:snapToGrid w:val="0"/>
        </w:rPr>
      </w:pPr>
      <w:bookmarkStart w:id="1184" w:name="_Toc103864652"/>
      <w:bookmarkStart w:id="1185" w:name="_Toc90996951"/>
      <w:r>
        <w:rPr>
          <w:rStyle w:val="CharSectno"/>
        </w:rPr>
        <w:t>543</w:t>
      </w:r>
      <w:r>
        <w:rPr>
          <w:snapToGrid w:val="0"/>
        </w:rPr>
        <w:t>.</w:t>
      </w:r>
      <w:r>
        <w:rPr>
          <w:snapToGrid w:val="0"/>
        </w:rPr>
        <w:tab/>
        <w:t>Burden of proof that gift etc. not secret commission</w:t>
      </w:r>
      <w:bookmarkEnd w:id="1184"/>
      <w:bookmarkEnd w:id="1185"/>
    </w:p>
    <w:p>
      <w:pPr>
        <w:pStyle w:val="Subsection"/>
        <w:spacing w:before="120"/>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spacing w:before="180"/>
        <w:ind w:left="890" w:hanging="890"/>
      </w:pPr>
      <w:r>
        <w:t>[</w:t>
      </w:r>
      <w:r>
        <w:rPr>
          <w:b/>
        </w:rPr>
        <w:t>544.</w:t>
      </w:r>
      <w:r>
        <w:tab/>
        <w:t>Deleted: No. 101 of 1990 s. 45.]</w:t>
      </w:r>
    </w:p>
    <w:p>
      <w:pPr>
        <w:pStyle w:val="Ednotesection"/>
        <w:spacing w:before="180"/>
        <w:ind w:left="890" w:hanging="890"/>
      </w:pPr>
      <w:r>
        <w:t>[</w:t>
      </w:r>
      <w:r>
        <w:rPr>
          <w:b/>
        </w:rPr>
        <w:t>545.</w:t>
      </w:r>
      <w:r>
        <w:tab/>
        <w:t>Deleted: No. 101 of 1990 s. 46.]</w:t>
      </w:r>
    </w:p>
    <w:p>
      <w:pPr>
        <w:pStyle w:val="Heading5"/>
        <w:spacing w:before="180"/>
        <w:rPr>
          <w:snapToGrid w:val="0"/>
        </w:rPr>
      </w:pPr>
      <w:bookmarkStart w:id="1186" w:name="_Toc103864653"/>
      <w:bookmarkStart w:id="1187" w:name="_Toc90996952"/>
      <w:r>
        <w:rPr>
          <w:rStyle w:val="CharSectno"/>
        </w:rPr>
        <w:t>546</w:t>
      </w:r>
      <w:r>
        <w:rPr>
          <w:snapToGrid w:val="0"/>
        </w:rPr>
        <w:t>.</w:t>
      </w:r>
      <w:r>
        <w:rPr>
          <w:snapToGrid w:val="0"/>
        </w:rPr>
        <w:tab/>
        <w:t>Terms used</w:t>
      </w:r>
      <w:bookmarkEnd w:id="1186"/>
      <w:bookmarkEnd w:id="1187"/>
      <w:r>
        <w:rPr>
          <w:snapToGrid w:val="0"/>
        </w:rPr>
        <w:t xml:space="preserve"> </w:t>
      </w:r>
    </w:p>
    <w:p>
      <w:pPr>
        <w:pStyle w:val="Subsection"/>
        <w:spacing w:before="120"/>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No. 18 of 2009 s. 26.]</w:t>
      </w:r>
    </w:p>
    <w:p>
      <w:pPr>
        <w:pStyle w:val="Heading3"/>
        <w:spacing w:before="200"/>
        <w:rPr>
          <w:snapToGrid w:val="0"/>
        </w:rPr>
      </w:pPr>
      <w:bookmarkStart w:id="1188" w:name="_Toc103861128"/>
      <w:bookmarkStart w:id="1189" w:name="_Toc103861650"/>
      <w:bookmarkStart w:id="1190" w:name="_Toc103864654"/>
      <w:bookmarkStart w:id="1191" w:name="_Toc90988941"/>
      <w:bookmarkStart w:id="1192" w:name="_Toc90989464"/>
      <w:bookmarkStart w:id="1193" w:name="_Toc90996953"/>
      <w:r>
        <w:rPr>
          <w:rStyle w:val="CharDivNo"/>
        </w:rPr>
        <w:t>Chapter LVI</w:t>
      </w:r>
      <w:r>
        <w:rPr>
          <w:snapToGrid w:val="0"/>
        </w:rPr>
        <w:t> — </w:t>
      </w:r>
      <w:r>
        <w:rPr>
          <w:rStyle w:val="CharDivText"/>
        </w:rPr>
        <w:t>Other offences</w:t>
      </w:r>
      <w:bookmarkEnd w:id="1188"/>
      <w:bookmarkEnd w:id="1189"/>
      <w:bookmarkEnd w:id="1190"/>
      <w:bookmarkEnd w:id="1191"/>
      <w:bookmarkEnd w:id="1192"/>
      <w:bookmarkEnd w:id="1193"/>
    </w:p>
    <w:p>
      <w:pPr>
        <w:pStyle w:val="Heading5"/>
        <w:spacing w:before="180"/>
        <w:rPr>
          <w:snapToGrid w:val="0"/>
        </w:rPr>
      </w:pPr>
      <w:bookmarkStart w:id="1194" w:name="_Toc103864655"/>
      <w:bookmarkStart w:id="1195" w:name="_Toc90996954"/>
      <w:r>
        <w:rPr>
          <w:rStyle w:val="CharSectno"/>
        </w:rPr>
        <w:t>547</w:t>
      </w:r>
      <w:r>
        <w:rPr>
          <w:snapToGrid w:val="0"/>
        </w:rPr>
        <w:t>.</w:t>
      </w:r>
      <w:r>
        <w:rPr>
          <w:snapToGrid w:val="0"/>
        </w:rPr>
        <w:tab/>
        <w:t>Joint stock company officer concealing information etc. as to reduction of capital</w:t>
      </w:r>
      <w:bookmarkEnd w:id="1194"/>
      <w:bookmarkEnd w:id="1195"/>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keepNext/>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No. 51 of 1992 s. 16(2); No. 70 of 2004 s. 34(1).]</w:t>
      </w:r>
    </w:p>
    <w:p>
      <w:pPr>
        <w:pStyle w:val="Heading5"/>
        <w:spacing w:before="240"/>
        <w:rPr>
          <w:snapToGrid w:val="0"/>
        </w:rPr>
      </w:pPr>
      <w:bookmarkStart w:id="1196" w:name="_Toc103864656"/>
      <w:bookmarkStart w:id="1197" w:name="_Toc90996955"/>
      <w:r>
        <w:rPr>
          <w:rStyle w:val="CharSectno"/>
        </w:rPr>
        <w:t>548</w:t>
      </w:r>
      <w:r>
        <w:rPr>
          <w:snapToGrid w:val="0"/>
        </w:rPr>
        <w:t>.</w:t>
      </w:r>
      <w:r>
        <w:rPr>
          <w:snapToGrid w:val="0"/>
        </w:rPr>
        <w:tab/>
        <w:t>Company being wound up, officer of falsifying books of etc.</w:t>
      </w:r>
      <w:bookmarkEnd w:id="1196"/>
      <w:bookmarkEnd w:id="1197"/>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No. 10 of 1982 s. 28; No. 51 of 1992 s. 16(2); No. 70 of 2004 s. 34(1).]</w:t>
      </w:r>
    </w:p>
    <w:p>
      <w:pPr>
        <w:pStyle w:val="Heading5"/>
        <w:spacing w:before="240"/>
        <w:rPr>
          <w:snapToGrid w:val="0"/>
        </w:rPr>
      </w:pPr>
      <w:bookmarkStart w:id="1198" w:name="_Toc103864657"/>
      <w:bookmarkStart w:id="1199" w:name="_Toc90996956"/>
      <w:r>
        <w:rPr>
          <w:rStyle w:val="CharSectno"/>
        </w:rPr>
        <w:t>549</w:t>
      </w:r>
      <w:r>
        <w:rPr>
          <w:snapToGrid w:val="0"/>
        </w:rPr>
        <w:t>.</w:t>
      </w:r>
      <w:r>
        <w:rPr>
          <w:snapToGrid w:val="0"/>
        </w:rPr>
        <w:tab/>
        <w:t>Mixing uncertified with certified articles</w:t>
      </w:r>
      <w:bookmarkEnd w:id="1198"/>
      <w:bookmarkEnd w:id="1199"/>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No. 51 of 1992 s. 16(2); No. 36 of 1996 s. 30; No. 70 of 2004 s. 34(1) and 35(1).]</w:t>
      </w:r>
    </w:p>
    <w:p>
      <w:pPr>
        <w:pStyle w:val="Ednotesection"/>
      </w:pPr>
      <w:r>
        <w:t>[</w:t>
      </w:r>
      <w:r>
        <w:rPr>
          <w:b/>
        </w:rPr>
        <w:t>550, 551.</w:t>
      </w:r>
      <w:r>
        <w:tab/>
        <w:t>Deleted: No. 82 of 1994 s. 9(2).]</w:t>
      </w:r>
    </w:p>
    <w:p>
      <w:pPr>
        <w:pStyle w:val="Heading2"/>
      </w:pPr>
      <w:bookmarkStart w:id="1200" w:name="_Toc103861132"/>
      <w:bookmarkStart w:id="1201" w:name="_Toc103861654"/>
      <w:bookmarkStart w:id="1202" w:name="_Toc103864658"/>
      <w:bookmarkStart w:id="1203" w:name="_Toc90988945"/>
      <w:bookmarkStart w:id="1204" w:name="_Toc90989468"/>
      <w:bookmarkStart w:id="1205" w:name="_Toc90996957"/>
      <w:r>
        <w:rPr>
          <w:rStyle w:val="CharPartNo"/>
        </w:rPr>
        <w:t>Part VII</w:t>
      </w:r>
      <w:r>
        <w:t> — </w:t>
      </w:r>
      <w:r>
        <w:rPr>
          <w:rStyle w:val="CharPartText"/>
          <w:spacing w:val="-4"/>
        </w:rPr>
        <w:t>Preparation to commit offences: Conspiracy: Accessories after the fact</w:t>
      </w:r>
      <w:bookmarkEnd w:id="1200"/>
      <w:bookmarkEnd w:id="1201"/>
      <w:bookmarkEnd w:id="1202"/>
      <w:bookmarkEnd w:id="1203"/>
      <w:bookmarkEnd w:id="1204"/>
      <w:bookmarkEnd w:id="1205"/>
    </w:p>
    <w:p>
      <w:pPr>
        <w:pStyle w:val="Heading3"/>
        <w:rPr>
          <w:snapToGrid w:val="0"/>
        </w:rPr>
      </w:pPr>
      <w:bookmarkStart w:id="1206" w:name="_Toc103861133"/>
      <w:bookmarkStart w:id="1207" w:name="_Toc103861655"/>
      <w:bookmarkStart w:id="1208" w:name="_Toc103864659"/>
      <w:bookmarkStart w:id="1209" w:name="_Toc90988946"/>
      <w:bookmarkStart w:id="1210" w:name="_Toc90989469"/>
      <w:bookmarkStart w:id="1211" w:name="_Toc90996958"/>
      <w:r>
        <w:rPr>
          <w:rStyle w:val="CharDivNo"/>
        </w:rPr>
        <w:t>Chapter LVII</w:t>
      </w:r>
      <w:r>
        <w:rPr>
          <w:snapToGrid w:val="0"/>
        </w:rPr>
        <w:t> — </w:t>
      </w:r>
      <w:r>
        <w:rPr>
          <w:rStyle w:val="CharDivText"/>
        </w:rPr>
        <w:t>Attempts and preparation to commit offences</w:t>
      </w:r>
      <w:bookmarkEnd w:id="1206"/>
      <w:bookmarkEnd w:id="1207"/>
      <w:bookmarkEnd w:id="1208"/>
      <w:bookmarkEnd w:id="1209"/>
      <w:bookmarkEnd w:id="1210"/>
      <w:bookmarkEnd w:id="1211"/>
    </w:p>
    <w:p>
      <w:pPr>
        <w:pStyle w:val="Heading5"/>
      </w:pPr>
      <w:bookmarkStart w:id="1212" w:name="_Toc103864660"/>
      <w:bookmarkStart w:id="1213" w:name="_Toc90996959"/>
      <w:r>
        <w:rPr>
          <w:rStyle w:val="CharSectno"/>
        </w:rPr>
        <w:t>552</w:t>
      </w:r>
      <w:r>
        <w:t>.</w:t>
      </w:r>
      <w:r>
        <w:tab/>
        <w:t>Attempt to commit indictable offence</w:t>
      </w:r>
      <w:bookmarkEnd w:id="1212"/>
      <w:bookmarkEnd w:id="1213"/>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No. 4 of 2004 s. 39; amended: No. 70 of 2004 s. 34(2) and (3).]</w:t>
      </w:r>
    </w:p>
    <w:p>
      <w:pPr>
        <w:pStyle w:val="Heading5"/>
      </w:pPr>
      <w:bookmarkStart w:id="1214" w:name="_Toc103864661"/>
      <w:bookmarkStart w:id="1215" w:name="_Toc90996960"/>
      <w:r>
        <w:rPr>
          <w:rStyle w:val="CharSectno"/>
        </w:rPr>
        <w:t>553</w:t>
      </w:r>
      <w:r>
        <w:t>.</w:t>
      </w:r>
      <w:r>
        <w:tab/>
        <w:t>Incitement to commit indictable offence</w:t>
      </w:r>
      <w:bookmarkEnd w:id="1214"/>
      <w:bookmarkEnd w:id="1215"/>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No. 4 of 2004 s. 40; amended: No. 70 of 2004 s. 34(4) and (5).]</w:t>
      </w:r>
    </w:p>
    <w:p>
      <w:pPr>
        <w:pStyle w:val="Ednotesection"/>
      </w:pPr>
      <w:r>
        <w:t>[</w:t>
      </w:r>
      <w:r>
        <w:rPr>
          <w:b/>
        </w:rPr>
        <w:t>554, 555.</w:t>
      </w:r>
      <w:r>
        <w:rPr>
          <w:b/>
        </w:rPr>
        <w:tab/>
      </w:r>
      <w:r>
        <w:t>Deleted: No. 4 of 2004 s. 41.]</w:t>
      </w:r>
    </w:p>
    <w:p>
      <w:pPr>
        <w:pStyle w:val="Heading5"/>
        <w:rPr>
          <w:snapToGrid w:val="0"/>
        </w:rPr>
      </w:pPr>
      <w:bookmarkStart w:id="1216" w:name="_Toc103864662"/>
      <w:bookmarkStart w:id="1217" w:name="_Toc90996961"/>
      <w:r>
        <w:rPr>
          <w:rStyle w:val="CharSectno"/>
        </w:rPr>
        <w:t>555A</w:t>
      </w:r>
      <w:r>
        <w:rPr>
          <w:snapToGrid w:val="0"/>
        </w:rPr>
        <w:t>.</w:t>
      </w:r>
      <w:r>
        <w:rPr>
          <w:snapToGrid w:val="0"/>
        </w:rPr>
        <w:tab/>
        <w:t>Attempt and incitement to commit simple offence under this Code</w:t>
      </w:r>
      <w:bookmarkEnd w:id="1216"/>
      <w:bookmarkEnd w:id="1217"/>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No. 101 of 1990 s. 47.]</w:t>
      </w:r>
    </w:p>
    <w:p>
      <w:pPr>
        <w:pStyle w:val="Heading5"/>
        <w:rPr>
          <w:snapToGrid w:val="0"/>
        </w:rPr>
      </w:pPr>
      <w:bookmarkStart w:id="1218" w:name="_Toc103864663"/>
      <w:bookmarkStart w:id="1219" w:name="_Toc90996962"/>
      <w:r>
        <w:rPr>
          <w:rStyle w:val="CharSectno"/>
        </w:rPr>
        <w:t>556</w:t>
      </w:r>
      <w:r>
        <w:rPr>
          <w:snapToGrid w:val="0"/>
        </w:rPr>
        <w:t>.</w:t>
      </w:r>
      <w:r>
        <w:rPr>
          <w:snapToGrid w:val="0"/>
        </w:rPr>
        <w:tab/>
        <w:t>Attempt to procure commission of criminal act</w:t>
      </w:r>
      <w:bookmarkEnd w:id="1218"/>
      <w:bookmarkEnd w:id="1219"/>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1220" w:name="_Toc103864664"/>
      <w:bookmarkStart w:id="1221" w:name="_Toc90996963"/>
      <w:r>
        <w:rPr>
          <w:rStyle w:val="CharSectno"/>
        </w:rPr>
        <w:t>557</w:t>
      </w:r>
      <w:r>
        <w:rPr>
          <w:snapToGrid w:val="0"/>
        </w:rPr>
        <w:t>.</w:t>
      </w:r>
      <w:r>
        <w:rPr>
          <w:snapToGrid w:val="0"/>
        </w:rPr>
        <w:tab/>
        <w:t>Making or possessing explosives in suspicious circumstances</w:t>
      </w:r>
      <w:bookmarkEnd w:id="1220"/>
      <w:bookmarkEnd w:id="1221"/>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No. 51 of 1992 s. 16(2); No. 70 of 2004 s. 32.]</w:t>
      </w:r>
    </w:p>
    <w:p>
      <w:pPr>
        <w:pStyle w:val="Heading3"/>
      </w:pPr>
      <w:bookmarkStart w:id="1222" w:name="_Toc103861139"/>
      <w:bookmarkStart w:id="1223" w:name="_Toc103861661"/>
      <w:bookmarkStart w:id="1224" w:name="_Toc103864665"/>
      <w:bookmarkStart w:id="1225" w:name="_Toc90988952"/>
      <w:bookmarkStart w:id="1226" w:name="_Toc90989475"/>
      <w:bookmarkStart w:id="1227" w:name="_Toc90996964"/>
      <w:r>
        <w:rPr>
          <w:rStyle w:val="CharDivNo"/>
        </w:rPr>
        <w:t>Chapter LVIIA</w:t>
      </w:r>
      <w:r>
        <w:t> — </w:t>
      </w:r>
      <w:r>
        <w:rPr>
          <w:rStyle w:val="CharDivText"/>
        </w:rPr>
        <w:t>Offences to do with preparing to commit offences</w:t>
      </w:r>
      <w:bookmarkEnd w:id="1222"/>
      <w:bookmarkEnd w:id="1223"/>
      <w:bookmarkEnd w:id="1224"/>
      <w:bookmarkEnd w:id="1225"/>
      <w:bookmarkEnd w:id="1226"/>
      <w:bookmarkEnd w:id="1227"/>
    </w:p>
    <w:p>
      <w:pPr>
        <w:pStyle w:val="Footnoteheading"/>
      </w:pPr>
      <w:r>
        <w:tab/>
        <w:t>[Heading inserted: No. 70 of 2004 s. 33.]</w:t>
      </w:r>
    </w:p>
    <w:p>
      <w:pPr>
        <w:pStyle w:val="Heading5"/>
        <w:spacing w:before="180"/>
      </w:pPr>
      <w:bookmarkStart w:id="1228" w:name="_Toc103864666"/>
      <w:bookmarkStart w:id="1229" w:name="_Toc90996965"/>
      <w:r>
        <w:rPr>
          <w:rStyle w:val="CharSectno"/>
        </w:rPr>
        <w:t>557A</w:t>
      </w:r>
      <w:r>
        <w:t>.</w:t>
      </w:r>
      <w:r>
        <w:tab/>
        <w:t>Presumption as to intention</w:t>
      </w:r>
      <w:bookmarkEnd w:id="1228"/>
      <w:bookmarkEnd w:id="1229"/>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No. 70 of 2004 s. 33.]</w:t>
      </w:r>
    </w:p>
    <w:p>
      <w:pPr>
        <w:pStyle w:val="Ednotesection"/>
      </w:pPr>
      <w:r>
        <w:t>[</w:t>
      </w:r>
      <w:r>
        <w:rPr>
          <w:b/>
          <w:bCs/>
        </w:rPr>
        <w:t>557B.</w:t>
      </w:r>
      <w:r>
        <w:tab/>
        <w:t>Deleted: No. 59 of 2006 s. 25.]</w:t>
      </w:r>
    </w:p>
    <w:p>
      <w:pPr>
        <w:pStyle w:val="Heading5"/>
      </w:pPr>
      <w:bookmarkStart w:id="1230" w:name="_Toc103864667"/>
      <w:bookmarkStart w:id="1231" w:name="_Toc90996966"/>
      <w:r>
        <w:rPr>
          <w:rStyle w:val="CharSectno"/>
        </w:rPr>
        <w:t>557C</w:t>
      </w:r>
      <w:r>
        <w:t>.</w:t>
      </w:r>
      <w:r>
        <w:tab/>
        <w:t>Unlawful thing, forfeiture of</w:t>
      </w:r>
      <w:bookmarkEnd w:id="1230"/>
      <w:bookmarkEnd w:id="1231"/>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No. 70 of 2004 s. 33.]</w:t>
      </w:r>
    </w:p>
    <w:p>
      <w:pPr>
        <w:pStyle w:val="Heading5"/>
      </w:pPr>
      <w:bookmarkStart w:id="1232" w:name="_Toc103864668"/>
      <w:bookmarkStart w:id="1233" w:name="_Toc90996967"/>
      <w:r>
        <w:rPr>
          <w:rStyle w:val="CharSectno"/>
        </w:rPr>
        <w:t>557D</w:t>
      </w:r>
      <w:r>
        <w:t>.</w:t>
      </w:r>
      <w:r>
        <w:tab/>
        <w:t>Possessing stupefying or overpowering drug or thing</w:t>
      </w:r>
      <w:bookmarkEnd w:id="1232"/>
      <w:bookmarkEnd w:id="1233"/>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No. 70 of 2004 s. 33.]</w:t>
      </w:r>
    </w:p>
    <w:p>
      <w:pPr>
        <w:pStyle w:val="Heading5"/>
      </w:pPr>
      <w:bookmarkStart w:id="1234" w:name="_Toc103864669"/>
      <w:bookmarkStart w:id="1235" w:name="_Toc90996968"/>
      <w:r>
        <w:rPr>
          <w:rStyle w:val="CharSectno"/>
        </w:rPr>
        <w:t>557E</w:t>
      </w:r>
      <w:r>
        <w:t>.</w:t>
      </w:r>
      <w:r>
        <w:tab/>
        <w:t>Possessing thing to assist unlawful entry to place</w:t>
      </w:r>
      <w:bookmarkEnd w:id="1234"/>
      <w:bookmarkEnd w:id="1235"/>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No. 70 of 2004 s. 33.]</w:t>
      </w:r>
    </w:p>
    <w:p>
      <w:pPr>
        <w:pStyle w:val="Heading5"/>
      </w:pPr>
      <w:bookmarkStart w:id="1236" w:name="_Toc103864670"/>
      <w:bookmarkStart w:id="1237" w:name="_Toc90996969"/>
      <w:r>
        <w:rPr>
          <w:rStyle w:val="CharSectno"/>
        </w:rPr>
        <w:t>557F</w:t>
      </w:r>
      <w:r>
        <w:t>.</w:t>
      </w:r>
      <w:r>
        <w:tab/>
        <w:t>Possessing thing to assist unlawful use of conveyance</w:t>
      </w:r>
      <w:bookmarkEnd w:id="1236"/>
      <w:bookmarkEnd w:id="1237"/>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No. 70 of 2004 s. 33.]</w:t>
      </w:r>
    </w:p>
    <w:p>
      <w:pPr>
        <w:pStyle w:val="Ednotesection"/>
        <w:spacing w:before="180"/>
        <w:ind w:left="890" w:hanging="890"/>
      </w:pPr>
      <w:r>
        <w:t>[</w:t>
      </w:r>
      <w:r>
        <w:rPr>
          <w:b/>
        </w:rPr>
        <w:t>557G.</w:t>
      </w:r>
      <w:r>
        <w:tab/>
        <w:t>Deleted: No. 16 of 2016 s. 39.]</w:t>
      </w:r>
    </w:p>
    <w:p>
      <w:pPr>
        <w:pStyle w:val="Heading5"/>
      </w:pPr>
      <w:bookmarkStart w:id="1238" w:name="_Toc103864671"/>
      <w:bookmarkStart w:id="1239" w:name="_Toc90996970"/>
      <w:r>
        <w:rPr>
          <w:rStyle w:val="CharSectno"/>
        </w:rPr>
        <w:t>557H</w:t>
      </w:r>
      <w:r>
        <w:t>.</w:t>
      </w:r>
      <w:r>
        <w:tab/>
        <w:t>Possessing disguise</w:t>
      </w:r>
      <w:bookmarkEnd w:id="1238"/>
      <w:bookmarkEnd w:id="1239"/>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No. 70 of 2004 s. 33.]</w:t>
      </w:r>
    </w:p>
    <w:p>
      <w:pPr>
        <w:pStyle w:val="Heading5"/>
      </w:pPr>
      <w:bookmarkStart w:id="1240" w:name="_Toc103864672"/>
      <w:bookmarkStart w:id="1241" w:name="_Toc90996971"/>
      <w:r>
        <w:rPr>
          <w:rStyle w:val="CharSectno"/>
        </w:rPr>
        <w:t>557I</w:t>
      </w:r>
      <w:r>
        <w:t>.</w:t>
      </w:r>
      <w:r>
        <w:tab/>
        <w:t>Possessing bulletproof clothing</w:t>
      </w:r>
      <w:bookmarkEnd w:id="1240"/>
      <w:bookmarkEnd w:id="1241"/>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60"/>
      </w:pPr>
      <w:r>
        <w:tab/>
        <w:t>(a)</w:t>
      </w:r>
      <w:r>
        <w:tab/>
        <w:t>a person who —</w:t>
      </w:r>
    </w:p>
    <w:p>
      <w:pPr>
        <w:pStyle w:val="Indenti"/>
        <w:spacing w:before="60"/>
      </w:pPr>
      <w:r>
        <w:tab/>
        <w:t>(i)</w:t>
      </w:r>
      <w:r>
        <w:tab/>
        <w:t xml:space="preserve">holds an appointment under Part I, III or IIIA of the </w:t>
      </w:r>
      <w:r>
        <w:rPr>
          <w:i/>
        </w:rPr>
        <w:t>Police Act 1892</w:t>
      </w:r>
      <w:r>
        <w:t>, other than a police cadet;</w:t>
      </w:r>
    </w:p>
    <w:p>
      <w:pPr>
        <w:pStyle w:val="Indenti"/>
        <w:spacing w:before="60"/>
      </w:pPr>
      <w:r>
        <w:tab/>
        <w:t>(ii)</w:t>
      </w:r>
      <w:r>
        <w:tab/>
        <w:t xml:space="preserve">is employed in the department of the Public Service principally assisting in the administration of the </w:t>
      </w:r>
      <w:r>
        <w:rPr>
          <w:i/>
        </w:rPr>
        <w:t>Police Act 1892</w:t>
      </w:r>
      <w:r>
        <w:t>;</w:t>
      </w:r>
    </w:p>
    <w:p>
      <w:pPr>
        <w:pStyle w:val="Indenti"/>
        <w:spacing w:before="60"/>
      </w:pPr>
      <w:r>
        <w:tab/>
        <w:t>(iii)</w:t>
      </w:r>
      <w:r>
        <w:tab/>
        <w:t xml:space="preserve">is a prison officer within the meaning of the </w:t>
      </w:r>
      <w:r>
        <w:rPr>
          <w:i/>
        </w:rPr>
        <w:t>Prisons Act 1981</w:t>
      </w:r>
      <w:r>
        <w:t>;</w:t>
      </w:r>
    </w:p>
    <w:p>
      <w:pPr>
        <w:pStyle w:val="Indenti"/>
        <w:spacing w:before="60"/>
      </w:pPr>
      <w:r>
        <w:tab/>
        <w:t>(iv)</w:t>
      </w:r>
      <w:r>
        <w:tab/>
        <w:t>is employed or appointed under an Act of the Commonwealth, another State or a Territory,</w:t>
      </w:r>
    </w:p>
    <w:p>
      <w:pPr>
        <w:pStyle w:val="Indenta"/>
        <w:spacing w:before="60"/>
      </w:pPr>
      <w:r>
        <w:tab/>
      </w:r>
      <w:r>
        <w:tab/>
        <w:t>and who is lawfully in possession of bulletproof clothing in the course of duty;</w:t>
      </w:r>
    </w:p>
    <w:p>
      <w:pPr>
        <w:pStyle w:val="Indenta"/>
        <w:spacing w:before="60"/>
      </w:pPr>
      <w:r>
        <w:tab/>
        <w:t>(b)</w:t>
      </w:r>
      <w:r>
        <w:tab/>
        <w:t>a person who is in possession of bulletproof clothing in accordance with a permit given under subsection (4);</w:t>
      </w:r>
    </w:p>
    <w:p>
      <w:pPr>
        <w:pStyle w:val="Indenta"/>
        <w:spacing w:before="6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No. 70 of 2004 s. 33.]</w:t>
      </w:r>
    </w:p>
    <w:p>
      <w:pPr>
        <w:pStyle w:val="Ednotesection"/>
      </w:pPr>
      <w:r>
        <w:t>[</w:t>
      </w:r>
      <w:r>
        <w:rPr>
          <w:b/>
        </w:rPr>
        <w:t>557J.</w:t>
      </w:r>
      <w:r>
        <w:tab/>
        <w:t>Deleted: No. 25 of 2021 s. 66.]</w:t>
      </w:r>
    </w:p>
    <w:p>
      <w:pPr>
        <w:pStyle w:val="Heading5"/>
      </w:pPr>
      <w:bookmarkStart w:id="1242" w:name="_Toc103864673"/>
      <w:bookmarkStart w:id="1243" w:name="_Toc90996972"/>
      <w:r>
        <w:rPr>
          <w:rStyle w:val="CharSectno"/>
        </w:rPr>
        <w:t>557K</w:t>
      </w:r>
      <w:r>
        <w:t>.</w:t>
      </w:r>
      <w:r>
        <w:tab/>
        <w:t>Child sex offender, offences by</w:t>
      </w:r>
      <w:bookmarkEnd w:id="1242"/>
      <w:bookmarkEnd w:id="1243"/>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(Western Australia)</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pPr>
      <w:r>
        <w:tab/>
        <w:t>(iia)</w:t>
      </w:r>
      <w:r>
        <w:tab/>
        <w:t>Chapter XXV</w:t>
      </w:r>
      <w:r>
        <w:rPr>
          <w:vertAlign w:val="superscript"/>
        </w:rPr>
        <w:t> 5</w:t>
      </w:r>
      <w:r>
        <w:t> — Child exploitation material;</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r>
      <w:r>
        <w:tab/>
        <w:t>or</w:t>
      </w:r>
    </w:p>
    <w:p>
      <w:pPr>
        <w:pStyle w:val="Defpara"/>
      </w:pPr>
      <w:r>
        <w:tab/>
        <w:t>(b)</w:t>
      </w:r>
      <w:r>
        <w:tab/>
        <w:t>an offence under Chapter XXXIIIB that was committed against or in respect of a child; or</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r>
      <w:r>
        <w:tab/>
        <w:t>or</w:t>
      </w:r>
    </w:p>
    <w:p>
      <w:pPr>
        <w:pStyle w:val="Defpara"/>
        <w:keepNext/>
      </w:pPr>
      <w:r>
        <w:tab/>
        <w:t>(da)</w:t>
      </w:r>
      <w:r>
        <w:tab/>
        <w:t xml:space="preserve">an offence under any of these provisions of </w:t>
      </w:r>
      <w:r>
        <w:rPr>
          <w:i/>
        </w:rPr>
        <w:t>The Criminal Code</w:t>
      </w:r>
      <w:r>
        <w:t xml:space="preserve"> set out in the Schedule to the </w:t>
      </w:r>
      <w:r>
        <w:rPr>
          <w:i/>
        </w:rPr>
        <w:t>Criminal Code Act 1995</w:t>
      </w:r>
      <w:r>
        <w:t xml:space="preserve"> (Commonwealth) — </w:t>
      </w:r>
    </w:p>
    <w:p>
      <w:pPr>
        <w:pStyle w:val="Defsubpara"/>
      </w:pPr>
      <w:r>
        <w:tab/>
        <w:t>(i)</w:t>
      </w:r>
      <w:r>
        <w:tab/>
        <w:t>Division 272 — Child sex offences outside Australia;</w:t>
      </w:r>
    </w:p>
    <w:p>
      <w:pPr>
        <w:pStyle w:val="Defsubpara"/>
      </w:pPr>
      <w:r>
        <w:tab/>
        <w:t>(ii)</w:t>
      </w:r>
      <w:r>
        <w:tab/>
        <w:t>Division 273 — Offences involving child pornography material or child abuse material outside Australia;</w:t>
      </w:r>
    </w:p>
    <w:p>
      <w:pPr>
        <w:pStyle w:val="Defsubpara"/>
      </w:pPr>
      <w:r>
        <w:tab/>
        <w:t>(iii)</w:t>
      </w:r>
      <w:r>
        <w:tab/>
        <w:t>Division 474 Subdivision D — Offences relating to use of carriage service for child pornography material or child abuse material;</w:t>
      </w:r>
    </w:p>
    <w:p>
      <w:pPr>
        <w:pStyle w:val="Defsubpara"/>
      </w:pPr>
      <w:r>
        <w:tab/>
        <w:t>(iv)</w:t>
      </w:r>
      <w:r>
        <w:tab/>
        <w:t>Division 474 Subdivision F — Offences relating to use of carriage service involving sexual activity with person under 16;</w:t>
      </w:r>
    </w:p>
    <w:p>
      <w:pPr>
        <w:pStyle w:val="Defpara"/>
      </w:pPr>
      <w:r>
        <w:tab/>
      </w:r>
      <w:r>
        <w:tab/>
        <w:t>or</w:t>
      </w:r>
    </w:p>
    <w:p>
      <w:pPr>
        <w:pStyle w:val="Defpara"/>
      </w:pPr>
      <w:r>
        <w:tab/>
        <w:t>(db)</w:t>
      </w:r>
      <w:r>
        <w:tab/>
        <w:t xml:space="preserve">an offence under the repealed Part IIIA Division 2 of the </w:t>
      </w:r>
      <w:r>
        <w:rPr>
          <w:i/>
        </w:rPr>
        <w:t>Crimes Act 1914</w:t>
      </w:r>
      <w:r>
        <w:t xml:space="preserve"> (Commonwealth); or</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pPr>
      <w:r>
        <w:tab/>
        <w:t>(e)</w:t>
      </w:r>
      <w:r>
        <w:tab/>
        <w:t xml:space="preserve">an offence under the deleted section 60 of the </w:t>
      </w:r>
      <w:r>
        <w:rPr>
          <w:i/>
          <w:iCs/>
        </w:rPr>
        <w:t>Classification (Publications, Films and Computer Games) Enforcement Act </w:t>
      </w:r>
      <w:r>
        <w:rPr>
          <w:i/>
        </w:rPr>
        <w:t>1996</w:t>
      </w:r>
      <w:r>
        <w:t>; or</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100"/>
      </w:pPr>
      <w:r>
        <w:tab/>
        <w:t>(i)</w:t>
      </w:r>
      <w:r>
        <w:tab/>
        <w:t>objectionable material was transmitted or demonstrated to a child; or</w:t>
      </w:r>
    </w:p>
    <w:p>
      <w:pPr>
        <w:pStyle w:val="Defsubpara"/>
        <w:keepLines w:val="0"/>
        <w:spacing w:before="100"/>
      </w:pPr>
      <w:r>
        <w:tab/>
        <w:t>(ii)</w:t>
      </w:r>
      <w:r>
        <w:tab/>
        <w:t>the objectionable material was child exploitation material (as defined in section 217A</w:t>
      </w:r>
      <w:r>
        <w:rPr>
          <w:vertAlign w:val="superscript"/>
        </w:rPr>
        <w:t> 5</w:t>
      </w:r>
      <w:r>
        <w:t>);</w:t>
      </w:r>
    </w:p>
    <w:p>
      <w:pPr>
        <w:pStyle w:val="Defpara"/>
        <w:spacing w:before="100"/>
      </w:pPr>
      <w:r>
        <w:tab/>
      </w:r>
      <w:r>
        <w:tab/>
        <w:t>or</w:t>
      </w:r>
    </w:p>
    <w:p>
      <w:pPr>
        <w:pStyle w:val="Defpara"/>
        <w:spacing w:before="100"/>
      </w:pPr>
      <w:r>
        <w:tab/>
        <w:t>(g)</w:t>
      </w:r>
      <w:r>
        <w:tab/>
        <w:t xml:space="preserve">an offence under section 102 of the </w:t>
      </w:r>
      <w:r>
        <w:rPr>
          <w:i/>
          <w:iCs/>
        </w:rPr>
        <w:t>Classification (Publications, Films and Computer Games) Enforcement Act </w:t>
      </w:r>
      <w:r>
        <w:rPr>
          <w:i/>
        </w:rPr>
        <w:t>1996</w:t>
      </w:r>
      <w:r>
        <w:t>; or</w:t>
      </w:r>
    </w:p>
    <w:p>
      <w:pPr>
        <w:pStyle w:val="Defpara"/>
        <w:spacing w:before="100"/>
      </w:pPr>
      <w:r>
        <w:tab/>
        <w:t>(h)</w:t>
      </w:r>
      <w:r>
        <w:tab/>
        <w:t xml:space="preserve">an offence committed under section 5(1), 6(1), 15, 16, 17 or 18 of the </w:t>
      </w:r>
      <w:r>
        <w:rPr>
          <w:i/>
        </w:rPr>
        <w:t xml:space="preserve">Prostitution Act 2000 </w:t>
      </w:r>
      <w:r>
        <w:t>committed against or in respect of a child; or</w:t>
      </w:r>
    </w:p>
    <w:p>
      <w:pPr>
        <w:pStyle w:val="Defpara"/>
        <w:spacing w:before="100"/>
      </w:pPr>
      <w:r>
        <w:tab/>
        <w:t>(i)</w:t>
      </w:r>
      <w:r>
        <w:tab/>
        <w:t>an offence under this section; or</w:t>
      </w:r>
    </w:p>
    <w:p>
      <w:pPr>
        <w:pStyle w:val="Defpara"/>
        <w:spacing w:before="100"/>
      </w:pPr>
      <w:r>
        <w:tab/>
        <w:t>(j)</w:t>
      </w:r>
      <w:r>
        <w:tab/>
        <w:t xml:space="preserve">an offence under the repealed section 66(11) of the </w:t>
      </w:r>
      <w:r>
        <w:rPr>
          <w:i/>
        </w:rPr>
        <w:t xml:space="preserve">Police Act 1892 </w:t>
      </w:r>
      <w:r>
        <w:t>committed in the sight of a child; or</w:t>
      </w:r>
    </w:p>
    <w:p>
      <w:pPr>
        <w:pStyle w:val="Defpara"/>
        <w:spacing w:before="100"/>
      </w:pPr>
      <w:r>
        <w:tab/>
        <w:t>(k)</w:t>
      </w:r>
      <w:r>
        <w:tab/>
        <w:t>an offence against a law of a jurisdiction other than Western Australia that is substantially similar to an offence referred to in any of paragraphs (a) to (j);</w:t>
      </w:r>
    </w:p>
    <w:p>
      <w:pPr>
        <w:pStyle w:val="Defstart"/>
        <w:spacing w:before="100"/>
      </w:pPr>
      <w:r>
        <w:rPr>
          <w:b/>
        </w:rPr>
        <w:tab/>
      </w:r>
      <w:r>
        <w:rPr>
          <w:rStyle w:val="CharDefText"/>
        </w:rPr>
        <w:t>consort</w:t>
      </w:r>
      <w:r>
        <w:t xml:space="preserve"> includes to communicate in any manner.</w:t>
      </w:r>
    </w:p>
    <w:p>
      <w:pPr>
        <w:pStyle w:val="Subsection"/>
        <w:spacing w:before="120"/>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spacing w:before="120"/>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spacing w:before="120"/>
      </w:pPr>
      <w:r>
        <w:tab/>
        <w:t>(4)</w:t>
      </w:r>
      <w:r>
        <w:tab/>
        <w:t>A person who is a child sex offender and who, having been warned by a police officer —</w:t>
      </w:r>
    </w:p>
    <w:p>
      <w:pPr>
        <w:pStyle w:val="Indenta"/>
        <w:spacing w:before="100"/>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spacing w:before="120"/>
      </w:pPr>
      <w:r>
        <w:tab/>
      </w:r>
      <w:r>
        <w:tab/>
        <w:t>habitually consorts with the other person is guilty of an offence and is liable to imprisonment for 2 years and a fine of $24 000.</w:t>
      </w:r>
    </w:p>
    <w:p>
      <w:pPr>
        <w:pStyle w:val="Subsection"/>
        <w:keepNext/>
        <w:spacing w:before="120"/>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spacing w:before="140"/>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spacing w:before="140"/>
      </w:pPr>
      <w:r>
        <w:tab/>
      </w:r>
      <w:r>
        <w:tab/>
        <w:t>and where children are at the time is guilty of an offence and is liable to imprisonment for 2 years and a fine of $24 000.</w:t>
      </w:r>
    </w:p>
    <w:p>
      <w:pPr>
        <w:pStyle w:val="Footnotesection"/>
        <w:spacing w:before="80"/>
        <w:ind w:left="890" w:hanging="890"/>
      </w:pPr>
      <w:r>
        <w:tab/>
        <w:t>[Section 557K inserted: No. 70 of 2004 s. 33; amended: No. 10 of 2006 Sch. 1 cl. 2; No. 21 of 2010 s. 5; No. 11 of 2012 s. 31; No. 5 of 2014 s. 6.]</w:t>
      </w:r>
    </w:p>
    <w:p>
      <w:pPr>
        <w:pStyle w:val="Heading3"/>
        <w:rPr>
          <w:snapToGrid w:val="0"/>
        </w:rPr>
      </w:pPr>
      <w:bookmarkStart w:id="1244" w:name="_Toc103861148"/>
      <w:bookmarkStart w:id="1245" w:name="_Toc103861670"/>
      <w:bookmarkStart w:id="1246" w:name="_Toc103864674"/>
      <w:bookmarkStart w:id="1247" w:name="_Toc90988962"/>
      <w:bookmarkStart w:id="1248" w:name="_Toc90989484"/>
      <w:bookmarkStart w:id="1249" w:name="_Toc90996973"/>
      <w:r>
        <w:rPr>
          <w:rStyle w:val="CharDivNo"/>
        </w:rPr>
        <w:t>Chapter LVIII</w:t>
      </w:r>
      <w:r>
        <w:rPr>
          <w:snapToGrid w:val="0"/>
        </w:rPr>
        <w:t> — </w:t>
      </w:r>
      <w:r>
        <w:rPr>
          <w:rStyle w:val="CharDivText"/>
        </w:rPr>
        <w:t>Conspiracy</w:t>
      </w:r>
      <w:bookmarkEnd w:id="1244"/>
      <w:bookmarkEnd w:id="1245"/>
      <w:bookmarkEnd w:id="1246"/>
      <w:bookmarkEnd w:id="1247"/>
      <w:bookmarkEnd w:id="1248"/>
      <w:bookmarkEnd w:id="1249"/>
    </w:p>
    <w:p>
      <w:pPr>
        <w:pStyle w:val="Heading5"/>
      </w:pPr>
      <w:bookmarkStart w:id="1250" w:name="_Toc103864675"/>
      <w:bookmarkStart w:id="1251" w:name="_Toc90996974"/>
      <w:r>
        <w:rPr>
          <w:rStyle w:val="CharSectno"/>
        </w:rPr>
        <w:t>558</w:t>
      </w:r>
      <w:r>
        <w:t>.</w:t>
      </w:r>
      <w:r>
        <w:tab/>
        <w:t>Conspiracy to commit indictable offence</w:t>
      </w:r>
      <w:bookmarkEnd w:id="1250"/>
      <w:bookmarkEnd w:id="1251"/>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No. 4 of 2004 s. 42; amended: No. 70 of 2004 s. 34(6) and (7).]</w:t>
      </w:r>
    </w:p>
    <w:p>
      <w:pPr>
        <w:pStyle w:val="Ednotesection"/>
      </w:pPr>
      <w:r>
        <w:t>[</w:t>
      </w:r>
      <w:r>
        <w:rPr>
          <w:b/>
        </w:rPr>
        <w:t>559.</w:t>
      </w:r>
      <w:r>
        <w:rPr>
          <w:b/>
        </w:rPr>
        <w:tab/>
      </w:r>
      <w:r>
        <w:t>Deleted: No. 4 of 2004 s. 43.]</w:t>
      </w:r>
    </w:p>
    <w:p>
      <w:pPr>
        <w:pStyle w:val="Heading5"/>
        <w:keepNext w:val="0"/>
        <w:keepLines w:val="0"/>
        <w:rPr>
          <w:snapToGrid w:val="0"/>
        </w:rPr>
      </w:pPr>
      <w:bookmarkStart w:id="1252" w:name="_Toc103864676"/>
      <w:bookmarkStart w:id="1253" w:name="_Toc90996975"/>
      <w:r>
        <w:rPr>
          <w:rStyle w:val="CharSectno"/>
        </w:rPr>
        <w:t>560</w:t>
      </w:r>
      <w:r>
        <w:rPr>
          <w:snapToGrid w:val="0"/>
        </w:rPr>
        <w:t>.</w:t>
      </w:r>
      <w:r>
        <w:rPr>
          <w:snapToGrid w:val="0"/>
        </w:rPr>
        <w:tab/>
        <w:t>Conspiracy to commit simple offence</w:t>
      </w:r>
      <w:bookmarkEnd w:id="1252"/>
      <w:bookmarkEnd w:id="1253"/>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No. 106 of 1987 s. 9.]</w:t>
      </w:r>
    </w:p>
    <w:p>
      <w:pPr>
        <w:pStyle w:val="Ednotesection"/>
      </w:pPr>
      <w:r>
        <w:t>[</w:t>
      </w:r>
      <w:r>
        <w:rPr>
          <w:b/>
        </w:rPr>
        <w:t>561.</w:t>
      </w:r>
      <w:r>
        <w:tab/>
        <w:t>Deleted: No. 106 of 1987 s. 10.]</w:t>
      </w:r>
    </w:p>
    <w:p>
      <w:pPr>
        <w:pStyle w:val="Heading3"/>
        <w:keepLines/>
        <w:rPr>
          <w:snapToGrid w:val="0"/>
        </w:rPr>
      </w:pPr>
      <w:bookmarkStart w:id="1254" w:name="_Toc103861151"/>
      <w:bookmarkStart w:id="1255" w:name="_Toc103861673"/>
      <w:bookmarkStart w:id="1256" w:name="_Toc103864677"/>
      <w:bookmarkStart w:id="1257" w:name="_Toc90988965"/>
      <w:bookmarkStart w:id="1258" w:name="_Toc90989487"/>
      <w:bookmarkStart w:id="1259" w:name="_Toc90996976"/>
      <w:r>
        <w:rPr>
          <w:rStyle w:val="CharDivNo"/>
        </w:rPr>
        <w:t>Chapter LIX</w:t>
      </w:r>
      <w:r>
        <w:rPr>
          <w:snapToGrid w:val="0"/>
        </w:rPr>
        <w:t> — </w:t>
      </w:r>
      <w:r>
        <w:rPr>
          <w:rStyle w:val="CharDivText"/>
        </w:rPr>
        <w:t>Accessories after the fact and property laundering</w:t>
      </w:r>
      <w:bookmarkEnd w:id="1254"/>
      <w:bookmarkEnd w:id="1255"/>
      <w:bookmarkEnd w:id="1256"/>
      <w:bookmarkEnd w:id="1257"/>
      <w:bookmarkEnd w:id="1258"/>
      <w:bookmarkEnd w:id="1259"/>
    </w:p>
    <w:p>
      <w:pPr>
        <w:pStyle w:val="Footnoteheading"/>
        <w:keepNext/>
        <w:keepLines/>
      </w:pPr>
      <w:r>
        <w:tab/>
        <w:t>[Heading amended: No. 15 of 1992 s. 10.]</w:t>
      </w:r>
    </w:p>
    <w:p>
      <w:pPr>
        <w:pStyle w:val="Heading5"/>
      </w:pPr>
      <w:bookmarkStart w:id="1260" w:name="_Toc103864678"/>
      <w:bookmarkStart w:id="1261" w:name="_Toc90996977"/>
      <w:r>
        <w:rPr>
          <w:rStyle w:val="CharSectno"/>
        </w:rPr>
        <w:t>562</w:t>
      </w:r>
      <w:r>
        <w:t>.</w:t>
      </w:r>
      <w:r>
        <w:tab/>
        <w:t>Accessory after the fact to indictable offence</w:t>
      </w:r>
      <w:bookmarkEnd w:id="1260"/>
      <w:bookmarkEnd w:id="1261"/>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No. 4 of 2004 s. 44; amended: No. 70 of 2004 s. 34(8) and (9).]</w:t>
      </w:r>
    </w:p>
    <w:p>
      <w:pPr>
        <w:pStyle w:val="Ednotesection"/>
      </w:pPr>
      <w:r>
        <w:t>[</w:t>
      </w:r>
      <w:r>
        <w:rPr>
          <w:b/>
        </w:rPr>
        <w:t>563.</w:t>
      </w:r>
      <w:r>
        <w:rPr>
          <w:b/>
        </w:rPr>
        <w:tab/>
      </w:r>
      <w:r>
        <w:t>Deleted: No. 4 of 2004 s. 45.]</w:t>
      </w:r>
    </w:p>
    <w:p>
      <w:pPr>
        <w:pStyle w:val="Heading5"/>
        <w:rPr>
          <w:snapToGrid w:val="0"/>
        </w:rPr>
      </w:pPr>
      <w:bookmarkStart w:id="1262" w:name="_Toc103864679"/>
      <w:bookmarkStart w:id="1263" w:name="_Toc90996978"/>
      <w:r>
        <w:rPr>
          <w:rStyle w:val="CharSectno"/>
        </w:rPr>
        <w:t>563A</w:t>
      </w:r>
      <w:r>
        <w:rPr>
          <w:snapToGrid w:val="0"/>
        </w:rPr>
        <w:t>.</w:t>
      </w:r>
      <w:r>
        <w:rPr>
          <w:snapToGrid w:val="0"/>
        </w:rPr>
        <w:tab/>
        <w:t>Property laundering</w:t>
      </w:r>
      <w:bookmarkEnd w:id="1262"/>
      <w:bookmarkEnd w:id="1263"/>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in Western Australia engages, directly or indirectly, in a transaction that involves; or</w:t>
      </w:r>
    </w:p>
    <w:p>
      <w:pPr>
        <w:pStyle w:val="Indenta"/>
        <w:rPr>
          <w:snapToGrid w:val="0"/>
        </w:rPr>
      </w:pPr>
      <w:r>
        <w:rPr>
          <w:snapToGrid w:val="0"/>
        </w:rPr>
        <w:tab/>
        <w:t>(b)</w:t>
      </w:r>
      <w:r>
        <w:rPr>
          <w:snapToGrid w:val="0"/>
        </w:rPr>
        <w:tab/>
        <w:t>brings into Western Australia, or in Western Australia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spacing w:before="60"/>
      </w:pPr>
      <w:r>
        <w:tab/>
        <w:t>(a)</w:t>
      </w:r>
      <w:r>
        <w:tab/>
        <w:t>being credited to an account; or</w:t>
      </w:r>
    </w:p>
    <w:p>
      <w:pPr>
        <w:pStyle w:val="Indenta"/>
        <w:spacing w:before="60"/>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spacing w:before="60"/>
        <w:rPr>
          <w:snapToGrid w:val="0"/>
        </w:rPr>
      </w:pPr>
      <w:r>
        <w:rPr>
          <w:snapToGrid w:val="0"/>
        </w:rPr>
        <w:tab/>
        <w:t>(a)</w:t>
      </w:r>
      <w:r>
        <w:rPr>
          <w:snapToGrid w:val="0"/>
        </w:rPr>
        <w:tab/>
        <w:t>to prove that the</w:t>
      </w:r>
      <w:r>
        <w:t xml:space="preserve"> accused</w:t>
      </w:r>
      <w:r>
        <w:rPr>
          <w:snapToGrid w:val="0"/>
        </w:rPr>
        <w:t> —</w:t>
      </w:r>
    </w:p>
    <w:p>
      <w:pPr>
        <w:pStyle w:val="Indenti"/>
        <w:spacing w:before="60"/>
        <w:rPr>
          <w:snapToGrid w:val="0"/>
        </w:rPr>
      </w:pPr>
      <w:r>
        <w:rPr>
          <w:snapToGrid w:val="0"/>
        </w:rPr>
        <w:tab/>
        <w:t>(i)</w:t>
      </w:r>
      <w:r>
        <w:rPr>
          <w:snapToGrid w:val="0"/>
        </w:rPr>
        <w:tab/>
        <w:t>did not know; and</w:t>
      </w:r>
    </w:p>
    <w:p>
      <w:pPr>
        <w:pStyle w:val="Indenti"/>
        <w:spacing w:before="60"/>
        <w:rPr>
          <w:snapToGrid w:val="0"/>
        </w:rPr>
      </w:pPr>
      <w:r>
        <w:rPr>
          <w:snapToGrid w:val="0"/>
        </w:rPr>
        <w:tab/>
        <w:t>(ii)</w:t>
      </w:r>
      <w:r>
        <w:rPr>
          <w:snapToGrid w:val="0"/>
        </w:rPr>
        <w:tab/>
        <w:t>did not believe or suspect; and</w:t>
      </w:r>
    </w:p>
    <w:p>
      <w:pPr>
        <w:pStyle w:val="Indenti"/>
        <w:spacing w:before="60"/>
        <w:rPr>
          <w:snapToGrid w:val="0"/>
        </w:rPr>
      </w:pPr>
      <w:r>
        <w:rPr>
          <w:snapToGrid w:val="0"/>
        </w:rPr>
        <w:tab/>
        <w:t>(iii)</w:t>
      </w:r>
      <w:r>
        <w:rPr>
          <w:snapToGrid w:val="0"/>
        </w:rPr>
        <w:tab/>
        <w:t>did not have reasonable grounds to believe or suspect,</w:t>
      </w:r>
    </w:p>
    <w:p>
      <w:pPr>
        <w:pStyle w:val="Indenta"/>
        <w:spacing w:before="60"/>
        <w:rPr>
          <w:snapToGrid w:val="0"/>
        </w:rPr>
      </w:pPr>
      <w:r>
        <w:rPr>
          <w:snapToGrid w:val="0"/>
        </w:rPr>
        <w:tab/>
      </w:r>
      <w:r>
        <w:rPr>
          <w:snapToGrid w:val="0"/>
        </w:rPr>
        <w:tab/>
        <w:t>that the relevant money or other property was the proceeds of an offence; or</w:t>
      </w:r>
    </w:p>
    <w:p>
      <w:pPr>
        <w:pStyle w:val="Indenta"/>
        <w:spacing w:before="60"/>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20"/>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spacing w:before="80"/>
        <w:ind w:left="890" w:hanging="890"/>
      </w:pPr>
      <w:r>
        <w:tab/>
        <w:t>[Section 563A inserted: No. 15 of 1992 s. 11; amended: No. 26 of 2004 s. 4; No. 84 of 2004 s. 82.]</w:t>
      </w:r>
    </w:p>
    <w:p>
      <w:pPr>
        <w:pStyle w:val="Heading5"/>
        <w:keepLines w:val="0"/>
        <w:spacing w:before="180"/>
      </w:pPr>
      <w:bookmarkStart w:id="1264" w:name="_Toc103864680"/>
      <w:bookmarkStart w:id="1265" w:name="_Toc90996979"/>
      <w:r>
        <w:rPr>
          <w:rStyle w:val="CharSectno"/>
        </w:rPr>
        <w:t>563B</w:t>
      </w:r>
      <w:r>
        <w:t>.</w:t>
      </w:r>
      <w:r>
        <w:tab/>
        <w:t>Dealing with property used in connection with an offence</w:t>
      </w:r>
      <w:bookmarkEnd w:id="1264"/>
      <w:bookmarkEnd w:id="1265"/>
    </w:p>
    <w:p>
      <w:pPr>
        <w:pStyle w:val="Subsection"/>
        <w:spacing w:before="120"/>
      </w:pPr>
      <w:r>
        <w:tab/>
        <w:t>(1)</w:t>
      </w:r>
      <w:r>
        <w:tab/>
        <w:t>A person who deals with any money or other property that is being used, or is intended to be used, in connection with an offence is guilty of a crime and is liable to imprisonment for 20 years.</w:t>
      </w:r>
    </w:p>
    <w:p>
      <w:pPr>
        <w:pStyle w:val="Subsection"/>
        <w:spacing w:before="120"/>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to prove that the accused engaged in the act or omission alleged to constitute the crime in order to assist the enforcement of a law of Western Australia, the Commonwealth, another State or a Territory.</w:t>
      </w:r>
    </w:p>
    <w:p>
      <w:pPr>
        <w:pStyle w:val="Subsection"/>
      </w:pPr>
      <w:r>
        <w:tab/>
        <w:t>(4)</w:t>
      </w:r>
      <w:r>
        <w:tab/>
        <w:t>A prosecution under this section must not be commenced without the consent of the Director of Public Prosecutions.</w:t>
      </w:r>
    </w:p>
    <w:p>
      <w:pPr>
        <w:pStyle w:val="Subsection"/>
        <w:keepNext/>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spacing w:before="100"/>
        <w:ind w:left="890" w:hanging="890"/>
      </w:pPr>
      <w:r>
        <w:tab/>
        <w:t>[Section 563B inserted: No. 26 of 2004 s. 5; amended: No. 5 of 2008 s. 129(3).]</w:t>
      </w:r>
    </w:p>
    <w:p>
      <w:pPr>
        <w:pStyle w:val="Heading2"/>
        <w:sectPr>
          <w:headerReference w:type="even" r:id="rId27"/>
          <w:headerReference w:type="default" r:id="rId28"/>
          <w:type w:val="oddPage"/>
          <w:pgSz w:w="11907" w:h="16840" w:code="9"/>
          <w:pgMar w:top="2376" w:right="2404" w:bottom="3544" w:left="2404" w:header="709" w:footer="3380" w:gutter="0"/>
          <w:cols w:space="720"/>
          <w:noEndnote/>
          <w:docGrid w:linePitch="326"/>
        </w:sectPr>
      </w:pPr>
    </w:p>
    <w:p>
      <w:pPr>
        <w:pStyle w:val="Heading2"/>
      </w:pPr>
      <w:bookmarkStart w:id="1266" w:name="_Toc103861155"/>
      <w:bookmarkStart w:id="1267" w:name="_Toc103861677"/>
      <w:bookmarkStart w:id="1268" w:name="_Toc103864681"/>
      <w:bookmarkStart w:id="1269" w:name="_Toc90988969"/>
      <w:bookmarkStart w:id="1270" w:name="_Toc90989491"/>
      <w:bookmarkStart w:id="1271" w:name="_Toc90996980"/>
      <w:r>
        <w:rPr>
          <w:rStyle w:val="CharPartNo"/>
        </w:rPr>
        <w:t>Part VIII</w:t>
      </w:r>
      <w:r>
        <w:rPr>
          <w:rStyle w:val="CharDivNo"/>
        </w:rPr>
        <w:t> </w:t>
      </w:r>
      <w:r>
        <w:t>—</w:t>
      </w:r>
      <w:r>
        <w:rPr>
          <w:rStyle w:val="CharDivText"/>
        </w:rPr>
        <w:t> </w:t>
      </w:r>
      <w:r>
        <w:rPr>
          <w:rStyle w:val="CharPartText"/>
        </w:rPr>
        <w:t>Miscellaneous</w:t>
      </w:r>
      <w:bookmarkEnd w:id="1266"/>
      <w:bookmarkEnd w:id="1267"/>
      <w:bookmarkEnd w:id="1268"/>
      <w:bookmarkEnd w:id="1269"/>
      <w:bookmarkEnd w:id="1270"/>
      <w:bookmarkEnd w:id="1271"/>
    </w:p>
    <w:p>
      <w:pPr>
        <w:pStyle w:val="Footnoteheading"/>
      </w:pPr>
      <w:r>
        <w:tab/>
        <w:t>[Heading inserted: No. 84 of 2004 s. 21.]</w:t>
      </w:r>
    </w:p>
    <w:p>
      <w:pPr>
        <w:pStyle w:val="Ednotedivision"/>
        <w:spacing w:before="240"/>
        <w:ind w:left="601" w:hanging="601"/>
      </w:pPr>
      <w:r>
        <w:t>[Chapter LX:</w:t>
      </w:r>
      <w:r>
        <w:br/>
        <w:t>Heading deleted: No. 59 of 2006 s. 26;</w:t>
      </w:r>
      <w:r>
        <w:br/>
        <w:t>s. 564 deleted: No. 59 of 2006 s. 26;</w:t>
      </w:r>
      <w:r>
        <w:br/>
        <w:t>s. 565 deleted: No. 119 of 1985 s. 21;</w:t>
      </w:r>
      <w:r>
        <w:br/>
        <w:t>s. 565A deleted: No. 59 of 2006 s. 26;</w:t>
      </w:r>
      <w:r>
        <w:br/>
        <w:t>s. 566, 567 deleted: No. 119 of 1985 s. 23;</w:t>
      </w:r>
      <w:r>
        <w:br/>
        <w:t>s. 568, 569 deleted: No. 59 of 2006 s. 26.]</w:t>
      </w:r>
    </w:p>
    <w:p>
      <w:pPr>
        <w:pStyle w:val="Ednotedivision"/>
        <w:spacing w:before="240"/>
        <w:ind w:left="601" w:hanging="601"/>
      </w:pPr>
      <w:r>
        <w:t>[Chapter LXA:</w:t>
      </w:r>
      <w:r>
        <w:br/>
        <w:t>Heading deleted: No. 59 of 2006 s. 26;</w:t>
      </w:r>
      <w:r>
        <w:br/>
        <w:t>s. 570</w:t>
      </w:r>
      <w:r>
        <w:noBreakHyphen/>
        <w:t>570H deleted: No. 59 of 2006 s. 26.]</w:t>
      </w:r>
    </w:p>
    <w:p>
      <w:pPr>
        <w:pStyle w:val="Ednotedivision"/>
        <w:spacing w:before="240"/>
        <w:ind w:left="601" w:hanging="601"/>
      </w:pPr>
      <w:r>
        <w:t>[Chapter LXI:</w:t>
      </w:r>
      <w:r>
        <w:br/>
        <w:t>s. 571 deleted: No. 84 of 2004 s. 22;</w:t>
      </w:r>
      <w:r>
        <w:br/>
        <w:t>s. 572 deleted: No. 4 of 2004 s. 47;</w:t>
      </w:r>
      <w:r>
        <w:br/>
        <w:t>s. 573 deleted: No. 87 of 1982 s. 32;</w:t>
      </w:r>
      <w:r>
        <w:br/>
        <w:t>s. 574 deleted: No. 4 of 2004 s. 48;</w:t>
      </w:r>
      <w:r>
        <w:br/>
        <w:t>s. 575</w:t>
      </w:r>
      <w:r>
        <w:noBreakHyphen/>
        <w:t>577 deleted: No. 84 of 2004 s. 22.]</w:t>
      </w:r>
    </w:p>
    <w:p>
      <w:pPr>
        <w:pStyle w:val="Ednotedivision"/>
        <w:spacing w:before="240"/>
        <w:ind w:left="601" w:hanging="601"/>
      </w:pPr>
      <w:r>
        <w:t>[Chapter LXII:</w:t>
      </w:r>
      <w:r>
        <w:br/>
        <w:t>s. 578</w:t>
      </w:r>
      <w:r>
        <w:noBreakHyphen/>
        <w:t>588 deleted: No. 84 of 2004 s. 22;</w:t>
      </w:r>
      <w:r>
        <w:br/>
        <w:t>s. 589 deleted: No. 32 of 1918 s. 23;</w:t>
      </w:r>
      <w:r>
        <w:br/>
        <w:t>s. 590</w:t>
      </w:r>
      <w:r>
        <w:noBreakHyphen/>
        <w:t>593 deleted: No. 84 of 2004 s. 22.]</w:t>
      </w:r>
    </w:p>
    <w:p>
      <w:pPr>
        <w:pStyle w:val="Ednotedivision"/>
        <w:spacing w:before="240"/>
        <w:ind w:left="601" w:hanging="601"/>
      </w:pPr>
      <w:r>
        <w:t>[Chapter LXIII:</w:t>
      </w:r>
      <w:r>
        <w:br/>
        <w:t>s. 594</w:t>
      </w:r>
      <w:r>
        <w:noBreakHyphen/>
        <w:t>596 deleted: No. 70 of 2004 s. 36(11);</w:t>
      </w:r>
      <w:r>
        <w:br/>
        <w:t>s. 596A, 596AA</w:t>
      </w:r>
      <w:r>
        <w:noBreakHyphen/>
        <w:t>596AC deleted: No. 14 of 1992 s. 7;</w:t>
      </w:r>
      <w:r>
        <w:br/>
        <w:t>s. 596AD deleted: No. 32 of 1989 s. 22;</w:t>
      </w:r>
      <w:r>
        <w:br/>
        <w:t>s. 597</w:t>
      </w:r>
      <w:r>
        <w:noBreakHyphen/>
        <w:t>607B deleted: No. 70 of 2004 s. 36(11).]</w:t>
      </w:r>
    </w:p>
    <w:p>
      <w:pPr>
        <w:pStyle w:val="Ednotedivision"/>
        <w:keepNext/>
        <w:keepLines/>
        <w:spacing w:before="240"/>
        <w:ind w:left="601" w:hanging="601"/>
      </w:pPr>
      <w:r>
        <w:t xml:space="preserve">[Chapter LXIV: </w:t>
      </w:r>
      <w:r>
        <w:br/>
        <w:t>s. 608</w:t>
      </w:r>
      <w:r>
        <w:noBreakHyphen/>
        <w:t>628 deleted: No. 84 of 2004 s. 24;</w:t>
      </w:r>
      <w:r>
        <w:br/>
        <w:t>s. 629 deleted: No. 50 of 1957 s. 2;</w:t>
      </w:r>
      <w:r>
        <w:br/>
        <w:t>s. 630 deleted: No. 84 of 2004 s. 24;</w:t>
      </w:r>
      <w:r>
        <w:br/>
        <w:t>s. 631 deleted: No. 69 of 1996 s. 16;</w:t>
      </w:r>
      <w:r>
        <w:br/>
        <w:t>s. 632</w:t>
      </w:r>
      <w:r>
        <w:noBreakHyphen/>
        <w:t xml:space="preserve">648 deleted: No. 84 of 2004 s. 24; </w:t>
      </w:r>
      <w:r>
        <w:br/>
        <w:t xml:space="preserve">s. 649 deleted: No. 32 of 1918 s. 23; </w:t>
      </w:r>
      <w:r>
        <w:br/>
        <w:t>s. 650, 651 deleted: No. 84 of 2004 s. 24.]</w:t>
      </w:r>
    </w:p>
    <w:p>
      <w:pPr>
        <w:pStyle w:val="Ednotedivision"/>
        <w:spacing w:before="240"/>
      </w:pPr>
      <w:r>
        <w:t>[Chapter LXIVA (s. 651A</w:t>
      </w:r>
      <w:r>
        <w:noBreakHyphen/>
        <w:t>651C) deleted: No. 84 of 2004 s. 24.]</w:t>
      </w:r>
    </w:p>
    <w:p>
      <w:pPr>
        <w:pStyle w:val="Ednotedivision"/>
        <w:spacing w:before="240"/>
        <w:ind w:left="601" w:hanging="601"/>
      </w:pPr>
      <w:r>
        <w:t>[Chapter LXV:</w:t>
      </w:r>
      <w:r>
        <w:br/>
        <w:t>s. 652</w:t>
      </w:r>
      <w:r>
        <w:noBreakHyphen/>
        <w:t>656 deleted: No. 84 of 2004 s. 24;</w:t>
      </w:r>
      <w:r>
        <w:br/>
        <w:t>s. 656A deleted: No. 78 of 1995 s. 26;</w:t>
      </w:r>
      <w:r>
        <w:br/>
        <w:t>s. 657, 658 deleted: No. 52 of 1984 s. 23;</w:t>
      </w:r>
      <w:r>
        <w:br/>
        <w:t>s. 659 deleted: No. 51 of 1992 s. 16(4);</w:t>
      </w:r>
      <w:r>
        <w:br/>
        <w:t>s. 660 deleted: No. 84 of 2004 s. 24;</w:t>
      </w:r>
      <w:r>
        <w:br/>
        <w:t>s. 661</w:t>
      </w:r>
      <w:r>
        <w:noBreakHyphen/>
        <w:t>666 deleted: No. 78 of 1995 s. 26;</w:t>
      </w:r>
      <w:r>
        <w:br/>
        <w:t xml:space="preserve">s. 667 deleted: No. 21 of 1963 s. 4; </w:t>
      </w:r>
      <w:r>
        <w:br/>
        <w:t xml:space="preserve">s. 668 deleted: No. 21 of 1963 s. 5; </w:t>
      </w:r>
      <w:r>
        <w:br/>
        <w:t xml:space="preserve">s. 668A deleted: No. 58 of 1974 s. 8; </w:t>
      </w:r>
      <w:r>
        <w:br/>
        <w:t>s. 669 deleted: No. 78 of 1995 s. 26;</w:t>
      </w:r>
      <w:r>
        <w:br/>
        <w:t>s. 669A deleted: No. 63 of 1963 s. 17;</w:t>
      </w:r>
      <w:r>
        <w:br/>
        <w:t>s. 670 deleted: No. 51 of 1992 s. 16(4);</w:t>
      </w:r>
      <w:r>
        <w:br/>
        <w:t>s. 671, 672 deleted: No. 119 of 1985 s. 27;</w:t>
      </w:r>
      <w:r>
        <w:br/>
        <w:t>s. 673 deleted: No. 4 of 2004 s. 50.]</w:t>
      </w:r>
    </w:p>
    <w:p>
      <w:pPr>
        <w:pStyle w:val="Ednotedivision"/>
        <w:spacing w:before="240"/>
      </w:pPr>
      <w:r>
        <w:t>[Chapter LXVI (s. 674</w:t>
      </w:r>
      <w:r>
        <w:noBreakHyphen/>
        <w:t>677) deleted: No. 84 of 2004 s. 24.]</w:t>
      </w:r>
    </w:p>
    <w:p>
      <w:pPr>
        <w:pStyle w:val="Ednotedivision"/>
        <w:spacing w:before="240"/>
        <w:ind w:left="601" w:hanging="601"/>
      </w:pPr>
      <w:r>
        <w:t>[Chapter LXVII:</w:t>
      </w:r>
      <w:r>
        <w:br/>
        <w:t>s. 678 deleted: No. 52 of 1984 s. 26;</w:t>
      </w:r>
      <w:r>
        <w:br/>
        <w:t>s. 679 deleted: No. 78 of 1995 s. 26;</w:t>
      </w:r>
      <w:r>
        <w:br/>
        <w:t>s. 680 deleted: No. 51 of 1992 s. 16(4);</w:t>
      </w:r>
      <w:r>
        <w:br/>
        <w:t>s. 681, 682 deleted: No. 84 of 2004 s. 24;</w:t>
      </w:r>
      <w:r>
        <w:br/>
        <w:t>s. 682A deleted: No. 92 of 1994 s. 11.]</w:t>
      </w:r>
    </w:p>
    <w:p>
      <w:pPr>
        <w:pStyle w:val="Ednotedivision"/>
        <w:spacing w:before="240"/>
        <w:ind w:left="601" w:hanging="601"/>
        <w:sectPr>
          <w:headerReference w:type="even" r:id="rId29"/>
          <w:headerReference w:type="default" r:id="rId30"/>
          <w:pgSz w:w="11907" w:h="16840" w:code="9"/>
          <w:pgMar w:top="2376" w:right="2404" w:bottom="3544" w:left="2404" w:header="709" w:footer="3380" w:gutter="0"/>
          <w:cols w:space="720"/>
          <w:noEndnote/>
          <w:docGrid w:linePitch="326"/>
        </w:sectPr>
      </w:pPr>
    </w:p>
    <w:p>
      <w:pPr>
        <w:pStyle w:val="Ednotedivision"/>
        <w:spacing w:before="240"/>
        <w:ind w:left="601" w:hanging="601"/>
      </w:pPr>
      <w:r>
        <w:t>[Chapter LXVIII (s. 683</w:t>
      </w:r>
      <w:r>
        <w:noBreakHyphen/>
        <w:t>686) deleted: No. 84 of 2004 s. 24.]</w:t>
      </w:r>
    </w:p>
    <w:p>
      <w:pPr>
        <w:pStyle w:val="Ednotedivision"/>
        <w:spacing w:before="0"/>
        <w:ind w:left="601"/>
      </w:pPr>
      <w:r>
        <w:t>[Chapter LXIX:</w:t>
      </w:r>
      <w:r>
        <w:br/>
        <w:t>s. 687</w:t>
      </w:r>
      <w:r>
        <w:noBreakHyphen/>
        <w:t xml:space="preserve">697 deleted: No. 84 of 2004 s. 24; </w:t>
      </w:r>
      <w:r>
        <w:br/>
        <w:t>s. 698 deleted: No. 101 of 1990 s. 52;</w:t>
      </w:r>
      <w:r>
        <w:br/>
      </w:r>
      <w:r>
        <w:rPr>
          <w:bCs/>
        </w:rPr>
        <w:t>s. 699</w:t>
      </w:r>
      <w:r>
        <w:rPr>
          <w:bCs/>
        </w:rPr>
        <w:noBreakHyphen/>
        <w:t>701</w:t>
      </w:r>
      <w:r>
        <w:t xml:space="preserve"> deleted: No. 84 of 2004 s. 24;</w:t>
      </w:r>
      <w:r>
        <w:br/>
        <w:t>s. 702 deleted: No. 45 of 2004 s. 30(4);</w:t>
      </w:r>
      <w:r>
        <w:br/>
      </w:r>
      <w:r>
        <w:rPr>
          <w:bCs/>
        </w:rPr>
        <w:t>s. 703, 704</w:t>
      </w:r>
      <w:r>
        <w:t xml:space="preserve"> deleted: No. 84 of 2004 s. 24; </w:t>
      </w:r>
      <w:r>
        <w:br/>
      </w:r>
      <w:r>
        <w:rPr>
          <w:bCs/>
        </w:rPr>
        <w:t>s. 705, 706 deleted: No. 78 of 1995 s. 26;</w:t>
      </w:r>
      <w:r>
        <w:rPr>
          <w:bCs/>
        </w:rPr>
        <w:br/>
        <w:t xml:space="preserve">s. 706A deleted: No. 91 of 1965 s. 9; </w:t>
      </w:r>
      <w:r>
        <w:rPr>
          <w:bCs/>
        </w:rPr>
        <w:br/>
        <w:t>s. 707 deleted: No. 78 of 1995 s. 26</w:t>
      </w:r>
      <w:r>
        <w:t>.]</w:t>
      </w:r>
    </w:p>
    <w:p>
      <w:pPr>
        <w:pStyle w:val="Ednotedivision"/>
      </w:pPr>
      <w:r>
        <w:t>[Chapter LXX (s. 708) deleted: No. 91 of 1965 s. 10.]</w:t>
      </w:r>
    </w:p>
    <w:p>
      <w:pPr>
        <w:pStyle w:val="Ednotedivision"/>
      </w:pPr>
      <w:r>
        <w:t>[Chapter LXXI (s. 709</w:t>
      </w:r>
      <w:r>
        <w:noBreakHyphen/>
        <w:t>710) deleted: No. 91 of 1965 s. 10.]</w:t>
      </w:r>
    </w:p>
    <w:p>
      <w:pPr>
        <w:pStyle w:val="Ednotedivision"/>
        <w:ind w:left="601" w:hanging="601"/>
      </w:pPr>
      <w:r>
        <w:t>[Chapter LXXII:</w:t>
      </w:r>
      <w:r>
        <w:br/>
        <w:t>Heading deleted: No. 59 of 2006 s. 27;</w:t>
      </w:r>
      <w:r>
        <w:br/>
        <w:t>s. 711</w:t>
      </w:r>
      <w:r>
        <w:noBreakHyphen/>
        <w:t>712 deleted: No. 59 of 2006 s. 27;</w:t>
      </w:r>
      <w:r>
        <w:br/>
        <w:t>s. 713 deleted: No. 70 of 1988 s. 8(1);</w:t>
      </w:r>
      <w:r>
        <w:br/>
        <w:t>s. 714</w:t>
      </w:r>
      <w:r>
        <w:noBreakHyphen/>
        <w:t>716 deleted: No. 59 of 2006 s. 27;</w:t>
      </w:r>
      <w:r>
        <w:br/>
        <w:t>s. 716A</w:t>
      </w:r>
      <w:r>
        <w:noBreakHyphen/>
        <w:t>719 deleted: No. 78 of 1997 s. 26.]</w:t>
      </w:r>
    </w:p>
    <w:p>
      <w:pPr>
        <w:pStyle w:val="Heading3"/>
      </w:pPr>
      <w:bookmarkStart w:id="1272" w:name="_Toc103861156"/>
      <w:bookmarkStart w:id="1273" w:name="_Toc103861678"/>
      <w:bookmarkStart w:id="1274" w:name="_Toc103864682"/>
      <w:bookmarkStart w:id="1275" w:name="_Toc90988970"/>
      <w:bookmarkStart w:id="1276" w:name="_Toc90989492"/>
      <w:bookmarkStart w:id="1277" w:name="_Toc90996981"/>
      <w:r>
        <w:rPr>
          <w:rStyle w:val="CharDivNo"/>
        </w:rPr>
        <w:t>Chapter LXXIII</w:t>
      </w:r>
      <w:r>
        <w:t> — </w:t>
      </w:r>
      <w:r>
        <w:rPr>
          <w:rStyle w:val="CharDivText"/>
        </w:rPr>
        <w:t>Infringement notices</w:t>
      </w:r>
      <w:bookmarkEnd w:id="1272"/>
      <w:bookmarkEnd w:id="1273"/>
      <w:bookmarkEnd w:id="1274"/>
      <w:bookmarkEnd w:id="1275"/>
      <w:bookmarkEnd w:id="1276"/>
      <w:bookmarkEnd w:id="1277"/>
    </w:p>
    <w:p>
      <w:pPr>
        <w:pStyle w:val="Footnoteheading"/>
      </w:pPr>
      <w:r>
        <w:tab/>
        <w:t>[Heading inserted: No. 10 of 2011 s. 4.]</w:t>
      </w:r>
    </w:p>
    <w:p>
      <w:pPr>
        <w:pStyle w:val="Heading5"/>
      </w:pPr>
      <w:bookmarkStart w:id="1278" w:name="_Toc103864683"/>
      <w:bookmarkStart w:id="1279" w:name="_Toc90996982"/>
      <w:r>
        <w:rPr>
          <w:rStyle w:val="CharSectno"/>
        </w:rPr>
        <w:t>720</w:t>
      </w:r>
      <w:r>
        <w:t>.</w:t>
      </w:r>
      <w:r>
        <w:tab/>
        <w:t>Term used: CP Act</w:t>
      </w:r>
      <w:bookmarkEnd w:id="1278"/>
      <w:bookmarkEnd w:id="1279"/>
    </w:p>
    <w:p>
      <w:pPr>
        <w:pStyle w:val="Subsection"/>
      </w:pPr>
      <w:r>
        <w:tab/>
      </w:r>
      <w:r>
        <w:tab/>
        <w:t>In this Chapter —</w:t>
      </w:r>
    </w:p>
    <w:p>
      <w:pPr>
        <w:pStyle w:val="Defstart"/>
      </w:pPr>
      <w:r>
        <w:tab/>
      </w:r>
      <w:r>
        <w:rPr>
          <w:rStyle w:val="CharDefText"/>
        </w:rPr>
        <w:t>CP Act</w:t>
      </w:r>
      <w:r>
        <w:t xml:space="preserve"> means the </w:t>
      </w:r>
      <w:r>
        <w:rPr>
          <w:i/>
        </w:rPr>
        <w:t>Criminal Procedure Act 2004</w:t>
      </w:r>
      <w:r>
        <w:rPr>
          <w:iCs/>
        </w:rPr>
        <w:t>.</w:t>
      </w:r>
    </w:p>
    <w:p>
      <w:pPr>
        <w:pStyle w:val="Footnotesection"/>
      </w:pPr>
      <w:r>
        <w:tab/>
        <w:t>[Section 720 inserted: No. 10 of 2011 s. 4.]</w:t>
      </w:r>
    </w:p>
    <w:p>
      <w:pPr>
        <w:pStyle w:val="Heading5"/>
      </w:pPr>
      <w:bookmarkStart w:id="1280" w:name="_Toc103864684"/>
      <w:bookmarkStart w:id="1281" w:name="_Toc90996983"/>
      <w:r>
        <w:rPr>
          <w:rStyle w:val="CharSectno"/>
        </w:rPr>
        <w:t>721</w:t>
      </w:r>
      <w:r>
        <w:t>.</w:t>
      </w:r>
      <w:r>
        <w:tab/>
        <w:t>Regulations to allow infringement notices to be issued for Code offences</w:t>
      </w:r>
      <w:bookmarkEnd w:id="1280"/>
      <w:bookmarkEnd w:id="1281"/>
    </w:p>
    <w:p>
      <w:pPr>
        <w:pStyle w:val="Subsection"/>
      </w:pPr>
      <w:r>
        <w:tab/>
        <w:t>(1)</w:t>
      </w:r>
      <w:r>
        <w:tab/>
        <w:t xml:space="preserve">This Code is taken to be a prescribed Act for the purposes of the </w:t>
      </w:r>
      <w:r>
        <w:rPr>
          <w:iCs/>
        </w:rPr>
        <w:t xml:space="preserve">CP Act </w:t>
      </w:r>
      <w:r>
        <w:t>Part 2.</w:t>
      </w:r>
    </w:p>
    <w:p>
      <w:pPr>
        <w:pStyle w:val="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Subsection"/>
        <w:keepNext/>
      </w:pPr>
      <w:r>
        <w:tab/>
        <w:t>(3)</w:t>
      </w:r>
      <w:r>
        <w:tab/>
        <w:t>Regulations made under subsection (2) —</w:t>
      </w:r>
    </w:p>
    <w:p>
      <w:pPr>
        <w:pStyle w:val="Indenta"/>
      </w:pPr>
      <w:r>
        <w:tab/>
        <w:t>(a)</w:t>
      </w:r>
      <w:r>
        <w:tab/>
        <w:t>may, despite the CP Act section 5(2), prescribe any offence under this Code to be a prescribed offence for Part 2 of the CP Act; and</w:t>
      </w:r>
    </w:p>
    <w:p>
      <w:pPr>
        <w:pStyle w:val="Indenta"/>
      </w:pPr>
      <w:r>
        <w:tab/>
        <w:t>(b)</w:t>
      </w:r>
      <w:r>
        <w:tab/>
        <w:t>may prescribe classes of person to whom an infringement notice cannot be issued for an alleged offence under this Code; and</w:t>
      </w:r>
    </w:p>
    <w:p>
      <w:pPr>
        <w:pStyle w:val="Indenta"/>
      </w:pPr>
      <w:r>
        <w:tab/>
        <w:t>(c)</w:t>
      </w:r>
      <w:r>
        <w:tab/>
        <w:t>may prescribe circumstances in which an infringement notice cannot be issued for an alleged offence under this Code.</w:t>
      </w:r>
    </w:p>
    <w:p>
      <w:pPr>
        <w:pStyle w:val="Footnotesection"/>
      </w:pPr>
      <w:r>
        <w:tab/>
        <w:t>[Section 721 inserted: No. 10 of 2011 s. 4.]</w:t>
      </w:r>
    </w:p>
    <w:p>
      <w:pPr>
        <w:pStyle w:val="Heading5"/>
      </w:pPr>
      <w:bookmarkStart w:id="1282" w:name="_Toc103864685"/>
      <w:bookmarkStart w:id="1283" w:name="_Toc90996984"/>
      <w:r>
        <w:rPr>
          <w:rStyle w:val="CharSectno"/>
        </w:rPr>
        <w:t>722</w:t>
      </w:r>
      <w:r>
        <w:t>.</w:t>
      </w:r>
      <w:r>
        <w:tab/>
        <w:t xml:space="preserve">Alleged offenders taken to be charged suspects for purposes of </w:t>
      </w:r>
      <w:r>
        <w:rPr>
          <w:i/>
        </w:rPr>
        <w:t>Criminal Investigation (Identifying People) Act 2002</w:t>
      </w:r>
      <w:bookmarkEnd w:id="1282"/>
      <w:bookmarkEnd w:id="1283"/>
    </w:p>
    <w:p>
      <w:pPr>
        <w:pStyle w:val="Subsection"/>
        <w:keepNext/>
      </w:pPr>
      <w:r>
        <w:tab/>
      </w:r>
      <w:r>
        <w:tab/>
        <w:t xml:space="preserve">If under the CP Act an infringement notice is issued to an alleged offender for an alleged offence under this Code, then — </w:t>
      </w:r>
    </w:p>
    <w:p>
      <w:pPr>
        <w:pStyle w:val="Indenta"/>
      </w:pPr>
      <w:r>
        <w:tab/>
        <w:t>(a)</w:t>
      </w:r>
      <w:r>
        <w:tab/>
        <w:t xml:space="preserve">for the purposes of the </w:t>
      </w:r>
      <w:r>
        <w:rPr>
          <w:i/>
        </w:rPr>
        <w:t>Criminal Investigation (Identifying People) Act 2002</w:t>
      </w:r>
      <w:r>
        <w:t xml:space="preserve"> Part 7 and section 67 the alleged offender is taken — </w:t>
      </w:r>
    </w:p>
    <w:p>
      <w:pPr>
        <w:pStyle w:val="Indenti"/>
      </w:pPr>
      <w:r>
        <w:tab/>
        <w:t>(i)</w:t>
      </w:r>
      <w:r>
        <w:tab/>
        <w:t>to be a charged suspect; and</w:t>
      </w:r>
    </w:p>
    <w:p>
      <w:pPr>
        <w:pStyle w:val="Indenti"/>
      </w:pPr>
      <w:r>
        <w:tab/>
        <w:t>(ii)</w:t>
      </w:r>
      <w:r>
        <w:tab/>
        <w:t>to have been charged with the alleged offence;</w:t>
      </w:r>
    </w:p>
    <w:p>
      <w:pPr>
        <w:pStyle w:val="Indenta"/>
      </w:pPr>
      <w:r>
        <w:tab/>
      </w:r>
      <w:r>
        <w:tab/>
        <w:t>and</w:t>
      </w:r>
    </w:p>
    <w:p>
      <w:pPr>
        <w:pStyle w:val="Indenta"/>
      </w:pPr>
      <w:r>
        <w:tab/>
        <w:t>(b)</w:t>
      </w:r>
      <w:r>
        <w:tab/>
        <w:t xml:space="preserve">without limiting the operation of section 67 of that Act, identifying information obtained under Part 7 of that Act from the alleged offender must be destroyed if — </w:t>
      </w:r>
    </w:p>
    <w:p>
      <w:pPr>
        <w:pStyle w:val="Indenti"/>
      </w:pPr>
      <w:r>
        <w:tab/>
        <w:t>(i)</w:t>
      </w:r>
      <w:r>
        <w:tab/>
        <w:t>the alleged offender pays the modified penalty prescribed for the offence; and</w:t>
      </w:r>
    </w:p>
    <w:p>
      <w:pPr>
        <w:pStyle w:val="Indenti"/>
        <w:keepNext/>
      </w:pPr>
      <w:r>
        <w:tab/>
        <w:t>(ii)</w:t>
      </w:r>
      <w:r>
        <w:tab/>
        <w:t>destruction is requested under section 69 of that Act by or on behalf of the alleged offender;</w:t>
      </w:r>
    </w:p>
    <w:p>
      <w:pPr>
        <w:pStyle w:val="Indenta"/>
      </w:pPr>
      <w:r>
        <w:tab/>
      </w:r>
      <w:r>
        <w:tab/>
        <w:t>and</w:t>
      </w:r>
    </w:p>
    <w:p>
      <w:pPr>
        <w:pStyle w:val="Indenta"/>
        <w:keepNext/>
      </w:pPr>
      <w:r>
        <w:tab/>
        <w:t>(c)</w:t>
      </w:r>
      <w:r>
        <w:tab/>
        <w:t>that Act, with any necessary changes, applies accordingly.</w:t>
      </w:r>
    </w:p>
    <w:p>
      <w:pPr>
        <w:pStyle w:val="Footnotesection"/>
      </w:pPr>
      <w:r>
        <w:tab/>
        <w:t>[Section 722 inserted: No. 10 of 2011 s. 4.]</w:t>
      </w:r>
    </w:p>
    <w:p>
      <w:pPr>
        <w:pStyle w:val="Heading5"/>
        <w:spacing w:before="180"/>
      </w:pPr>
      <w:bookmarkStart w:id="1284" w:name="_Toc103864686"/>
      <w:bookmarkStart w:id="1285" w:name="_Toc90996985"/>
      <w:r>
        <w:rPr>
          <w:rStyle w:val="CharSectno"/>
        </w:rPr>
        <w:t>723</w:t>
      </w:r>
      <w:r>
        <w:t>.</w:t>
      </w:r>
      <w:r>
        <w:tab/>
        <w:t>Monitoring of Chapter by Ombudsman</w:t>
      </w:r>
      <w:bookmarkEnd w:id="1284"/>
      <w:bookmarkEnd w:id="1285"/>
    </w:p>
    <w:p>
      <w:pPr>
        <w:pStyle w:val="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Subsection"/>
      </w:pPr>
      <w:r>
        <w:tab/>
        <w:t>(2)</w:t>
      </w:r>
      <w:r>
        <w:tab/>
        <w:t>The scrutiny referred to in subsection (1) is to include review of the impact of the operation of the provisions referred to in that subsection on Aboriginal and Torres Strait Islander communities.</w:t>
      </w:r>
    </w:p>
    <w:p>
      <w:pPr>
        <w:pStyle w:val="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Subsection"/>
      </w:pPr>
      <w:r>
        <w:tab/>
        <w:t>(6)</w:t>
      </w:r>
      <w:r>
        <w:tab/>
        <w:t>The Minister is to lay (or cause to be laid) a copy of the report furnished to the Minister under this section before both Houses of Parliament as soon as practicable after the Minister receives the report.</w:t>
      </w:r>
    </w:p>
    <w:p>
      <w:pPr>
        <w:pStyle w:val="Footnotesection"/>
      </w:pPr>
      <w:r>
        <w:tab/>
        <w:t>[Section 723 inserted: No. 10 of 2011 s. 4.]</w:t>
      </w:r>
    </w:p>
    <w:p>
      <w:pPr>
        <w:pStyle w:val="Ednotedivision"/>
        <w:spacing w:before="180"/>
      </w:pPr>
      <w:r>
        <w:t>[Chapter LXXIII (s. 724</w:t>
      </w:r>
      <w:r>
        <w:noBreakHyphen/>
        <w:t>729) deleted: No. 84 of 2004 s. 25.]</w:t>
      </w:r>
    </w:p>
    <w:p>
      <w:pPr>
        <w:pStyle w:val="Heading3"/>
        <w:rPr>
          <w:snapToGrid w:val="0"/>
        </w:rPr>
      </w:pPr>
      <w:bookmarkStart w:id="1286" w:name="_Toc103861161"/>
      <w:bookmarkStart w:id="1287" w:name="_Toc103861683"/>
      <w:bookmarkStart w:id="1288" w:name="_Toc103864687"/>
      <w:bookmarkStart w:id="1289" w:name="_Toc90988975"/>
      <w:bookmarkStart w:id="1290" w:name="_Toc90989497"/>
      <w:bookmarkStart w:id="1291" w:name="_Toc90996986"/>
      <w:r>
        <w:rPr>
          <w:rStyle w:val="CharDivNo"/>
        </w:rPr>
        <w:t>Chapter LXXIV</w:t>
      </w:r>
      <w:r>
        <w:rPr>
          <w:snapToGrid w:val="0"/>
        </w:rPr>
        <w:t> — </w:t>
      </w:r>
      <w:r>
        <w:rPr>
          <w:rStyle w:val="CharDivText"/>
        </w:rPr>
        <w:t>Miscellaneous provisions</w:t>
      </w:r>
      <w:bookmarkEnd w:id="1286"/>
      <w:bookmarkEnd w:id="1287"/>
      <w:bookmarkEnd w:id="1288"/>
      <w:bookmarkEnd w:id="1289"/>
      <w:bookmarkEnd w:id="1290"/>
      <w:bookmarkEnd w:id="1291"/>
    </w:p>
    <w:p>
      <w:pPr>
        <w:pStyle w:val="Heading5"/>
      </w:pPr>
      <w:bookmarkStart w:id="1292" w:name="_Toc103864688"/>
      <w:bookmarkStart w:id="1293" w:name="_Toc90996987"/>
      <w:r>
        <w:rPr>
          <w:rStyle w:val="CharSectno"/>
        </w:rPr>
        <w:t>730</w:t>
      </w:r>
      <w:r>
        <w:t>.</w:t>
      </w:r>
      <w:r>
        <w:tab/>
        <w:t>Forfeitures, escheats etc. abolished</w:t>
      </w:r>
      <w:bookmarkEnd w:id="1292"/>
      <w:bookmarkEnd w:id="1293"/>
    </w:p>
    <w:p>
      <w:pPr>
        <w:pStyle w:val="Subsection"/>
      </w:pPr>
      <w:r>
        <w:tab/>
      </w:r>
      <w:r>
        <w:tab/>
        <w:t>Forfeitures (except under a written law), escheats, attainders and corruptions of blood on account of crime or conviction stand abolished.</w:t>
      </w:r>
    </w:p>
    <w:p>
      <w:pPr>
        <w:pStyle w:val="Footnotesection"/>
        <w:ind w:left="890" w:hanging="890"/>
      </w:pPr>
      <w:r>
        <w:tab/>
        <w:t>[Section 730 inserted: No. 84 of 2004 s. 26.]</w:t>
      </w:r>
    </w:p>
    <w:p>
      <w:pPr>
        <w:pStyle w:val="Heading5"/>
      </w:pPr>
      <w:bookmarkStart w:id="1294" w:name="_Toc103864689"/>
      <w:bookmarkStart w:id="1295" w:name="_Toc90996988"/>
      <w:r>
        <w:rPr>
          <w:rStyle w:val="CharSectno"/>
        </w:rPr>
        <w:t>731</w:t>
      </w:r>
      <w:r>
        <w:t>.</w:t>
      </w:r>
      <w:r>
        <w:tab/>
        <w:t>Forfeiture etc. of property used to commit offence</w:t>
      </w:r>
      <w:bookmarkEnd w:id="1294"/>
      <w:bookmarkEnd w:id="1295"/>
    </w:p>
    <w:p>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ind w:left="890" w:hanging="890"/>
      </w:pPr>
      <w:r>
        <w:tab/>
        <w:t>[Section 731 inserted: No. 59 of 2006 s. 28.]</w:t>
      </w:r>
    </w:p>
    <w:p>
      <w:pPr>
        <w:pStyle w:val="Ednotesection"/>
      </w:pPr>
      <w:r>
        <w:t>[</w:t>
      </w:r>
      <w:r>
        <w:rPr>
          <w:b/>
          <w:bCs/>
        </w:rPr>
        <w:t>732.</w:t>
      </w:r>
      <w:r>
        <w:tab/>
        <w:t>Deleted: No. 59 of 2004 s. 80.]</w:t>
      </w:r>
    </w:p>
    <w:p>
      <w:pPr>
        <w:pStyle w:val="Ednotesection"/>
        <w:ind w:left="890" w:hanging="890"/>
      </w:pPr>
      <w:r>
        <w:t>[</w:t>
      </w:r>
      <w:r>
        <w:rPr>
          <w:b/>
        </w:rPr>
        <w:t>733.</w:t>
      </w:r>
      <w:r>
        <w:tab/>
        <w:t>Deleted: No. 84 of 2004 s. 28.]</w:t>
      </w:r>
    </w:p>
    <w:p>
      <w:pPr>
        <w:pStyle w:val="Ednotesection"/>
        <w:ind w:left="890" w:hanging="890"/>
      </w:pPr>
      <w:r>
        <w:t>[</w:t>
      </w:r>
      <w:r>
        <w:rPr>
          <w:b/>
        </w:rPr>
        <w:t>734.</w:t>
      </w:r>
      <w:r>
        <w:tab/>
        <w:t>Deleted: No. 101 of 1990 s. 55.]</w:t>
      </w:r>
    </w:p>
    <w:p>
      <w:pPr>
        <w:pStyle w:val="Ednotesection"/>
        <w:ind w:left="890" w:hanging="890"/>
      </w:pPr>
      <w:r>
        <w:t>[</w:t>
      </w:r>
      <w:r>
        <w:rPr>
          <w:b/>
        </w:rPr>
        <w:t>735.</w:t>
      </w:r>
      <w:r>
        <w:rPr>
          <w:b/>
        </w:rPr>
        <w:tab/>
      </w:r>
      <w:r>
        <w:t>Deleted: No. 55 of 1963 s. 5.]</w:t>
      </w:r>
    </w:p>
    <w:p>
      <w:pPr>
        <w:pStyle w:val="Ednotesection"/>
        <w:ind w:left="890" w:hanging="890"/>
      </w:pPr>
      <w:r>
        <w:t>[</w:t>
      </w:r>
      <w:r>
        <w:rPr>
          <w:b/>
        </w:rPr>
        <w:t>736.</w:t>
      </w:r>
      <w:r>
        <w:tab/>
        <w:t>Deleted: No. 14 of 1992 s. 9.]</w:t>
      </w:r>
    </w:p>
    <w:p>
      <w:pPr>
        <w:pStyle w:val="Heading5"/>
        <w:rPr>
          <w:snapToGrid w:val="0"/>
        </w:rPr>
      </w:pPr>
      <w:bookmarkStart w:id="1296" w:name="_Toc103864690"/>
      <w:bookmarkStart w:id="1297" w:name="_Toc90996989"/>
      <w:r>
        <w:rPr>
          <w:rStyle w:val="CharSectno"/>
        </w:rPr>
        <w:t>737</w:t>
      </w:r>
      <w:r>
        <w:rPr>
          <w:snapToGrid w:val="0"/>
        </w:rPr>
        <w:t>.</w:t>
      </w:r>
      <w:r>
        <w:rPr>
          <w:snapToGrid w:val="0"/>
        </w:rPr>
        <w:tab/>
        <w:t>Saving of civil remedies</w:t>
      </w:r>
      <w:bookmarkEnd w:id="1296"/>
      <w:bookmarkEnd w:id="1297"/>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1298" w:name="_Toc103864691"/>
      <w:bookmarkStart w:id="1299" w:name="_Toc90996990"/>
      <w:r>
        <w:rPr>
          <w:rStyle w:val="CharSectno"/>
        </w:rPr>
        <w:t>738</w:t>
      </w:r>
      <w:r>
        <w:rPr>
          <w:snapToGrid w:val="0"/>
        </w:rPr>
        <w:t>.</w:t>
      </w:r>
      <w:r>
        <w:rPr>
          <w:snapToGrid w:val="0"/>
        </w:rPr>
        <w:tab/>
        <w:t>Answers and discovery tending to show Chapter XXXV or LV offence</w:t>
      </w:r>
      <w:bookmarkEnd w:id="1298"/>
      <w:bookmarkEnd w:id="1299"/>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180"/>
      </w:pPr>
      <w:bookmarkStart w:id="1300" w:name="_Toc103864692"/>
      <w:bookmarkStart w:id="1301" w:name="_Toc90996991"/>
      <w:r>
        <w:rPr>
          <w:rStyle w:val="CharSectno"/>
        </w:rPr>
        <w:t>739</w:t>
      </w:r>
      <w:r>
        <w:t>.</w:t>
      </w:r>
      <w:r>
        <w:tab/>
        <w:t>Review of law of homicide</w:t>
      </w:r>
      <w:bookmarkEnd w:id="1300"/>
      <w:bookmarkEnd w:id="1301"/>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No. 29 of 2008 s. 17.]</w:t>
      </w:r>
    </w:p>
    <w:p>
      <w:pPr>
        <w:pStyle w:val="Heading5"/>
        <w:spacing w:before="180"/>
      </w:pPr>
      <w:bookmarkStart w:id="1302" w:name="_Toc103864693"/>
      <w:bookmarkStart w:id="1303" w:name="_Toc90996992"/>
      <w:r>
        <w:rPr>
          <w:rStyle w:val="CharSectno"/>
        </w:rPr>
        <w:t>740A</w:t>
      </w:r>
      <w:r>
        <w:t>.</w:t>
      </w:r>
      <w:r>
        <w:tab/>
        <w:t>Review of certain amendments to s. 297 and 318</w:t>
      </w:r>
      <w:bookmarkEnd w:id="1302"/>
      <w:bookmarkEnd w:id="1303"/>
    </w:p>
    <w:p>
      <w:pPr>
        <w:pStyle w:val="Subsection"/>
        <w:spacing w:before="200"/>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spacing w:before="80"/>
        <w:ind w:left="890" w:hanging="890"/>
      </w:pPr>
      <w:r>
        <w:tab/>
        <w:t>[Section 740A inserted: No. 21 of 2009 s. 6]</w:t>
      </w:r>
    </w:p>
    <w:p>
      <w:pPr>
        <w:pStyle w:val="Heading5"/>
      </w:pPr>
      <w:bookmarkStart w:id="1304" w:name="_Toc103864694"/>
      <w:bookmarkStart w:id="1305" w:name="_Toc90996993"/>
      <w:r>
        <w:rPr>
          <w:rStyle w:val="CharSectno"/>
        </w:rPr>
        <w:t>740B</w:t>
      </w:r>
      <w:r>
        <w:t>.</w:t>
      </w:r>
      <w:r>
        <w:tab/>
        <w:t>Review of certain amendments relating to home burglary</w:t>
      </w:r>
      <w:bookmarkEnd w:id="1304"/>
      <w:bookmarkEnd w:id="1305"/>
      <w:r>
        <w:t xml:space="preserve"> </w:t>
      </w:r>
    </w:p>
    <w:p>
      <w:pPr>
        <w:pStyle w:val="Subsection"/>
      </w:pPr>
      <w:r>
        <w:tab/>
        <w:t>(1)</w:t>
      </w:r>
      <w:r>
        <w:tab/>
        <w:t xml:space="preserve">In this section — </w:t>
      </w:r>
    </w:p>
    <w:p>
      <w:pPr>
        <w:pStyle w:val="Defstart"/>
      </w:pPr>
      <w:r>
        <w:tab/>
      </w:r>
      <w:r>
        <w:rPr>
          <w:rStyle w:val="CharDefText"/>
        </w:rPr>
        <w:t>review date</w:t>
      </w:r>
      <w:r>
        <w:t xml:space="preserve"> means the fifth anniversary of the day on which the </w:t>
      </w:r>
      <w:r>
        <w:rPr>
          <w:i/>
        </w:rPr>
        <w:t>Criminal Law Amendment (Home Burglary and Other Offences) Act 2015</w:t>
      </w:r>
      <w:r>
        <w:t xml:space="preserve"> section 4 comes into operation.</w:t>
      </w:r>
    </w:p>
    <w:p>
      <w:pPr>
        <w:pStyle w:val="Subsection"/>
      </w:pPr>
      <w:r>
        <w:tab/>
        <w:t>(2)</w:t>
      </w:r>
      <w:r>
        <w:tab/>
        <w:t xml:space="preserve">As soon as practicable after the review date the Minister is to review the operation and effectiveness of — </w:t>
      </w:r>
    </w:p>
    <w:p>
      <w:pPr>
        <w:pStyle w:val="Indenta"/>
      </w:pPr>
      <w:r>
        <w:tab/>
        <w:t>(a)</w:t>
      </w:r>
      <w:r>
        <w:tab/>
        <w:t xml:space="preserve">the amendments made to this Code by the </w:t>
      </w:r>
      <w:r>
        <w:rPr>
          <w:i/>
        </w:rPr>
        <w:t xml:space="preserve">Criminal Law Amendment (Home Burglary and Other Offences) Act 2015 </w:t>
      </w:r>
      <w:r>
        <w:t>Part 2 Divisions 2 and 3; and</w:t>
      </w:r>
    </w:p>
    <w:p>
      <w:pPr>
        <w:pStyle w:val="Indenta"/>
      </w:pPr>
      <w:r>
        <w:tab/>
        <w:t>(b)</w:t>
      </w:r>
      <w:r>
        <w:tab/>
        <w:t xml:space="preserve">the amendment made to the </w:t>
      </w:r>
      <w:r>
        <w:rPr>
          <w:i/>
        </w:rPr>
        <w:t>Sentencing Act 1995</w:t>
      </w:r>
      <w:r>
        <w:t xml:space="preserve"> by the </w:t>
      </w:r>
      <w:r>
        <w:rPr>
          <w:i/>
        </w:rPr>
        <w:t xml:space="preserve">Criminal Law Amendment (Home Burglary and Other Offences) Act 2015 </w:t>
      </w:r>
      <w:r>
        <w:t>Part 3.</w:t>
      </w:r>
    </w:p>
    <w:p>
      <w:pPr>
        <w:pStyle w:val="Subsection"/>
      </w:pPr>
      <w:r>
        <w:tab/>
        <w:t>(3)</w:t>
      </w:r>
      <w:r>
        <w:tab/>
        <w:t>The Minister is to cause a report of the review to be laid before each House of Parliament as soon as practicable after it is done.</w:t>
      </w:r>
    </w:p>
    <w:p>
      <w:pPr>
        <w:pStyle w:val="Footnotesection"/>
      </w:pPr>
      <w:r>
        <w:tab/>
        <w:t>[Section 740B inserted: No. 25 of 2015 s. 22.]</w:t>
      </w:r>
    </w:p>
    <w:p>
      <w:pPr>
        <w:pStyle w:val="Heading5"/>
      </w:pPr>
      <w:bookmarkStart w:id="1306" w:name="_Toc103864695"/>
      <w:bookmarkStart w:id="1307" w:name="_Toc90996994"/>
      <w:r>
        <w:rPr>
          <w:rStyle w:val="CharSectno"/>
        </w:rPr>
        <w:t>740C</w:t>
      </w:r>
      <w:r>
        <w:t>.</w:t>
      </w:r>
      <w:r>
        <w:tab/>
        <w:t xml:space="preserve">Review of amendments made by </w:t>
      </w:r>
      <w:r>
        <w:rPr>
          <w:i/>
          <w:iCs/>
        </w:rPr>
        <w:t>Family Violence Legislation Reform Act 2020</w:t>
      </w:r>
      <w:bookmarkEnd w:id="1306"/>
      <w:bookmarkEnd w:id="1307"/>
    </w:p>
    <w:p>
      <w:pPr>
        <w:pStyle w:val="Subsection"/>
      </w:pPr>
      <w:r>
        <w:tab/>
        <w:t>(1)</w:t>
      </w:r>
      <w:r>
        <w:tab/>
        <w:t xml:space="preserve">The Minister must review the operation and effectiveness of the amendments made to this Act by the </w:t>
      </w:r>
      <w:r>
        <w:rPr>
          <w:i/>
          <w:iCs/>
        </w:rPr>
        <w:t>Family Violence Legislation Reform Act 2020</w:t>
      </w:r>
      <w:r>
        <w:t>, and prepare a report based on the review, as soon as practicable after the 3</w:t>
      </w:r>
      <w:r>
        <w:rPr>
          <w:vertAlign w:val="superscript"/>
        </w:rPr>
        <w:t xml:space="preserve">rd </w:t>
      </w:r>
      <w:r>
        <w:t xml:space="preserve">anniversary of the day on which the </w:t>
      </w:r>
      <w:r>
        <w:rPr>
          <w:i/>
          <w:iCs/>
        </w:rPr>
        <w:t>Family Violence Legislation Reform Act 2020</w:t>
      </w:r>
      <w:r>
        <w:t xml:space="preserve"> section 3 comes</w:t>
      </w:r>
      <w:r>
        <w:rPr>
          <w:iCs/>
        </w:rPr>
        <w:t xml:space="preserve"> </w:t>
      </w:r>
      <w:r>
        <w:t>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 xml:space="preserve">rd </w:t>
      </w:r>
      <w:r>
        <w:t>anniversary.</w:t>
      </w:r>
    </w:p>
    <w:p>
      <w:pPr>
        <w:pStyle w:val="Subsection"/>
      </w:pPr>
      <w:r>
        <w:tab/>
        <w:t>(3)</w:t>
      </w:r>
      <w:r>
        <w:tab/>
        <w:t>The Minister must transmit a copy of the report to the Clerk of a House of Parliament if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Footnotesection"/>
      </w:pPr>
      <w:r>
        <w:tab/>
        <w:t>[Section 740C inserted: No. 30 of 2020 s. 12.]</w:t>
      </w:r>
    </w:p>
    <w:p>
      <w:pPr>
        <w:pStyle w:val="Heading5"/>
      </w:pPr>
      <w:bookmarkStart w:id="1308" w:name="_Toc103864696"/>
      <w:bookmarkStart w:id="1309" w:name="_Toc90996995"/>
      <w:r>
        <w:rPr>
          <w:rStyle w:val="CharSectno"/>
        </w:rPr>
        <w:t>740</w:t>
      </w:r>
      <w:r>
        <w:t>.</w:t>
      </w:r>
      <w:r>
        <w:tab/>
        <w:t>Transitional provisions (Sch. 1)</w:t>
      </w:r>
      <w:bookmarkEnd w:id="1308"/>
      <w:bookmarkEnd w:id="1309"/>
    </w:p>
    <w:p>
      <w:pPr>
        <w:pStyle w:val="Subsection"/>
      </w:pPr>
      <w:r>
        <w:tab/>
      </w:r>
      <w:r>
        <w:tab/>
        <w:t>Schedule 1 sets out transitional provisions.</w:t>
      </w:r>
    </w:p>
    <w:p>
      <w:pPr>
        <w:pStyle w:val="Footnotesection"/>
      </w:pPr>
      <w:r>
        <w:tab/>
        <w:t>[Section 740 inserted: No. 29 of 2008 s. 17.]</w:t>
      </w:r>
    </w:p>
    <w:p>
      <w:pPr>
        <w:pStyle w:val="Ednotesection"/>
        <w:ind w:left="890" w:hanging="890"/>
      </w:pPr>
      <w:r>
        <w:t>[</w:t>
      </w:r>
      <w:r>
        <w:rPr>
          <w:b/>
        </w:rPr>
        <w:t>741.</w:t>
      </w:r>
      <w:r>
        <w:rPr>
          <w:bCs/>
        </w:rPr>
        <w:tab/>
      </w:r>
      <w:r>
        <w:t>Deleted: No. 84 of 2004 s. 28.]</w:t>
      </w:r>
    </w:p>
    <w:p>
      <w:pPr>
        <w:pStyle w:val="Ednotesection"/>
      </w:pPr>
      <w:r>
        <w:t>[</w:t>
      </w:r>
      <w:r>
        <w:rPr>
          <w:b/>
          <w:bCs/>
        </w:rPr>
        <w:t>742, 743.</w:t>
      </w:r>
      <w:r>
        <w:tab/>
        <w:t>Deleted: No. 59 of 2004 s. 80.]</w:t>
      </w:r>
    </w:p>
    <w:p>
      <w:pPr>
        <w:pStyle w:val="Ednotesection"/>
        <w:ind w:left="890" w:hanging="890"/>
      </w:pPr>
      <w:r>
        <w:t>[</w:t>
      </w:r>
      <w:r>
        <w:rPr>
          <w:b/>
        </w:rPr>
        <w:t>744</w:t>
      </w:r>
      <w:r>
        <w:rPr>
          <w:b/>
        </w:rPr>
        <w:noBreakHyphen/>
        <w:t>746, 746A, 747.</w:t>
      </w:r>
      <w:r>
        <w:rPr>
          <w:bCs/>
        </w:rPr>
        <w:tab/>
      </w:r>
      <w:r>
        <w:t>Deleted: No. 84 of 2004 s. 28.]</w:t>
      </w:r>
    </w:p>
    <w:p>
      <w:pPr>
        <w:pStyle w:val="Ednotesection"/>
      </w:pPr>
      <w:r>
        <w:t>[</w:t>
      </w:r>
      <w:r>
        <w:rPr>
          <w:b/>
        </w:rPr>
        <w:t>748.</w:t>
      </w:r>
      <w:r>
        <w:tab/>
        <w:t>Deleted: No. 32 of 1918 s. 34.]</w:t>
      </w:r>
    </w:p>
    <w:p>
      <w:pPr>
        <w:sectPr>
          <w:headerReference w:type="even" r:id="rId31"/>
          <w:headerReference w:type="default" r:id="rId32"/>
          <w:pgSz w:w="11907" w:h="16840" w:code="9"/>
          <w:pgMar w:top="2376" w:right="2404" w:bottom="3544" w:left="2404" w:header="709" w:footer="3380" w:gutter="0"/>
          <w:cols w:space="720"/>
          <w:noEndnote/>
          <w:docGrid w:linePitch="326"/>
        </w:sectPr>
      </w:pPr>
    </w:p>
    <w:p>
      <w:pPr>
        <w:pStyle w:val="yScheduleHeading"/>
      </w:pPr>
      <w:bookmarkStart w:id="1310" w:name="_Toc103861171"/>
      <w:bookmarkStart w:id="1311" w:name="_Toc103861693"/>
      <w:bookmarkStart w:id="1312" w:name="_Toc103864697"/>
      <w:bookmarkStart w:id="1313" w:name="_Toc90988985"/>
      <w:bookmarkStart w:id="1314" w:name="_Toc90989507"/>
      <w:bookmarkStart w:id="1315" w:name="_Toc90996996"/>
      <w:r>
        <w:rPr>
          <w:rStyle w:val="CharSchNo"/>
        </w:rPr>
        <w:t>Schedule 1</w:t>
      </w:r>
      <w:r>
        <w:t> — </w:t>
      </w:r>
      <w:r>
        <w:rPr>
          <w:rStyle w:val="CharSchText"/>
        </w:rPr>
        <w:t>Transitional provisions</w:t>
      </w:r>
      <w:bookmarkEnd w:id="1310"/>
      <w:bookmarkEnd w:id="1311"/>
      <w:bookmarkEnd w:id="1312"/>
      <w:bookmarkEnd w:id="1313"/>
      <w:bookmarkEnd w:id="1314"/>
      <w:bookmarkEnd w:id="1315"/>
    </w:p>
    <w:p>
      <w:pPr>
        <w:pStyle w:val="yShoulderClause"/>
      </w:pPr>
      <w:r>
        <w:t>[s. 740]</w:t>
      </w:r>
    </w:p>
    <w:p>
      <w:pPr>
        <w:pStyle w:val="yFootnoteheading"/>
      </w:pPr>
      <w:r>
        <w:tab/>
        <w:t>[Heading inserted: No. 29 of 2008 s. 17.]</w:t>
      </w:r>
    </w:p>
    <w:p>
      <w:pPr>
        <w:pStyle w:val="yHeading5"/>
        <w:spacing w:before="200"/>
      </w:pPr>
      <w:bookmarkStart w:id="1316" w:name="_Toc103864698"/>
      <w:bookmarkStart w:id="1317" w:name="_Toc90996997"/>
      <w:r>
        <w:rPr>
          <w:rStyle w:val="CharSClsNo"/>
        </w:rPr>
        <w:t>1</w:t>
      </w:r>
      <w:r>
        <w:t>.</w:t>
      </w:r>
      <w:r>
        <w:rPr>
          <w:b w:val="0"/>
        </w:rPr>
        <w:tab/>
      </w:r>
      <w:r>
        <w:t>Terms used</w:t>
      </w:r>
      <w:bookmarkEnd w:id="1316"/>
      <w:bookmarkEnd w:id="1317"/>
      <w:r>
        <w:t xml:space="preserve"> </w:t>
      </w:r>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No. 29 of 2008 s. 17.]</w:t>
      </w:r>
    </w:p>
    <w:p>
      <w:pPr>
        <w:pStyle w:val="yHeading5"/>
        <w:spacing w:before="200"/>
      </w:pPr>
      <w:bookmarkStart w:id="1318" w:name="_Toc103864699"/>
      <w:bookmarkStart w:id="1319" w:name="_Toc90996998"/>
      <w:r>
        <w:rPr>
          <w:rStyle w:val="CharSClsNo"/>
        </w:rPr>
        <w:t>2</w:t>
      </w:r>
      <w:r>
        <w:t>.</w:t>
      </w:r>
      <w:r>
        <w:rPr>
          <w:b w:val="0"/>
        </w:rPr>
        <w:tab/>
      </w:r>
      <w:r>
        <w:t>Acts or omissions committed before 1 Aug 2008</w:t>
      </w:r>
      <w:bookmarkEnd w:id="1318"/>
      <w:bookmarkEnd w:id="1319"/>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r>
        <w:tab/>
        <w:t>[Clause 2 inserted: No. 29 of 2008 s. 17.]</w:t>
      </w:r>
    </w:p>
    <w:p>
      <w:pPr>
        <w:pStyle w:val="yHeading5"/>
        <w:keepNext w:val="0"/>
        <w:keepLines w:val="0"/>
        <w:spacing w:before="200"/>
      </w:pPr>
      <w:bookmarkStart w:id="1320" w:name="_Toc103864700"/>
      <w:bookmarkStart w:id="1321" w:name="_Toc90996999"/>
      <w:r>
        <w:rPr>
          <w:rStyle w:val="CharSClsNo"/>
        </w:rPr>
        <w:t>3</w:t>
      </w:r>
      <w:r>
        <w:t>.</w:t>
      </w:r>
      <w:r>
        <w:rPr>
          <w:b w:val="0"/>
        </w:rPr>
        <w:tab/>
      </w:r>
      <w:r>
        <w:t>Offenders serving life term at 1 Aug 2008</w:t>
      </w:r>
      <w:bookmarkEnd w:id="1320"/>
      <w:bookmarkEnd w:id="1321"/>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Footnotesection"/>
      </w:pPr>
      <w:r>
        <w:tab/>
        <w:t>[Clause 3 inserted: No. 29 of 2008 s. 17; amended: No. 45 of 2016 s. 17.]</w:t>
      </w:r>
    </w:p>
    <w:p>
      <w:pPr>
        <w:pStyle w:val="yHeading5"/>
      </w:pPr>
      <w:bookmarkStart w:id="1322" w:name="_Toc103864701"/>
      <w:bookmarkStart w:id="1323" w:name="_Toc90997000"/>
      <w:r>
        <w:rPr>
          <w:rStyle w:val="CharSClsNo"/>
        </w:rPr>
        <w:t>4</w:t>
      </w:r>
      <w:r>
        <w:t>.</w:t>
      </w:r>
      <w:r>
        <w:tab/>
        <w:t xml:space="preserve">Transitional provisions for </w:t>
      </w:r>
      <w:r>
        <w:rPr>
          <w:i/>
        </w:rPr>
        <w:t>Criminal Law (Unlawful Consorting and Prohibited Insignia) Act 2021</w:t>
      </w:r>
      <w:bookmarkEnd w:id="1322"/>
      <w:bookmarkEnd w:id="1323"/>
    </w:p>
    <w:p>
      <w:pPr>
        <w:pStyle w:val="ySubsection"/>
      </w:pPr>
      <w:r>
        <w:tab/>
        <w:t>(1)</w:t>
      </w:r>
      <w:r>
        <w:tab/>
        <w:t xml:space="preserve">In this clause — </w:t>
      </w:r>
    </w:p>
    <w:p>
      <w:pPr>
        <w:pStyle w:val="yDefstart"/>
      </w:pPr>
      <w:r>
        <w:tab/>
      </w:r>
      <w:r>
        <w:rPr>
          <w:rStyle w:val="CharDefText"/>
        </w:rPr>
        <w:t>transitional period</w:t>
      </w:r>
      <w:r>
        <w:t xml:space="preserve"> means the period — </w:t>
      </w:r>
    </w:p>
    <w:p>
      <w:pPr>
        <w:pStyle w:val="yDefpara"/>
      </w:pPr>
      <w:r>
        <w:tab/>
        <w:t>(a)</w:t>
      </w:r>
      <w:r>
        <w:tab/>
        <w:t xml:space="preserve">beginning on the day on which the </w:t>
      </w:r>
      <w:r>
        <w:rPr>
          <w:i/>
        </w:rPr>
        <w:t>Criminal Law (Unlawful Consorting and Prohibited Insignia) Act 2021</w:t>
      </w:r>
      <w:r>
        <w:t xml:space="preserve"> section 9 comes into operation; and</w:t>
      </w:r>
    </w:p>
    <w:p>
      <w:pPr>
        <w:pStyle w:val="yDefpara"/>
      </w:pPr>
      <w:r>
        <w:tab/>
        <w:t>(b)</w:t>
      </w:r>
      <w:r>
        <w:tab/>
        <w:t xml:space="preserve">ending on the day on which the </w:t>
      </w:r>
      <w:r>
        <w:rPr>
          <w:i/>
        </w:rPr>
        <w:t>Criminal Law (Unlawful Consorting and Prohibited Insignia) Act 2021</w:t>
      </w:r>
      <w:r>
        <w:t xml:space="preserve"> section 67 comes into operation.</w:t>
      </w:r>
    </w:p>
    <w:p>
      <w:pPr>
        <w:pStyle w:val="ySubsection"/>
      </w:pPr>
      <w:r>
        <w:tab/>
        <w:t>(2)</w:t>
      </w:r>
      <w:r>
        <w:tab/>
        <w:t>A police officer cannot give a warning under section 557K(4) of this Code during the transitional period.</w:t>
      </w:r>
    </w:p>
    <w:p>
      <w:pPr>
        <w:pStyle w:val="ySubsection"/>
      </w:pPr>
      <w:r>
        <w:tab/>
        <w:t>(3)</w:t>
      </w:r>
      <w:r>
        <w:tab/>
        <w:t xml:space="preserve">If an unlawful consorting notice, as defined in the </w:t>
      </w:r>
      <w:r>
        <w:rPr>
          <w:i/>
        </w:rPr>
        <w:t>Criminal Law (Unlawful Consorting and Prohibited Insignia) Act 2021</w:t>
      </w:r>
      <w:r>
        <w:t xml:space="preserve"> section 3, is issued during the transitional period in respect of a person to whom a warning has been given under section 557K(4) of this Code, the warning ceases to have effect for the purposes of section 557K(4). </w:t>
      </w:r>
    </w:p>
    <w:p>
      <w:pPr>
        <w:pStyle w:val="yFootnotesection"/>
      </w:pPr>
      <w:r>
        <w:tab/>
        <w:t>[Clause 4 inserted: No. 25 of 2021 s. 68.]</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4"/>
          <w:headerReference w:type="default" r:id="rId35"/>
          <w:pgSz w:w="11907" w:h="16840" w:code="9"/>
          <w:pgMar w:top="2376" w:right="2405" w:bottom="3542" w:left="2405" w:header="706" w:footer="3380" w:gutter="0"/>
          <w:cols w:space="720"/>
          <w:noEndnote/>
          <w:docGrid w:linePitch="326"/>
        </w:sectPr>
      </w:pPr>
    </w:p>
    <w:p>
      <w:pPr>
        <w:pStyle w:val="nHeading2"/>
      </w:pPr>
      <w:bookmarkStart w:id="1325" w:name="_Toc103861176"/>
      <w:bookmarkStart w:id="1326" w:name="_Toc103861698"/>
      <w:bookmarkStart w:id="1327" w:name="_Toc103864702"/>
      <w:bookmarkStart w:id="1328" w:name="_Toc90988989"/>
      <w:bookmarkStart w:id="1329" w:name="_Toc90989512"/>
      <w:bookmarkStart w:id="1330" w:name="_Toc90997001"/>
      <w:r>
        <w:t>Notes</w:t>
      </w:r>
      <w:bookmarkEnd w:id="1325"/>
      <w:bookmarkEnd w:id="1326"/>
      <w:bookmarkEnd w:id="1327"/>
      <w:bookmarkEnd w:id="1328"/>
      <w:bookmarkEnd w:id="1329"/>
      <w:bookmarkEnd w:id="1330"/>
    </w:p>
    <w:p>
      <w:pPr>
        <w:pStyle w:val="nStatement"/>
      </w:pPr>
      <w:r>
        <w:t xml:space="preserve">This is a compilation of the </w:t>
      </w:r>
      <w:r>
        <w:rPr>
          <w:i/>
          <w:noProof/>
        </w:rPr>
        <w:t xml:space="preserve">Criminal </w:t>
      </w:r>
      <w:r>
        <w:rPr>
          <w:i/>
        </w:rPr>
        <w:t>Code Act Compilation Act 1913</w:t>
      </w:r>
      <w:r>
        <w:t xml:space="preserve"> and includes amendments made by other written laws</w:t>
      </w:r>
      <w:r>
        <w:rPr>
          <w:snapToGrid w:val="0"/>
          <w:vertAlign w:val="superscript"/>
        </w:rPr>
        <w:t> 7</w:t>
      </w:r>
      <w:r>
        <w:t>. For provisions that have come into operation, and for information about any reprints, see the compilation table. For provisions that have not yet come into operation see the uncommenced provisions table.</w:t>
      </w:r>
    </w:p>
    <w:p>
      <w:pPr>
        <w:pStyle w:val="nHeading3"/>
      </w:pPr>
      <w:bookmarkStart w:id="1331" w:name="_Toc103864703"/>
      <w:bookmarkStart w:id="1332" w:name="_Toc90997002"/>
      <w:r>
        <w:t>Compilation table</w:t>
      </w:r>
      <w:bookmarkEnd w:id="1331"/>
      <w:bookmarkEnd w:id="1332"/>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Act Compilation Act 1913</w:t>
            </w:r>
            <w:r>
              <w:rPr>
                <w:vertAlign w:val="superscript"/>
              </w:rPr>
              <w:t> 8</w:t>
            </w:r>
          </w:p>
        </w:tc>
        <w:tc>
          <w:tcPr>
            <w:tcW w:w="1134" w:type="dxa"/>
          </w:tcPr>
          <w:p>
            <w:pPr>
              <w:pStyle w:val="nTable"/>
              <w:spacing w:after="40"/>
            </w:pPr>
            <w:r>
              <w:t xml:space="preserve">28 of 1913 </w:t>
            </w:r>
            <w:r>
              <w:rPr>
                <w:color w:val="000000"/>
              </w:rPr>
              <w:t>(4 Geo. V No. 28)</w:t>
            </w:r>
          </w:p>
        </w:tc>
        <w:tc>
          <w:tcPr>
            <w:tcW w:w="1134" w:type="dxa"/>
          </w:tcPr>
          <w:p>
            <w:pPr>
              <w:pStyle w:val="nTable"/>
              <w:spacing w:after="40"/>
            </w:pPr>
            <w:r>
              <w:t>30 Dec 1913</w:t>
            </w:r>
          </w:p>
        </w:tc>
        <w:tc>
          <w:tcPr>
            <w:tcW w:w="2552" w:type="dxa"/>
          </w:tcPr>
          <w:p>
            <w:pPr>
              <w:pStyle w:val="nTable"/>
              <w:spacing w:after="40"/>
            </w:pPr>
            <w:r>
              <w:t>1 Jan 1914 (see s. 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1918</w:t>
            </w:r>
          </w:p>
        </w:tc>
        <w:tc>
          <w:tcPr>
            <w:tcW w:w="1134" w:type="dxa"/>
          </w:tcPr>
          <w:p>
            <w:pPr>
              <w:pStyle w:val="nTable"/>
              <w:spacing w:after="40"/>
            </w:pPr>
            <w:r>
              <w:t>32 of 1918</w:t>
            </w:r>
            <w:r>
              <w:rPr>
                <w:color w:val="000000"/>
              </w:rPr>
              <w:t xml:space="preserve"> (9 Geo. V No. 22)</w:t>
            </w:r>
          </w:p>
        </w:tc>
        <w:tc>
          <w:tcPr>
            <w:tcW w:w="1134" w:type="dxa"/>
          </w:tcPr>
          <w:p>
            <w:pPr>
              <w:pStyle w:val="nTable"/>
              <w:spacing w:after="40"/>
            </w:pPr>
            <w:r>
              <w:t>24 Dec 1918</w:t>
            </w:r>
          </w:p>
        </w:tc>
        <w:tc>
          <w:tcPr>
            <w:tcW w:w="2552" w:type="dxa"/>
          </w:tcPr>
          <w:p>
            <w:pPr>
              <w:pStyle w:val="nTable"/>
              <w:spacing w:after="40"/>
            </w:pPr>
            <w:r>
              <w:t>24 Dec 1918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(Chapter XXXVII) Amendment Act 1932</w:t>
            </w:r>
          </w:p>
        </w:tc>
        <w:tc>
          <w:tcPr>
            <w:tcW w:w="1134" w:type="dxa"/>
          </w:tcPr>
          <w:p>
            <w:pPr>
              <w:pStyle w:val="nTable"/>
              <w:spacing w:after="40"/>
            </w:pPr>
            <w:r>
              <w:t xml:space="preserve">51 of 1932 </w:t>
            </w:r>
            <w:r>
              <w:rPr>
                <w:color w:val="000000"/>
              </w:rPr>
              <w:t>(23 Geo. V No. 51)</w:t>
            </w:r>
          </w:p>
        </w:tc>
        <w:tc>
          <w:tcPr>
            <w:tcW w:w="1134" w:type="dxa"/>
          </w:tcPr>
          <w:p>
            <w:pPr>
              <w:pStyle w:val="nTable"/>
              <w:spacing w:after="40"/>
            </w:pPr>
            <w:r>
              <w:t>30 Dec 1932</w:t>
            </w:r>
          </w:p>
        </w:tc>
        <w:tc>
          <w:tcPr>
            <w:tcW w:w="2552" w:type="dxa"/>
          </w:tcPr>
          <w:p>
            <w:pPr>
              <w:pStyle w:val="nTable"/>
              <w:spacing w:after="40"/>
            </w:pPr>
            <w:r>
              <w:t>30 Dec 1932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1942</w:t>
            </w:r>
          </w:p>
        </w:tc>
        <w:tc>
          <w:tcPr>
            <w:tcW w:w="1134" w:type="dxa"/>
          </w:tcPr>
          <w:p>
            <w:pPr>
              <w:pStyle w:val="nTable"/>
              <w:spacing w:after="40"/>
            </w:pPr>
            <w:r>
              <w:t>15 of 1942</w:t>
            </w:r>
            <w:r>
              <w:rPr>
                <w:color w:val="000000"/>
              </w:rPr>
              <w:t xml:space="preserve"> (6 Geo. VI No. 15)</w:t>
            </w:r>
          </w:p>
        </w:tc>
        <w:tc>
          <w:tcPr>
            <w:tcW w:w="1134" w:type="dxa"/>
          </w:tcPr>
          <w:p>
            <w:pPr>
              <w:pStyle w:val="nTable"/>
              <w:spacing w:after="40"/>
            </w:pPr>
            <w:r>
              <w:t>26 Nov 1942</w:t>
            </w:r>
          </w:p>
        </w:tc>
        <w:tc>
          <w:tcPr>
            <w:tcW w:w="2552" w:type="dxa"/>
          </w:tcPr>
          <w:p>
            <w:pPr>
              <w:pStyle w:val="nTable"/>
              <w:spacing w:after="40"/>
            </w:pPr>
            <w:r>
              <w:t>26 Nov 1942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1945</w:t>
            </w:r>
          </w:p>
        </w:tc>
        <w:tc>
          <w:tcPr>
            <w:tcW w:w="1134" w:type="dxa"/>
          </w:tcPr>
          <w:p>
            <w:pPr>
              <w:pStyle w:val="nTable"/>
              <w:spacing w:after="40"/>
            </w:pPr>
            <w:r>
              <w:t xml:space="preserve">40 of 1945 </w:t>
            </w:r>
            <w:r>
              <w:rPr>
                <w:color w:val="000000"/>
              </w:rPr>
              <w:t>(9 &amp; 10 Geo. VI No. 40)</w:t>
            </w:r>
          </w:p>
        </w:tc>
        <w:tc>
          <w:tcPr>
            <w:tcW w:w="1134" w:type="dxa"/>
          </w:tcPr>
          <w:p>
            <w:pPr>
              <w:pStyle w:val="nTable"/>
              <w:spacing w:after="40"/>
            </w:pPr>
            <w:r>
              <w:t>30 Jan 1946</w:t>
            </w:r>
          </w:p>
        </w:tc>
        <w:tc>
          <w:tcPr>
            <w:tcW w:w="2552" w:type="dxa"/>
          </w:tcPr>
          <w:p>
            <w:pPr>
              <w:pStyle w:val="nTable"/>
              <w:spacing w:after="40"/>
            </w:pPr>
            <w:r>
              <w:t>30 Jan 1946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1952</w:t>
            </w:r>
          </w:p>
        </w:tc>
        <w:tc>
          <w:tcPr>
            <w:tcW w:w="1134" w:type="dxa"/>
          </w:tcPr>
          <w:p>
            <w:pPr>
              <w:pStyle w:val="nTable"/>
              <w:spacing w:after="40"/>
            </w:pPr>
            <w:r>
              <w:t xml:space="preserve">27 of 1952 </w:t>
            </w:r>
            <w:r>
              <w:rPr>
                <w:color w:val="000000"/>
              </w:rPr>
              <w:t>(1 Eliz. II No. 27)</w:t>
            </w:r>
          </w:p>
        </w:tc>
        <w:tc>
          <w:tcPr>
            <w:tcW w:w="1134" w:type="dxa"/>
          </w:tcPr>
          <w:p>
            <w:pPr>
              <w:pStyle w:val="nTable"/>
              <w:spacing w:after="40"/>
            </w:pPr>
            <w:r>
              <w:t>28 Nov 1952</w:t>
            </w:r>
          </w:p>
        </w:tc>
        <w:tc>
          <w:tcPr>
            <w:tcW w:w="2552" w:type="dxa"/>
          </w:tcPr>
          <w:p>
            <w:pPr>
              <w:pStyle w:val="nTable"/>
              <w:spacing w:after="40"/>
            </w:pPr>
            <w:r>
              <w:t>28 Nov 1952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1953</w:t>
            </w:r>
          </w:p>
        </w:tc>
        <w:tc>
          <w:tcPr>
            <w:tcW w:w="1134" w:type="dxa"/>
          </w:tcPr>
          <w:p>
            <w:pPr>
              <w:pStyle w:val="nTable"/>
              <w:spacing w:after="40"/>
            </w:pPr>
            <w:r>
              <w:t>55 of 1953</w:t>
            </w:r>
            <w:r>
              <w:rPr>
                <w:color w:val="000000"/>
              </w:rPr>
              <w:t xml:space="preserve"> (2 Eliz. II No. 55)</w:t>
            </w:r>
          </w:p>
        </w:tc>
        <w:tc>
          <w:tcPr>
            <w:tcW w:w="1134" w:type="dxa"/>
          </w:tcPr>
          <w:p>
            <w:pPr>
              <w:pStyle w:val="nTable"/>
              <w:spacing w:after="40"/>
            </w:pPr>
            <w:r>
              <w:t>9 Jan 1954</w:t>
            </w:r>
          </w:p>
        </w:tc>
        <w:tc>
          <w:tcPr>
            <w:tcW w:w="2552" w:type="dxa"/>
          </w:tcPr>
          <w:p>
            <w:pPr>
              <w:pStyle w:val="nTable"/>
              <w:spacing w:after="40"/>
            </w:pPr>
            <w:r>
              <w:t>9 Jan 1954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1954</w:t>
            </w:r>
          </w:p>
        </w:tc>
        <w:tc>
          <w:tcPr>
            <w:tcW w:w="1134" w:type="dxa"/>
          </w:tcPr>
          <w:p>
            <w:pPr>
              <w:pStyle w:val="nTable"/>
              <w:spacing w:after="40"/>
            </w:pPr>
            <w:r>
              <w:t xml:space="preserve">20 of 1954 </w:t>
            </w:r>
            <w:r>
              <w:rPr>
                <w:color w:val="000000"/>
              </w:rPr>
              <w:t>(3 Eliz. II No. 20)</w:t>
            </w:r>
          </w:p>
        </w:tc>
        <w:tc>
          <w:tcPr>
            <w:tcW w:w="1134" w:type="dxa"/>
          </w:tcPr>
          <w:p>
            <w:pPr>
              <w:pStyle w:val="nTable"/>
              <w:spacing w:after="40"/>
            </w:pPr>
            <w:r>
              <w:t>28 Sep 1954</w:t>
            </w:r>
          </w:p>
        </w:tc>
        <w:tc>
          <w:tcPr>
            <w:tcW w:w="2552" w:type="dxa"/>
          </w:tcPr>
          <w:p>
            <w:pPr>
              <w:pStyle w:val="nTable"/>
              <w:spacing w:after="40"/>
            </w:pPr>
            <w:r>
              <w:t>28 Sep 1954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Betting Control Act 1954 </w:t>
            </w:r>
            <w:r>
              <w:t>s. 5</w:t>
            </w:r>
          </w:p>
        </w:tc>
        <w:tc>
          <w:tcPr>
            <w:tcW w:w="1134" w:type="dxa"/>
          </w:tcPr>
          <w:p>
            <w:pPr>
              <w:pStyle w:val="nTable"/>
              <w:spacing w:after="40"/>
            </w:pPr>
            <w:r>
              <w:t xml:space="preserve">63 of 1954 </w:t>
            </w:r>
            <w:r>
              <w:rPr>
                <w:color w:val="000000"/>
              </w:rPr>
              <w:t>(3 Eliz. II No. 63)</w:t>
            </w:r>
          </w:p>
        </w:tc>
        <w:tc>
          <w:tcPr>
            <w:tcW w:w="1134" w:type="dxa"/>
          </w:tcPr>
          <w:p>
            <w:pPr>
              <w:pStyle w:val="nTable"/>
              <w:spacing w:after="40"/>
            </w:pPr>
            <w:r>
              <w:t>30 Dec 1954</w:t>
            </w:r>
          </w:p>
        </w:tc>
        <w:tc>
          <w:tcPr>
            <w:tcW w:w="2552" w:type="dxa"/>
          </w:tcPr>
          <w:p>
            <w:pPr>
              <w:pStyle w:val="nTable"/>
              <w:spacing w:after="40"/>
            </w:pPr>
            <w:r>
              <w:t xml:space="preserve">1 Aug 1955 (see s. 2(1) and </w:t>
            </w:r>
            <w:r>
              <w:rPr>
                <w:i/>
              </w:rPr>
              <w:t>Gazette</w:t>
            </w:r>
            <w:r>
              <w:t xml:space="preserve"> 29 Jul 1955 p. 1767)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Limitation Act 1935</w:t>
            </w:r>
            <w:r>
              <w:t xml:space="preserve"> s. 48A(1)</w:t>
            </w:r>
          </w:p>
        </w:tc>
        <w:tc>
          <w:tcPr>
            <w:tcW w:w="1134" w:type="dxa"/>
          </w:tcPr>
          <w:p>
            <w:pPr>
              <w:pStyle w:val="nTable"/>
              <w:spacing w:after="40"/>
            </w:pPr>
            <w:r>
              <w:t xml:space="preserve">35 of 1935 </w:t>
            </w:r>
            <w:r>
              <w:rPr>
                <w:color w:val="000000"/>
              </w:rPr>
              <w:t xml:space="preserve">(26 Geo. V No. 35) </w:t>
            </w:r>
            <w:r>
              <w:t>(as amended by No. 73 of 1954 s. 8)</w:t>
            </w:r>
          </w:p>
        </w:tc>
        <w:tc>
          <w:tcPr>
            <w:tcW w:w="1134" w:type="dxa"/>
          </w:tcPr>
          <w:p>
            <w:pPr>
              <w:pStyle w:val="nTable"/>
              <w:spacing w:after="40"/>
            </w:pPr>
            <w:r>
              <w:t>14 Jan 1955</w:t>
            </w:r>
          </w:p>
        </w:tc>
        <w:tc>
          <w:tcPr>
            <w:tcW w:w="2552" w:type="dxa"/>
          </w:tcPr>
          <w:p>
            <w:pPr>
              <w:pStyle w:val="nTable"/>
              <w:spacing w:after="40"/>
            </w:pPr>
            <w:r>
              <w:t>Relevant amendments (see s. 48A and Second Sch.</w:t>
            </w:r>
            <w:r>
              <w:rPr>
                <w:vertAlign w:val="superscript"/>
              </w:rPr>
              <w:t> 9</w:t>
            </w:r>
            <w:r>
              <w:t xml:space="preserve">) took effect on 1 Mar 1955 (see No. 73 of 1954 s. 2 and </w:t>
            </w:r>
            <w:r>
              <w:rPr>
                <w:i/>
              </w:rPr>
              <w:t>Gazette</w:t>
            </w:r>
            <w:r>
              <w:t xml:space="preserve"> 18 Feb 1955 p. 343)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29 Jun 1955 in Vol. 8 of Reprinted Acts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1956</w:t>
            </w:r>
          </w:p>
        </w:tc>
        <w:tc>
          <w:tcPr>
            <w:tcW w:w="1134" w:type="dxa"/>
          </w:tcPr>
          <w:p>
            <w:pPr>
              <w:pStyle w:val="nTable"/>
              <w:spacing w:after="40"/>
            </w:pPr>
            <w:r>
              <w:t>11 of 1956</w:t>
            </w:r>
            <w:r>
              <w:rPr>
                <w:color w:val="000000"/>
              </w:rPr>
              <w:t xml:space="preserve"> (5 Eliz. II No. 11)</w:t>
            </w:r>
          </w:p>
        </w:tc>
        <w:tc>
          <w:tcPr>
            <w:tcW w:w="1134" w:type="dxa"/>
          </w:tcPr>
          <w:p>
            <w:pPr>
              <w:pStyle w:val="nTable"/>
              <w:spacing w:after="40"/>
            </w:pPr>
            <w:r>
              <w:t>11 Oct 1956</w:t>
            </w:r>
          </w:p>
        </w:tc>
        <w:tc>
          <w:tcPr>
            <w:tcW w:w="2552" w:type="dxa"/>
          </w:tcPr>
          <w:p>
            <w:pPr>
              <w:pStyle w:val="nTable"/>
              <w:spacing w:after="40"/>
            </w:pPr>
            <w:r>
              <w:t>11 Oct 1956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1956</w:t>
            </w:r>
          </w:p>
        </w:tc>
        <w:tc>
          <w:tcPr>
            <w:tcW w:w="1134" w:type="dxa"/>
          </w:tcPr>
          <w:p>
            <w:pPr>
              <w:pStyle w:val="nTable"/>
              <w:spacing w:after="40"/>
            </w:pPr>
            <w:r>
              <w:t>43 of 1956</w:t>
            </w:r>
            <w:r>
              <w:rPr>
                <w:color w:val="000000"/>
              </w:rPr>
              <w:t xml:space="preserve"> (5 Eliz. II No. 43)</w:t>
            </w:r>
          </w:p>
        </w:tc>
        <w:tc>
          <w:tcPr>
            <w:tcW w:w="1134" w:type="dxa"/>
          </w:tcPr>
          <w:p>
            <w:pPr>
              <w:pStyle w:val="nTable"/>
              <w:spacing w:after="40"/>
            </w:pPr>
            <w:r>
              <w:t>18 Dec 1956</w:t>
            </w:r>
          </w:p>
        </w:tc>
        <w:tc>
          <w:tcPr>
            <w:tcW w:w="2552" w:type="dxa"/>
          </w:tcPr>
          <w:p>
            <w:pPr>
              <w:pStyle w:val="nTable"/>
              <w:spacing w:after="40"/>
            </w:pPr>
            <w:r>
              <w:t>18 Dec 1956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Traffic Act Amendment Act (No. 3) 1956 </w:t>
            </w:r>
            <w:r>
              <w:t>s. 25(2)</w:t>
            </w:r>
          </w:p>
        </w:tc>
        <w:tc>
          <w:tcPr>
            <w:tcW w:w="1134" w:type="dxa"/>
          </w:tcPr>
          <w:p>
            <w:pPr>
              <w:pStyle w:val="nTable"/>
              <w:spacing w:after="40"/>
            </w:pPr>
            <w:r>
              <w:t>74 of 1956</w:t>
            </w:r>
            <w:r>
              <w:rPr>
                <w:color w:val="000000"/>
              </w:rPr>
              <w:t xml:space="preserve"> (5 Eliz. II No. 74)</w:t>
            </w:r>
          </w:p>
        </w:tc>
        <w:tc>
          <w:tcPr>
            <w:tcW w:w="1134" w:type="dxa"/>
          </w:tcPr>
          <w:p>
            <w:pPr>
              <w:pStyle w:val="nTable"/>
              <w:spacing w:after="40"/>
            </w:pPr>
            <w:r>
              <w:t>14 Jan 1957</w:t>
            </w:r>
          </w:p>
        </w:tc>
        <w:tc>
          <w:tcPr>
            <w:tcW w:w="2552" w:type="dxa"/>
          </w:tcPr>
          <w:p>
            <w:pPr>
              <w:pStyle w:val="nTable"/>
              <w:spacing w:after="40"/>
            </w:pPr>
            <w:r>
              <w:t>14 Jan 1957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Act 1957</w:t>
            </w:r>
            <w:r>
              <w:t xml:space="preserve"> s. 2</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52" w:type="dxa"/>
          </w:tcPr>
          <w:p>
            <w:pPr>
              <w:pStyle w:val="nTable"/>
              <w:spacing w:after="40"/>
            </w:pPr>
            <w:r>
              <w:t xml:space="preserve">1 Jul 1960 (see s. 1(2) and </w:t>
            </w:r>
            <w:r>
              <w:rPr>
                <w:i/>
              </w:rPr>
              <w:t>Gazette</w:t>
            </w:r>
            <w:r>
              <w:t xml:space="preserve"> 6 Mar 1959 p. 539)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1960</w:t>
            </w:r>
          </w:p>
        </w:tc>
        <w:tc>
          <w:tcPr>
            <w:tcW w:w="1134" w:type="dxa"/>
          </w:tcPr>
          <w:p>
            <w:pPr>
              <w:pStyle w:val="nTable"/>
              <w:spacing w:after="40"/>
            </w:pPr>
            <w:r>
              <w:t xml:space="preserve">25 of 1960 </w:t>
            </w:r>
            <w:r>
              <w:rPr>
                <w:color w:val="000000"/>
              </w:rPr>
              <w:t>(9 Eliz. II No. 25)</w:t>
            </w:r>
          </w:p>
        </w:tc>
        <w:tc>
          <w:tcPr>
            <w:tcW w:w="1134" w:type="dxa"/>
          </w:tcPr>
          <w:p>
            <w:pPr>
              <w:pStyle w:val="nTable"/>
              <w:spacing w:after="40"/>
            </w:pPr>
            <w:r>
              <w:t>21 Oct 1960</w:t>
            </w:r>
          </w:p>
        </w:tc>
        <w:tc>
          <w:tcPr>
            <w:tcW w:w="2552" w:type="dxa"/>
          </w:tcPr>
          <w:p>
            <w:pPr>
              <w:pStyle w:val="nTable"/>
              <w:spacing w:after="40"/>
            </w:pPr>
            <w:r>
              <w:t>21 Oct 1960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1961</w:t>
            </w:r>
          </w:p>
        </w:tc>
        <w:tc>
          <w:tcPr>
            <w:tcW w:w="1134" w:type="dxa"/>
          </w:tcPr>
          <w:p>
            <w:pPr>
              <w:pStyle w:val="nTable"/>
              <w:spacing w:after="40"/>
            </w:pPr>
            <w:r>
              <w:t>28 of 1961 (</w:t>
            </w:r>
            <w:r>
              <w:rPr>
                <w:color w:val="000000"/>
              </w:rPr>
              <w:t>10 Eliz. II No. 28)</w:t>
            </w:r>
          </w:p>
        </w:tc>
        <w:tc>
          <w:tcPr>
            <w:tcW w:w="1134" w:type="dxa"/>
          </w:tcPr>
          <w:p>
            <w:pPr>
              <w:pStyle w:val="nTable"/>
              <w:spacing w:after="40"/>
            </w:pPr>
            <w:r>
              <w:t>23 May 1962</w:t>
            </w:r>
          </w:p>
        </w:tc>
        <w:tc>
          <w:tcPr>
            <w:tcW w:w="2552" w:type="dxa"/>
          </w:tcPr>
          <w:p>
            <w:pPr>
              <w:pStyle w:val="nTable"/>
              <w:spacing w:after="40"/>
            </w:pPr>
            <w:r>
              <w:t xml:space="preserve">29 Jun 1962 (see </w:t>
            </w:r>
            <w:r>
              <w:rPr>
                <w:i/>
              </w:rPr>
              <w:t>Interpretation Act 1918</w:t>
            </w:r>
            <w:r>
              <w:t xml:space="preserve"> s. 8 and </w:t>
            </w:r>
            <w:r>
              <w:rPr>
                <w:i/>
              </w:rPr>
              <w:t>Gazette</w:t>
            </w:r>
            <w:r>
              <w:t xml:space="preserve"> 29 Jun 1962 p. 1657)</w:t>
            </w:r>
            <w:r>
              <w:br/>
              <w:t xml:space="preserve">Reserved for Royal Assent 31 Oct 1961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1962</w:t>
            </w:r>
            <w:r>
              <w:rPr>
                <w:vertAlign w:val="superscript"/>
              </w:rPr>
              <w:t> 10</w:t>
            </w:r>
          </w:p>
        </w:tc>
        <w:tc>
          <w:tcPr>
            <w:tcW w:w="1134" w:type="dxa"/>
          </w:tcPr>
          <w:p>
            <w:pPr>
              <w:pStyle w:val="nTable"/>
              <w:keepNext/>
              <w:keepLines/>
              <w:spacing w:after="40"/>
            </w:pPr>
            <w:r>
              <w:t xml:space="preserve">35 of 1962 </w:t>
            </w:r>
            <w:r>
              <w:rPr>
                <w:color w:val="000000"/>
              </w:rPr>
              <w:t>(11 Eliz. II No. 35)</w:t>
            </w:r>
          </w:p>
        </w:tc>
        <w:tc>
          <w:tcPr>
            <w:tcW w:w="1134" w:type="dxa"/>
          </w:tcPr>
          <w:p>
            <w:pPr>
              <w:pStyle w:val="nTable"/>
              <w:spacing w:after="40"/>
            </w:pPr>
            <w:r>
              <w:t>29 Oct 1962</w:t>
            </w:r>
          </w:p>
        </w:tc>
        <w:tc>
          <w:tcPr>
            <w:tcW w:w="2552" w:type="dxa"/>
          </w:tcPr>
          <w:p>
            <w:pPr>
              <w:pStyle w:val="nTable"/>
              <w:spacing w:after="40"/>
            </w:pPr>
            <w:r>
              <w:t xml:space="preserve">1 Jul 1966 (see s. 2 and </w:t>
            </w:r>
            <w:r>
              <w:rPr>
                <w:i/>
              </w:rPr>
              <w:t>Gazette</w:t>
            </w:r>
            <w:r>
              <w:t xml:space="preserve"> 11 Mar 1966 p. 701)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1963</w:t>
            </w:r>
          </w:p>
        </w:tc>
        <w:tc>
          <w:tcPr>
            <w:tcW w:w="1134" w:type="dxa"/>
          </w:tcPr>
          <w:p>
            <w:pPr>
              <w:pStyle w:val="nTable"/>
              <w:spacing w:after="40"/>
            </w:pPr>
            <w:r>
              <w:t xml:space="preserve">21 of 1963 </w:t>
            </w:r>
            <w:r>
              <w:rPr>
                <w:color w:val="000000"/>
              </w:rPr>
              <w:t>(12 Eliz. II No. 21)</w:t>
            </w:r>
          </w:p>
        </w:tc>
        <w:tc>
          <w:tcPr>
            <w:tcW w:w="1134" w:type="dxa"/>
          </w:tcPr>
          <w:p>
            <w:pPr>
              <w:pStyle w:val="nTable"/>
              <w:spacing w:after="40"/>
            </w:pPr>
            <w:r>
              <w:t xml:space="preserve">13 Nov 1963 </w:t>
            </w:r>
          </w:p>
        </w:tc>
        <w:tc>
          <w:tcPr>
            <w:tcW w:w="2552" w:type="dxa"/>
          </w:tcPr>
          <w:p>
            <w:pPr>
              <w:pStyle w:val="nTable"/>
              <w:spacing w:after="40"/>
            </w:pPr>
            <w:r>
              <w:t xml:space="preserve">1 Jan 1965 (see s. 2 and </w:t>
            </w:r>
            <w:r>
              <w:rPr>
                <w:i/>
              </w:rPr>
              <w:t>Gazette</w:t>
            </w:r>
            <w:r>
              <w:t xml:space="preserve"> 11 Dec 1964 p. 3995)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1963</w:t>
            </w:r>
          </w:p>
        </w:tc>
        <w:tc>
          <w:tcPr>
            <w:tcW w:w="1134" w:type="dxa"/>
          </w:tcPr>
          <w:p>
            <w:pPr>
              <w:pStyle w:val="nTable"/>
              <w:spacing w:after="40"/>
            </w:pPr>
            <w:r>
              <w:t xml:space="preserve">55 of 1963 </w:t>
            </w:r>
            <w:r>
              <w:rPr>
                <w:color w:val="000000"/>
              </w:rPr>
              <w:t>(12 Eliz. II No. 55)</w:t>
            </w:r>
          </w:p>
        </w:tc>
        <w:tc>
          <w:tcPr>
            <w:tcW w:w="1134" w:type="dxa"/>
          </w:tcPr>
          <w:p>
            <w:pPr>
              <w:pStyle w:val="nTable"/>
              <w:spacing w:after="40"/>
            </w:pPr>
            <w:r>
              <w:t>17 Dec 1963</w:t>
            </w:r>
          </w:p>
        </w:tc>
        <w:tc>
          <w:tcPr>
            <w:tcW w:w="2552" w:type="dxa"/>
          </w:tcPr>
          <w:p>
            <w:pPr>
              <w:pStyle w:val="nTable"/>
              <w:spacing w:after="40"/>
            </w:pPr>
            <w:r>
              <w:t xml:space="preserve">1 Jul 1964 (see s. 2 and </w:t>
            </w:r>
            <w:r>
              <w:rPr>
                <w:i/>
              </w:rPr>
              <w:t>Gazette</w:t>
            </w:r>
            <w:r>
              <w:t xml:space="preserve"> 26 Jun 1964 p. 2525)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Convicted Inebriates’ Rehabilitation Act 1963 </w:t>
            </w:r>
            <w:r>
              <w:t>s. 17</w:t>
            </w:r>
          </w:p>
        </w:tc>
        <w:tc>
          <w:tcPr>
            <w:tcW w:w="1134" w:type="dxa"/>
          </w:tcPr>
          <w:p>
            <w:pPr>
              <w:pStyle w:val="nTable"/>
              <w:spacing w:after="40"/>
            </w:pPr>
            <w:r>
              <w:t xml:space="preserve">63 of 1963 </w:t>
            </w:r>
            <w:r>
              <w:rPr>
                <w:color w:val="000000"/>
              </w:rPr>
              <w:t>(12 Eliz. II No. 63)</w:t>
            </w:r>
          </w:p>
        </w:tc>
        <w:tc>
          <w:tcPr>
            <w:tcW w:w="1134" w:type="dxa"/>
          </w:tcPr>
          <w:p>
            <w:pPr>
              <w:pStyle w:val="nTable"/>
              <w:spacing w:after="40"/>
            </w:pPr>
            <w:r>
              <w:t>18 Dec 1963</w:t>
            </w:r>
          </w:p>
        </w:tc>
        <w:tc>
          <w:tcPr>
            <w:tcW w:w="2552" w:type="dxa"/>
          </w:tcPr>
          <w:p>
            <w:pPr>
              <w:pStyle w:val="nTable"/>
              <w:spacing w:after="40"/>
            </w:pPr>
            <w:r>
              <w:t xml:space="preserve">1 Jul 1966 (see s. 2 and </w:t>
            </w:r>
            <w:r>
              <w:rPr>
                <w:i/>
              </w:rPr>
              <w:t>Gazette</w:t>
            </w:r>
            <w:r>
              <w:t xml:space="preserve"> 11 Mar 1966 p. 702)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Traffic Act Amendment Act (No. 3) 1963</w:t>
            </w:r>
            <w:r>
              <w:t xml:space="preserve"> s. 8</w:t>
            </w:r>
          </w:p>
        </w:tc>
        <w:tc>
          <w:tcPr>
            <w:tcW w:w="1134" w:type="dxa"/>
          </w:tcPr>
          <w:p>
            <w:pPr>
              <w:pStyle w:val="nTable"/>
              <w:spacing w:after="40"/>
            </w:pPr>
            <w:r>
              <w:t xml:space="preserve">74 of 1963 </w:t>
            </w:r>
            <w:r>
              <w:rPr>
                <w:color w:val="000000"/>
              </w:rPr>
              <w:t>(12 Eliz. II No. 74)</w:t>
            </w:r>
          </w:p>
        </w:tc>
        <w:tc>
          <w:tcPr>
            <w:tcW w:w="1134" w:type="dxa"/>
          </w:tcPr>
          <w:p>
            <w:pPr>
              <w:pStyle w:val="nTable"/>
              <w:spacing w:after="40"/>
            </w:pPr>
            <w:r>
              <w:t>19 Dec 1963</w:t>
            </w:r>
          </w:p>
        </w:tc>
        <w:tc>
          <w:tcPr>
            <w:tcW w:w="2552" w:type="dxa"/>
          </w:tcPr>
          <w:p>
            <w:pPr>
              <w:pStyle w:val="nTable"/>
              <w:spacing w:after="40"/>
            </w:pPr>
            <w:r>
              <w:t xml:space="preserve">1 Mar 1964 (see s. 2 and </w:t>
            </w:r>
            <w:r>
              <w:rPr>
                <w:i/>
              </w:rPr>
              <w:t>Gazette</w:t>
            </w:r>
            <w:r>
              <w:t xml:space="preserve"> 28 Feb 1964 p. 906)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1964</w:t>
            </w:r>
          </w:p>
        </w:tc>
        <w:tc>
          <w:tcPr>
            <w:tcW w:w="1134" w:type="dxa"/>
          </w:tcPr>
          <w:p>
            <w:pPr>
              <w:pStyle w:val="nTable"/>
              <w:spacing w:after="40"/>
            </w:pPr>
            <w:r>
              <w:t xml:space="preserve">53 of 1964 </w:t>
            </w:r>
            <w:r>
              <w:rPr>
                <w:color w:val="000000"/>
              </w:rPr>
              <w:t>(13 Eliz. II No. 53)</w:t>
            </w:r>
          </w:p>
        </w:tc>
        <w:tc>
          <w:tcPr>
            <w:tcW w:w="1134" w:type="dxa"/>
          </w:tcPr>
          <w:p>
            <w:pPr>
              <w:pStyle w:val="nTable"/>
              <w:spacing w:after="40"/>
            </w:pPr>
            <w:r>
              <w:t>30 Nov 1964</w:t>
            </w:r>
          </w:p>
        </w:tc>
        <w:tc>
          <w:tcPr>
            <w:tcW w:w="2552" w:type="dxa"/>
          </w:tcPr>
          <w:p>
            <w:pPr>
              <w:pStyle w:val="nTable"/>
              <w:spacing w:after="40"/>
            </w:pPr>
            <w:r>
              <w:t>30 Nov 1964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1965</w:t>
            </w:r>
          </w:p>
        </w:tc>
        <w:tc>
          <w:tcPr>
            <w:tcW w:w="1134" w:type="dxa"/>
          </w:tcPr>
          <w:p>
            <w:pPr>
              <w:pStyle w:val="nTable"/>
              <w:spacing w:after="40"/>
            </w:pPr>
            <w:r>
              <w:t>91 of 1965</w:t>
            </w:r>
          </w:p>
        </w:tc>
        <w:tc>
          <w:tcPr>
            <w:tcW w:w="1134" w:type="dxa"/>
          </w:tcPr>
          <w:p>
            <w:pPr>
              <w:pStyle w:val="nTable"/>
              <w:spacing w:after="40"/>
            </w:pPr>
            <w:r>
              <w:t>8 Dec 1965</w:t>
            </w:r>
          </w:p>
        </w:tc>
        <w:tc>
          <w:tcPr>
            <w:tcW w:w="2552" w:type="dxa"/>
          </w:tcPr>
          <w:p>
            <w:pPr>
              <w:pStyle w:val="nTable"/>
              <w:spacing w:after="40"/>
            </w:pPr>
            <w:r>
              <w:t>8 Dec 1965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w:t>
            </w:r>
            <w:r>
              <w:noBreakHyphen/>
              <w:t>9: 21 Dec 1965 (see s. 2(1));</w:t>
            </w:r>
            <w:r>
              <w:br/>
              <w:t>s. 4</w:t>
            </w:r>
            <w:r>
              <w:noBreakHyphen/>
              <w:t>9: 14 Feb 1966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1966</w:t>
            </w:r>
          </w:p>
        </w:tc>
        <w:tc>
          <w:tcPr>
            <w:tcW w:w="1134" w:type="dxa"/>
          </w:tcPr>
          <w:p>
            <w:pPr>
              <w:pStyle w:val="nTable"/>
              <w:spacing w:after="40"/>
            </w:pPr>
            <w:r>
              <w:t>89 of 1966</w:t>
            </w:r>
          </w:p>
        </w:tc>
        <w:tc>
          <w:tcPr>
            <w:tcW w:w="1134" w:type="dxa"/>
          </w:tcPr>
          <w:p>
            <w:pPr>
              <w:pStyle w:val="nTable"/>
              <w:spacing w:after="40"/>
            </w:pPr>
            <w:r>
              <w:t>12 Dec 1966</w:t>
            </w:r>
          </w:p>
        </w:tc>
        <w:tc>
          <w:tcPr>
            <w:tcW w:w="2552" w:type="dxa"/>
          </w:tcPr>
          <w:p>
            <w:pPr>
              <w:pStyle w:val="nTable"/>
              <w:spacing w:after="40"/>
            </w:pPr>
            <w:r>
              <w:t>12 Dec 1966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1969</w:t>
            </w:r>
          </w:p>
        </w:tc>
        <w:tc>
          <w:tcPr>
            <w:tcW w:w="1134" w:type="dxa"/>
          </w:tcPr>
          <w:p>
            <w:pPr>
              <w:pStyle w:val="nTable"/>
              <w:keepNext/>
              <w:spacing w:after="40"/>
            </w:pPr>
            <w:r>
              <w:t>1 of 1969</w:t>
            </w:r>
          </w:p>
        </w:tc>
        <w:tc>
          <w:tcPr>
            <w:tcW w:w="1134" w:type="dxa"/>
          </w:tcPr>
          <w:p>
            <w:pPr>
              <w:pStyle w:val="nTable"/>
              <w:keepNext/>
              <w:spacing w:after="40"/>
            </w:pPr>
            <w:r>
              <w:t>21 Apr 1969</w:t>
            </w:r>
          </w:p>
        </w:tc>
        <w:tc>
          <w:tcPr>
            <w:tcW w:w="2552" w:type="dxa"/>
          </w:tcPr>
          <w:p>
            <w:pPr>
              <w:pStyle w:val="nTable"/>
              <w:keepNext/>
              <w:spacing w:after="40"/>
            </w:pPr>
            <w:r>
              <w:t>21 Apr 1969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9 Jul 1969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1972</w:t>
            </w:r>
          </w:p>
        </w:tc>
        <w:tc>
          <w:tcPr>
            <w:tcW w:w="1134" w:type="dxa"/>
          </w:tcPr>
          <w:p>
            <w:pPr>
              <w:pStyle w:val="nTable"/>
              <w:spacing w:after="40"/>
            </w:pPr>
            <w:r>
              <w:t>21 of 1972</w:t>
            </w:r>
          </w:p>
        </w:tc>
        <w:tc>
          <w:tcPr>
            <w:tcW w:w="1134" w:type="dxa"/>
          </w:tcPr>
          <w:p>
            <w:pPr>
              <w:pStyle w:val="nTable"/>
              <w:spacing w:after="40"/>
            </w:pPr>
            <w:r>
              <w:t>26 May 1972</w:t>
            </w:r>
          </w:p>
        </w:tc>
        <w:tc>
          <w:tcPr>
            <w:tcW w:w="2552" w:type="dxa"/>
          </w:tcPr>
          <w:p>
            <w:pPr>
              <w:pStyle w:val="nTable"/>
              <w:spacing w:after="40"/>
            </w:pPr>
            <w:r>
              <w:t xml:space="preserve">1 Jul 1972 (see s. 2 and </w:t>
            </w:r>
            <w:r>
              <w:rPr>
                <w:i/>
              </w:rPr>
              <w:t>Gazette</w:t>
            </w:r>
            <w:r>
              <w:t xml:space="preserve"> 30 Jun 1972 p. 2097)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1972</w:t>
            </w:r>
          </w:p>
        </w:tc>
        <w:tc>
          <w:tcPr>
            <w:tcW w:w="1134" w:type="dxa"/>
          </w:tcPr>
          <w:p>
            <w:pPr>
              <w:pStyle w:val="nTable"/>
              <w:keepNext/>
              <w:keepLines/>
              <w:spacing w:after="40"/>
            </w:pPr>
            <w:r>
              <w:t>41 of 1972</w:t>
            </w:r>
          </w:p>
        </w:tc>
        <w:tc>
          <w:tcPr>
            <w:tcW w:w="1134" w:type="dxa"/>
          </w:tcPr>
          <w:p>
            <w:pPr>
              <w:pStyle w:val="nTable"/>
              <w:keepNext/>
              <w:keepLines/>
              <w:spacing w:after="40"/>
            </w:pPr>
            <w:r>
              <w:t>16 Jun 1972</w:t>
            </w:r>
          </w:p>
        </w:tc>
        <w:tc>
          <w:tcPr>
            <w:tcW w:w="2552" w:type="dxa"/>
          </w:tcPr>
          <w:p>
            <w:pPr>
              <w:pStyle w:val="nTable"/>
              <w:keepNext/>
              <w:keepLines/>
              <w:spacing w:after="40"/>
            </w:pPr>
            <w:r>
              <w:t xml:space="preserve">1 Jul 1972 (see s. 2 and </w:t>
            </w:r>
            <w:r>
              <w:rPr>
                <w:i/>
              </w:rPr>
              <w:t>Gazette</w:t>
            </w:r>
            <w:r>
              <w:t xml:space="preserve"> 30 Jun 1972 p. 2098)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Metric Conversion Act 1972</w:t>
            </w:r>
            <w:r>
              <w:t xml:space="preserve"> </w:t>
            </w:r>
          </w:p>
        </w:tc>
        <w:tc>
          <w:tcPr>
            <w:tcW w:w="1134" w:type="dxa"/>
          </w:tcPr>
          <w:p>
            <w:pPr>
              <w:pStyle w:val="nTable"/>
              <w:spacing w:after="40"/>
            </w:pPr>
            <w:r>
              <w:t>94 of 1972 (as amended by No. 19 and 83 of 1973 and 42 of 1975)</w:t>
            </w:r>
          </w:p>
        </w:tc>
        <w:tc>
          <w:tcPr>
            <w:tcW w:w="1134" w:type="dxa"/>
          </w:tcPr>
          <w:p>
            <w:pPr>
              <w:pStyle w:val="nTable"/>
              <w:spacing w:after="40"/>
            </w:pPr>
            <w:r>
              <w:t>4 Dec 1972</w:t>
            </w:r>
          </w:p>
        </w:tc>
        <w:tc>
          <w:tcPr>
            <w:tcW w:w="2552" w:type="dxa"/>
          </w:tcPr>
          <w:p>
            <w:pPr>
              <w:pStyle w:val="nTable"/>
              <w:spacing w:after="40"/>
            </w:pPr>
            <w:r>
              <w:t>Relevant amendments (see Second Sch.</w:t>
            </w:r>
            <w:r>
              <w:rPr>
                <w:vertAlign w:val="superscript"/>
              </w:rPr>
              <w:t> 11</w:t>
            </w:r>
            <w:r>
              <w:t xml:space="preserve">) took effect on 1 Jan 1974 (see s. 4(2) and </w:t>
            </w:r>
            <w:r>
              <w:rPr>
                <w:i/>
              </w:rPr>
              <w:t>Gazette</w:t>
            </w:r>
            <w:r>
              <w:t xml:space="preserve"> 2 Nov 1973 p. 4109)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Criminal Code Act Compilation Act 1913</w:t>
            </w:r>
            <w:r>
              <w:rPr>
                <w:b/>
              </w:rPr>
              <w:t xml:space="preserve"> approved 9 Jul 1974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(Road Traffic) Act 1974 </w:t>
            </w:r>
            <w:r>
              <w:t>Pt. I</w:t>
            </w:r>
          </w:p>
        </w:tc>
        <w:tc>
          <w:tcPr>
            <w:tcW w:w="1134" w:type="dxa"/>
          </w:tcPr>
          <w:p>
            <w:pPr>
              <w:pStyle w:val="nTable"/>
              <w:spacing w:after="40"/>
            </w:pPr>
            <w:r>
              <w:t>58 of 1974</w:t>
            </w:r>
          </w:p>
        </w:tc>
        <w:tc>
          <w:tcPr>
            <w:tcW w:w="1134" w:type="dxa"/>
          </w:tcPr>
          <w:p>
            <w:pPr>
              <w:pStyle w:val="nTable"/>
              <w:spacing w:after="40"/>
            </w:pPr>
            <w:r>
              <w:t>3 Dec 1974</w:t>
            </w:r>
          </w:p>
        </w:tc>
        <w:tc>
          <w:tcPr>
            <w:tcW w:w="2552" w:type="dxa"/>
          </w:tcPr>
          <w:p>
            <w:pPr>
              <w:pStyle w:val="nTable"/>
              <w:spacing w:after="40"/>
            </w:pPr>
            <w:r>
              <w:t xml:space="preserve">29 Aug 1975 (see s. 2 and </w:t>
            </w:r>
            <w:r>
              <w:rPr>
                <w:i/>
              </w:rPr>
              <w:t>Gazette</w:t>
            </w:r>
            <w:r>
              <w:t xml:space="preserve"> 29 Aug 1975 p. 3085)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1975</w:t>
            </w:r>
          </w:p>
        </w:tc>
        <w:tc>
          <w:tcPr>
            <w:tcW w:w="1134" w:type="dxa"/>
          </w:tcPr>
          <w:p>
            <w:pPr>
              <w:pStyle w:val="nTable"/>
              <w:spacing w:after="40"/>
            </w:pPr>
            <w:r>
              <w:t>49 of 1975</w:t>
            </w:r>
          </w:p>
        </w:tc>
        <w:tc>
          <w:tcPr>
            <w:tcW w:w="1134" w:type="dxa"/>
          </w:tcPr>
          <w:p>
            <w:pPr>
              <w:pStyle w:val="nTable"/>
              <w:spacing w:after="40"/>
            </w:pPr>
            <w:r>
              <w:t>18 Sep 1975</w:t>
            </w:r>
          </w:p>
        </w:tc>
        <w:tc>
          <w:tcPr>
            <w:tcW w:w="2552" w:type="dxa"/>
          </w:tcPr>
          <w:p>
            <w:pPr>
              <w:pStyle w:val="nTable"/>
              <w:spacing w:after="40"/>
            </w:pPr>
            <w:r>
              <w:t>18 Sep 1975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1976</w:t>
            </w:r>
          </w:p>
        </w:tc>
        <w:tc>
          <w:tcPr>
            <w:tcW w:w="1134" w:type="dxa"/>
          </w:tcPr>
          <w:p>
            <w:pPr>
              <w:pStyle w:val="nTable"/>
              <w:spacing w:after="40"/>
            </w:pPr>
            <w:r>
              <w:t>35 of 1976</w:t>
            </w:r>
          </w:p>
        </w:tc>
        <w:tc>
          <w:tcPr>
            <w:tcW w:w="1134" w:type="dxa"/>
          </w:tcPr>
          <w:p>
            <w:pPr>
              <w:pStyle w:val="nTable"/>
              <w:spacing w:after="40"/>
            </w:pPr>
            <w:r>
              <w:t>9 Jun 1976</w:t>
            </w:r>
          </w:p>
        </w:tc>
        <w:tc>
          <w:tcPr>
            <w:tcW w:w="2552" w:type="dxa"/>
          </w:tcPr>
          <w:p>
            <w:pPr>
              <w:pStyle w:val="nTable"/>
              <w:spacing w:after="40"/>
            </w:pPr>
            <w:r>
              <w:t xml:space="preserve">3 Sep 1976 (see s. 2 and </w:t>
            </w:r>
            <w:r>
              <w:rPr>
                <w:i/>
              </w:rPr>
              <w:t>Gazette</w:t>
            </w:r>
            <w:r>
              <w:t xml:space="preserve"> 3 Sep 1976 p. 3271)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1976</w:t>
            </w:r>
            <w:r>
              <w:rPr>
                <w:vertAlign w:val="superscript"/>
              </w:rPr>
              <w:t> 12</w:t>
            </w:r>
          </w:p>
        </w:tc>
        <w:tc>
          <w:tcPr>
            <w:tcW w:w="1134" w:type="dxa"/>
          </w:tcPr>
          <w:p>
            <w:pPr>
              <w:pStyle w:val="nTable"/>
              <w:spacing w:after="40"/>
            </w:pPr>
            <w:r>
              <w:t>62 of 1976</w:t>
            </w:r>
          </w:p>
        </w:tc>
        <w:tc>
          <w:tcPr>
            <w:tcW w:w="1134" w:type="dxa"/>
          </w:tcPr>
          <w:p>
            <w:pPr>
              <w:pStyle w:val="nTable"/>
              <w:spacing w:after="40"/>
            </w:pPr>
            <w:r>
              <w:t>16 Sep 1976</w:t>
            </w:r>
          </w:p>
        </w:tc>
        <w:tc>
          <w:tcPr>
            <w:tcW w:w="2552" w:type="dxa"/>
          </w:tcPr>
          <w:p>
            <w:pPr>
              <w:pStyle w:val="nTable"/>
              <w:spacing w:after="40"/>
            </w:pPr>
            <w:r>
              <w:t>16 Sep 1976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3) 1976</w:t>
            </w:r>
          </w:p>
        </w:tc>
        <w:tc>
          <w:tcPr>
            <w:tcW w:w="1134" w:type="dxa"/>
          </w:tcPr>
          <w:p>
            <w:pPr>
              <w:pStyle w:val="nTable"/>
              <w:spacing w:after="40"/>
            </w:pPr>
            <w:r>
              <w:t>133 of 1976</w:t>
            </w:r>
          </w:p>
        </w:tc>
        <w:tc>
          <w:tcPr>
            <w:tcW w:w="1134" w:type="dxa"/>
          </w:tcPr>
          <w:p>
            <w:pPr>
              <w:pStyle w:val="nTable"/>
              <w:spacing w:after="40"/>
            </w:pPr>
            <w:r>
              <w:t>9 Dec 1976</w:t>
            </w:r>
          </w:p>
        </w:tc>
        <w:tc>
          <w:tcPr>
            <w:tcW w:w="2552" w:type="dxa"/>
          </w:tcPr>
          <w:p>
            <w:pPr>
              <w:pStyle w:val="nTable"/>
              <w:spacing w:after="40"/>
            </w:pPr>
            <w:r>
              <w:t>9 Dec 1976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1977</w:t>
            </w:r>
          </w:p>
        </w:tc>
        <w:tc>
          <w:tcPr>
            <w:tcW w:w="1134" w:type="dxa"/>
          </w:tcPr>
          <w:p>
            <w:pPr>
              <w:pStyle w:val="nTable"/>
              <w:keepNext/>
              <w:spacing w:after="40"/>
            </w:pPr>
            <w:r>
              <w:t>38 of 1977</w:t>
            </w:r>
          </w:p>
        </w:tc>
        <w:tc>
          <w:tcPr>
            <w:tcW w:w="1134" w:type="dxa"/>
          </w:tcPr>
          <w:p>
            <w:pPr>
              <w:pStyle w:val="nTable"/>
              <w:keepNext/>
              <w:spacing w:after="40"/>
            </w:pPr>
            <w:r>
              <w:t>7 Nov 1977</w:t>
            </w:r>
          </w:p>
        </w:tc>
        <w:tc>
          <w:tcPr>
            <w:tcW w:w="2552" w:type="dxa"/>
          </w:tcPr>
          <w:p>
            <w:pPr>
              <w:pStyle w:val="nTable"/>
              <w:keepNext/>
              <w:spacing w:after="40"/>
            </w:pPr>
            <w:r>
              <w:t>7 Nov 1977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3) 1977</w:t>
            </w:r>
          </w:p>
        </w:tc>
        <w:tc>
          <w:tcPr>
            <w:tcW w:w="1134" w:type="dxa"/>
          </w:tcPr>
          <w:p>
            <w:pPr>
              <w:pStyle w:val="nTable"/>
              <w:keepNext/>
              <w:spacing w:after="40"/>
            </w:pPr>
            <w:r>
              <w:t>71 of 1977</w:t>
            </w:r>
          </w:p>
        </w:tc>
        <w:tc>
          <w:tcPr>
            <w:tcW w:w="1134" w:type="dxa"/>
          </w:tcPr>
          <w:p>
            <w:pPr>
              <w:pStyle w:val="nTable"/>
              <w:keepNext/>
              <w:spacing w:after="40"/>
            </w:pPr>
            <w:r>
              <w:t>28 Nov 1977</w:t>
            </w:r>
          </w:p>
        </w:tc>
        <w:tc>
          <w:tcPr>
            <w:tcW w:w="2552" w:type="dxa"/>
          </w:tcPr>
          <w:p>
            <w:pPr>
              <w:pStyle w:val="nTable"/>
              <w:keepNext/>
              <w:spacing w:after="40"/>
            </w:pPr>
            <w:r>
              <w:t>28 Nov 1977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8 Dec 1978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(Master, Supreme Court) Act 1979 </w:t>
            </w:r>
            <w:r>
              <w:t>Pt. XVIII</w:t>
            </w:r>
          </w:p>
        </w:tc>
        <w:tc>
          <w:tcPr>
            <w:tcW w:w="1134" w:type="dxa"/>
          </w:tcPr>
          <w:p>
            <w:pPr>
              <w:pStyle w:val="nTable"/>
              <w:keepNext/>
              <w:keepLines/>
              <w:spacing w:after="40"/>
            </w:pPr>
            <w:r>
              <w:t>67 of 1979</w:t>
            </w:r>
          </w:p>
        </w:tc>
        <w:tc>
          <w:tcPr>
            <w:tcW w:w="1134" w:type="dxa"/>
          </w:tcPr>
          <w:p>
            <w:pPr>
              <w:pStyle w:val="nTable"/>
              <w:spacing w:after="40"/>
            </w:pPr>
            <w:r>
              <w:t>21 Nov 1979</w:t>
            </w:r>
          </w:p>
        </w:tc>
        <w:tc>
          <w:tcPr>
            <w:tcW w:w="2552" w:type="dxa"/>
          </w:tcPr>
          <w:p>
            <w:pPr>
              <w:pStyle w:val="nTable"/>
              <w:spacing w:after="40"/>
            </w:pPr>
            <w:r>
              <w:t xml:space="preserve">11 Feb 1980 (see s. 2 and </w:t>
            </w:r>
            <w:r>
              <w:rPr>
                <w:i/>
              </w:rPr>
              <w:t>Gazette</w:t>
            </w:r>
            <w:r>
              <w:t xml:space="preserve"> 8 Feb 1980 p. 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1979</w:t>
            </w:r>
          </w:p>
        </w:tc>
        <w:tc>
          <w:tcPr>
            <w:tcW w:w="1134" w:type="dxa"/>
          </w:tcPr>
          <w:p>
            <w:pPr>
              <w:pStyle w:val="nTable"/>
              <w:spacing w:after="40"/>
            </w:pPr>
            <w:r>
              <w:t>68 of 1979</w:t>
            </w:r>
          </w:p>
        </w:tc>
        <w:tc>
          <w:tcPr>
            <w:tcW w:w="1134" w:type="dxa"/>
          </w:tcPr>
          <w:p>
            <w:pPr>
              <w:pStyle w:val="nTable"/>
              <w:spacing w:after="40"/>
            </w:pPr>
            <w:r>
              <w:t>21 Nov 1979</w:t>
            </w:r>
          </w:p>
        </w:tc>
        <w:tc>
          <w:tcPr>
            <w:tcW w:w="2552" w:type="dxa"/>
          </w:tcPr>
          <w:p>
            <w:pPr>
              <w:pStyle w:val="nTable"/>
              <w:spacing w:after="40"/>
            </w:pPr>
            <w:r>
              <w:t>21 Nov 1979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1979</w:t>
            </w:r>
          </w:p>
        </w:tc>
        <w:tc>
          <w:tcPr>
            <w:tcW w:w="1134" w:type="dxa"/>
          </w:tcPr>
          <w:p>
            <w:pPr>
              <w:pStyle w:val="nTable"/>
              <w:spacing w:after="40"/>
            </w:pPr>
            <w:r>
              <w:t>107 of 1979</w:t>
            </w:r>
          </w:p>
        </w:tc>
        <w:tc>
          <w:tcPr>
            <w:tcW w:w="1134" w:type="dxa"/>
          </w:tcPr>
          <w:p>
            <w:pPr>
              <w:pStyle w:val="nTable"/>
              <w:spacing w:after="40"/>
            </w:pPr>
            <w:r>
              <w:t>17 Dec 1979</w:t>
            </w:r>
          </w:p>
        </w:tc>
        <w:tc>
          <w:tcPr>
            <w:tcW w:w="2552" w:type="dxa"/>
          </w:tcPr>
          <w:p>
            <w:pPr>
              <w:pStyle w:val="nTable"/>
              <w:spacing w:after="40"/>
            </w:pPr>
            <w:r>
              <w:t>17 Dec 1979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w:t>
            </w:r>
            <w:r>
              <w:rPr>
                <w:i/>
                <w:spacing w:val="-2"/>
              </w:rPr>
              <w:t>Amendment (Strict Security Life Imprisonment)</w:t>
            </w:r>
            <w:r>
              <w:rPr>
                <w:i/>
              </w:rPr>
              <w:t xml:space="preserve"> Act 1980 </w:t>
            </w:r>
            <w:r>
              <w:t>Pt. I</w:t>
            </w:r>
          </w:p>
        </w:tc>
        <w:tc>
          <w:tcPr>
            <w:tcW w:w="1134" w:type="dxa"/>
          </w:tcPr>
          <w:p>
            <w:pPr>
              <w:pStyle w:val="nTable"/>
              <w:spacing w:after="40"/>
            </w:pPr>
            <w:r>
              <w:t>96 of 1980</w:t>
            </w:r>
          </w:p>
        </w:tc>
        <w:tc>
          <w:tcPr>
            <w:tcW w:w="1134" w:type="dxa"/>
          </w:tcPr>
          <w:p>
            <w:pPr>
              <w:pStyle w:val="nTable"/>
              <w:spacing w:after="40"/>
            </w:pPr>
            <w:r>
              <w:t>9 Dec 1980</w:t>
            </w:r>
          </w:p>
        </w:tc>
        <w:tc>
          <w:tcPr>
            <w:tcW w:w="2552" w:type="dxa"/>
          </w:tcPr>
          <w:p>
            <w:pPr>
              <w:pStyle w:val="nTable"/>
              <w:spacing w:after="40"/>
            </w:pPr>
            <w:r>
              <w:t>9 Dec 1980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(Lotto) Act 1981</w:t>
            </w:r>
            <w:r>
              <w:t xml:space="preserve"> Pt. II</w:t>
            </w:r>
          </w:p>
        </w:tc>
        <w:tc>
          <w:tcPr>
            <w:tcW w:w="1134" w:type="dxa"/>
          </w:tcPr>
          <w:p>
            <w:pPr>
              <w:pStyle w:val="nTable"/>
              <w:spacing w:after="40"/>
            </w:pPr>
            <w:r>
              <w:t>103 of 1981</w:t>
            </w:r>
          </w:p>
        </w:tc>
        <w:tc>
          <w:tcPr>
            <w:tcW w:w="1134" w:type="dxa"/>
          </w:tcPr>
          <w:p>
            <w:pPr>
              <w:pStyle w:val="nTable"/>
              <w:spacing w:after="40"/>
            </w:pPr>
            <w:r>
              <w:t>2 Dec 1981</w:t>
            </w:r>
          </w:p>
        </w:tc>
        <w:tc>
          <w:tcPr>
            <w:tcW w:w="2552" w:type="dxa"/>
          </w:tcPr>
          <w:p>
            <w:pPr>
              <w:pStyle w:val="nTable"/>
              <w:spacing w:after="40"/>
            </w:pPr>
            <w:r>
              <w:t xml:space="preserve">18 Dec 1981 (see s. 2 and </w:t>
            </w:r>
            <w:r>
              <w:rPr>
                <w:i/>
              </w:rPr>
              <w:t>Gazette</w:t>
            </w:r>
            <w:r>
              <w:t xml:space="preserve"> 18 Dec 1981 p. 5163)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(Prisons) Act 1981 </w:t>
            </w:r>
            <w:r>
              <w:t>Pt. I</w:t>
            </w:r>
          </w:p>
        </w:tc>
        <w:tc>
          <w:tcPr>
            <w:tcW w:w="1134" w:type="dxa"/>
          </w:tcPr>
          <w:p>
            <w:pPr>
              <w:pStyle w:val="nTable"/>
              <w:spacing w:after="40"/>
            </w:pPr>
            <w:r>
              <w:t>116 of 1981</w:t>
            </w:r>
          </w:p>
        </w:tc>
        <w:tc>
          <w:tcPr>
            <w:tcW w:w="1134" w:type="dxa"/>
          </w:tcPr>
          <w:p>
            <w:pPr>
              <w:pStyle w:val="nTable"/>
              <w:spacing w:after="40"/>
            </w:pPr>
            <w:r>
              <w:t>14 Dec 1981</w:t>
            </w:r>
          </w:p>
        </w:tc>
        <w:tc>
          <w:tcPr>
            <w:tcW w:w="2552" w:type="dxa"/>
          </w:tcPr>
          <w:p>
            <w:pPr>
              <w:pStyle w:val="nTable"/>
              <w:spacing w:after="40"/>
            </w:pPr>
            <w:r>
              <w:t xml:space="preserve">1 Aug 1982 (see s. 2 and </w:t>
            </w:r>
            <w:r>
              <w:rPr>
                <w:i/>
              </w:rPr>
              <w:t>Gazette</w:t>
            </w:r>
            <w:r>
              <w:t xml:space="preserve"> 23 Jul 1982 p. 2841)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(Jurisdiction of Courts) Act 1981 </w:t>
            </w:r>
            <w:r>
              <w:t>Pt. I</w:t>
            </w:r>
          </w:p>
        </w:tc>
        <w:tc>
          <w:tcPr>
            <w:tcW w:w="1134" w:type="dxa"/>
          </w:tcPr>
          <w:p>
            <w:pPr>
              <w:pStyle w:val="nTable"/>
              <w:spacing w:after="40"/>
            </w:pPr>
            <w:r>
              <w:t>118 of 1981</w:t>
            </w:r>
          </w:p>
        </w:tc>
        <w:tc>
          <w:tcPr>
            <w:tcW w:w="1134" w:type="dxa"/>
          </w:tcPr>
          <w:p>
            <w:pPr>
              <w:pStyle w:val="nTable"/>
              <w:spacing w:after="40"/>
            </w:pPr>
            <w:r>
              <w:t>14 Dec 1981</w:t>
            </w:r>
          </w:p>
        </w:tc>
        <w:tc>
          <w:tcPr>
            <w:tcW w:w="2552" w:type="dxa"/>
          </w:tcPr>
          <w:p>
            <w:pPr>
              <w:pStyle w:val="nTable"/>
              <w:spacing w:after="40"/>
            </w:pPr>
            <w:r>
              <w:t xml:space="preserve">1 Feb 1982 (see s. 2 and </w:t>
            </w:r>
            <w:r>
              <w:rPr>
                <w:i/>
              </w:rPr>
              <w:t>Gazette</w:t>
            </w:r>
            <w:r>
              <w:t xml:space="preserve"> 22 Jan 1982 p. 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Companies (Consequential </w:t>
            </w:r>
            <w:r>
              <w:rPr>
                <w:i/>
                <w:spacing w:val="-4"/>
              </w:rPr>
              <w:t xml:space="preserve">Amendments) Act 1982 </w:t>
            </w:r>
            <w:r>
              <w:rPr>
                <w:spacing w:val="-4"/>
              </w:rPr>
              <w:t>s. 28</w:t>
            </w:r>
          </w:p>
        </w:tc>
        <w:tc>
          <w:tcPr>
            <w:tcW w:w="1134" w:type="dxa"/>
          </w:tcPr>
          <w:p>
            <w:pPr>
              <w:pStyle w:val="nTable"/>
              <w:keepNext/>
              <w:spacing w:after="40"/>
            </w:pPr>
            <w:r>
              <w:t>10 of 1982</w:t>
            </w:r>
          </w:p>
        </w:tc>
        <w:tc>
          <w:tcPr>
            <w:tcW w:w="1134" w:type="dxa"/>
          </w:tcPr>
          <w:p>
            <w:pPr>
              <w:pStyle w:val="nTable"/>
              <w:keepNext/>
              <w:spacing w:after="40"/>
            </w:pPr>
            <w:r>
              <w:t>14 May 1982</w:t>
            </w:r>
          </w:p>
        </w:tc>
        <w:tc>
          <w:tcPr>
            <w:tcW w:w="2552" w:type="dxa"/>
          </w:tcPr>
          <w:p>
            <w:pPr>
              <w:pStyle w:val="nTable"/>
              <w:keepNext/>
              <w:spacing w:after="40"/>
            </w:pPr>
            <w:r>
              <w:t xml:space="preserve">1 Jul 1982 (see s. 2(1) and </w:t>
            </w:r>
            <w:r>
              <w:rPr>
                <w:i/>
              </w:rPr>
              <w:t>Gazette</w:t>
            </w:r>
            <w:r>
              <w:t xml:space="preserve"> 25 Jun 1982 p. 2079)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(Criminal Penalties and Procedure) Act 1982 </w:t>
            </w:r>
            <w:r>
              <w:t>Pt. II</w:t>
            </w:r>
          </w:p>
        </w:tc>
        <w:tc>
          <w:tcPr>
            <w:tcW w:w="1134" w:type="dxa"/>
          </w:tcPr>
          <w:p>
            <w:pPr>
              <w:pStyle w:val="nTable"/>
              <w:spacing w:after="40"/>
            </w:pPr>
            <w:r>
              <w:t>20 of 1982</w:t>
            </w:r>
          </w:p>
        </w:tc>
        <w:tc>
          <w:tcPr>
            <w:tcW w:w="1134" w:type="dxa"/>
          </w:tcPr>
          <w:p>
            <w:pPr>
              <w:pStyle w:val="nTable"/>
              <w:spacing w:after="40"/>
            </w:pPr>
            <w:r>
              <w:t>27 May 1982</w:t>
            </w:r>
          </w:p>
        </w:tc>
        <w:tc>
          <w:tcPr>
            <w:tcW w:w="2552" w:type="dxa"/>
          </w:tcPr>
          <w:p>
            <w:pPr>
              <w:pStyle w:val="nTable"/>
              <w:spacing w:after="40"/>
            </w:pPr>
            <w:r>
              <w:t>27 May 1982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(Bail) Act 1982</w:t>
            </w:r>
            <w:r>
              <w:t xml:space="preserve"> Pt. III</w:t>
            </w:r>
          </w:p>
        </w:tc>
        <w:tc>
          <w:tcPr>
            <w:tcW w:w="1134" w:type="dxa"/>
          </w:tcPr>
          <w:p>
            <w:pPr>
              <w:pStyle w:val="nTable"/>
              <w:spacing w:after="40"/>
            </w:pPr>
            <w:r>
              <w:t>87 of 1982</w:t>
            </w:r>
          </w:p>
        </w:tc>
        <w:tc>
          <w:tcPr>
            <w:tcW w:w="1134" w:type="dxa"/>
          </w:tcPr>
          <w:p>
            <w:pPr>
              <w:pStyle w:val="nTable"/>
              <w:spacing w:after="40"/>
            </w:pPr>
            <w:r>
              <w:t>17 Nov 1982</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(Betting and Gaming) Act 1982</w:t>
            </w:r>
            <w:r>
              <w:t xml:space="preserve"> Pt. III</w:t>
            </w:r>
          </w:p>
        </w:tc>
        <w:tc>
          <w:tcPr>
            <w:tcW w:w="1134" w:type="dxa"/>
          </w:tcPr>
          <w:p>
            <w:pPr>
              <w:pStyle w:val="nTable"/>
              <w:spacing w:after="40"/>
            </w:pPr>
            <w:r>
              <w:t>108 of 1982</w:t>
            </w:r>
          </w:p>
        </w:tc>
        <w:tc>
          <w:tcPr>
            <w:tcW w:w="1134" w:type="dxa"/>
          </w:tcPr>
          <w:p>
            <w:pPr>
              <w:pStyle w:val="nTable"/>
              <w:spacing w:after="40"/>
            </w:pPr>
            <w:r>
              <w:t>7 Dec 1982</w:t>
            </w:r>
          </w:p>
        </w:tc>
        <w:tc>
          <w:tcPr>
            <w:tcW w:w="2552" w:type="dxa"/>
          </w:tcPr>
          <w:p>
            <w:pPr>
              <w:pStyle w:val="nTable"/>
              <w:spacing w:after="40"/>
            </w:pPr>
            <w:r>
              <w:t xml:space="preserve">31 Dec 1982 (see s. 2 and </w:t>
            </w:r>
            <w:r>
              <w:rPr>
                <w:i/>
              </w:rPr>
              <w:t>Gazette</w:t>
            </w:r>
            <w:r>
              <w:t xml:space="preserve"> 31 Dec 1982 p. 4968)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(Trade Promotion Lotteries) Act 1983 </w:t>
            </w:r>
            <w:r>
              <w:t>Pt. II</w:t>
            </w:r>
          </w:p>
        </w:tc>
        <w:tc>
          <w:tcPr>
            <w:tcW w:w="1134" w:type="dxa"/>
          </w:tcPr>
          <w:p>
            <w:pPr>
              <w:pStyle w:val="nTable"/>
              <w:spacing w:after="40"/>
            </w:pPr>
            <w:r>
              <w:t>21 of 1983</w:t>
            </w:r>
          </w:p>
        </w:tc>
        <w:tc>
          <w:tcPr>
            <w:tcW w:w="1134" w:type="dxa"/>
          </w:tcPr>
          <w:p>
            <w:pPr>
              <w:pStyle w:val="nTable"/>
              <w:spacing w:after="40"/>
            </w:pPr>
            <w:r>
              <w:t>22 Nov 1983</w:t>
            </w:r>
          </w:p>
        </w:tc>
        <w:tc>
          <w:tcPr>
            <w:tcW w:w="2552" w:type="dxa"/>
          </w:tcPr>
          <w:p>
            <w:pPr>
              <w:pStyle w:val="nTable"/>
              <w:spacing w:after="40"/>
            </w:pPr>
            <w:r>
              <w:t>22 Nov 1983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13 Dec 1983 </w:t>
            </w:r>
            <w:r>
              <w:t xml:space="preserve">(includes amendments listed above except those in the </w:t>
            </w:r>
            <w:r>
              <w:rPr>
                <w:i/>
              </w:rPr>
              <w:t>Acts Amendment (Bail) Act 1982</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1983</w:t>
            </w:r>
          </w:p>
        </w:tc>
        <w:tc>
          <w:tcPr>
            <w:tcW w:w="1134" w:type="dxa"/>
          </w:tcPr>
          <w:p>
            <w:pPr>
              <w:pStyle w:val="nTable"/>
              <w:spacing w:after="40"/>
            </w:pPr>
            <w:r>
              <w:t>77 of 1983</w:t>
            </w:r>
          </w:p>
        </w:tc>
        <w:tc>
          <w:tcPr>
            <w:tcW w:w="1134" w:type="dxa"/>
          </w:tcPr>
          <w:p>
            <w:pPr>
              <w:pStyle w:val="nTable"/>
              <w:spacing w:after="40"/>
            </w:pPr>
            <w:r>
              <w:t>22 Dec 1983</w:t>
            </w:r>
          </w:p>
        </w:tc>
        <w:tc>
          <w:tcPr>
            <w:tcW w:w="2552" w:type="dxa"/>
          </w:tcPr>
          <w:p>
            <w:pPr>
              <w:pStyle w:val="nTable"/>
              <w:spacing w:after="40"/>
            </w:pPr>
            <w:r>
              <w:t>22 Dec 1983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Reprints Act 1984 </w:t>
            </w:r>
            <w:r>
              <w:t>s. 9(2)</w:t>
            </w:r>
          </w:p>
        </w:tc>
        <w:tc>
          <w:tcPr>
            <w:tcW w:w="1134" w:type="dxa"/>
          </w:tcPr>
          <w:p>
            <w:pPr>
              <w:pStyle w:val="nTable"/>
              <w:spacing w:after="40"/>
            </w:pPr>
            <w:r>
              <w:t>13 of 1984</w:t>
            </w:r>
          </w:p>
        </w:tc>
        <w:tc>
          <w:tcPr>
            <w:tcW w:w="1134" w:type="dxa"/>
          </w:tcPr>
          <w:p>
            <w:pPr>
              <w:pStyle w:val="nTable"/>
              <w:spacing w:after="40"/>
            </w:pPr>
            <w:r>
              <w:t>31 May 1984</w:t>
            </w:r>
          </w:p>
        </w:tc>
        <w:tc>
          <w:tcPr>
            <w:tcW w:w="2552" w:type="dxa"/>
          </w:tcPr>
          <w:p>
            <w:pPr>
              <w:pStyle w:val="nTable"/>
              <w:spacing w:after="40"/>
            </w:pPr>
            <w:r>
              <w:t xml:space="preserve">1 Feb 1985 (see s. 2 and </w:t>
            </w:r>
            <w:r>
              <w:rPr>
                <w:i/>
              </w:rPr>
              <w:t>Gazette</w:t>
            </w:r>
            <w:r>
              <w:t xml:space="preserve"> 11 Jan 1985 p. 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(Abolition of Capital Punishment) Act 1984 </w:t>
            </w:r>
            <w:r>
              <w:t>Pt. I</w:t>
            </w:r>
          </w:p>
        </w:tc>
        <w:tc>
          <w:tcPr>
            <w:tcW w:w="1134" w:type="dxa"/>
          </w:tcPr>
          <w:p>
            <w:pPr>
              <w:pStyle w:val="nTable"/>
              <w:spacing w:after="40"/>
            </w:pPr>
            <w:r>
              <w:t>52 of 1984</w:t>
            </w:r>
          </w:p>
        </w:tc>
        <w:tc>
          <w:tcPr>
            <w:tcW w:w="1134" w:type="dxa"/>
          </w:tcPr>
          <w:p>
            <w:pPr>
              <w:pStyle w:val="nTable"/>
              <w:spacing w:after="40"/>
            </w:pPr>
            <w:r>
              <w:t>5 Sep 1984</w:t>
            </w:r>
          </w:p>
        </w:tc>
        <w:tc>
          <w:tcPr>
            <w:tcW w:w="2552" w:type="dxa"/>
          </w:tcPr>
          <w:p>
            <w:pPr>
              <w:pStyle w:val="nTable"/>
              <w:spacing w:after="40"/>
            </w:pPr>
            <w:r>
              <w:t>3 Oct 1984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(Department for Community Services) Act 1984 </w:t>
            </w:r>
            <w:r>
              <w:t>Pt. XI</w:t>
            </w:r>
          </w:p>
        </w:tc>
        <w:tc>
          <w:tcPr>
            <w:tcW w:w="1134" w:type="dxa"/>
          </w:tcPr>
          <w:p>
            <w:pPr>
              <w:pStyle w:val="nTable"/>
              <w:keepNext/>
              <w:spacing w:after="40"/>
            </w:pPr>
            <w:r>
              <w:t>121 of 1984</w:t>
            </w:r>
          </w:p>
        </w:tc>
        <w:tc>
          <w:tcPr>
            <w:tcW w:w="1134" w:type="dxa"/>
          </w:tcPr>
          <w:p>
            <w:pPr>
              <w:pStyle w:val="nTable"/>
              <w:keepNext/>
              <w:spacing w:after="40"/>
            </w:pPr>
            <w:r>
              <w:t>19 Dec 1984</w:t>
            </w:r>
          </w:p>
        </w:tc>
        <w:tc>
          <w:tcPr>
            <w:tcW w:w="2552" w:type="dxa"/>
          </w:tcPr>
          <w:p>
            <w:pPr>
              <w:pStyle w:val="nTable"/>
              <w:keepNext/>
              <w:spacing w:after="40"/>
            </w:pPr>
            <w:r>
              <w:t xml:space="preserve">1 Jan 1985 (see s. 2 and </w:t>
            </w:r>
            <w:r>
              <w:rPr>
                <w:i/>
              </w:rPr>
              <w:t>Gazette</w:t>
            </w:r>
            <w:r>
              <w:t xml:space="preserve"> 28 Dec 1984 p. 4197)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Artificial Conception Act 1985 </w:t>
            </w:r>
            <w:r>
              <w:t>s. 8</w:t>
            </w:r>
          </w:p>
        </w:tc>
        <w:tc>
          <w:tcPr>
            <w:tcW w:w="1134" w:type="dxa"/>
          </w:tcPr>
          <w:p>
            <w:pPr>
              <w:pStyle w:val="nTable"/>
              <w:spacing w:after="40"/>
            </w:pPr>
            <w:r>
              <w:t>14 of 1985</w:t>
            </w:r>
          </w:p>
        </w:tc>
        <w:tc>
          <w:tcPr>
            <w:tcW w:w="1134" w:type="dxa"/>
          </w:tcPr>
          <w:p>
            <w:pPr>
              <w:pStyle w:val="nTable"/>
              <w:spacing w:after="40"/>
            </w:pPr>
            <w:r>
              <w:t>12 Apr 1985</w:t>
            </w:r>
          </w:p>
        </w:tc>
        <w:tc>
          <w:tcPr>
            <w:tcW w:w="2552" w:type="dxa"/>
          </w:tcPr>
          <w:p>
            <w:pPr>
              <w:pStyle w:val="nTable"/>
              <w:spacing w:after="40"/>
            </w:pPr>
            <w:r>
              <w:t xml:space="preserve">1 Jul 1985 (see s. 2 and </w:t>
            </w:r>
            <w:r>
              <w:rPr>
                <w:i/>
              </w:rPr>
              <w:t>Gazette</w:t>
            </w:r>
            <w:r>
              <w:t xml:space="preserve"> 28 Jun 1985 p. 2291)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(Sexual Assaults) Act 1985 </w:t>
            </w:r>
            <w:r>
              <w:t>Pt. II</w:t>
            </w:r>
          </w:p>
        </w:tc>
        <w:tc>
          <w:tcPr>
            <w:tcW w:w="1134" w:type="dxa"/>
          </w:tcPr>
          <w:p>
            <w:pPr>
              <w:pStyle w:val="nTable"/>
              <w:keepNext/>
              <w:keepLines/>
              <w:spacing w:after="40"/>
            </w:pPr>
            <w:r>
              <w:t>74 of 1985</w:t>
            </w:r>
          </w:p>
        </w:tc>
        <w:tc>
          <w:tcPr>
            <w:tcW w:w="1134" w:type="dxa"/>
          </w:tcPr>
          <w:p>
            <w:pPr>
              <w:pStyle w:val="nTable"/>
              <w:spacing w:after="40"/>
            </w:pPr>
            <w:r>
              <w:t>20 Nov 1985</w:t>
            </w:r>
          </w:p>
        </w:tc>
        <w:tc>
          <w:tcPr>
            <w:tcW w:w="2552" w:type="dxa"/>
          </w:tcPr>
          <w:p>
            <w:pPr>
              <w:pStyle w:val="nTable"/>
              <w:spacing w:after="40"/>
            </w:pPr>
            <w:r>
              <w:t xml:space="preserve">1 Apr 1986 (see s. 2 and </w:t>
            </w:r>
            <w:r>
              <w:rPr>
                <w:i/>
              </w:rPr>
              <w:t>Gazette</w:t>
            </w:r>
            <w:r>
              <w:t xml:space="preserve"> 28 Feb 1986 p. 605)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1985 </w:t>
            </w:r>
            <w:r>
              <w:t>Pt. II</w:t>
            </w:r>
          </w:p>
        </w:tc>
        <w:tc>
          <w:tcPr>
            <w:tcW w:w="1134" w:type="dxa"/>
          </w:tcPr>
          <w:p>
            <w:pPr>
              <w:pStyle w:val="nTable"/>
              <w:spacing w:after="40"/>
            </w:pPr>
            <w:r>
              <w:t>119 of 1985</w:t>
            </w:r>
          </w:p>
        </w:tc>
        <w:tc>
          <w:tcPr>
            <w:tcW w:w="1134" w:type="dxa"/>
          </w:tcPr>
          <w:p>
            <w:pPr>
              <w:pStyle w:val="nTable"/>
              <w:spacing w:after="40"/>
            </w:pPr>
            <w:r>
              <w:t>17 Dec 1985</w:t>
            </w:r>
          </w:p>
        </w:tc>
        <w:tc>
          <w:tcPr>
            <w:tcW w:w="2552" w:type="dxa"/>
          </w:tcPr>
          <w:p>
            <w:pPr>
              <w:pStyle w:val="nTable"/>
              <w:spacing w:after="40"/>
            </w:pPr>
            <w:r>
              <w:t xml:space="preserve">1 Sep 1986 (see s. 2 and </w:t>
            </w:r>
            <w:r>
              <w:rPr>
                <w:i/>
              </w:rPr>
              <w:t>Gazette</w:t>
            </w:r>
            <w:r>
              <w:t xml:space="preserve"> 8 Aug 1986 p. 2815)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1986 </w:t>
            </w:r>
            <w:r>
              <w:t>Pt. II</w:t>
            </w:r>
            <w:r>
              <w:rPr>
                <w:vertAlign w:val="superscript"/>
              </w:rPr>
              <w:t> 13</w:t>
            </w:r>
          </w:p>
        </w:tc>
        <w:tc>
          <w:tcPr>
            <w:tcW w:w="1134" w:type="dxa"/>
          </w:tcPr>
          <w:p>
            <w:pPr>
              <w:pStyle w:val="nTable"/>
              <w:spacing w:after="40"/>
            </w:pPr>
            <w:r>
              <w:t>89 of 1986</w:t>
            </w:r>
          </w:p>
        </w:tc>
        <w:tc>
          <w:tcPr>
            <w:tcW w:w="1134" w:type="dxa"/>
          </w:tcPr>
          <w:p>
            <w:pPr>
              <w:pStyle w:val="nTable"/>
              <w:spacing w:after="40"/>
            </w:pPr>
            <w:r>
              <w:t>10 Dec 1986</w:t>
            </w:r>
          </w:p>
        </w:tc>
        <w:tc>
          <w:tcPr>
            <w:tcW w:w="2552" w:type="dxa"/>
          </w:tcPr>
          <w:p>
            <w:pPr>
              <w:pStyle w:val="nTable"/>
              <w:spacing w:after="40"/>
            </w:pPr>
            <w:r>
              <w:t>s. 3</w:t>
            </w:r>
            <w:r>
              <w:noBreakHyphen/>
              <w:t xml:space="preserve">9: 14 Mar 1988 (see s. 2 and </w:t>
            </w:r>
            <w:r>
              <w:rPr>
                <w:i/>
              </w:rPr>
              <w:t>Gazette</w:t>
            </w:r>
            <w:r>
              <w:t xml:space="preserve"> 11 Mar 1988 p. 781); </w:t>
            </w:r>
            <w:r>
              <w:br/>
              <w:t xml:space="preserve">s. 11 and 12: 1 Jan 1989 (see s. 2 and </w:t>
            </w:r>
            <w:r>
              <w:rPr>
                <w:i/>
              </w:rPr>
              <w:t>Gazette</w:t>
            </w:r>
            <w:r>
              <w:t xml:space="preserve"> 2 Dec 1988 p. 4781)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(Corrective Services) Act 1987 </w:t>
            </w:r>
            <w:r>
              <w:t>Pt. V</w:t>
            </w:r>
          </w:p>
        </w:tc>
        <w:tc>
          <w:tcPr>
            <w:tcW w:w="1134" w:type="dxa"/>
          </w:tcPr>
          <w:p>
            <w:pPr>
              <w:pStyle w:val="nTable"/>
              <w:spacing w:after="40"/>
            </w:pPr>
            <w:r>
              <w:t>47 of 1987</w:t>
            </w:r>
          </w:p>
        </w:tc>
        <w:tc>
          <w:tcPr>
            <w:tcW w:w="1134" w:type="dxa"/>
          </w:tcPr>
          <w:p>
            <w:pPr>
              <w:pStyle w:val="nTable"/>
              <w:spacing w:after="40"/>
            </w:pPr>
            <w:r>
              <w:t>3 Oct 1987</w:t>
            </w:r>
          </w:p>
        </w:tc>
        <w:tc>
          <w:tcPr>
            <w:tcW w:w="2552" w:type="dxa"/>
          </w:tcPr>
          <w:p>
            <w:pPr>
              <w:pStyle w:val="nTable"/>
              <w:spacing w:after="40"/>
            </w:pPr>
            <w:r>
              <w:t xml:space="preserve">11 Dec 1987 (see s. 2 and </w:t>
            </w:r>
            <w:r>
              <w:rPr>
                <w:i/>
              </w:rPr>
              <w:t>Gazette</w:t>
            </w:r>
            <w:r>
              <w:t xml:space="preserve"> 11 Dec 1987 p. 4363)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and Repeal (Gaming) Act 1987 </w:t>
            </w:r>
            <w:r>
              <w:t>Pt. IX</w:t>
            </w:r>
          </w:p>
        </w:tc>
        <w:tc>
          <w:tcPr>
            <w:tcW w:w="1134" w:type="dxa"/>
          </w:tcPr>
          <w:p>
            <w:pPr>
              <w:pStyle w:val="nTable"/>
              <w:spacing w:after="40"/>
            </w:pPr>
            <w:r>
              <w:t>74 of 1987</w:t>
            </w:r>
          </w:p>
        </w:tc>
        <w:tc>
          <w:tcPr>
            <w:tcW w:w="1134" w:type="dxa"/>
          </w:tcPr>
          <w:p>
            <w:pPr>
              <w:pStyle w:val="nTable"/>
              <w:spacing w:after="40"/>
            </w:pPr>
            <w:r>
              <w:t>26 Nov 1987</w:t>
            </w:r>
          </w:p>
        </w:tc>
        <w:tc>
          <w:tcPr>
            <w:tcW w:w="2552" w:type="dxa"/>
          </w:tcPr>
          <w:p>
            <w:pPr>
              <w:pStyle w:val="nTable"/>
              <w:spacing w:after="40"/>
            </w:pPr>
            <w:r>
              <w:t xml:space="preserve">2 May 1988 (see s. 2 and </w:t>
            </w:r>
            <w:r>
              <w:rPr>
                <w:i/>
              </w:rPr>
              <w:t xml:space="preserve">Gazette </w:t>
            </w:r>
            <w:r>
              <w:t>29 Apr 1988 p. 1292)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1987</w:t>
            </w:r>
            <w:r>
              <w:rPr>
                <w:vertAlign w:val="superscript"/>
              </w:rPr>
              <w:t> 14</w:t>
            </w:r>
          </w:p>
        </w:tc>
        <w:tc>
          <w:tcPr>
            <w:tcW w:w="1134" w:type="dxa"/>
          </w:tcPr>
          <w:p>
            <w:pPr>
              <w:pStyle w:val="nTable"/>
              <w:spacing w:after="40"/>
            </w:pPr>
            <w:r>
              <w:t>106 of 1987</w:t>
            </w:r>
          </w:p>
        </w:tc>
        <w:tc>
          <w:tcPr>
            <w:tcW w:w="1134" w:type="dxa"/>
          </w:tcPr>
          <w:p>
            <w:pPr>
              <w:pStyle w:val="nTable"/>
              <w:spacing w:after="40"/>
            </w:pPr>
            <w:r>
              <w:t>16 Dec 1987</w:t>
            </w:r>
          </w:p>
        </w:tc>
        <w:tc>
          <w:tcPr>
            <w:tcW w:w="2552" w:type="dxa"/>
          </w:tcPr>
          <w:p>
            <w:pPr>
              <w:pStyle w:val="nTable"/>
              <w:spacing w:after="40"/>
            </w:pPr>
            <w:r>
              <w:t>s. 1 and 2: 16 Dec 1987;</w:t>
            </w:r>
            <w:r>
              <w:br/>
              <w:t xml:space="preserve">Act other than s. 1 and 2: 14 Mar 1988 (see s. 2 and </w:t>
            </w:r>
            <w:r>
              <w:rPr>
                <w:i/>
              </w:rPr>
              <w:t>Gazette</w:t>
            </w:r>
            <w:r>
              <w:t xml:space="preserve"> 11 Mar 1988 p. 781)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(Imprisonment and Parole) Act 1987 </w:t>
            </w:r>
            <w:r>
              <w:t>Pt. IV</w:t>
            </w:r>
          </w:p>
        </w:tc>
        <w:tc>
          <w:tcPr>
            <w:tcW w:w="1134" w:type="dxa"/>
          </w:tcPr>
          <w:p>
            <w:pPr>
              <w:pStyle w:val="nTable"/>
              <w:spacing w:after="40"/>
            </w:pPr>
            <w:r>
              <w:t>129 of 1987</w:t>
            </w:r>
          </w:p>
        </w:tc>
        <w:tc>
          <w:tcPr>
            <w:tcW w:w="1134" w:type="dxa"/>
          </w:tcPr>
          <w:p>
            <w:pPr>
              <w:pStyle w:val="nTable"/>
              <w:spacing w:after="40"/>
            </w:pPr>
            <w:r>
              <w:t>21 Jan 1988</w:t>
            </w:r>
          </w:p>
        </w:tc>
        <w:tc>
          <w:tcPr>
            <w:tcW w:w="2552" w:type="dxa"/>
          </w:tcPr>
          <w:p>
            <w:pPr>
              <w:pStyle w:val="nTable"/>
              <w:spacing w:after="40"/>
            </w:pPr>
            <w:r>
              <w:t xml:space="preserve">15 Jun 1988 (see s. 2 and </w:t>
            </w:r>
            <w:r>
              <w:rPr>
                <w:i/>
              </w:rPr>
              <w:t>Gazette</w:t>
            </w:r>
            <w:r>
              <w:t xml:space="preserve"> 20 May 1988 p. 1664)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Law Amendment Act 1988</w:t>
            </w:r>
            <w:r>
              <w:t xml:space="preserve"> Pt. 2 (s. 3</w:t>
            </w:r>
            <w:r>
              <w:noBreakHyphen/>
              <w:t>33)</w:t>
            </w:r>
            <w:r>
              <w:rPr>
                <w:vertAlign w:val="superscript"/>
              </w:rPr>
              <w:t> 15</w:t>
            </w:r>
          </w:p>
        </w:tc>
        <w:tc>
          <w:tcPr>
            <w:tcW w:w="1134" w:type="dxa"/>
          </w:tcPr>
          <w:p>
            <w:pPr>
              <w:pStyle w:val="nTable"/>
              <w:spacing w:after="40"/>
            </w:pPr>
            <w:r>
              <w:t>70 of 1988</w:t>
            </w:r>
          </w:p>
        </w:tc>
        <w:tc>
          <w:tcPr>
            <w:tcW w:w="1134" w:type="dxa"/>
          </w:tcPr>
          <w:p>
            <w:pPr>
              <w:pStyle w:val="nTable"/>
              <w:spacing w:after="40"/>
              <w:ind w:right="12"/>
            </w:pPr>
            <w:r>
              <w:t>15 Dec 1988</w:t>
            </w:r>
          </w:p>
        </w:tc>
        <w:tc>
          <w:tcPr>
            <w:tcW w:w="2552" w:type="dxa"/>
          </w:tcPr>
          <w:p>
            <w:pPr>
              <w:pStyle w:val="nTable"/>
              <w:spacing w:after="40"/>
              <w:ind w:right="1"/>
            </w:pPr>
            <w:r>
              <w:t xml:space="preserve">s. 3, 32 and 33: 15 Dec 1988 (see s. 2(3)); </w:t>
            </w:r>
            <w:r>
              <w:br/>
              <w:t xml:space="preserve">Pt. 2 other than s. 3, 32 and 33: 1 Feb 1989 (see s. 2(1) and </w:t>
            </w:r>
            <w:r>
              <w:rPr>
                <w:i/>
              </w:rPr>
              <w:t>Gazette</w:t>
            </w:r>
            <w:r>
              <w:t xml:space="preserve"> 20 Jan 1989 </w:t>
            </w:r>
            <w:r>
              <w:rPr>
                <w:spacing w:val="-2"/>
              </w:rPr>
              <w:t>p. 110)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(Children’s Court) Act 1988 </w:t>
            </w:r>
            <w:r>
              <w:t>Pt. 4</w:t>
            </w:r>
          </w:p>
        </w:tc>
        <w:tc>
          <w:tcPr>
            <w:tcW w:w="1134" w:type="dxa"/>
          </w:tcPr>
          <w:p>
            <w:pPr>
              <w:pStyle w:val="nTable"/>
              <w:spacing w:after="40"/>
            </w:pPr>
            <w:r>
              <w:t>49 of 1988</w:t>
            </w:r>
          </w:p>
        </w:tc>
        <w:tc>
          <w:tcPr>
            <w:tcW w:w="1134"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Law Reform (Decriminalization of Sodomy) Act 1989 </w:t>
            </w:r>
            <w:r>
              <w:t>Pt. 1</w:t>
            </w:r>
          </w:p>
        </w:tc>
        <w:tc>
          <w:tcPr>
            <w:tcW w:w="1134" w:type="dxa"/>
          </w:tcPr>
          <w:p>
            <w:pPr>
              <w:pStyle w:val="nTable"/>
              <w:spacing w:after="40"/>
            </w:pPr>
            <w:r>
              <w:t>32 of 1989</w:t>
            </w:r>
          </w:p>
        </w:tc>
        <w:tc>
          <w:tcPr>
            <w:tcW w:w="1134" w:type="dxa"/>
          </w:tcPr>
          <w:p>
            <w:pPr>
              <w:pStyle w:val="nTable"/>
              <w:spacing w:after="40"/>
            </w:pPr>
            <w:r>
              <w:t>19 Dec 1989</w:t>
            </w:r>
          </w:p>
        </w:tc>
        <w:tc>
          <w:tcPr>
            <w:tcW w:w="2552" w:type="dxa"/>
          </w:tcPr>
          <w:p>
            <w:pPr>
              <w:pStyle w:val="nTable"/>
              <w:spacing w:after="40"/>
              <w:ind w:right="113"/>
            </w:pPr>
            <w:r>
              <w:t xml:space="preserve">23 Mar 1990 (see s. 2 and </w:t>
            </w:r>
            <w:r>
              <w:rPr>
                <w:i/>
              </w:rPr>
              <w:t xml:space="preserve">Gazette </w:t>
            </w:r>
            <w:r>
              <w:t>23 Mar 1990 p. 1469)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Criminal Code Amendment (Racist harassment and incitement to racial hatred) Act 1990</w:t>
            </w:r>
          </w:p>
        </w:tc>
        <w:tc>
          <w:tcPr>
            <w:tcW w:w="1134" w:type="dxa"/>
          </w:tcPr>
          <w:p>
            <w:pPr>
              <w:pStyle w:val="nTable"/>
              <w:spacing w:after="40"/>
            </w:pPr>
            <w:r>
              <w:t>33 of 1990</w:t>
            </w:r>
          </w:p>
        </w:tc>
        <w:tc>
          <w:tcPr>
            <w:tcW w:w="1134" w:type="dxa"/>
          </w:tcPr>
          <w:p>
            <w:pPr>
              <w:pStyle w:val="nTable"/>
              <w:spacing w:after="40"/>
              <w:ind w:right="113"/>
            </w:pPr>
            <w:r>
              <w:t>9 Oct 1990</w:t>
            </w:r>
          </w:p>
        </w:tc>
        <w:tc>
          <w:tcPr>
            <w:tcW w:w="2552" w:type="dxa"/>
          </w:tcPr>
          <w:p>
            <w:pPr>
              <w:pStyle w:val="nTable"/>
              <w:spacing w:after="40"/>
              <w:ind w:right="113"/>
            </w:pPr>
            <w:r>
              <w:t>6 Nov 1990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1990 </w:t>
            </w:r>
            <w:r>
              <w:t>Pt. 2 (s. 3-55)</w:t>
            </w:r>
          </w:p>
        </w:tc>
        <w:tc>
          <w:tcPr>
            <w:tcW w:w="1134" w:type="dxa"/>
          </w:tcPr>
          <w:p>
            <w:pPr>
              <w:pStyle w:val="nTable"/>
              <w:spacing w:after="40"/>
            </w:pPr>
            <w:r>
              <w:t>101 of 1990</w:t>
            </w:r>
          </w:p>
        </w:tc>
        <w:tc>
          <w:tcPr>
            <w:tcW w:w="1134" w:type="dxa"/>
          </w:tcPr>
          <w:p>
            <w:pPr>
              <w:pStyle w:val="nTable"/>
              <w:spacing w:after="40"/>
            </w:pPr>
            <w:r>
              <w:t>20 Dec 1990</w:t>
            </w:r>
          </w:p>
        </w:tc>
        <w:tc>
          <w:tcPr>
            <w:tcW w:w="2552" w:type="dxa"/>
          </w:tcPr>
          <w:p>
            <w:pPr>
              <w:pStyle w:val="nTable"/>
              <w:spacing w:after="40"/>
            </w:pPr>
            <w:r>
              <w:t>s. 51: 20 Dec 1990 (see s. 2(2));</w:t>
            </w:r>
            <w:r>
              <w:br/>
              <w:t xml:space="preserve">Pt. 2 other than s. 51: 14 Feb 1991 (see s. 2(1)) </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31 May 1991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Law Amendment Act 1991</w:t>
            </w:r>
            <w:r>
              <w:rPr>
                <w:vertAlign w:val="superscript"/>
              </w:rPr>
              <w:t> 16</w:t>
            </w:r>
          </w:p>
        </w:tc>
        <w:tc>
          <w:tcPr>
            <w:tcW w:w="1134" w:type="dxa"/>
          </w:tcPr>
          <w:p>
            <w:pPr>
              <w:pStyle w:val="nTable"/>
              <w:spacing w:after="40"/>
            </w:pPr>
            <w:r>
              <w:t>37 of 1991</w:t>
            </w:r>
          </w:p>
        </w:tc>
        <w:tc>
          <w:tcPr>
            <w:tcW w:w="1134" w:type="dxa"/>
          </w:tcPr>
          <w:p>
            <w:pPr>
              <w:pStyle w:val="nTable"/>
              <w:spacing w:after="40"/>
            </w:pPr>
            <w:r>
              <w:t>12 Dec 1991</w:t>
            </w:r>
          </w:p>
        </w:tc>
        <w:tc>
          <w:tcPr>
            <w:tcW w:w="2552" w:type="dxa"/>
          </w:tcPr>
          <w:p>
            <w:pPr>
              <w:pStyle w:val="nTable"/>
              <w:spacing w:after="40"/>
            </w:pPr>
            <w:r>
              <w:t>Act other than s. 4 and 7 and Pt. 4</w:t>
            </w:r>
            <w:r>
              <w:noBreakHyphen/>
              <w:t xml:space="preserve">5: 12 Dec 1991 (see s. 2(1)); </w:t>
            </w:r>
            <w:r>
              <w:br/>
              <w:t>s. 4 and 7 and Pt. 4</w:t>
            </w:r>
            <w:r>
              <w:noBreakHyphen/>
              <w:t xml:space="preserve">5: 10 Feb 1992 (see s. 2(2) and </w:t>
            </w:r>
            <w:r>
              <w:rPr>
                <w:i/>
              </w:rPr>
              <w:t>Gazette</w:t>
            </w:r>
            <w:r>
              <w:t xml:space="preserve"> 31 Jan 1992 p. 477)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Acts Amendment (Evidence) Act 1991 </w:t>
            </w:r>
            <w:r>
              <w:t>Pt. 3</w:t>
            </w:r>
            <w:r>
              <w:rPr>
                <w:vertAlign w:val="superscript"/>
              </w:rPr>
              <w:t> 17</w:t>
            </w:r>
          </w:p>
        </w:tc>
        <w:tc>
          <w:tcPr>
            <w:tcW w:w="1134" w:type="dxa"/>
          </w:tcPr>
          <w:p>
            <w:pPr>
              <w:pStyle w:val="nTable"/>
              <w:spacing w:after="40"/>
            </w:pPr>
            <w:r>
              <w:t>48 of 1991</w:t>
            </w:r>
          </w:p>
        </w:tc>
        <w:tc>
          <w:tcPr>
            <w:tcW w:w="1134" w:type="dxa"/>
          </w:tcPr>
          <w:p>
            <w:pPr>
              <w:pStyle w:val="nTable"/>
              <w:spacing w:after="40"/>
            </w:pPr>
            <w:r>
              <w:t>17 Dec 1991</w:t>
            </w:r>
          </w:p>
        </w:tc>
        <w:tc>
          <w:tcPr>
            <w:tcW w:w="2552" w:type="dxa"/>
          </w:tcPr>
          <w:p>
            <w:pPr>
              <w:pStyle w:val="nTable"/>
              <w:spacing w:after="40"/>
            </w:pPr>
            <w:r>
              <w:t xml:space="preserve">31 Mar 1992 (see s. 2 and </w:t>
            </w:r>
            <w:r>
              <w:rPr>
                <w:i/>
              </w:rPr>
              <w:t>Gazette</w:t>
            </w:r>
            <w:r>
              <w:t xml:space="preserve"> 24 Mar 1992 p. 1317)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1992 </w:t>
            </w:r>
            <w:r>
              <w:t>Pt. 2</w:t>
            </w:r>
          </w:p>
        </w:tc>
        <w:tc>
          <w:tcPr>
            <w:tcW w:w="1134" w:type="dxa"/>
          </w:tcPr>
          <w:p>
            <w:pPr>
              <w:pStyle w:val="nTable"/>
              <w:spacing w:after="40"/>
            </w:pPr>
            <w:r>
              <w:t>1 of 1992</w:t>
            </w:r>
          </w:p>
        </w:tc>
        <w:tc>
          <w:tcPr>
            <w:tcW w:w="1134" w:type="dxa"/>
          </w:tcPr>
          <w:p>
            <w:pPr>
              <w:pStyle w:val="nTable"/>
              <w:spacing w:after="40"/>
            </w:pPr>
            <w:r>
              <w:t>7 Feb 1992</w:t>
            </w:r>
          </w:p>
        </w:tc>
        <w:tc>
          <w:tcPr>
            <w:tcW w:w="2552" w:type="dxa"/>
          </w:tcPr>
          <w:p>
            <w:pPr>
              <w:pStyle w:val="nTable"/>
              <w:spacing w:after="40"/>
            </w:pPr>
            <w:r>
              <w:t>9 Mar 1992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(Confiscation of Criminal Profits) Act 1992 </w:t>
            </w:r>
            <w:r>
              <w:t>Pt. 3</w:t>
            </w:r>
          </w:p>
        </w:tc>
        <w:tc>
          <w:tcPr>
            <w:tcW w:w="1134" w:type="dxa"/>
          </w:tcPr>
          <w:p>
            <w:pPr>
              <w:pStyle w:val="nTable"/>
              <w:spacing w:after="40"/>
            </w:pPr>
            <w:r>
              <w:t>15 of 1992</w:t>
            </w:r>
          </w:p>
        </w:tc>
        <w:tc>
          <w:tcPr>
            <w:tcW w:w="1134" w:type="dxa"/>
          </w:tcPr>
          <w:p>
            <w:pPr>
              <w:pStyle w:val="nTable"/>
              <w:spacing w:after="40"/>
            </w:pPr>
            <w:r>
              <w:t>16 Jun 1992</w:t>
            </w:r>
          </w:p>
        </w:tc>
        <w:tc>
          <w:tcPr>
            <w:tcW w:w="2552" w:type="dxa"/>
          </w:tcPr>
          <w:p>
            <w:pPr>
              <w:pStyle w:val="nTable"/>
              <w:spacing w:after="40"/>
            </w:pPr>
            <w:r>
              <w:t>16 Jun 1992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vertAlign w:val="superscript"/>
              </w:rPr>
            </w:pPr>
            <w:r>
              <w:rPr>
                <w:i/>
              </w:rPr>
              <w:t xml:space="preserve">Acts Amendment (Sexual Offences) Act 1992 </w:t>
            </w:r>
            <w:r>
              <w:t>Pt. 2</w:t>
            </w:r>
            <w:r>
              <w:rPr>
                <w:vertAlign w:val="superscript"/>
              </w:rPr>
              <w:t> 18</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 xml:space="preserve">Gazette </w:t>
            </w:r>
            <w:r>
              <w:t>28 Jul 1992 p. 3671)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2) 1992 </w:t>
            </w:r>
          </w:p>
        </w:tc>
        <w:tc>
          <w:tcPr>
            <w:tcW w:w="1134" w:type="dxa"/>
          </w:tcPr>
          <w:p>
            <w:pPr>
              <w:pStyle w:val="nTable"/>
              <w:spacing w:after="40"/>
            </w:pPr>
            <w:r>
              <w:t>51 of 1992</w:t>
            </w:r>
          </w:p>
        </w:tc>
        <w:tc>
          <w:tcPr>
            <w:tcW w:w="1134" w:type="dxa"/>
          </w:tcPr>
          <w:p>
            <w:pPr>
              <w:pStyle w:val="nTable"/>
              <w:spacing w:after="40"/>
            </w:pPr>
            <w:r>
              <w:t>9 Dec 1992</w:t>
            </w:r>
          </w:p>
        </w:tc>
        <w:tc>
          <w:tcPr>
            <w:tcW w:w="2552" w:type="dxa"/>
          </w:tcPr>
          <w:p>
            <w:pPr>
              <w:pStyle w:val="nTable"/>
              <w:spacing w:after="40"/>
            </w:pPr>
            <w:r>
              <w:t>6 Jan 1993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(Jurisdiction and Criminal Procedure) Act 1992 </w:t>
            </w:r>
            <w:r>
              <w:t xml:space="preserve">Pt. 2 </w:t>
            </w:r>
          </w:p>
        </w:tc>
        <w:tc>
          <w:tcPr>
            <w:tcW w:w="1134" w:type="dxa"/>
          </w:tcPr>
          <w:p>
            <w:pPr>
              <w:pStyle w:val="nTable"/>
              <w:spacing w:after="40"/>
            </w:pPr>
            <w:r>
              <w:t>53 of 1992</w:t>
            </w:r>
          </w:p>
        </w:tc>
        <w:tc>
          <w:tcPr>
            <w:tcW w:w="1134" w:type="dxa"/>
          </w:tcPr>
          <w:p>
            <w:pPr>
              <w:pStyle w:val="nTable"/>
              <w:spacing w:after="40"/>
            </w:pPr>
            <w:r>
              <w:t>9 Dec 1992</w:t>
            </w:r>
          </w:p>
        </w:tc>
        <w:tc>
          <w:tcPr>
            <w:tcW w:w="2552" w:type="dxa"/>
          </w:tcPr>
          <w:p>
            <w:pPr>
              <w:pStyle w:val="nTable"/>
              <w:spacing w:after="40"/>
            </w:pPr>
            <w:r>
              <w:t>s. 3, 4, 6 and 7: 1 Mar 1993 (see s. 2(1) and </w:t>
            </w:r>
            <w:r>
              <w:rPr>
                <w:i/>
              </w:rPr>
              <w:t>Gazette</w:t>
            </w:r>
            <w:r>
              <w:t xml:space="preserve"> 26 Jan 1993 p. 823); </w:t>
            </w:r>
            <w:r>
              <w:br/>
              <w:t xml:space="preserve">s. 5: 4 Nov 1996 (see s. 2(1) and </w:t>
            </w:r>
            <w:r>
              <w:rPr>
                <w:i/>
              </w:rPr>
              <w:t>Gazette</w:t>
            </w:r>
            <w:r>
              <w:t xml:space="preserve"> 25 Oct 1996 p. 5631)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(Ministry of Justice) Act 1993 </w:t>
            </w:r>
            <w:r>
              <w:t>Pt. 6</w:t>
            </w:r>
            <w:r>
              <w:rPr>
                <w:vertAlign w:val="superscript"/>
              </w:rPr>
              <w:t> 19</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17 Dec 1993 </w:t>
            </w:r>
            <w:r>
              <w:rPr>
                <w:b/>
              </w:rPr>
              <w:br/>
            </w:r>
            <w:r>
              <w:t xml:space="preserve">(includes amendments listed above except those in the </w:t>
            </w:r>
            <w:r>
              <w:rPr>
                <w:i/>
              </w:rPr>
              <w:t xml:space="preserve">Acts Amendment (Jurisdiction and Criminal Procedure) Act 1992 </w:t>
            </w:r>
            <w:r>
              <w:t>s. 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(Public Sector Management) Act 1994 </w:t>
            </w:r>
            <w:r>
              <w:t>s. 10</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1994 </w:t>
            </w:r>
            <w:r>
              <w:t>Pt. 2</w:t>
            </w:r>
            <w:r>
              <w:noBreakHyphen/>
              <w:t>4</w:t>
            </w:r>
          </w:p>
        </w:tc>
        <w:tc>
          <w:tcPr>
            <w:tcW w:w="1134" w:type="dxa"/>
          </w:tcPr>
          <w:p>
            <w:pPr>
              <w:pStyle w:val="nTable"/>
              <w:spacing w:after="40"/>
            </w:pPr>
            <w:r>
              <w:t>82 of 1994</w:t>
            </w:r>
          </w:p>
        </w:tc>
        <w:tc>
          <w:tcPr>
            <w:tcW w:w="1134" w:type="dxa"/>
          </w:tcPr>
          <w:p>
            <w:pPr>
              <w:pStyle w:val="nTable"/>
              <w:spacing w:after="40"/>
            </w:pPr>
            <w:r>
              <w:t>23 Dec 1994</w:t>
            </w:r>
          </w:p>
        </w:tc>
        <w:tc>
          <w:tcPr>
            <w:tcW w:w="2552" w:type="dxa"/>
          </w:tcPr>
          <w:p>
            <w:pPr>
              <w:pStyle w:val="nTable"/>
              <w:spacing w:after="40"/>
            </w:pPr>
            <w:r>
              <w:t>20 Jan 1995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(Fines, Penalties and Infringement Notices) Act 1994 </w:t>
            </w:r>
            <w:r>
              <w:t>Pt. 5</w:t>
            </w:r>
          </w:p>
        </w:tc>
        <w:tc>
          <w:tcPr>
            <w:tcW w:w="1134" w:type="dxa"/>
          </w:tcPr>
          <w:p>
            <w:pPr>
              <w:pStyle w:val="nTable"/>
              <w:spacing w:after="40"/>
            </w:pPr>
            <w:r>
              <w:t>92 of 1994</w:t>
            </w:r>
          </w:p>
        </w:tc>
        <w:tc>
          <w:tcPr>
            <w:tcW w:w="1134" w:type="dxa"/>
          </w:tcPr>
          <w:p>
            <w:pPr>
              <w:pStyle w:val="nTable"/>
              <w:spacing w:after="40"/>
            </w:pPr>
            <w:r>
              <w:t>23 Dec 1994</w:t>
            </w:r>
          </w:p>
        </w:tc>
        <w:tc>
          <w:tcPr>
            <w:tcW w:w="2552" w:type="dxa"/>
          </w:tcPr>
          <w:p>
            <w:pPr>
              <w:pStyle w:val="nTable"/>
              <w:spacing w:after="40"/>
            </w:pPr>
            <w:r>
              <w:t xml:space="preserve">1 Jan 1995 (see s. 2(1) and </w:t>
            </w:r>
            <w:r>
              <w:rPr>
                <w:i/>
              </w:rPr>
              <w:t>Gazette</w:t>
            </w:r>
            <w:r>
              <w:t xml:space="preserve"> 30 Dec 1994 p. 7211)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Sentencing (Consequential Provisions) Act 1995 </w:t>
            </w:r>
            <w:r>
              <w:t>Pt. 19, 20 and s. 147</w:t>
            </w:r>
            <w:r>
              <w:rPr>
                <w:vertAlign w:val="superscript"/>
              </w:rPr>
              <w:t> 20</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1996</w:t>
            </w:r>
          </w:p>
        </w:tc>
        <w:tc>
          <w:tcPr>
            <w:tcW w:w="1134" w:type="dxa"/>
          </w:tcPr>
          <w:p>
            <w:pPr>
              <w:pStyle w:val="nTable"/>
              <w:spacing w:after="40"/>
            </w:pPr>
            <w:r>
              <w:t>34 of 1996</w:t>
            </w:r>
          </w:p>
        </w:tc>
        <w:tc>
          <w:tcPr>
            <w:tcW w:w="1134" w:type="dxa"/>
          </w:tcPr>
          <w:p>
            <w:pPr>
              <w:pStyle w:val="nTable"/>
              <w:spacing w:after="40"/>
            </w:pPr>
            <w:r>
              <w:t>27 Sep 1996</w:t>
            </w:r>
          </w:p>
        </w:tc>
        <w:tc>
          <w:tcPr>
            <w:tcW w:w="2552" w:type="dxa"/>
          </w:tcPr>
          <w:p>
            <w:pPr>
              <w:pStyle w:val="nTable"/>
              <w:spacing w:after="40"/>
            </w:pPr>
            <w:r>
              <w:t>27 Sep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 xml:space="preserve">Criminal Law Amendment Act 1996 </w:t>
            </w:r>
            <w:r>
              <w:t>Pt. 2</w:t>
            </w:r>
            <w:r>
              <w:rPr>
                <w:vertAlign w:val="superscript"/>
              </w:rPr>
              <w:t> 2, 3</w:t>
            </w:r>
          </w:p>
        </w:tc>
        <w:tc>
          <w:tcPr>
            <w:tcW w:w="1134" w:type="dxa"/>
          </w:tcPr>
          <w:p>
            <w:pPr>
              <w:pStyle w:val="nTable"/>
              <w:spacing w:after="40"/>
            </w:pPr>
            <w:r>
              <w:t>36 of 1996</w:t>
            </w:r>
          </w:p>
        </w:tc>
        <w:tc>
          <w:tcPr>
            <w:tcW w:w="1134" w:type="dxa"/>
          </w:tcPr>
          <w:p>
            <w:pPr>
              <w:pStyle w:val="nTable"/>
              <w:spacing w:after="40"/>
            </w:pPr>
            <w:r>
              <w:t>10 Oct 1996</w:t>
            </w:r>
          </w:p>
        </w:tc>
        <w:tc>
          <w:tcPr>
            <w:tcW w:w="2552" w:type="dxa"/>
          </w:tcPr>
          <w:p>
            <w:pPr>
              <w:pStyle w:val="nTable"/>
              <w:spacing w:after="40"/>
            </w:pPr>
            <w:r>
              <w:t>10 Oct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Censorship Act 1996</w:t>
            </w:r>
            <w:r>
              <w:t xml:space="preserve"> s. 152(1) and (2)</w:t>
            </w:r>
          </w:p>
        </w:tc>
        <w:tc>
          <w:tcPr>
            <w:tcW w:w="1134" w:type="dxa"/>
          </w:tcPr>
          <w:p>
            <w:pPr>
              <w:pStyle w:val="nTable"/>
              <w:spacing w:after="40"/>
            </w:pPr>
            <w:r>
              <w:t>40 of 1996</w:t>
            </w:r>
          </w:p>
        </w:tc>
        <w:tc>
          <w:tcPr>
            <w:tcW w:w="1134" w:type="dxa"/>
          </w:tcPr>
          <w:p>
            <w:pPr>
              <w:pStyle w:val="nTable"/>
              <w:spacing w:after="40"/>
            </w:pPr>
            <w:r>
              <w:t>10 Oct 1996</w:t>
            </w:r>
          </w:p>
        </w:tc>
        <w:tc>
          <w:tcPr>
            <w:tcW w:w="2552" w:type="dxa"/>
          </w:tcPr>
          <w:p>
            <w:pPr>
              <w:pStyle w:val="nTable"/>
              <w:spacing w:after="40"/>
            </w:pPr>
            <w:r>
              <w:t xml:space="preserve">5 Nov 1996 (see s. 2 and </w:t>
            </w:r>
            <w:r>
              <w:rPr>
                <w:i/>
              </w:rPr>
              <w:t>Gazette</w:t>
            </w:r>
            <w:r>
              <w:t xml:space="preserve"> 5 Nov 1996 p. 5845)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1996</w:t>
            </w:r>
            <w:r>
              <w:t> </w:t>
            </w:r>
            <w:r>
              <w:rPr>
                <w:vertAlign w:val="superscript"/>
              </w:rPr>
              <w:t>6</w:t>
            </w:r>
          </w:p>
        </w:tc>
        <w:tc>
          <w:tcPr>
            <w:tcW w:w="1134" w:type="dxa"/>
          </w:tcPr>
          <w:p>
            <w:pPr>
              <w:pStyle w:val="nTable"/>
              <w:spacing w:after="40"/>
            </w:pPr>
            <w:r>
              <w:t>60 of 1996</w:t>
            </w:r>
          </w:p>
        </w:tc>
        <w:tc>
          <w:tcPr>
            <w:tcW w:w="1134" w:type="dxa"/>
          </w:tcPr>
          <w:p>
            <w:pPr>
              <w:pStyle w:val="nTable"/>
              <w:spacing w:after="40"/>
            </w:pPr>
            <w:r>
              <w:t>11 Nov 1996</w:t>
            </w:r>
          </w:p>
        </w:tc>
        <w:tc>
          <w:tcPr>
            <w:tcW w:w="2552" w:type="dxa"/>
          </w:tcPr>
          <w:p>
            <w:pPr>
              <w:pStyle w:val="nTable"/>
              <w:spacing w:after="40"/>
            </w:pPr>
            <w:r>
              <w:t>s. 1 and 2: 11 Nov 1996;</w:t>
            </w:r>
            <w:r>
              <w:br/>
              <w:t xml:space="preserve">Act other than s. 1 and 2: 14 Nov 1996 (see s. 2 and </w:t>
            </w:r>
            <w:r>
              <w:rPr>
                <w:i/>
              </w:rPr>
              <w:t>Gazette</w:t>
            </w:r>
            <w:r>
              <w:t xml:space="preserve"> 13 Nov 1996 p. 6439)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Mental Health (Consequential Provisions) Act 1996 </w:t>
            </w:r>
            <w:r>
              <w:t>Pt. 4</w:t>
            </w:r>
            <w:r>
              <w:rPr>
                <w:vertAlign w:val="superscript"/>
              </w:rPr>
              <w:t> 21</w:t>
            </w:r>
          </w:p>
        </w:tc>
        <w:tc>
          <w:tcPr>
            <w:tcW w:w="1134" w:type="dxa"/>
          </w:tcPr>
          <w:p>
            <w:pPr>
              <w:pStyle w:val="nTable"/>
              <w:keepNext/>
              <w:spacing w:after="40"/>
            </w:pPr>
            <w:r>
              <w:t>69 of 1996</w:t>
            </w:r>
          </w:p>
        </w:tc>
        <w:tc>
          <w:tcPr>
            <w:tcW w:w="1134" w:type="dxa"/>
          </w:tcPr>
          <w:p>
            <w:pPr>
              <w:pStyle w:val="nTable"/>
              <w:keepNext/>
              <w:spacing w:after="40"/>
            </w:pPr>
            <w:r>
              <w:t>13 Nov 1996</w:t>
            </w:r>
          </w:p>
        </w:tc>
        <w:tc>
          <w:tcPr>
            <w:tcW w:w="2552" w:type="dxa"/>
          </w:tcPr>
          <w:p>
            <w:pPr>
              <w:pStyle w:val="nTable"/>
              <w:keepNext/>
              <w:spacing w:after="40"/>
            </w:pPr>
            <w:r>
              <w:t>13 Nov 1997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21 Apr 1997</w:t>
            </w:r>
            <w:r>
              <w:rPr>
                <w:b/>
              </w:rPr>
              <w:br/>
            </w:r>
            <w:r>
              <w:t xml:space="preserve">(includes amendments listed above except those in the </w:t>
            </w:r>
            <w:r>
              <w:rPr>
                <w:i/>
              </w:rPr>
              <w:t>Mental Health (Consequential Provisions) Act 1996</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Restraining Orders Act 1997 </w:t>
            </w:r>
            <w:r>
              <w:t>s. 83</w:t>
            </w:r>
          </w:p>
        </w:tc>
        <w:tc>
          <w:tcPr>
            <w:tcW w:w="1134" w:type="dxa"/>
          </w:tcPr>
          <w:p>
            <w:pPr>
              <w:pStyle w:val="nTable"/>
              <w:spacing w:after="40"/>
            </w:pPr>
            <w:r>
              <w:t>19 of 1997</w:t>
            </w:r>
          </w:p>
        </w:tc>
        <w:tc>
          <w:tcPr>
            <w:tcW w:w="1134" w:type="dxa"/>
          </w:tcPr>
          <w:p>
            <w:pPr>
              <w:pStyle w:val="nTable"/>
              <w:spacing w:after="40"/>
            </w:pPr>
            <w:r>
              <w:t>28 Aug 1997</w:t>
            </w:r>
          </w:p>
        </w:tc>
        <w:tc>
          <w:tcPr>
            <w:tcW w:w="2552" w:type="dxa"/>
          </w:tcPr>
          <w:p>
            <w:pPr>
              <w:pStyle w:val="nTable"/>
              <w:spacing w:after="40"/>
            </w:pPr>
            <w:r>
              <w:t xml:space="preserve">15 Sep 1997 (see s. 2 and </w:t>
            </w:r>
            <w:r>
              <w:rPr>
                <w:i/>
              </w:rPr>
              <w:t>Gazette</w:t>
            </w:r>
            <w:r>
              <w:t xml:space="preserve"> 12 Sep 1997 p. 5149)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4" w:type="dxa"/>
          </w:tcPr>
          <w:p>
            <w:pPr>
              <w:pStyle w:val="nTable"/>
              <w:spacing w:after="40"/>
            </w:pPr>
            <w:r>
              <w:t>10 Dec 1997</w:t>
            </w:r>
          </w:p>
        </w:tc>
        <w:tc>
          <w:tcPr>
            <w:tcW w:w="2552" w:type="dxa"/>
          </w:tcPr>
          <w:p>
            <w:pPr>
              <w:pStyle w:val="nTable"/>
              <w:spacing w:after="40"/>
            </w:pPr>
            <w:r>
              <w:t>10 Dec 1997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1997 </w:t>
            </w:r>
            <w:r>
              <w:t>s. 45</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(Abortion) Act 1998 </w:t>
            </w:r>
            <w:r>
              <w:t>Pt. 2</w:t>
            </w:r>
          </w:p>
        </w:tc>
        <w:tc>
          <w:tcPr>
            <w:tcW w:w="1134" w:type="dxa"/>
          </w:tcPr>
          <w:p>
            <w:pPr>
              <w:pStyle w:val="nTable"/>
              <w:spacing w:after="40"/>
            </w:pPr>
            <w:r>
              <w:t>15 of 1998</w:t>
            </w:r>
          </w:p>
        </w:tc>
        <w:tc>
          <w:tcPr>
            <w:tcW w:w="1134" w:type="dxa"/>
          </w:tcPr>
          <w:p>
            <w:pPr>
              <w:pStyle w:val="nTable"/>
              <w:spacing w:after="40"/>
            </w:pPr>
            <w:r>
              <w:t>26 May 1998</w:t>
            </w:r>
          </w:p>
        </w:tc>
        <w:tc>
          <w:tcPr>
            <w:tcW w:w="2552" w:type="dxa"/>
          </w:tcPr>
          <w:p>
            <w:pPr>
              <w:pStyle w:val="nTable"/>
              <w:spacing w:after="40"/>
            </w:pPr>
            <w:r>
              <w:t>26 May 1998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2) 1998 </w:t>
            </w:r>
            <w:r>
              <w:t>Pt. 2</w:t>
            </w:r>
          </w:p>
        </w:tc>
        <w:tc>
          <w:tcPr>
            <w:tcW w:w="1134" w:type="dxa"/>
          </w:tcPr>
          <w:p>
            <w:pPr>
              <w:pStyle w:val="nTable"/>
              <w:spacing w:after="40"/>
            </w:pPr>
            <w:r>
              <w:t>29 of 1998</w:t>
            </w:r>
          </w:p>
        </w:tc>
        <w:tc>
          <w:tcPr>
            <w:tcW w:w="1134" w:type="dxa"/>
          </w:tcPr>
          <w:p>
            <w:pPr>
              <w:pStyle w:val="nTable"/>
              <w:spacing w:after="40"/>
            </w:pPr>
            <w:r>
              <w:t>6 Jul 1998</w:t>
            </w:r>
          </w:p>
        </w:tc>
        <w:tc>
          <w:tcPr>
            <w:tcW w:w="2552" w:type="dxa"/>
          </w:tcPr>
          <w:p>
            <w:pPr>
              <w:pStyle w:val="nTable"/>
              <w:spacing w:after="40"/>
            </w:pPr>
            <w:r>
              <w:t>3 Aug 1998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1) 1998 </w:t>
            </w:r>
            <w:r>
              <w:t>Pt. 2</w:t>
            </w:r>
          </w:p>
        </w:tc>
        <w:tc>
          <w:tcPr>
            <w:tcW w:w="1134" w:type="dxa"/>
          </w:tcPr>
          <w:p>
            <w:pPr>
              <w:pStyle w:val="nTable"/>
              <w:spacing w:after="40"/>
            </w:pPr>
            <w:r>
              <w:t>38 of 1998</w:t>
            </w:r>
          </w:p>
        </w:tc>
        <w:tc>
          <w:tcPr>
            <w:tcW w:w="1134" w:type="dxa"/>
          </w:tcPr>
          <w:p>
            <w:pPr>
              <w:pStyle w:val="nTable"/>
              <w:spacing w:after="40"/>
            </w:pPr>
            <w:r>
              <w:t>25 Sep 1998</w:t>
            </w:r>
          </w:p>
        </w:tc>
        <w:tc>
          <w:tcPr>
            <w:tcW w:w="2552" w:type="dxa"/>
          </w:tcPr>
          <w:p>
            <w:pPr>
              <w:pStyle w:val="nTable"/>
              <w:spacing w:after="40"/>
            </w:pPr>
            <w:r>
              <w:t>23 Oct 1998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Repeal and Amendment (Births, Deaths and Marriages </w:t>
            </w:r>
            <w:r>
              <w:rPr>
                <w:i/>
                <w:spacing w:val="-2"/>
              </w:rPr>
              <w:t xml:space="preserve">Registration) Act 1998 </w:t>
            </w:r>
            <w:r>
              <w:rPr>
                <w:iCs/>
                <w:spacing w:val="-2"/>
              </w:rPr>
              <w:t>s.</w:t>
            </w:r>
            <w:r>
              <w:rPr>
                <w:spacing w:val="-2"/>
              </w:rPr>
              <w:t> 10</w:t>
            </w:r>
          </w:p>
        </w:tc>
        <w:tc>
          <w:tcPr>
            <w:tcW w:w="1134" w:type="dxa"/>
          </w:tcPr>
          <w:p>
            <w:pPr>
              <w:pStyle w:val="nTable"/>
              <w:keepNext/>
              <w:spacing w:after="40"/>
            </w:pPr>
            <w:r>
              <w:t>40 of 1998</w:t>
            </w:r>
          </w:p>
        </w:tc>
        <w:tc>
          <w:tcPr>
            <w:tcW w:w="1134" w:type="dxa"/>
          </w:tcPr>
          <w:p>
            <w:pPr>
              <w:pStyle w:val="nTable"/>
              <w:keepNext/>
              <w:spacing w:after="40"/>
            </w:pPr>
            <w:r>
              <w:t>30 Oct 1998</w:t>
            </w:r>
          </w:p>
        </w:tc>
        <w:tc>
          <w:tcPr>
            <w:tcW w:w="2552" w:type="dxa"/>
          </w:tcPr>
          <w:p>
            <w:pPr>
              <w:pStyle w:val="nTable"/>
              <w:keepNext/>
              <w:spacing w:after="40"/>
            </w:pPr>
            <w:r>
              <w:t xml:space="preserve">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(Video and Audio Links) Act 1998 </w:t>
            </w:r>
            <w:r>
              <w:t>Pt. 2</w:t>
            </w:r>
          </w:p>
        </w:tc>
        <w:tc>
          <w:tcPr>
            <w:tcW w:w="1134" w:type="dxa"/>
          </w:tcPr>
          <w:p>
            <w:pPr>
              <w:pStyle w:val="nTable"/>
              <w:spacing w:after="40"/>
            </w:pPr>
            <w:r>
              <w:t>48 of 1998</w:t>
            </w:r>
          </w:p>
        </w:tc>
        <w:tc>
          <w:tcPr>
            <w:tcW w:w="1134" w:type="dxa"/>
          </w:tcPr>
          <w:p>
            <w:pPr>
              <w:pStyle w:val="nTable"/>
              <w:spacing w:after="40"/>
            </w:pPr>
            <w:r>
              <w:t>19 Nov 1998</w:t>
            </w:r>
          </w:p>
        </w:tc>
        <w:tc>
          <w:tcPr>
            <w:tcW w:w="2552" w:type="dxa"/>
          </w:tcPr>
          <w:p>
            <w:pPr>
              <w:pStyle w:val="nTable"/>
              <w:spacing w:after="40"/>
            </w:pPr>
            <w:r>
              <w:t xml:space="preserve">18 Jan 1999 (see s. 2 and </w:t>
            </w:r>
            <w:r>
              <w:rPr>
                <w:i/>
              </w:rPr>
              <w:t>Gazette</w:t>
            </w:r>
            <w:r>
              <w:t xml:space="preserve"> 15 Jan 1999 p. 109)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(Criminal Procedure) Act 1999 </w:t>
            </w:r>
            <w:r>
              <w:t>Pt. 2</w:t>
            </w:r>
          </w:p>
        </w:tc>
        <w:tc>
          <w:tcPr>
            <w:tcW w:w="1134" w:type="dxa"/>
          </w:tcPr>
          <w:p>
            <w:pPr>
              <w:pStyle w:val="nTable"/>
              <w:spacing w:after="40"/>
            </w:pPr>
            <w:r>
              <w:t>10 of 1999</w:t>
            </w:r>
          </w:p>
        </w:tc>
        <w:tc>
          <w:tcPr>
            <w:tcW w:w="1134" w:type="dxa"/>
          </w:tcPr>
          <w:p>
            <w:pPr>
              <w:pStyle w:val="nTable"/>
              <w:spacing w:after="40"/>
            </w:pPr>
            <w:r>
              <w:t>5 May 1999</w:t>
            </w:r>
          </w:p>
        </w:tc>
        <w:tc>
          <w:tcPr>
            <w:tcW w:w="2552" w:type="dxa"/>
          </w:tcPr>
          <w:p>
            <w:pPr>
              <w:pStyle w:val="nTable"/>
              <w:spacing w:after="40"/>
            </w:pPr>
            <w:r>
              <w:t xml:space="preserve">1 Oct 1999 (see s. 2 and </w:t>
            </w:r>
            <w:r>
              <w:rPr>
                <w:i/>
              </w:rPr>
              <w:t>Gazette</w:t>
            </w:r>
            <w:r>
              <w:t xml:space="preserve"> 17 Sep 1999 p. 4557)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2 Oct 1999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Criminal Code Amendment Act 1999</w:t>
            </w:r>
          </w:p>
        </w:tc>
        <w:tc>
          <w:tcPr>
            <w:tcW w:w="1134" w:type="dxa"/>
          </w:tcPr>
          <w:p>
            <w:pPr>
              <w:pStyle w:val="nTable"/>
              <w:spacing w:after="40"/>
            </w:pPr>
            <w:r>
              <w:t>35 of 1999</w:t>
            </w:r>
          </w:p>
        </w:tc>
        <w:tc>
          <w:tcPr>
            <w:tcW w:w="1134" w:type="dxa"/>
          </w:tcPr>
          <w:p>
            <w:pPr>
              <w:pStyle w:val="nTable"/>
              <w:spacing w:after="40"/>
            </w:pPr>
            <w:r>
              <w:t>18 Oct 1999</w:t>
            </w:r>
          </w:p>
        </w:tc>
        <w:tc>
          <w:tcPr>
            <w:tcW w:w="2552" w:type="dxa"/>
          </w:tcPr>
          <w:p>
            <w:pPr>
              <w:pStyle w:val="nTable"/>
              <w:spacing w:after="40"/>
            </w:pPr>
            <w:r>
              <w:t>15 Nov 1999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Prisons Amendment Act 1999 </w:t>
            </w:r>
            <w:r>
              <w:t>s. 20</w:t>
            </w:r>
          </w:p>
        </w:tc>
        <w:tc>
          <w:tcPr>
            <w:tcW w:w="1134" w:type="dxa"/>
          </w:tcPr>
          <w:p>
            <w:pPr>
              <w:pStyle w:val="nTable"/>
              <w:spacing w:after="40"/>
            </w:pPr>
            <w:r>
              <w:t>43 of 1999</w:t>
            </w:r>
          </w:p>
        </w:tc>
        <w:tc>
          <w:tcPr>
            <w:tcW w:w="1134" w:type="dxa"/>
          </w:tcPr>
          <w:p>
            <w:pPr>
              <w:pStyle w:val="nTable"/>
              <w:spacing w:after="40"/>
            </w:pPr>
            <w:r>
              <w:t>8 Dec 1999</w:t>
            </w:r>
          </w:p>
        </w:tc>
        <w:tc>
          <w:tcPr>
            <w:tcW w:w="2552" w:type="dxa"/>
          </w:tcPr>
          <w:p>
            <w:pPr>
              <w:pStyle w:val="nTable"/>
              <w:spacing w:after="40"/>
            </w:pPr>
            <w:r>
              <w:t xml:space="preserve">18 Dec 1999 (see s. 2(2) and </w:t>
            </w:r>
            <w:r>
              <w:rPr>
                <w:i/>
              </w:rPr>
              <w:t>Gazette</w:t>
            </w:r>
            <w:r>
              <w:t xml:space="preserve"> 17 Dec 1999 p. 6175)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Court Security and Custodial Services (Consequential Provisions) Act 1999 </w:t>
            </w:r>
            <w:r>
              <w:t>Pt. 5</w:t>
            </w:r>
          </w:p>
        </w:tc>
        <w:tc>
          <w:tcPr>
            <w:tcW w:w="1134" w:type="dxa"/>
          </w:tcPr>
          <w:p>
            <w:pPr>
              <w:pStyle w:val="nTable"/>
              <w:spacing w:after="40"/>
            </w:pPr>
            <w:r>
              <w:t>47 of 1999</w:t>
            </w:r>
          </w:p>
        </w:tc>
        <w:tc>
          <w:tcPr>
            <w:tcW w:w="1134"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Prostitution Act 2000 </w:t>
            </w:r>
            <w:r>
              <w:t>s. 64</w:t>
            </w:r>
          </w:p>
        </w:tc>
        <w:tc>
          <w:tcPr>
            <w:tcW w:w="1134" w:type="dxa"/>
          </w:tcPr>
          <w:p>
            <w:pPr>
              <w:pStyle w:val="nTable"/>
              <w:spacing w:after="40"/>
            </w:pPr>
            <w:r>
              <w:t xml:space="preserve">17 of 2000 </w:t>
            </w:r>
          </w:p>
        </w:tc>
        <w:tc>
          <w:tcPr>
            <w:tcW w:w="1134" w:type="dxa"/>
          </w:tcPr>
          <w:p>
            <w:pPr>
              <w:pStyle w:val="nTable"/>
              <w:spacing w:after="40"/>
            </w:pPr>
            <w:r>
              <w:t xml:space="preserve">22 Jun 2000 </w:t>
            </w:r>
          </w:p>
        </w:tc>
        <w:tc>
          <w:tcPr>
            <w:tcW w:w="2552" w:type="dxa"/>
          </w:tcPr>
          <w:p>
            <w:pPr>
              <w:pStyle w:val="nTable"/>
              <w:spacing w:after="40"/>
            </w:pPr>
            <w:r>
              <w:t xml:space="preserve">29 Jul 2000 (see s. 2 and </w:t>
            </w:r>
            <w:r>
              <w:rPr>
                <w:i/>
              </w:rPr>
              <w:t>Gazette</w:t>
            </w:r>
            <w:r>
              <w:t xml:space="preserve"> 28 Jul 2000 p. 3987)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(Home Invasion) Act 2000</w:t>
            </w:r>
          </w:p>
        </w:tc>
        <w:tc>
          <w:tcPr>
            <w:tcW w:w="1134" w:type="dxa"/>
          </w:tcPr>
          <w:p>
            <w:pPr>
              <w:pStyle w:val="nTable"/>
              <w:spacing w:after="40"/>
            </w:pPr>
            <w:r>
              <w:t>45 of 2000</w:t>
            </w:r>
          </w:p>
        </w:tc>
        <w:tc>
          <w:tcPr>
            <w:tcW w:w="1134" w:type="dxa"/>
          </w:tcPr>
          <w:p>
            <w:pPr>
              <w:pStyle w:val="nTable"/>
              <w:spacing w:after="40"/>
            </w:pPr>
            <w:r>
              <w:t>17 Nov 2000</w:t>
            </w:r>
          </w:p>
        </w:tc>
        <w:tc>
          <w:tcPr>
            <w:tcW w:w="2552" w:type="dxa"/>
          </w:tcPr>
          <w:p>
            <w:pPr>
              <w:pStyle w:val="nTable"/>
              <w:spacing w:after="40"/>
            </w:pPr>
            <w:r>
              <w:t>17 Nov 2000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(Evidence) Act 2000 </w:t>
            </w:r>
            <w:r>
              <w:t>Pt. 5</w:t>
            </w:r>
          </w:p>
        </w:tc>
        <w:tc>
          <w:tcPr>
            <w:tcW w:w="1134" w:type="dxa"/>
          </w:tcPr>
          <w:p>
            <w:pPr>
              <w:pStyle w:val="nTable"/>
              <w:spacing w:after="40"/>
            </w:pPr>
            <w:r>
              <w:t>71 of 2000</w:t>
            </w:r>
          </w:p>
        </w:tc>
        <w:tc>
          <w:tcPr>
            <w:tcW w:w="1134" w:type="dxa"/>
          </w:tcPr>
          <w:p>
            <w:pPr>
              <w:pStyle w:val="nTable"/>
              <w:spacing w:after="40"/>
            </w:pPr>
            <w:r>
              <w:t>6 Dec 2000</w:t>
            </w:r>
          </w:p>
        </w:tc>
        <w:tc>
          <w:tcPr>
            <w:tcW w:w="2552" w:type="dxa"/>
          </w:tcPr>
          <w:p>
            <w:pPr>
              <w:pStyle w:val="nTable"/>
              <w:spacing w:after="40"/>
            </w:pPr>
            <w:r>
              <w:t>3 Jan 2001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9 Feb 2001</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Criminal Law Amendment Act 2001</w:t>
            </w:r>
            <w:r>
              <w:t xml:space="preserve"> s. 2</w:t>
            </w:r>
            <w:r>
              <w:noBreakHyphen/>
              <w:t>9 and 11</w:t>
            </w:r>
          </w:p>
        </w:tc>
        <w:tc>
          <w:tcPr>
            <w:tcW w:w="1134" w:type="dxa"/>
          </w:tcPr>
          <w:p>
            <w:pPr>
              <w:pStyle w:val="nTable"/>
              <w:spacing w:after="40"/>
            </w:pPr>
            <w:r>
              <w:t>23 of 2001</w:t>
            </w:r>
          </w:p>
        </w:tc>
        <w:tc>
          <w:tcPr>
            <w:tcW w:w="1134" w:type="dxa"/>
          </w:tcPr>
          <w:p>
            <w:pPr>
              <w:pStyle w:val="nTable"/>
              <w:spacing w:after="40"/>
            </w:pPr>
            <w:r>
              <w:t>26 Nov 2001</w:t>
            </w:r>
          </w:p>
        </w:tc>
        <w:tc>
          <w:tcPr>
            <w:tcW w:w="2552" w:type="dxa"/>
          </w:tcPr>
          <w:p>
            <w:pPr>
              <w:pStyle w:val="nTable"/>
              <w:spacing w:after="40"/>
            </w:pPr>
            <w:r>
              <w:t>24 Dec 2001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Act 2001</w:t>
            </w:r>
          </w:p>
        </w:tc>
        <w:tc>
          <w:tcPr>
            <w:tcW w:w="1134" w:type="dxa"/>
          </w:tcPr>
          <w:p>
            <w:pPr>
              <w:pStyle w:val="nTable"/>
              <w:spacing w:after="40"/>
            </w:pPr>
            <w:r>
              <w:t>34 of 2001</w:t>
            </w:r>
          </w:p>
        </w:tc>
        <w:tc>
          <w:tcPr>
            <w:tcW w:w="1134" w:type="dxa"/>
          </w:tcPr>
          <w:p>
            <w:pPr>
              <w:pStyle w:val="nTable"/>
              <w:spacing w:after="40"/>
            </w:pPr>
            <w:r>
              <w:t>7 Jan 2002</w:t>
            </w:r>
          </w:p>
        </w:tc>
        <w:tc>
          <w:tcPr>
            <w:tcW w:w="2552" w:type="dxa"/>
          </w:tcPr>
          <w:p>
            <w:pPr>
              <w:pStyle w:val="nTable"/>
              <w:spacing w:after="40"/>
            </w:pPr>
            <w:r>
              <w:t>7 Jan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(Lesbian and Gay Law Reform) Act 2002 </w:t>
            </w:r>
            <w:r>
              <w:t>Pt. 7</w:t>
            </w:r>
          </w:p>
        </w:tc>
        <w:tc>
          <w:tcPr>
            <w:tcW w:w="1134" w:type="dxa"/>
          </w:tcPr>
          <w:p>
            <w:pPr>
              <w:pStyle w:val="nTable"/>
              <w:spacing w:after="40"/>
            </w:pPr>
            <w:r>
              <w:t>3 of 2002</w:t>
            </w:r>
          </w:p>
        </w:tc>
        <w:tc>
          <w:tcPr>
            <w:tcW w:w="1134" w:type="dxa"/>
          </w:tcPr>
          <w:p>
            <w:pPr>
              <w:pStyle w:val="nTable"/>
              <w:spacing w:after="40"/>
            </w:pPr>
            <w:r>
              <w:t>17 Apr 2002</w:t>
            </w:r>
          </w:p>
        </w:tc>
        <w:tc>
          <w:tcPr>
            <w:tcW w:w="2552" w:type="dxa"/>
          </w:tcPr>
          <w:p>
            <w:pPr>
              <w:pStyle w:val="nTable"/>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Investigation (Identifying People) Act 2002</w:t>
            </w:r>
            <w:r>
              <w:t xml:space="preserve"> Sch. 2 cl. 3</w:t>
            </w:r>
          </w:p>
        </w:tc>
        <w:tc>
          <w:tcPr>
            <w:tcW w:w="1134" w:type="dxa"/>
          </w:tcPr>
          <w:p>
            <w:pPr>
              <w:pStyle w:val="nTable"/>
              <w:spacing w:after="40"/>
            </w:pPr>
            <w:r>
              <w:t>6 of 2002</w:t>
            </w:r>
          </w:p>
        </w:tc>
        <w:tc>
          <w:tcPr>
            <w:tcW w:w="1134" w:type="dxa"/>
          </w:tcPr>
          <w:p>
            <w:pPr>
              <w:pStyle w:val="nTable"/>
              <w:spacing w:after="40"/>
            </w:pPr>
            <w:r>
              <w:t>4 Jun 2002</w:t>
            </w:r>
          </w:p>
        </w:tc>
        <w:tc>
          <w:tcPr>
            <w:tcW w:w="2552" w:type="dxa"/>
          </w:tcPr>
          <w:p>
            <w:pPr>
              <w:pStyle w:val="nTable"/>
              <w:spacing w:after="40"/>
            </w:pPr>
            <w:r>
              <w:t xml:space="preserve">20 Nov 2002 (see s. 2 and </w:t>
            </w:r>
            <w:r>
              <w:rPr>
                <w:i/>
              </w:rPr>
              <w:t>Gazette</w:t>
            </w:r>
            <w:r>
              <w:t xml:space="preserve"> 19 Nov 2002 p. 5505)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(Corruption Penalties) Act 2002</w:t>
            </w:r>
          </w:p>
        </w:tc>
        <w:tc>
          <w:tcPr>
            <w:tcW w:w="1134" w:type="dxa"/>
          </w:tcPr>
          <w:p>
            <w:pPr>
              <w:pStyle w:val="nTable"/>
              <w:spacing w:after="40"/>
            </w:pPr>
            <w:r>
              <w:t>8 of 2002</w:t>
            </w:r>
          </w:p>
        </w:tc>
        <w:tc>
          <w:tcPr>
            <w:tcW w:w="1134" w:type="dxa"/>
          </w:tcPr>
          <w:p>
            <w:pPr>
              <w:pStyle w:val="nTable"/>
              <w:spacing w:after="40"/>
            </w:pPr>
            <w:r>
              <w:t>28 Jun 2002</w:t>
            </w:r>
          </w:p>
        </w:tc>
        <w:tc>
          <w:tcPr>
            <w:tcW w:w="2552" w:type="dxa"/>
          </w:tcPr>
          <w:p>
            <w:pPr>
              <w:pStyle w:val="nTable"/>
              <w:spacing w:after="40"/>
            </w:pPr>
            <w:r>
              <w:t>28 Jun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Criminal Law (Procedure) Amendment Act 2002</w:t>
            </w:r>
            <w:r>
              <w:t xml:space="preserve"> Pt. 3</w:t>
            </w:r>
          </w:p>
        </w:tc>
        <w:tc>
          <w:tcPr>
            <w:tcW w:w="1134" w:type="dxa"/>
          </w:tcPr>
          <w:p>
            <w:pPr>
              <w:pStyle w:val="nTable"/>
              <w:spacing w:after="40"/>
            </w:pPr>
            <w:r>
              <w:t>27 of 2002</w:t>
            </w:r>
          </w:p>
        </w:tc>
        <w:tc>
          <w:tcPr>
            <w:tcW w:w="1134" w:type="dxa"/>
          </w:tcPr>
          <w:p>
            <w:pPr>
              <w:pStyle w:val="nTable"/>
              <w:spacing w:after="40"/>
            </w:pPr>
            <w:r>
              <w:t>25 Sep 2002</w:t>
            </w:r>
          </w:p>
        </w:tc>
        <w:tc>
          <w:tcPr>
            <w:tcW w:w="2552" w:type="dxa"/>
          </w:tcPr>
          <w:p>
            <w:pPr>
              <w:pStyle w:val="nTable"/>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Reprint 10</w:t>
            </w:r>
            <w:r>
              <w:rPr>
                <w:b/>
                <w:vertAlign w:val="superscript"/>
              </w:rPr>
              <w:t> </w:t>
            </w:r>
            <w:r>
              <w:rPr>
                <w:bCs/>
                <w:vertAlign w:val="superscript"/>
              </w:rPr>
              <w:t>22</w:t>
            </w:r>
            <w:r>
              <w:rPr>
                <w:b/>
              </w:rPr>
              <w:t xml:space="preserve">:  The </w:t>
            </w:r>
            <w:r>
              <w:rPr>
                <w:b/>
                <w:i/>
              </w:rPr>
              <w:t>Criminal Code Act Compilation Act 1913</w:t>
            </w:r>
            <w:r>
              <w:rPr>
                <w:b/>
              </w:rPr>
              <w:t xml:space="preserve"> as at 7 Feb 2003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Juries Amendment Act 2003</w:t>
            </w:r>
            <w:r>
              <w:t xml:space="preserve"> s. 24</w:t>
            </w:r>
          </w:p>
        </w:tc>
        <w:tc>
          <w:tcPr>
            <w:tcW w:w="1134" w:type="dxa"/>
          </w:tcPr>
          <w:p>
            <w:pPr>
              <w:pStyle w:val="nTable"/>
              <w:spacing w:after="40"/>
            </w:pPr>
            <w:r>
              <w:t>25 of 2003</w:t>
            </w:r>
          </w:p>
        </w:tc>
        <w:tc>
          <w:tcPr>
            <w:tcW w:w="1134" w:type="dxa"/>
          </w:tcPr>
          <w:p>
            <w:pPr>
              <w:pStyle w:val="nTable"/>
              <w:spacing w:after="40"/>
            </w:pPr>
            <w:r>
              <w:t>16 May 2003</w:t>
            </w:r>
          </w:p>
        </w:tc>
        <w:tc>
          <w:tcPr>
            <w:tcW w:w="2552" w:type="dxa"/>
          </w:tcPr>
          <w:p>
            <w:pPr>
              <w:pStyle w:val="nTable"/>
              <w:spacing w:after="40"/>
            </w:pPr>
            <w:r>
              <w:t xml:space="preserve">18 Jun 2003 (see s. 2 and </w:t>
            </w:r>
            <w:r>
              <w:rPr>
                <w:i/>
              </w:rPr>
              <w:t>Gazette</w:t>
            </w:r>
            <w:r>
              <w:t xml:space="preserve"> 17 Jun 2003 p. 2201)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(Equality of Status) Act 2003</w:t>
            </w:r>
            <w:r>
              <w:t xml:space="preserve"> Pt. 12 and s. 118</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Censorship Amendment Act 2003</w:t>
            </w:r>
            <w:r>
              <w:t xml:space="preserve"> s. 42</w:t>
            </w:r>
          </w:p>
        </w:tc>
        <w:tc>
          <w:tcPr>
            <w:tcW w:w="1134" w:type="dxa"/>
          </w:tcPr>
          <w:p>
            <w:pPr>
              <w:pStyle w:val="nTable"/>
              <w:spacing w:after="40"/>
            </w:pPr>
            <w:r>
              <w:t>30 of 2003</w:t>
            </w:r>
          </w:p>
        </w:tc>
        <w:tc>
          <w:tcPr>
            <w:tcW w:w="1134" w:type="dxa"/>
          </w:tcPr>
          <w:p>
            <w:pPr>
              <w:pStyle w:val="nTable"/>
              <w:spacing w:after="40"/>
            </w:pPr>
            <w:r>
              <w:t>26 May 2003</w:t>
            </w:r>
          </w:p>
        </w:tc>
        <w:tc>
          <w:tcPr>
            <w:tcW w:w="2552" w:type="dxa"/>
          </w:tcPr>
          <w:p>
            <w:pPr>
              <w:pStyle w:val="nTable"/>
              <w:spacing w:after="40"/>
            </w:pPr>
            <w:r>
              <w:t xml:space="preserve">1 Jul 2003 (see s. 2 and </w:t>
            </w:r>
            <w:r>
              <w:rPr>
                <w:i/>
              </w:rPr>
              <w:t>Gazette</w:t>
            </w:r>
            <w:r>
              <w:t xml:space="preserve"> 27 Jun 2003 p. 2383)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rPr>
              <w:t>Corruption and Crime Commission Act 2003</w:t>
            </w:r>
            <w:r>
              <w:t xml:space="preserve"> Sch. 4 cl. 3</w:t>
            </w:r>
            <w:r>
              <w:rPr>
                <w:vertAlign w:val="superscript"/>
              </w:rPr>
              <w:t> 23</w:t>
            </w:r>
          </w:p>
        </w:tc>
        <w:tc>
          <w:tcPr>
            <w:tcW w:w="1134" w:type="dxa"/>
          </w:tcPr>
          <w:p>
            <w:pPr>
              <w:pStyle w:val="nTable"/>
              <w:spacing w:after="40"/>
            </w:pPr>
            <w:r>
              <w:t>48 of 2003</w:t>
            </w:r>
            <w:r>
              <w:br/>
            </w:r>
          </w:p>
        </w:tc>
        <w:tc>
          <w:tcPr>
            <w:tcW w:w="1134" w:type="dxa"/>
          </w:tcPr>
          <w:p>
            <w:pPr>
              <w:pStyle w:val="nTable"/>
              <w:spacing w:after="40"/>
            </w:pPr>
            <w:r>
              <w:t>3 Jul 2003</w:t>
            </w:r>
          </w:p>
        </w:tc>
        <w:tc>
          <w:tcPr>
            <w:tcW w:w="2552" w:type="dxa"/>
          </w:tcPr>
          <w:p>
            <w:pPr>
              <w:pStyle w:val="nTable"/>
              <w:spacing w:after="40"/>
            </w:pPr>
            <w:r>
              <w:t xml:space="preserve">1 Jan 2004 (see s. 2 and </w:t>
            </w:r>
            <w:r>
              <w:rPr>
                <w:i/>
              </w:rPr>
              <w:t>Gazette</w:t>
            </w:r>
            <w: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Sentencing Legislation Amendment and Repeal Act 2003 </w:t>
            </w:r>
            <w:r>
              <w:t>s. 51</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and Repeal (Courts and Legal Practice) Act 2003</w:t>
            </w:r>
            <w:r>
              <w:t xml:space="preserve"> s. 26, 89, 123</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Statutes (Repeals and Minor Amendments) Act 2003</w:t>
            </w:r>
            <w:r>
              <w:t xml:space="preserve"> s. 150(2)</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Corruption and Crime Commission Amendment and Repeal Act 2003 </w:t>
            </w:r>
            <w:r>
              <w:t>s. 74(2)</w:t>
            </w:r>
          </w:p>
        </w:tc>
        <w:tc>
          <w:tcPr>
            <w:tcW w:w="1134" w:type="dxa"/>
          </w:tcPr>
          <w:p>
            <w:pPr>
              <w:pStyle w:val="nTable"/>
              <w:spacing w:after="40"/>
            </w:pPr>
            <w:r>
              <w:t>78 of 2003</w:t>
            </w:r>
          </w:p>
        </w:tc>
        <w:tc>
          <w:tcPr>
            <w:tcW w:w="1134" w:type="dxa"/>
          </w:tcPr>
          <w:p>
            <w:pPr>
              <w:pStyle w:val="nTable"/>
              <w:spacing w:after="40"/>
            </w:pPr>
            <w:r>
              <w:t>22 Dec 2003</w:t>
            </w:r>
          </w:p>
        </w:tc>
        <w:tc>
          <w:tcPr>
            <w:tcW w:w="2552" w:type="dxa"/>
          </w:tcPr>
          <w:p>
            <w:pPr>
              <w:pStyle w:val="nTable"/>
              <w:spacing w:after="40"/>
            </w:pPr>
            <w:r>
              <w:t xml:space="preserve">7 Jul 2004 (see s. 2 and </w:t>
            </w:r>
            <w:r>
              <w:rPr>
                <w:i/>
              </w:rPr>
              <w:t xml:space="preserve">Gazette </w:t>
            </w:r>
            <w:r>
              <w:t>6 Jul 2004 p. 2697)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Act 2004</w:t>
            </w:r>
            <w:r>
              <w:t xml:space="preserve"> </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Reprint 11</w:t>
            </w:r>
            <w:r>
              <w:rPr>
                <w:b/>
                <w:vertAlign w:val="superscript"/>
              </w:rPr>
              <w:t> </w:t>
            </w:r>
            <w:r>
              <w:rPr>
                <w:bCs/>
                <w:vertAlign w:val="superscript"/>
              </w:rPr>
              <w:t>22</w:t>
            </w:r>
            <w:r>
              <w:rPr>
                <w:b/>
              </w:rPr>
              <w:t xml:space="preserve">:  The </w:t>
            </w:r>
            <w:r>
              <w:rPr>
                <w:b/>
                <w:i/>
              </w:rPr>
              <w:t>Criminal Code Act Compilation Act 1913</w:t>
            </w:r>
            <w:r>
              <w:rPr>
                <w:b/>
              </w:rPr>
              <w:t xml:space="preserve"> as at 3 Sep 2004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Criminal Law Amendment (Criminal Property) Act 2004 </w:t>
            </w:r>
            <w:r>
              <w:t xml:space="preserve">Pt. 2 </w:t>
            </w:r>
          </w:p>
        </w:tc>
        <w:tc>
          <w:tcPr>
            <w:tcW w:w="1134" w:type="dxa"/>
          </w:tcPr>
          <w:p>
            <w:pPr>
              <w:pStyle w:val="nTable"/>
              <w:spacing w:after="40"/>
            </w:pPr>
            <w:r>
              <w:t>26 of 2004</w:t>
            </w:r>
          </w:p>
        </w:tc>
        <w:tc>
          <w:tcPr>
            <w:tcW w:w="1134" w:type="dxa"/>
          </w:tcPr>
          <w:p>
            <w:pPr>
              <w:pStyle w:val="nTable"/>
              <w:spacing w:after="40"/>
            </w:pPr>
            <w:r>
              <w:t>7 Oct 2004</w:t>
            </w:r>
          </w:p>
        </w:tc>
        <w:tc>
          <w:tcPr>
            <w:tcW w:w="2552" w:type="dxa"/>
          </w:tcPr>
          <w:p>
            <w:pPr>
              <w:pStyle w:val="nTable"/>
              <w:spacing w:after="40"/>
              <w:rPr>
                <w:spacing w:val="-2"/>
              </w:rPr>
            </w:pPr>
            <w:r>
              <w:t>7 Oct 2004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(Family and Domestic Violence) Act 2004</w:t>
            </w:r>
            <w:r>
              <w:t xml:space="preserve"> Pt. 4</w:t>
            </w:r>
          </w:p>
        </w:tc>
        <w:tc>
          <w:tcPr>
            <w:tcW w:w="1134" w:type="dxa"/>
          </w:tcPr>
          <w:p>
            <w:pPr>
              <w:pStyle w:val="nTable"/>
              <w:spacing w:after="40"/>
            </w:pPr>
            <w:r>
              <w:t>38 of 2004</w:t>
            </w:r>
          </w:p>
        </w:tc>
        <w:tc>
          <w:tcPr>
            <w:tcW w:w="1134" w:type="dxa"/>
          </w:tcPr>
          <w:p>
            <w:pPr>
              <w:pStyle w:val="nTable"/>
              <w:spacing w:after="40"/>
            </w:pPr>
            <w:r>
              <w:t>9 Nov 2004</w:t>
            </w:r>
          </w:p>
        </w:tc>
        <w:tc>
          <w:tcPr>
            <w:tcW w:w="2552" w:type="dxa"/>
          </w:tcPr>
          <w:p>
            <w:pPr>
              <w:pStyle w:val="nTable"/>
              <w:spacing w:after="40"/>
            </w:pPr>
            <w:r>
              <w:t xml:space="preserve">1 Dec 2004 (see s. 2 and </w:t>
            </w:r>
            <w:r>
              <w:rPr>
                <w:i/>
              </w:rPr>
              <w:t>Gazette</w:t>
            </w:r>
            <w:r>
              <w:t xml:space="preserve"> 26 Nov 2004 p. 5309)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(Court of Appeal) Act 2004</w:t>
            </w:r>
            <w:r>
              <w:t xml:space="preserve"> s. 30</w:t>
            </w:r>
          </w:p>
        </w:tc>
        <w:tc>
          <w:tcPr>
            <w:tcW w:w="1134" w:type="dxa"/>
          </w:tcPr>
          <w:p>
            <w:pPr>
              <w:pStyle w:val="nTable"/>
              <w:spacing w:after="40"/>
            </w:pPr>
            <w:r>
              <w:t>45 of 2004</w:t>
            </w:r>
          </w:p>
        </w:tc>
        <w:tc>
          <w:tcPr>
            <w:tcW w:w="1134" w:type="dxa"/>
          </w:tcPr>
          <w:p>
            <w:pPr>
              <w:pStyle w:val="nTable"/>
              <w:spacing w:after="40"/>
            </w:pPr>
            <w:r>
              <w:t xml:space="preserve">9 Nov 2004 </w:t>
            </w:r>
          </w:p>
        </w:tc>
        <w:tc>
          <w:tcPr>
            <w:tcW w:w="2552"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Criminal Law Amendment (Sexual Assault and Other Matters) Act 2004</w:t>
            </w:r>
            <w:r>
              <w:rPr>
                <w:iCs/>
              </w:rPr>
              <w:t xml:space="preserve"> Pt. 2</w:t>
            </w:r>
          </w:p>
        </w:tc>
        <w:tc>
          <w:tcPr>
            <w:tcW w:w="1134" w:type="dxa"/>
          </w:tcPr>
          <w:p>
            <w:pPr>
              <w:pStyle w:val="nTable"/>
              <w:spacing w:after="40"/>
            </w:pPr>
            <w:r>
              <w:t>46 of 2004</w:t>
            </w:r>
          </w:p>
        </w:tc>
        <w:tc>
          <w:tcPr>
            <w:tcW w:w="1134" w:type="dxa"/>
          </w:tcPr>
          <w:p>
            <w:pPr>
              <w:pStyle w:val="nTable"/>
              <w:spacing w:after="40"/>
            </w:pPr>
            <w:r>
              <w:t>9 Nov 2004</w:t>
            </w:r>
          </w:p>
        </w:tc>
        <w:tc>
          <w:tcPr>
            <w:tcW w:w="2552" w:type="dxa"/>
          </w:tcPr>
          <w:p>
            <w:pPr>
              <w:pStyle w:val="nTable"/>
              <w:spacing w:after="40"/>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Courts Legislation Amendment and Repeal Act 2004</w:t>
            </w:r>
            <w:r>
              <w:rPr>
                <w:iCs/>
              </w:rPr>
              <w:t xml:space="preserve"> Pt. 9</w:t>
            </w:r>
          </w:p>
        </w:tc>
        <w:tc>
          <w:tcPr>
            <w:tcW w:w="1134" w:type="dxa"/>
          </w:tcPr>
          <w:p>
            <w:pPr>
              <w:pStyle w:val="nTable"/>
              <w:spacing w:after="40"/>
            </w:pPr>
            <w:r>
              <w:t>59 of 2004</w:t>
            </w:r>
          </w:p>
        </w:tc>
        <w:tc>
          <w:tcPr>
            <w:tcW w:w="1134" w:type="dxa"/>
          </w:tcPr>
          <w:p>
            <w:pPr>
              <w:pStyle w:val="nTable"/>
              <w:spacing w:after="40"/>
            </w:pPr>
            <w:r>
              <w:t>23 Nov 2004</w:t>
            </w:r>
          </w:p>
        </w:tc>
        <w:tc>
          <w:tcPr>
            <w:tcW w:w="2552" w:type="dxa"/>
          </w:tcPr>
          <w:p>
            <w:pPr>
              <w:pStyle w:val="nTable"/>
              <w:spacing w:after="40"/>
            </w:pPr>
            <w:r>
              <w:t xml:space="preserve">1 May 2005 (see s. 2 and </w:t>
            </w:r>
            <w:r>
              <w:rPr>
                <w:i/>
                <w:iCs/>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vertAlign w:val="superscript"/>
              </w:rPr>
            </w:pPr>
            <w:r>
              <w:rPr>
                <w:i/>
                <w:snapToGrid w:val="0"/>
              </w:rPr>
              <w:t>Criminal Law Amendment (Simple Offences) Act 2004</w:t>
            </w:r>
            <w:r>
              <w:rPr>
                <w:iCs/>
                <w:snapToGrid w:val="0"/>
              </w:rPr>
              <w:t xml:space="preserve"> Pt. 2 (s. 3-39)</w:t>
            </w:r>
            <w:r>
              <w:rPr>
                <w:iCs/>
                <w:snapToGrid w:val="0"/>
                <w:vertAlign w:val="superscript"/>
              </w:rPr>
              <w:t> 24, 25, 26</w:t>
            </w:r>
          </w:p>
        </w:tc>
        <w:tc>
          <w:tcPr>
            <w:tcW w:w="1134" w:type="dxa"/>
          </w:tcPr>
          <w:p>
            <w:pPr>
              <w:pStyle w:val="nTable"/>
              <w:spacing w:after="40"/>
            </w:pPr>
            <w:r>
              <w:rPr>
                <w:snapToGrid w:val="0"/>
              </w:rPr>
              <w:t xml:space="preserve">70 of 2004 </w:t>
            </w:r>
            <w:r>
              <w:t xml:space="preserve">(as amended by No. 24 of 2005 s. 63; No. 2 of </w:t>
            </w:r>
            <w:r>
              <w:rPr>
                <w:spacing w:val="-4"/>
              </w:rPr>
              <w:t>2008 s. 76(2))</w:t>
            </w:r>
          </w:p>
        </w:tc>
        <w:tc>
          <w:tcPr>
            <w:tcW w:w="1134" w:type="dxa"/>
          </w:tcPr>
          <w:p>
            <w:pPr>
              <w:pStyle w:val="nTable"/>
              <w:spacing w:after="40"/>
            </w:pPr>
            <w:r>
              <w:t>8 Dec 2004</w:t>
            </w:r>
          </w:p>
        </w:tc>
        <w:tc>
          <w:tcPr>
            <w:tcW w:w="2552" w:type="dxa"/>
          </w:tcPr>
          <w:p>
            <w:pPr>
              <w:pStyle w:val="nTable"/>
              <w:spacing w:after="40"/>
            </w:pPr>
            <w:r>
              <w:rPr>
                <w:snapToGrid w:val="0"/>
              </w:rPr>
              <w:t xml:space="preserve">Pt. 2 other than s. 37 and 39: 31 May 2005 (see s. 2 and </w:t>
            </w:r>
            <w:r>
              <w:rPr>
                <w:i/>
                <w:iCs/>
                <w:snapToGrid w:val="0"/>
              </w:rPr>
              <w:t>Gazette</w:t>
            </w:r>
            <w:r>
              <w:rPr>
                <w:snapToGrid w:val="0"/>
              </w:rPr>
              <w:t xml:space="preserve"> 14 Jan 2005 p. 163)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Criminal Code Amendment (Racial Vilification) Act 2004</w:t>
            </w:r>
            <w:r>
              <w:rPr>
                <w:iCs/>
                <w:vertAlign w:val="superscript"/>
              </w:rPr>
              <w:t> 27</w:t>
            </w:r>
          </w:p>
        </w:tc>
        <w:tc>
          <w:tcPr>
            <w:tcW w:w="1134" w:type="dxa"/>
          </w:tcPr>
          <w:p>
            <w:pPr>
              <w:pStyle w:val="nTable"/>
              <w:spacing w:after="40"/>
            </w:pPr>
            <w:r>
              <w:t xml:space="preserve">80 of 2004 (as amended by No. 2 of 2008 s. 6(2), </w:t>
            </w:r>
            <w:r>
              <w:rPr>
                <w:spacing w:val="-4"/>
              </w:rPr>
              <w:t>7(2) and 8(2))</w:t>
            </w:r>
          </w:p>
        </w:tc>
        <w:tc>
          <w:tcPr>
            <w:tcW w:w="1134" w:type="dxa"/>
          </w:tcPr>
          <w:p>
            <w:pPr>
              <w:pStyle w:val="nTable"/>
              <w:spacing w:after="40"/>
            </w:pPr>
            <w:r>
              <w:t>8 Dec 2004</w:t>
            </w:r>
          </w:p>
        </w:tc>
        <w:tc>
          <w:tcPr>
            <w:tcW w:w="2552" w:type="dxa"/>
          </w:tcPr>
          <w:p>
            <w:pPr>
              <w:pStyle w:val="nTable"/>
              <w:spacing w:after="40"/>
            </w:pPr>
            <w:r>
              <w:t>8 Dec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Pt. 5, s. 80 and 82</w:t>
            </w:r>
            <w:r>
              <w:rPr>
                <w:snapToGrid w:val="0"/>
                <w:vertAlign w:val="superscript"/>
              </w:rPr>
              <w:t> 28, 29</w:t>
            </w:r>
          </w:p>
        </w:tc>
        <w:tc>
          <w:tcPr>
            <w:tcW w:w="1134" w:type="dxa"/>
          </w:tcPr>
          <w:p>
            <w:pPr>
              <w:pStyle w:val="nTable"/>
              <w:spacing w:after="40"/>
              <w:rPr>
                <w:snapToGrid w:val="0"/>
              </w:rPr>
            </w:pPr>
            <w:r>
              <w:rPr>
                <w:snapToGrid w:val="0"/>
              </w:rPr>
              <w:t xml:space="preserve">84 of 2004 </w:t>
            </w:r>
            <w:r>
              <w:t xml:space="preserve">(as amended by No. 2 </w:t>
            </w:r>
            <w:r>
              <w:rPr>
                <w:spacing w:val="-4"/>
              </w:rPr>
              <w:t>of 2008 s. 78(7))</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Pt. 5, s. 80 (Sch. 2 cl. 36 (the amendments to s. 17, 711 and 716)) and s. 82: 2 May 2005 (see s. 2 and </w:t>
            </w:r>
            <w:r>
              <w:rPr>
                <w:i/>
                <w:iCs/>
                <w:snapToGrid w:val="0"/>
              </w:rPr>
              <w:t>Gazette</w:t>
            </w:r>
            <w:r>
              <w:rPr>
                <w:snapToGrid w:val="0"/>
              </w:rPr>
              <w:t xml:space="preserve"> 31 Dec 2004 p. 7129 (correction: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12</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 Jun 2005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rPr>
              <w:t>Oaths, Affidavits and Statutory Declarations (Consequential Provisions) Act 2005</w:t>
            </w:r>
            <w:r>
              <w:rPr>
                <w:iCs/>
              </w:rPr>
              <w:t xml:space="preserve"> Pt. 11</w:t>
            </w:r>
          </w:p>
        </w:tc>
        <w:tc>
          <w:tcPr>
            <w:tcW w:w="1134" w:type="dxa"/>
          </w:tcPr>
          <w:p>
            <w:pPr>
              <w:pStyle w:val="nTable"/>
              <w:spacing w:after="40"/>
              <w:rPr>
                <w:snapToGrid w:val="0"/>
              </w:rPr>
            </w:pPr>
            <w:r>
              <w:t xml:space="preserve">24 of 2005 </w:t>
            </w:r>
          </w:p>
        </w:tc>
        <w:tc>
          <w:tcPr>
            <w:tcW w:w="1134" w:type="dxa"/>
          </w:tcPr>
          <w:p>
            <w:pPr>
              <w:pStyle w:val="nTable"/>
              <w:spacing w:after="40"/>
            </w:pPr>
            <w:r>
              <w:t>2 Dec 2005</w:t>
            </w:r>
          </w:p>
        </w:tc>
        <w:tc>
          <w:tcPr>
            <w:tcW w:w="2552" w:type="dxa"/>
          </w:tcPr>
          <w:p>
            <w:pPr>
              <w:pStyle w:val="nTable"/>
              <w:spacing w:after="40"/>
            </w:pPr>
            <w:r>
              <w:t xml:space="preserve">1 Jan 2006 (see s. 2(1) and </w:t>
            </w:r>
            <w:r>
              <w:rPr>
                <w:i/>
                <w:iCs/>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iCs/>
                <w:snapToGrid w:val="0"/>
              </w:rPr>
              <w:t xml:space="preserve">Defamation Act 2005 </w:t>
            </w:r>
            <w:r>
              <w:rPr>
                <w:snapToGrid w:val="0"/>
              </w:rPr>
              <w:t>s. 47</w:t>
            </w:r>
          </w:p>
        </w:tc>
        <w:tc>
          <w:tcPr>
            <w:tcW w:w="1134" w:type="dxa"/>
          </w:tcPr>
          <w:p>
            <w:pPr>
              <w:pStyle w:val="nTable"/>
              <w:spacing w:after="40"/>
              <w:rPr>
                <w:snapToGrid w:val="0"/>
              </w:rPr>
            </w:pPr>
            <w:r>
              <w:rPr>
                <w:snapToGrid w:val="0"/>
              </w:rPr>
              <w:t>44 of 2005</w:t>
            </w:r>
          </w:p>
        </w:tc>
        <w:tc>
          <w:tcPr>
            <w:tcW w:w="1134" w:type="dxa"/>
          </w:tcPr>
          <w:p>
            <w:pPr>
              <w:pStyle w:val="nTable"/>
              <w:spacing w:after="40"/>
            </w:pPr>
            <w:r>
              <w:t>19 Dec 2005</w:t>
            </w:r>
          </w:p>
        </w:tc>
        <w:tc>
          <w:tcPr>
            <w:tcW w:w="2552" w:type="dxa"/>
          </w:tcPr>
          <w:p>
            <w:pPr>
              <w:pStyle w:val="nTable"/>
              <w:spacing w:after="40"/>
            </w:pPr>
            <w:r>
              <w:rPr>
                <w:snapToGrid w:val="0"/>
              </w:rPr>
              <w:t>1 Jan 2006 (see s.</w:t>
            </w:r>
            <w:r>
              <w:t>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iCs/>
                <w:snapToGrid w:val="0"/>
              </w:rPr>
              <w:t>Criminal Code Amendment (Cyber Predators) Act 2006</w:t>
            </w:r>
            <w:r>
              <w:rPr>
                <w:snapToGrid w:val="0"/>
              </w:rPr>
              <w:t xml:space="preserve"> s. 3</w:t>
            </w:r>
            <w:r>
              <w:rPr>
                <w:snapToGrid w:val="0"/>
              </w:rPr>
              <w:noBreakHyphen/>
              <w:t>6</w:t>
            </w:r>
          </w:p>
        </w:tc>
        <w:tc>
          <w:tcPr>
            <w:tcW w:w="1134" w:type="dxa"/>
          </w:tcPr>
          <w:p>
            <w:pPr>
              <w:pStyle w:val="nTable"/>
              <w:keepNext/>
              <w:keepLines/>
              <w:spacing w:after="40"/>
              <w:rPr>
                <w:snapToGrid w:val="0"/>
              </w:rPr>
            </w:pPr>
            <w:r>
              <w:rPr>
                <w:snapToGrid w:val="0"/>
              </w:rPr>
              <w:t>3 of 2006</w:t>
            </w:r>
          </w:p>
        </w:tc>
        <w:tc>
          <w:tcPr>
            <w:tcW w:w="1134" w:type="dxa"/>
          </w:tcPr>
          <w:p>
            <w:pPr>
              <w:pStyle w:val="nTable"/>
              <w:keepNext/>
              <w:keepLines/>
              <w:spacing w:after="40"/>
            </w:pPr>
            <w:r>
              <w:t>30 Mar 2006</w:t>
            </w:r>
          </w:p>
        </w:tc>
        <w:tc>
          <w:tcPr>
            <w:tcW w:w="2552" w:type="dxa"/>
          </w:tcPr>
          <w:p>
            <w:pPr>
              <w:pStyle w:val="nTable"/>
              <w:keepNext/>
              <w:keepLines/>
              <w:spacing w:after="40"/>
              <w:rPr>
                <w:snapToGrid w:val="0"/>
              </w:rPr>
            </w:pPr>
            <w:r>
              <w:rPr>
                <w:snapToGrid w:val="0"/>
              </w:rPr>
              <w:t>s. 3</w:t>
            </w:r>
            <w:r>
              <w:rPr>
                <w:snapToGrid w:val="0"/>
              </w:rPr>
              <w:noBreakHyphen/>
              <w:t>5: 30 Mar 2006 (see s. 2(1));</w:t>
            </w:r>
            <w:r>
              <w:rPr>
                <w:snapToGrid w:val="0"/>
              </w:rPr>
              <w:br/>
              <w:t xml:space="preserve">s. 6: 7 Apr 2006 (see s. 2(2) and </w:t>
            </w:r>
            <w:r>
              <w:rPr>
                <w:i/>
                <w:iCs/>
                <w:snapToGrid w:val="0"/>
              </w:rPr>
              <w:t>Gazette</w:t>
            </w:r>
            <w:r>
              <w:rPr>
                <w:snapToGrid w:val="0"/>
              </w:rPr>
              <w:t xml:space="preserve"> 7 Apr 2006 p. 1489)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 xml:space="preserve">Censorship Amendment Act 2006 </w:t>
            </w:r>
            <w:r>
              <w:rPr>
                <w:snapToGrid w:val="0"/>
              </w:rPr>
              <w:t>Sch. 1 cl. 2</w:t>
            </w:r>
          </w:p>
        </w:tc>
        <w:tc>
          <w:tcPr>
            <w:tcW w:w="1134" w:type="dxa"/>
          </w:tcPr>
          <w:p>
            <w:pPr>
              <w:pStyle w:val="nTable"/>
              <w:spacing w:after="40"/>
              <w:rPr>
                <w:snapToGrid w:val="0"/>
              </w:rPr>
            </w:pPr>
            <w:r>
              <w:rPr>
                <w:snapToGrid w:val="0"/>
              </w:rPr>
              <w:t>10 of 2006</w:t>
            </w:r>
          </w:p>
        </w:tc>
        <w:tc>
          <w:tcPr>
            <w:tcW w:w="1134" w:type="dxa"/>
          </w:tcPr>
          <w:p>
            <w:pPr>
              <w:pStyle w:val="nTable"/>
              <w:spacing w:after="40"/>
            </w:pPr>
            <w:r>
              <w:t>8 May 2006</w:t>
            </w:r>
          </w:p>
        </w:tc>
        <w:tc>
          <w:tcPr>
            <w:tcW w:w="2552" w:type="dxa"/>
          </w:tcPr>
          <w:p>
            <w:pPr>
              <w:pStyle w:val="nTable"/>
              <w:spacing w:after="40"/>
              <w:rPr>
                <w:snapToGrid w:val="0"/>
              </w:rPr>
            </w:pPr>
            <w:r>
              <w:rPr>
                <w:snapToGrid w:val="0"/>
              </w:rPr>
              <w:t xml:space="preserve">10 Jun 2006 (see s. 2 and </w:t>
            </w:r>
            <w:r>
              <w:rPr>
                <w:i/>
                <w:iCs/>
                <w:snapToGrid w:val="0"/>
              </w:rPr>
              <w:t>Gazette</w:t>
            </w:r>
            <w:r>
              <w:rPr>
                <w:snapToGrid w:val="0"/>
              </w:rPr>
              <w:t xml:space="preserve"> 9 Jun 2006 p. 2029)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Nurses and Midwives Act 2006 </w:t>
            </w:r>
            <w:r>
              <w:rPr>
                <w:snapToGrid w:val="0"/>
              </w:rPr>
              <w:t>Sch. 3 cl. 6</w:t>
            </w:r>
            <w:r>
              <w:rPr>
                <w:iCs/>
                <w:snapToGrid w:val="0"/>
                <w:vertAlign w:val="superscript"/>
              </w:rPr>
              <w:t> 30</w:t>
            </w:r>
          </w:p>
        </w:tc>
        <w:tc>
          <w:tcPr>
            <w:tcW w:w="1134" w:type="dxa"/>
          </w:tcPr>
          <w:p>
            <w:pPr>
              <w:pStyle w:val="nTable"/>
              <w:spacing w:after="40"/>
            </w:pPr>
            <w:r>
              <w:t>50 of 2006</w:t>
            </w:r>
          </w:p>
        </w:tc>
        <w:tc>
          <w:tcPr>
            <w:tcW w:w="1134" w:type="dxa"/>
          </w:tcPr>
          <w:p>
            <w:pPr>
              <w:pStyle w:val="nTable"/>
              <w:spacing w:after="40"/>
            </w:pPr>
            <w:r>
              <w:t>6 Oct 2006</w:t>
            </w:r>
          </w:p>
        </w:tc>
        <w:tc>
          <w:tcPr>
            <w:tcW w:w="2552" w:type="dxa"/>
          </w:tcPr>
          <w:p>
            <w:pPr>
              <w:pStyle w:val="nTable"/>
              <w:spacing w:after="40"/>
            </w:pPr>
            <w:r>
              <w:t xml:space="preserve">19 Sep 2007 (see s. 2 and </w:t>
            </w:r>
            <w:r>
              <w:rPr>
                <w:i/>
                <w:iCs/>
              </w:rPr>
              <w:t xml:space="preserve">Gazette </w:t>
            </w:r>
            <w:r>
              <w:t>18 Sep 2007 p. 4711)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vertAlign w:val="superscript"/>
              </w:rPr>
            </w:pPr>
            <w:r>
              <w:rPr>
                <w:i/>
                <w:snapToGrid w:val="0"/>
              </w:rPr>
              <w:t>Criminal Investigation (Consequential Provisions) Act 2006</w:t>
            </w:r>
            <w:r>
              <w:rPr>
                <w:iCs/>
                <w:snapToGrid w:val="0"/>
              </w:rPr>
              <w:t xml:space="preserve"> Pt. 5</w:t>
            </w:r>
            <w:r>
              <w:rPr>
                <w:iCs/>
                <w:snapToGrid w:val="0"/>
                <w:vertAlign w:val="superscript"/>
              </w:rPr>
              <w:t> 31</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2"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Criminal Code Amendment (Drink and Food Spiking) Act 2007</w:t>
            </w:r>
          </w:p>
        </w:tc>
        <w:tc>
          <w:tcPr>
            <w:tcW w:w="1134" w:type="dxa"/>
          </w:tcPr>
          <w:p>
            <w:pPr>
              <w:pStyle w:val="nTable"/>
              <w:spacing w:after="40"/>
              <w:rPr>
                <w:snapToGrid w:val="0"/>
              </w:rPr>
            </w:pPr>
            <w:r>
              <w:rPr>
                <w:snapToGrid w:val="0"/>
              </w:rPr>
              <w:t>31 of 2007</w:t>
            </w:r>
          </w:p>
        </w:tc>
        <w:tc>
          <w:tcPr>
            <w:tcW w:w="1134" w:type="dxa"/>
          </w:tcPr>
          <w:p>
            <w:pPr>
              <w:pStyle w:val="nTable"/>
              <w:spacing w:after="40"/>
              <w:rPr>
                <w:snapToGrid w:val="0"/>
              </w:rPr>
            </w:pPr>
            <w:r>
              <w:rPr>
                <w:snapToGrid w:val="0"/>
              </w:rPr>
              <w:t>21 Dec 2007</w:t>
            </w:r>
          </w:p>
        </w:tc>
        <w:tc>
          <w:tcPr>
            <w:tcW w:w="2552" w:type="dxa"/>
          </w:tcPr>
          <w:p>
            <w:pPr>
              <w:pStyle w:val="nTable"/>
              <w:spacing w:after="40"/>
              <w:rPr>
                <w:snapToGrid w:val="0"/>
              </w:rPr>
            </w:pPr>
            <w:r>
              <w:rPr>
                <w:snapToGrid w:val="0"/>
              </w:rPr>
              <w:t>s. 1 and 2: 21 Dec 2007 (see s. 2(a));</w:t>
            </w:r>
            <w:r>
              <w:rPr>
                <w:snapToGrid w:val="0"/>
              </w:rPr>
              <w:br/>
              <w:t>Act other than s. 1 and 2: 22 Dec 2007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13</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18 Jan 2008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Criminal Law and Evidence Amendment Act 2008</w:t>
            </w:r>
            <w:r>
              <w:rPr>
                <w:iCs/>
                <w:snapToGrid w:val="0"/>
              </w:rPr>
              <w:t xml:space="preserve"> Pt. 2</w:t>
            </w:r>
          </w:p>
        </w:tc>
        <w:tc>
          <w:tcPr>
            <w:tcW w:w="1134" w:type="dxa"/>
          </w:tcPr>
          <w:p>
            <w:pPr>
              <w:pStyle w:val="nTable"/>
              <w:keepNext/>
              <w:keepLines/>
              <w:spacing w:after="40"/>
              <w:rPr>
                <w:snapToGrid w:val="0"/>
              </w:rPr>
            </w:pPr>
            <w:r>
              <w:rPr>
                <w:snapToGrid w:val="0"/>
              </w:rPr>
              <w:t>2 of 2008</w:t>
            </w:r>
          </w:p>
        </w:tc>
        <w:tc>
          <w:tcPr>
            <w:tcW w:w="1134" w:type="dxa"/>
          </w:tcPr>
          <w:p>
            <w:pPr>
              <w:pStyle w:val="nTable"/>
              <w:keepNext/>
              <w:keepLines/>
              <w:spacing w:after="40"/>
            </w:pPr>
            <w:r>
              <w:t>12 Mar 2008</w:t>
            </w:r>
          </w:p>
        </w:tc>
        <w:tc>
          <w:tcPr>
            <w:tcW w:w="2552" w:type="dxa"/>
          </w:tcPr>
          <w:p>
            <w:pPr>
              <w:pStyle w:val="nTable"/>
              <w:keepNext/>
              <w:keepLines/>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Acts Amendment (Justice) Act 2008</w:t>
            </w:r>
            <w:r>
              <w:rPr>
                <w:iCs/>
                <w:snapToGrid w:val="0"/>
              </w:rPr>
              <w:t xml:space="preserve"> s. 129</w:t>
            </w:r>
          </w:p>
        </w:tc>
        <w:tc>
          <w:tcPr>
            <w:tcW w:w="1134" w:type="dxa"/>
          </w:tcPr>
          <w:p>
            <w:pPr>
              <w:pStyle w:val="nTable"/>
              <w:keepNext/>
              <w:keepLines/>
              <w:spacing w:after="40"/>
              <w:rPr>
                <w:snapToGrid w:val="0"/>
              </w:rPr>
            </w:pPr>
            <w:r>
              <w:t>5 of 2008</w:t>
            </w:r>
          </w:p>
        </w:tc>
        <w:tc>
          <w:tcPr>
            <w:tcW w:w="1134" w:type="dxa"/>
          </w:tcPr>
          <w:p>
            <w:pPr>
              <w:pStyle w:val="nTable"/>
              <w:keepNext/>
              <w:keepLines/>
              <w:spacing w:after="40"/>
            </w:pPr>
            <w:r>
              <w:t>31 Mar 2008</w:t>
            </w:r>
          </w:p>
        </w:tc>
        <w:tc>
          <w:tcPr>
            <w:tcW w:w="2552" w:type="dxa"/>
          </w:tcPr>
          <w:p>
            <w:pPr>
              <w:pStyle w:val="nTable"/>
              <w:keepNext/>
              <w:keepLines/>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Acts Amendment (Consent to Medical Treatment) Act 2008</w:t>
            </w:r>
            <w:r>
              <w:rPr>
                <w:iCs/>
                <w:snapToGrid w:val="0"/>
              </w:rPr>
              <w:t xml:space="preserve"> Pt. 4</w:t>
            </w:r>
          </w:p>
        </w:tc>
        <w:tc>
          <w:tcPr>
            <w:tcW w:w="1134" w:type="dxa"/>
          </w:tcPr>
          <w:p>
            <w:pPr>
              <w:pStyle w:val="nTable"/>
              <w:keepNext/>
              <w:keepLines/>
              <w:spacing w:after="40"/>
            </w:pPr>
            <w:r>
              <w:t>25 of 2008</w:t>
            </w:r>
          </w:p>
        </w:tc>
        <w:tc>
          <w:tcPr>
            <w:tcW w:w="1134" w:type="dxa"/>
          </w:tcPr>
          <w:p>
            <w:pPr>
              <w:pStyle w:val="nTable"/>
              <w:keepNext/>
              <w:keepLines/>
              <w:spacing w:after="40"/>
            </w:pPr>
            <w:r>
              <w:t>19 Jun 2008</w:t>
            </w:r>
          </w:p>
        </w:tc>
        <w:tc>
          <w:tcPr>
            <w:tcW w:w="2552" w:type="dxa"/>
          </w:tcPr>
          <w:p>
            <w:pPr>
              <w:pStyle w:val="nTable"/>
              <w:keepNext/>
              <w:keepLines/>
              <w:spacing w:after="40"/>
              <w:rPr>
                <w:snapToGrid w:val="0"/>
              </w:rPr>
            </w:pPr>
            <w:r>
              <w:t xml:space="preserve">27 Jun 2009 (see s. 2 and </w:t>
            </w:r>
            <w:r>
              <w:rPr>
                <w:i/>
                <w:iCs/>
              </w:rPr>
              <w:t>Gazette</w:t>
            </w:r>
            <w:r>
              <w:t xml:space="preserve"> 26 Jun 2009 p. 2565)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Criminal Law Amendment (Homicide) Act 2008 </w:t>
            </w:r>
            <w:r>
              <w:rPr>
                <w:iCs/>
                <w:snapToGrid w:val="0"/>
              </w:rPr>
              <w:t>Pt. 2 and s. 27</w:t>
            </w:r>
          </w:p>
        </w:tc>
        <w:tc>
          <w:tcPr>
            <w:tcW w:w="1134" w:type="dxa"/>
          </w:tcPr>
          <w:p>
            <w:pPr>
              <w:pStyle w:val="nTable"/>
              <w:keepNext/>
              <w:keepLines/>
              <w:spacing w:after="40"/>
              <w:rPr>
                <w:snapToGrid w:val="0"/>
              </w:rPr>
            </w:pPr>
            <w:r>
              <w:t>29 of 2008</w:t>
            </w:r>
          </w:p>
        </w:tc>
        <w:tc>
          <w:tcPr>
            <w:tcW w:w="1134" w:type="dxa"/>
          </w:tcPr>
          <w:p>
            <w:pPr>
              <w:pStyle w:val="nTable"/>
              <w:keepNext/>
              <w:keepLines/>
              <w:spacing w:after="40"/>
            </w:pPr>
            <w:r>
              <w:t>27 Jun 2008</w:t>
            </w:r>
          </w:p>
        </w:tc>
        <w:tc>
          <w:tcPr>
            <w:tcW w:w="2552"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14</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3 Oct 2008 </w:t>
            </w:r>
            <w:r>
              <w:rPr>
                <w:b/>
              </w:rPr>
              <w:br/>
            </w:r>
            <w:r>
              <w:t xml:space="preserve">(includes amendments listed above except those in the </w:t>
            </w:r>
            <w:r>
              <w:rPr>
                <w:i/>
                <w:iCs/>
              </w:rPr>
              <w:t>Acts Amendment (Consent to Medical Treatment) Act 2008</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26</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Code Amendment Act 2009</w:t>
            </w:r>
          </w:p>
        </w:tc>
        <w:tc>
          <w:tcPr>
            <w:tcW w:w="1134" w:type="dxa"/>
          </w:tcPr>
          <w:p>
            <w:pPr>
              <w:pStyle w:val="nTable"/>
              <w:spacing w:after="40"/>
            </w:pPr>
            <w:r>
              <w:t>21 of 2009</w:t>
            </w:r>
          </w:p>
        </w:tc>
        <w:tc>
          <w:tcPr>
            <w:tcW w:w="1134" w:type="dxa"/>
          </w:tcPr>
          <w:p>
            <w:pPr>
              <w:pStyle w:val="nTable"/>
              <w:spacing w:after="40"/>
            </w:pPr>
            <w:r>
              <w:t>21 Sep 2009</w:t>
            </w:r>
          </w:p>
        </w:tc>
        <w:tc>
          <w:tcPr>
            <w:tcW w:w="2552" w:type="dxa"/>
          </w:tcPr>
          <w:p>
            <w:pPr>
              <w:pStyle w:val="nTable"/>
              <w:spacing w:after="40"/>
            </w:pPr>
            <w:r>
              <w:t>s. 1 and 2: 21 Sep 2009 (see s. 2(a));</w:t>
            </w:r>
            <w:r>
              <w:br/>
              <w:t>Act other than s. 1 and 2: 22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Code Amendment (Graffiti) Act 2009</w:t>
            </w:r>
          </w:p>
        </w:tc>
        <w:tc>
          <w:tcPr>
            <w:tcW w:w="1134" w:type="dxa"/>
          </w:tcPr>
          <w:p>
            <w:pPr>
              <w:pStyle w:val="nTable"/>
              <w:spacing w:after="40"/>
            </w:pPr>
            <w:r>
              <w:t>26 of 2009</w:t>
            </w:r>
          </w:p>
        </w:tc>
        <w:tc>
          <w:tcPr>
            <w:tcW w:w="1134" w:type="dxa"/>
          </w:tcPr>
          <w:p>
            <w:pPr>
              <w:pStyle w:val="nTable"/>
              <w:spacing w:after="40"/>
            </w:pPr>
            <w:r>
              <w:t>17 Nov 2009</w:t>
            </w:r>
          </w:p>
        </w:tc>
        <w:tc>
          <w:tcPr>
            <w:tcW w:w="2552" w:type="dxa"/>
          </w:tcPr>
          <w:p>
            <w:pPr>
              <w:pStyle w:val="nTable"/>
              <w:spacing w:after="40"/>
            </w:pPr>
            <w:r>
              <w:t>s. 1 and 2: 17 Nov 2009 (see s. 2(a));</w:t>
            </w:r>
            <w:r>
              <w:br/>
              <w:t xml:space="preserve">Act other than s. 1 and 2: 1 Jan 2010 (see s. 2(b) and </w:t>
            </w:r>
            <w:r>
              <w:rPr>
                <w:i/>
                <w:iCs/>
              </w:rPr>
              <w:t>Gazette</w:t>
            </w:r>
            <w:r>
              <w:t xml:space="preserve"> 31 Dec 2009 p. 5317)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(Weapons) Act 2009</w:t>
            </w:r>
            <w:r>
              <w:rPr>
                <w:iCs/>
                <w:snapToGrid w:val="0"/>
              </w:rPr>
              <w:t xml:space="preserve"> Pt. 2</w:t>
            </w:r>
          </w:p>
        </w:tc>
        <w:tc>
          <w:tcPr>
            <w:tcW w:w="1134" w:type="dxa"/>
          </w:tcPr>
          <w:p>
            <w:pPr>
              <w:pStyle w:val="nTable"/>
              <w:spacing w:after="40"/>
            </w:pPr>
            <w:r>
              <w:t>34 of 2009</w:t>
            </w:r>
          </w:p>
        </w:tc>
        <w:tc>
          <w:tcPr>
            <w:tcW w:w="1134" w:type="dxa"/>
          </w:tcPr>
          <w:p>
            <w:pPr>
              <w:pStyle w:val="nTable"/>
              <w:spacing w:after="40"/>
            </w:pPr>
            <w:r>
              <w:t xml:space="preserve">3 Dec 2009 </w:t>
            </w:r>
          </w:p>
        </w:tc>
        <w:tc>
          <w:tcPr>
            <w:tcW w:w="2552" w:type="dxa"/>
          </w:tcPr>
          <w:p>
            <w:pPr>
              <w:pStyle w:val="nTable"/>
              <w:spacing w:after="40"/>
            </w:pPr>
            <w:r>
              <w:t>4 Dec 2009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iCs/>
                <w:snapToGrid w:val="0"/>
              </w:rPr>
              <w:t>Police Amendment Act 2009</w:t>
            </w:r>
            <w:r>
              <w:rPr>
                <w:iCs/>
                <w:snapToGrid w:val="0"/>
              </w:rPr>
              <w:t xml:space="preserve"> s. 14</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2"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Arson Legislation Amendment Act 2009</w:t>
            </w:r>
            <w:r>
              <w:rPr>
                <w:iCs/>
                <w:snapToGrid w:val="0"/>
              </w:rPr>
              <w:t xml:space="preserve"> Pt. 3</w:t>
            </w:r>
          </w:p>
        </w:tc>
        <w:tc>
          <w:tcPr>
            <w:tcW w:w="1134" w:type="dxa"/>
          </w:tcPr>
          <w:p>
            <w:pPr>
              <w:pStyle w:val="nTable"/>
              <w:spacing w:after="40"/>
            </w:pPr>
            <w:r>
              <w:t>43 of 2009</w:t>
            </w:r>
          </w:p>
        </w:tc>
        <w:tc>
          <w:tcPr>
            <w:tcW w:w="1134" w:type="dxa"/>
          </w:tcPr>
          <w:p>
            <w:pPr>
              <w:pStyle w:val="nTable"/>
              <w:spacing w:after="40"/>
            </w:pPr>
            <w:r>
              <w:t>3 Dec 2009</w:t>
            </w:r>
          </w:p>
        </w:tc>
        <w:tc>
          <w:tcPr>
            <w:tcW w:w="2552" w:type="dxa"/>
          </w:tcPr>
          <w:p>
            <w:pPr>
              <w:pStyle w:val="nTable"/>
              <w:spacing w:after="40"/>
            </w:pPr>
            <w:r>
              <w:t xml:space="preserve">19 Dec 2009 (see s. 2(b) and </w:t>
            </w:r>
            <w:r>
              <w:rPr>
                <w:i/>
                <w:iCs/>
              </w:rPr>
              <w:t>Gazette</w:t>
            </w:r>
            <w:r>
              <w:t xml:space="preserve"> 18 Dec 2009 p. 5167)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Code Amendment Act (No. 2) 2009</w:t>
            </w:r>
          </w:p>
        </w:tc>
        <w:tc>
          <w:tcPr>
            <w:tcW w:w="1134" w:type="dxa"/>
          </w:tcPr>
          <w:p>
            <w:pPr>
              <w:pStyle w:val="nTable"/>
              <w:spacing w:after="40"/>
            </w:pPr>
            <w:r>
              <w:t>44 of 2009</w:t>
            </w:r>
          </w:p>
        </w:tc>
        <w:tc>
          <w:tcPr>
            <w:tcW w:w="1134" w:type="dxa"/>
          </w:tcPr>
          <w:p>
            <w:pPr>
              <w:pStyle w:val="nTable"/>
              <w:spacing w:after="40"/>
            </w:pPr>
            <w:r>
              <w:t>3 Dec 2009</w:t>
            </w:r>
          </w:p>
        </w:tc>
        <w:tc>
          <w:tcPr>
            <w:tcW w:w="2552" w:type="dxa"/>
          </w:tcPr>
          <w:p>
            <w:pPr>
              <w:pStyle w:val="nTable"/>
              <w:spacing w:after="40"/>
            </w:pPr>
            <w:r>
              <w:t>Pt. 1: 3 Dec 2009 (see s. 2(a));</w:t>
            </w:r>
            <w:r>
              <w:br/>
              <w:t>Act other than Pt. 1: 4 Dec 2009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Reprint 15</w:t>
            </w:r>
            <w:r>
              <w:rPr>
                <w:b/>
                <w:vertAlign w:val="superscript"/>
              </w:rPr>
              <w:t> </w:t>
            </w:r>
            <w:r>
              <w:rPr>
                <w:bCs/>
                <w:vertAlign w:val="superscript"/>
              </w:rPr>
              <w:t>22</w:t>
            </w:r>
            <w:r>
              <w:rPr>
                <w:b/>
              </w:rPr>
              <w:t xml:space="preserve">:  The </w:t>
            </w:r>
            <w:r>
              <w:rPr>
                <w:b/>
                <w:i/>
              </w:rPr>
              <w:t xml:space="preserve">Criminal Code Act Compilation Act 1913 </w:t>
            </w:r>
            <w:r>
              <w:rPr>
                <w:b/>
              </w:rPr>
              <w:t>as at 19 Feb 2010</w:t>
            </w:r>
            <w:r>
              <w:rPr>
                <w:b/>
              </w:rPr>
              <w:br/>
            </w:r>
            <w:r>
              <w:t xml:space="preserve">(includes amendments listed above except those in the </w:t>
            </w:r>
            <w:r>
              <w:rPr>
                <w:i/>
                <w:iCs/>
              </w:rPr>
              <w:t>Police Amendment Act 2009</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Criminal Code Amendment (Identity Crime) Act 2010</w:t>
            </w:r>
          </w:p>
        </w:tc>
        <w:tc>
          <w:tcPr>
            <w:tcW w:w="1134" w:type="dxa"/>
          </w:tcPr>
          <w:p>
            <w:pPr>
              <w:pStyle w:val="nTable"/>
              <w:spacing w:after="40"/>
              <w:rPr>
                <w:snapToGrid w:val="0"/>
              </w:rPr>
            </w:pPr>
            <w:r>
              <w:rPr>
                <w:snapToGrid w:val="0"/>
              </w:rPr>
              <w:t>16 of 2010</w:t>
            </w:r>
          </w:p>
        </w:tc>
        <w:tc>
          <w:tcPr>
            <w:tcW w:w="1134" w:type="dxa"/>
          </w:tcPr>
          <w:p>
            <w:pPr>
              <w:pStyle w:val="nTable"/>
              <w:spacing w:after="40"/>
              <w:rPr>
                <w:snapToGrid w:val="0"/>
              </w:rPr>
            </w:pPr>
            <w:r>
              <w:rPr>
                <w:snapToGrid w:val="0"/>
              </w:rPr>
              <w:t>25 Jun 2010</w:t>
            </w:r>
          </w:p>
        </w:tc>
        <w:tc>
          <w:tcPr>
            <w:tcW w:w="2552" w:type="dxa"/>
          </w:tcPr>
          <w:p>
            <w:pPr>
              <w:pStyle w:val="nTable"/>
              <w:spacing w:after="40"/>
              <w:rPr>
                <w:snapToGrid w:val="0"/>
              </w:rPr>
            </w:pPr>
            <w:r>
              <w:rPr>
                <w:snapToGrid w:val="0"/>
              </w:rPr>
              <w:t>s. 1 and 2: 25 Jun 2010 (see s. 2(a));</w:t>
            </w:r>
            <w:r>
              <w:rPr>
                <w:snapToGrid w:val="0"/>
              </w:rPr>
              <w:br/>
              <w:t xml:space="preserve">Act other than s. 1 and 2: 21 Apr 2012 (see s. 2(b) and </w:t>
            </w:r>
            <w:r>
              <w:rPr>
                <w:i/>
                <w:snapToGrid w:val="0"/>
              </w:rPr>
              <w:t>Gazette</w:t>
            </w:r>
            <w:r>
              <w:rPr>
                <w:snapToGrid w:val="0"/>
              </w:rPr>
              <w:t xml:space="preserve"> 20 Apr 2012 p. 1695)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rPr>
              <w:t xml:space="preserve">Child Pornography and Exploitation Material and Classification Legislation Amendment Act 2010 </w:t>
            </w:r>
            <w:r>
              <w:t>Pt. 2 Div. 1 </w:t>
            </w:r>
          </w:p>
        </w:tc>
        <w:tc>
          <w:tcPr>
            <w:tcW w:w="1134" w:type="dxa"/>
          </w:tcPr>
          <w:p>
            <w:pPr>
              <w:pStyle w:val="nTable"/>
              <w:spacing w:after="40"/>
              <w:rPr>
                <w:snapToGrid w:val="0"/>
              </w:rPr>
            </w:pPr>
            <w:r>
              <w:rPr>
                <w:snapToGrid w:val="0"/>
              </w:rPr>
              <w:t>21 of 2010</w:t>
            </w:r>
          </w:p>
        </w:tc>
        <w:tc>
          <w:tcPr>
            <w:tcW w:w="1134" w:type="dxa"/>
          </w:tcPr>
          <w:p>
            <w:pPr>
              <w:pStyle w:val="nTable"/>
              <w:spacing w:after="40"/>
              <w:rPr>
                <w:snapToGrid w:val="0"/>
              </w:rPr>
            </w:pPr>
            <w:r>
              <w:rPr>
                <w:snapToGrid w:val="0"/>
              </w:rPr>
              <w:t>7 Jul 2010</w:t>
            </w:r>
          </w:p>
        </w:tc>
        <w:tc>
          <w:tcPr>
            <w:tcW w:w="2552" w:type="dxa"/>
          </w:tcPr>
          <w:p>
            <w:pPr>
              <w:pStyle w:val="nTable"/>
              <w:spacing w:after="40"/>
              <w:rPr>
                <w:snapToGrid w:val="0"/>
              </w:rPr>
            </w:pPr>
            <w:r>
              <w:rPr>
                <w:snapToGrid w:val="0"/>
              </w:rPr>
              <w:t xml:space="preserve">28 Aug 2010 (see s. 2(b) and </w:t>
            </w:r>
            <w:r>
              <w:rPr>
                <w:i/>
                <w:iCs/>
                <w:snapToGrid w:val="0"/>
              </w:rPr>
              <w:t>Gazette</w:t>
            </w:r>
            <w:r>
              <w:rPr>
                <w:snapToGrid w:val="0"/>
              </w:rPr>
              <w:t xml:space="preserve"> 27 Aug 2010 p. 4105)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16</w:t>
            </w:r>
            <w:r>
              <w:rPr>
                <w:b/>
                <w:vertAlign w:val="superscript"/>
              </w:rPr>
              <w:t> </w:t>
            </w:r>
            <w:r>
              <w:rPr>
                <w:bCs/>
                <w:vertAlign w:val="superscript"/>
              </w:rPr>
              <w:t>22</w:t>
            </w:r>
            <w:r>
              <w:rPr>
                <w:b/>
              </w:rPr>
              <w:t xml:space="preserve">:  The </w:t>
            </w:r>
            <w:r>
              <w:rPr>
                <w:b/>
                <w:i/>
              </w:rPr>
              <w:t xml:space="preserve">Criminal Code Act Compilation Act 1913 </w:t>
            </w:r>
            <w:r>
              <w:rPr>
                <w:b/>
              </w:rPr>
              <w:t>as at 15 Oct 2010</w:t>
            </w:r>
            <w:r>
              <w:rPr>
                <w:b/>
              </w:rPr>
              <w:br/>
            </w:r>
            <w:r>
              <w:t xml:space="preserve">(includes amendments listed above except those in the </w:t>
            </w:r>
            <w:r>
              <w:rPr>
                <w:i/>
              </w:rPr>
              <w:t>Criminal Code Amendment (Identity Crime) Act 2010</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snapToGrid w:val="0"/>
              </w:rPr>
              <w:t>Criminal Code Amendment (Infringement Notices) Act 2011</w:t>
            </w:r>
          </w:p>
        </w:tc>
        <w:tc>
          <w:tcPr>
            <w:tcW w:w="1134" w:type="dxa"/>
          </w:tcPr>
          <w:p>
            <w:pPr>
              <w:pStyle w:val="nTable"/>
              <w:spacing w:after="40"/>
            </w:pPr>
            <w:r>
              <w:t>10 of 2011</w:t>
            </w:r>
          </w:p>
        </w:tc>
        <w:tc>
          <w:tcPr>
            <w:tcW w:w="1134" w:type="dxa"/>
          </w:tcPr>
          <w:p>
            <w:pPr>
              <w:pStyle w:val="nTable"/>
              <w:spacing w:after="40"/>
            </w:pPr>
            <w:r>
              <w:t>2 May 2011</w:t>
            </w:r>
          </w:p>
        </w:tc>
        <w:tc>
          <w:tcPr>
            <w:tcW w:w="2552" w:type="dxa"/>
          </w:tcPr>
          <w:p>
            <w:pPr>
              <w:pStyle w:val="nTable"/>
              <w:spacing w:after="40"/>
              <w:rPr>
                <w:snapToGrid w:val="0"/>
              </w:rPr>
            </w:pPr>
            <w:r>
              <w:rPr>
                <w:snapToGrid w:val="0"/>
              </w:rPr>
              <w:t>s. 1 and 2: 2 May 2011 (see s. 2(a));</w:t>
            </w:r>
            <w:r>
              <w:rPr>
                <w:snapToGrid w:val="0"/>
              </w:rPr>
              <w:br/>
              <w:t xml:space="preserve">Act other than s. 1 and 2: 4 Mar 2015 (see s. 2(b) and </w:t>
            </w:r>
            <w:r>
              <w:rPr>
                <w:i/>
                <w:iCs/>
                <w:snapToGrid w:val="0"/>
              </w:rPr>
              <w:t>Gazette</w:t>
            </w:r>
            <w:r>
              <w:rPr>
                <w:snapToGrid w:val="0"/>
              </w:rPr>
              <w:t xml:space="preserve"> 3 Mar 2015 p. 783)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Electronic Transactions Act 2011 </w:t>
            </w:r>
            <w:r>
              <w:rPr>
                <w:snapToGrid w:val="0"/>
              </w:rPr>
              <w:t>s. 25 and 26</w:t>
            </w:r>
          </w:p>
        </w:tc>
        <w:tc>
          <w:tcPr>
            <w:tcW w:w="1134" w:type="dxa"/>
          </w:tcPr>
          <w:p>
            <w:pPr>
              <w:pStyle w:val="nTable"/>
              <w:spacing w:after="40"/>
            </w:pPr>
            <w:r>
              <w:t>46 of 2011</w:t>
            </w:r>
          </w:p>
        </w:tc>
        <w:tc>
          <w:tcPr>
            <w:tcW w:w="1134" w:type="dxa"/>
          </w:tcPr>
          <w:p>
            <w:pPr>
              <w:pStyle w:val="nTable"/>
              <w:spacing w:after="40"/>
            </w:pPr>
            <w:r>
              <w:t>25 Oct 2011</w:t>
            </w:r>
          </w:p>
        </w:tc>
        <w:tc>
          <w:tcPr>
            <w:tcW w:w="2552" w:type="dxa"/>
          </w:tcPr>
          <w:p>
            <w:pPr>
              <w:pStyle w:val="nTable"/>
              <w:spacing w:after="40"/>
              <w:rPr>
                <w:snapToGrid w:val="0"/>
              </w:rPr>
            </w:pPr>
            <w:r>
              <w:rPr>
                <w:snapToGrid w:val="0"/>
              </w:rPr>
              <w:t xml:space="preserve">s. 25: 1 Aug 2012 (see s. 2(c) and </w:t>
            </w:r>
            <w:r>
              <w:rPr>
                <w:i/>
                <w:iCs/>
                <w:snapToGrid w:val="0"/>
              </w:rPr>
              <w:t>Gazette</w:t>
            </w:r>
            <w:r>
              <w:rPr>
                <w:snapToGrid w:val="0"/>
              </w:rPr>
              <w:t xml:space="preserve"> 31 Jul 2012 p. 3683);</w:t>
            </w:r>
            <w:r>
              <w:rPr>
                <w:snapToGrid w:val="0"/>
              </w:rPr>
              <w:br/>
              <w:t xml:space="preserve">s. 26: 1 Aug 2012 (see s. 2(b)(i) and </w:t>
            </w:r>
            <w:r>
              <w:rPr>
                <w:i/>
                <w:iCs/>
                <w:snapToGrid w:val="0"/>
              </w:rPr>
              <w:t>Gazette</w:t>
            </w:r>
            <w:r>
              <w:rPr>
                <w:snapToGrid w:val="0"/>
              </w:rPr>
              <w:t xml:space="preserve"> 31 Jul 2012 p. 3683)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Manslaughter Legislation Amendment Act 2011</w:t>
            </w:r>
            <w:r>
              <w:rPr>
                <w:snapToGrid w:val="0"/>
              </w:rPr>
              <w:t xml:space="preserve"> Pt. 2</w:t>
            </w:r>
          </w:p>
        </w:tc>
        <w:tc>
          <w:tcPr>
            <w:tcW w:w="1134" w:type="dxa"/>
          </w:tcPr>
          <w:p>
            <w:pPr>
              <w:pStyle w:val="nTable"/>
              <w:spacing w:after="40"/>
              <w:rPr>
                <w:snapToGrid w:val="0"/>
              </w:rPr>
            </w:pPr>
            <w:r>
              <w:t>58 of 2011</w:t>
            </w:r>
          </w:p>
        </w:tc>
        <w:tc>
          <w:tcPr>
            <w:tcW w:w="1134" w:type="dxa"/>
          </w:tcPr>
          <w:p>
            <w:pPr>
              <w:pStyle w:val="nTable"/>
              <w:spacing w:after="40"/>
              <w:rPr>
                <w:snapToGrid w:val="0"/>
              </w:rPr>
            </w:pPr>
            <w:r>
              <w:t>30 Nov 2011</w:t>
            </w:r>
          </w:p>
        </w:tc>
        <w:tc>
          <w:tcPr>
            <w:tcW w:w="2552" w:type="dxa"/>
          </w:tcPr>
          <w:p>
            <w:pPr>
              <w:pStyle w:val="nTable"/>
              <w:spacing w:after="40"/>
              <w:rPr>
                <w:snapToGrid w:val="0"/>
              </w:rPr>
            </w:pPr>
            <w:r>
              <w:rPr>
                <w:snapToGrid w:val="0"/>
              </w:rPr>
              <w:t xml:space="preserve">17 Mar 2012 (see s. 2(b) and </w:t>
            </w:r>
            <w:r>
              <w:rPr>
                <w:i/>
                <w:iCs/>
                <w:snapToGrid w:val="0"/>
              </w:rPr>
              <w:t>Gazette</w:t>
            </w:r>
            <w:r>
              <w:rPr>
                <w:snapToGrid w:val="0"/>
              </w:rPr>
              <w:t xml:space="preserve"> 16 Mar 2012 p. 1245)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50</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Appeals Amendment (Double Jeopardy) Act 2012</w:t>
            </w:r>
            <w:r>
              <w:rPr>
                <w:snapToGrid w:val="0"/>
              </w:rPr>
              <w:t xml:space="preserve"> s. 6</w:t>
            </w:r>
          </w:p>
        </w:tc>
        <w:tc>
          <w:tcPr>
            <w:tcW w:w="1134" w:type="dxa"/>
          </w:tcPr>
          <w:p>
            <w:pPr>
              <w:pStyle w:val="nTable"/>
              <w:spacing w:after="40"/>
            </w:pPr>
            <w:r>
              <w:rPr>
                <w:snapToGrid w:val="0"/>
              </w:rPr>
              <w:t>9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Education and Care Services National Law (WA) Act 2012</w:t>
            </w:r>
            <w:r>
              <w:rPr>
                <w:snapToGrid w:val="0"/>
              </w:rPr>
              <w:t xml:space="preserve"> Pt. 4 Div. 4</w:t>
            </w:r>
          </w:p>
        </w:tc>
        <w:tc>
          <w:tcPr>
            <w:tcW w:w="1134" w:type="dxa"/>
          </w:tcPr>
          <w:p>
            <w:pPr>
              <w:pStyle w:val="nTable"/>
              <w:spacing w:after="40"/>
            </w:pPr>
            <w:r>
              <w:rPr>
                <w:snapToGrid w:val="0"/>
              </w:rPr>
              <w:t>11 of 2012</w:t>
            </w:r>
          </w:p>
        </w:tc>
        <w:tc>
          <w:tcPr>
            <w:tcW w:w="1134" w:type="dxa"/>
          </w:tcPr>
          <w:p>
            <w:pPr>
              <w:pStyle w:val="nTable"/>
              <w:spacing w:after="40"/>
            </w:pPr>
            <w:r>
              <w:t>20 Jun 2012</w:t>
            </w:r>
          </w:p>
        </w:tc>
        <w:tc>
          <w:tcPr>
            <w:tcW w:w="2552"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3</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2"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Criminal Organisations Control Act 2012 </w:t>
            </w:r>
            <w:r>
              <w:rPr>
                <w:snapToGrid w:val="0"/>
              </w:rPr>
              <w:t>s. 173</w:t>
            </w:r>
          </w:p>
        </w:tc>
        <w:tc>
          <w:tcPr>
            <w:tcW w:w="1134" w:type="dxa"/>
            <w:shd w:val="clear" w:color="auto" w:fill="auto"/>
          </w:tcPr>
          <w:p>
            <w:pPr>
              <w:pStyle w:val="nTable"/>
              <w:spacing w:after="40"/>
              <w:rPr>
                <w:snapToGrid w:val="0"/>
              </w:rPr>
            </w:pPr>
            <w:r>
              <w:rPr>
                <w:snapToGrid w:val="0"/>
              </w:rPr>
              <w:t>49 of 2012</w:t>
            </w:r>
          </w:p>
        </w:tc>
        <w:tc>
          <w:tcPr>
            <w:tcW w:w="1134" w:type="dxa"/>
            <w:shd w:val="clear" w:color="auto" w:fill="auto"/>
          </w:tcPr>
          <w:p>
            <w:pPr>
              <w:pStyle w:val="nTable"/>
              <w:spacing w:after="40"/>
            </w:pPr>
            <w:r>
              <w:t>29 Nov 2012</w:t>
            </w:r>
          </w:p>
        </w:tc>
        <w:tc>
          <w:tcPr>
            <w:tcW w:w="2552" w:type="dxa"/>
            <w:shd w:val="clear" w:color="auto" w:fill="auto"/>
          </w:tcPr>
          <w:p>
            <w:pPr>
              <w:pStyle w:val="nTable"/>
              <w:spacing w:after="40"/>
              <w:rPr>
                <w:snapToGrid w:val="0"/>
                <w:spacing w:val="-2"/>
              </w:rPr>
            </w:pPr>
            <w:r>
              <w:rPr>
                <w:snapToGrid w:val="0"/>
              </w:rPr>
              <w:t xml:space="preserve">2 Nov 2013 (see s. 2(b) and </w:t>
            </w:r>
            <w:r>
              <w:rPr>
                <w:i/>
                <w:snapToGrid w:val="0"/>
              </w:rPr>
              <w:t>Gazette</w:t>
            </w:r>
            <w:r>
              <w:rPr>
                <w:snapToGrid w:val="0"/>
              </w:rPr>
              <w:t xml:space="preserve"> 1 Nov 2013 p. 4891)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Criminal Law Amendment (Out-of-Control Gatherings) Act 2012 </w:t>
            </w:r>
            <w:r>
              <w:rPr>
                <w:snapToGrid w:val="0"/>
              </w:rPr>
              <w:t>Pt. 2</w:t>
            </w:r>
          </w:p>
        </w:tc>
        <w:tc>
          <w:tcPr>
            <w:tcW w:w="1134" w:type="dxa"/>
            <w:shd w:val="clear" w:color="auto" w:fill="auto"/>
          </w:tcPr>
          <w:p>
            <w:pPr>
              <w:pStyle w:val="nTable"/>
              <w:spacing w:after="40"/>
              <w:rPr>
                <w:snapToGrid w:val="0"/>
              </w:rPr>
            </w:pPr>
            <w:r>
              <w:rPr>
                <w:snapToGrid w:val="0"/>
              </w:rPr>
              <w:t>56 of 2012</w:t>
            </w:r>
          </w:p>
        </w:tc>
        <w:tc>
          <w:tcPr>
            <w:tcW w:w="1134" w:type="dxa"/>
            <w:shd w:val="clear" w:color="auto" w:fill="auto"/>
          </w:tcPr>
          <w:p>
            <w:pPr>
              <w:pStyle w:val="nTable"/>
              <w:spacing w:after="40"/>
            </w:pPr>
            <w:r>
              <w:t>6 Dec 2012</w:t>
            </w:r>
          </w:p>
        </w:tc>
        <w:tc>
          <w:tcPr>
            <w:tcW w:w="2552" w:type="dxa"/>
            <w:shd w:val="clear" w:color="auto" w:fill="auto"/>
          </w:tcPr>
          <w:p>
            <w:pPr>
              <w:pStyle w:val="nTable"/>
              <w:spacing w:after="40"/>
              <w:rPr>
                <w:snapToGrid w:val="0"/>
              </w:rPr>
            </w:pPr>
            <w:r>
              <w:rPr>
                <w:snapToGrid w:val="0"/>
              </w:rPr>
              <w:t xml:space="preserve">15 Dec 2012 (see s. 2(b) and </w:t>
            </w:r>
            <w:r>
              <w:rPr>
                <w:i/>
                <w:snapToGrid w:val="0"/>
              </w:rPr>
              <w:t>Gazette</w:t>
            </w:r>
            <w:r>
              <w:rPr>
                <w:snapToGrid w:val="0"/>
              </w:rPr>
              <w:t xml:space="preserve"> 14 Dec 2012 p. 6196)</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rPr>
              <w:t>Reprint 17</w:t>
            </w:r>
            <w:r>
              <w:rPr>
                <w:b/>
                <w:vertAlign w:val="superscript"/>
              </w:rPr>
              <w:t> </w:t>
            </w:r>
            <w:r>
              <w:rPr>
                <w:bCs/>
                <w:vertAlign w:val="superscript"/>
              </w:rPr>
              <w:t>22</w:t>
            </w:r>
            <w:r>
              <w:rPr>
                <w:b/>
              </w:rPr>
              <w:t xml:space="preserve">:  The </w:t>
            </w:r>
            <w:r>
              <w:rPr>
                <w:b/>
                <w:i/>
              </w:rPr>
              <w:t xml:space="preserve">Criminal Code Act Compilation Act 1913 </w:t>
            </w:r>
            <w:r>
              <w:rPr>
                <w:b/>
              </w:rPr>
              <w:t>as at 1 Mar 2013</w:t>
            </w:r>
            <w:r>
              <w:rPr>
                <w:b/>
              </w:rPr>
              <w:br/>
            </w:r>
            <w:r>
              <w:t xml:space="preserve">(includes amendments listed above except those in the </w:t>
            </w:r>
            <w:r>
              <w:rPr>
                <w:i/>
              </w:rPr>
              <w:t>Criminal Organisations Control Act 2012,</w:t>
            </w:r>
            <w:r>
              <w:t xml:space="preserve"> </w:t>
            </w:r>
            <w:r>
              <w:rPr>
                <w:i/>
              </w:rPr>
              <w:t xml:space="preserve">Criminal Code Amendment (Infringement Notices) Act 2011 </w:t>
            </w:r>
            <w:r>
              <w:t>and the</w:t>
            </w:r>
            <w:r>
              <w:rPr>
                <w:i/>
              </w:rPr>
              <w:t xml:space="preserve"> </w:t>
            </w:r>
            <w:r>
              <w:rPr>
                <w:i/>
                <w:snapToGrid w:val="0"/>
              </w:rPr>
              <w:t xml:space="preserve">Road Traffic Legislation Amendment Act 2012 </w:t>
            </w:r>
            <w:r>
              <w:rPr>
                <w:snapToGrid w:val="0"/>
              </w:rPr>
              <w:t>Pt. 4</w:t>
            </w:r>
            <w:r>
              <w:rPr>
                <w:i/>
                <w:snapToGrid w:val="0"/>
              </w:rPr>
              <w:t xml:space="preserve"> </w:t>
            </w:r>
            <w:r>
              <w:rPr>
                <w:snapToGrid w:val="0"/>
              </w:rPr>
              <w:t>Div. 50</w:t>
            </w:r>
            <w:r>
              <w:t>)</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Act 2013</w:t>
            </w:r>
          </w:p>
        </w:tc>
        <w:tc>
          <w:tcPr>
            <w:tcW w:w="1134" w:type="dxa"/>
            <w:shd w:val="clear" w:color="auto" w:fill="auto"/>
          </w:tcPr>
          <w:p>
            <w:pPr>
              <w:pStyle w:val="nTable"/>
              <w:spacing w:after="40"/>
              <w:rPr>
                <w:snapToGrid w:val="0"/>
              </w:rPr>
            </w:pPr>
            <w:r>
              <w:rPr>
                <w:snapToGrid w:val="0"/>
              </w:rPr>
              <w:t>12 of 2013</w:t>
            </w:r>
          </w:p>
        </w:tc>
        <w:tc>
          <w:tcPr>
            <w:tcW w:w="1134" w:type="dxa"/>
            <w:shd w:val="clear" w:color="auto" w:fill="auto"/>
          </w:tcPr>
          <w:p>
            <w:pPr>
              <w:pStyle w:val="nTable"/>
              <w:spacing w:after="40"/>
            </w:pPr>
            <w:r>
              <w:t>4 Oct 2013</w:t>
            </w:r>
          </w:p>
        </w:tc>
        <w:tc>
          <w:tcPr>
            <w:tcW w:w="2552" w:type="dxa"/>
            <w:shd w:val="clear" w:color="auto" w:fill="auto"/>
          </w:tcPr>
          <w:p>
            <w:pPr>
              <w:pStyle w:val="nTable"/>
              <w:spacing w:after="40"/>
              <w:rPr>
                <w:snapToGrid w:val="0"/>
              </w:rPr>
            </w:pPr>
            <w:r>
              <w:rPr>
                <w:snapToGrid w:val="0"/>
                <w:spacing w:val="-2"/>
              </w:rPr>
              <w:t>s. 1 and 2: 4 Oct 2013 (see s. 2(a));</w:t>
            </w:r>
            <w:r>
              <w:rPr>
                <w:snapToGrid w:val="0"/>
                <w:spacing w:val="-2"/>
              </w:rPr>
              <w:br/>
              <w:t>Act other than s. 1 and 2: 5 Oct 2013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(Child Sex Offences) Act 2014</w:t>
            </w:r>
          </w:p>
        </w:tc>
        <w:tc>
          <w:tcPr>
            <w:tcW w:w="1134" w:type="dxa"/>
            <w:shd w:val="clear" w:color="auto" w:fill="auto"/>
          </w:tcPr>
          <w:p>
            <w:pPr>
              <w:pStyle w:val="nTable"/>
              <w:spacing w:after="40"/>
              <w:rPr>
                <w:snapToGrid w:val="0"/>
              </w:rPr>
            </w:pPr>
            <w:r>
              <w:rPr>
                <w:snapToGrid w:val="0"/>
              </w:rPr>
              <w:t>5 of 2014</w:t>
            </w:r>
          </w:p>
        </w:tc>
        <w:tc>
          <w:tcPr>
            <w:tcW w:w="1134" w:type="dxa"/>
            <w:shd w:val="clear" w:color="auto" w:fill="auto"/>
          </w:tcPr>
          <w:p>
            <w:pPr>
              <w:pStyle w:val="nTable"/>
              <w:spacing w:after="40"/>
            </w:pPr>
            <w:r>
              <w:t>22 Apr 2014</w:t>
            </w:r>
          </w:p>
        </w:tc>
        <w:tc>
          <w:tcPr>
            <w:tcW w:w="2552" w:type="dxa"/>
            <w:shd w:val="clear" w:color="auto" w:fill="auto"/>
          </w:tcPr>
          <w:p>
            <w:pPr>
              <w:pStyle w:val="nTable"/>
              <w:spacing w:after="40"/>
              <w:rPr>
                <w:snapToGrid w:val="0"/>
                <w:spacing w:val="-2"/>
              </w:rPr>
            </w:pPr>
            <w:r>
              <w:rPr>
                <w:snapToGrid w:val="0"/>
                <w:spacing w:val="-2"/>
              </w:rPr>
              <w:t>s. 1 and 2: 22 Apr 2014 (see s. 2(a));</w:t>
            </w:r>
            <w:r>
              <w:rPr>
                <w:snapToGrid w:val="0"/>
                <w:spacing w:val="-2"/>
              </w:rPr>
              <w:br/>
              <w:t>Act other than s. 1 and 2: 23 Apr 2014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(Unlawful Possession) Act 2014</w:t>
            </w:r>
            <w:r>
              <w:rPr>
                <w:snapToGrid w:val="0"/>
              </w:rPr>
              <w:t xml:space="preserve"> Pt. 2</w:t>
            </w:r>
          </w:p>
        </w:tc>
        <w:tc>
          <w:tcPr>
            <w:tcW w:w="1134" w:type="dxa"/>
            <w:shd w:val="clear" w:color="auto" w:fill="auto"/>
          </w:tcPr>
          <w:p>
            <w:pPr>
              <w:pStyle w:val="nTable"/>
              <w:spacing w:after="40"/>
              <w:rPr>
                <w:snapToGrid w:val="0"/>
              </w:rPr>
            </w:pPr>
            <w:r>
              <w:rPr>
                <w:snapToGrid w:val="0"/>
              </w:rPr>
              <w:t>11 of 2014</w:t>
            </w:r>
          </w:p>
        </w:tc>
        <w:tc>
          <w:tcPr>
            <w:tcW w:w="1134" w:type="dxa"/>
            <w:shd w:val="clear" w:color="auto" w:fill="auto"/>
          </w:tcPr>
          <w:p>
            <w:pPr>
              <w:pStyle w:val="nTable"/>
              <w:spacing w:after="40"/>
            </w:pPr>
            <w:r>
              <w:t>24 Jun 2014</w:t>
            </w:r>
          </w:p>
        </w:tc>
        <w:tc>
          <w:tcPr>
            <w:tcW w:w="2552" w:type="dxa"/>
            <w:shd w:val="clear" w:color="auto" w:fill="auto"/>
          </w:tcPr>
          <w:p>
            <w:pPr>
              <w:pStyle w:val="nTable"/>
              <w:spacing w:after="40"/>
              <w:rPr>
                <w:snapToGrid w:val="0"/>
                <w:spacing w:val="-2"/>
              </w:rPr>
            </w:pPr>
            <w:r>
              <w:rPr>
                <w:snapToGrid w:val="0"/>
                <w:spacing w:val="-2"/>
              </w:rPr>
              <w:t xml:space="preserve">13 Aug 2014 (see s. 2(b) and </w:t>
            </w:r>
            <w:r>
              <w:rPr>
                <w:i/>
                <w:snapToGrid w:val="0"/>
                <w:spacing w:val="-2"/>
              </w:rPr>
              <w:t>Gazette</w:t>
            </w:r>
            <w:r>
              <w:rPr>
                <w:snapToGrid w:val="0"/>
                <w:spacing w:val="-2"/>
              </w:rPr>
              <w:t xml:space="preserve"> 12 Aug 2014 p. 2889)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rPr>
              <w:t>Mental Health Legislation Amendment Act 2014</w:t>
            </w:r>
            <w:r>
              <w:t xml:space="preserve"> Pt. 4 Div. 4 Subdiv. 7</w:t>
            </w:r>
          </w:p>
        </w:tc>
        <w:tc>
          <w:tcPr>
            <w:tcW w:w="1134" w:type="dxa"/>
          </w:tcPr>
          <w:p>
            <w:pPr>
              <w:pStyle w:val="nTable"/>
              <w:spacing w:after="40"/>
              <w:rPr>
                <w:snapToGrid w:val="0"/>
              </w:rPr>
            </w:pPr>
            <w:r>
              <w:rPr>
                <w:snapToGrid w:val="0"/>
              </w:rPr>
              <w:t>25 of 2014</w:t>
            </w:r>
          </w:p>
        </w:tc>
        <w:tc>
          <w:tcPr>
            <w:tcW w:w="1134" w:type="dxa"/>
          </w:tcPr>
          <w:p>
            <w:pPr>
              <w:pStyle w:val="nTable"/>
              <w:spacing w:after="40"/>
              <w:rPr>
                <w:snapToGrid w:val="0"/>
              </w:rPr>
            </w:pPr>
            <w:r>
              <w:t>3 Nov 2014</w:t>
            </w:r>
          </w:p>
        </w:tc>
        <w:tc>
          <w:tcPr>
            <w:tcW w:w="2552" w:type="dxa"/>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rPr>
              <w:t>Criminal Law Amendment (Home Burglary and Other Offences) Act 2015</w:t>
            </w:r>
            <w:r>
              <w:t xml:space="preserve"> Pt. 2</w:t>
            </w:r>
          </w:p>
        </w:tc>
        <w:tc>
          <w:tcPr>
            <w:tcW w:w="1134" w:type="dxa"/>
            <w:shd w:val="clear" w:color="auto" w:fill="auto"/>
          </w:tcPr>
          <w:p>
            <w:pPr>
              <w:pStyle w:val="nTable"/>
              <w:spacing w:after="40"/>
              <w:rPr>
                <w:snapToGrid w:val="0"/>
              </w:rPr>
            </w:pPr>
            <w:r>
              <w:rPr>
                <w:snapToGrid w:val="0"/>
              </w:rPr>
              <w:t>25 of 2015</w:t>
            </w:r>
          </w:p>
        </w:tc>
        <w:tc>
          <w:tcPr>
            <w:tcW w:w="1134" w:type="dxa"/>
            <w:shd w:val="clear" w:color="auto" w:fill="auto"/>
          </w:tcPr>
          <w:p>
            <w:pPr>
              <w:pStyle w:val="nTable"/>
              <w:spacing w:after="40"/>
            </w:pPr>
            <w:r>
              <w:t>24 Sep 2015</w:t>
            </w:r>
          </w:p>
        </w:tc>
        <w:tc>
          <w:tcPr>
            <w:tcW w:w="2552" w:type="dxa"/>
            <w:shd w:val="clear" w:color="auto" w:fill="auto"/>
          </w:tcPr>
          <w:p>
            <w:pPr>
              <w:pStyle w:val="nTable"/>
              <w:spacing w:after="40"/>
              <w:rPr>
                <w:snapToGrid w:val="0"/>
                <w:spacing w:val="-2"/>
              </w:rPr>
            </w:pPr>
            <w:r>
              <w:rPr>
                <w:snapToGrid w:val="0"/>
                <w:spacing w:val="-2"/>
              </w:rPr>
              <w:t xml:space="preserve">31 Oct 2015 (see s. 2(b) and </w:t>
            </w:r>
            <w:r>
              <w:rPr>
                <w:i/>
                <w:snapToGrid w:val="0"/>
                <w:spacing w:val="-2"/>
              </w:rPr>
              <w:t>Gazette</w:t>
            </w:r>
            <w:r>
              <w:rPr>
                <w:snapToGrid w:val="0"/>
                <w:spacing w:val="-2"/>
              </w:rPr>
              <w:t xml:space="preserve"> 30 Oct 2015 p. 4493)</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spacing w:val="-2"/>
              </w:rPr>
            </w:pPr>
            <w:r>
              <w:rPr>
                <w:b/>
                <w:snapToGrid w:val="0"/>
                <w:spacing w:val="-2"/>
              </w:rPr>
              <w:t>Reprint 18</w:t>
            </w:r>
            <w:r>
              <w:rPr>
                <w:b/>
                <w:vertAlign w:val="superscript"/>
              </w:rPr>
              <w:t> </w:t>
            </w:r>
            <w:r>
              <w:rPr>
                <w:bCs/>
                <w:vertAlign w:val="superscript"/>
              </w:rPr>
              <w:t>22</w:t>
            </w:r>
            <w:r>
              <w:rPr>
                <w:b/>
                <w:snapToGrid w:val="0"/>
                <w:spacing w:val="-2"/>
              </w:rPr>
              <w:t xml:space="preserve">: The </w:t>
            </w:r>
            <w:r>
              <w:rPr>
                <w:b/>
                <w:i/>
              </w:rPr>
              <w:t xml:space="preserve">Criminal Code Act Compilation Act 1913 </w:t>
            </w:r>
            <w:r>
              <w:rPr>
                <w:b/>
                <w:snapToGrid w:val="0"/>
                <w:spacing w:val="-2"/>
              </w:rPr>
              <w:t>as at 3 Jun 2016</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Graffiti Vandalism Act 2016 </w:t>
            </w:r>
            <w:r>
              <w:rPr>
                <w:snapToGrid w:val="0"/>
              </w:rPr>
              <w:t>Pt. 6 Div. 1</w:t>
            </w:r>
          </w:p>
        </w:tc>
        <w:tc>
          <w:tcPr>
            <w:tcW w:w="1134" w:type="dxa"/>
            <w:shd w:val="clear" w:color="auto" w:fill="auto"/>
          </w:tcPr>
          <w:p>
            <w:pPr>
              <w:pStyle w:val="nTable"/>
              <w:spacing w:after="40"/>
              <w:rPr>
                <w:snapToGrid w:val="0"/>
              </w:rPr>
            </w:pPr>
            <w:r>
              <w:t>16 of 2016</w:t>
            </w:r>
          </w:p>
        </w:tc>
        <w:tc>
          <w:tcPr>
            <w:tcW w:w="1134" w:type="dxa"/>
            <w:shd w:val="clear" w:color="auto" w:fill="auto"/>
          </w:tcPr>
          <w:p>
            <w:pPr>
              <w:pStyle w:val="nTable"/>
              <w:spacing w:after="40"/>
            </w:pPr>
            <w:r>
              <w:t>11 Jul 2016</w:t>
            </w:r>
          </w:p>
        </w:tc>
        <w:tc>
          <w:tcPr>
            <w:tcW w:w="2552" w:type="dxa"/>
            <w:shd w:val="clear" w:color="auto" w:fill="auto"/>
          </w:tcPr>
          <w:p>
            <w:pPr>
              <w:pStyle w:val="nTable"/>
              <w:spacing w:after="40"/>
              <w:rPr>
                <w:snapToGrid w:val="0"/>
                <w:spacing w:val="-2"/>
              </w:rPr>
            </w:pPr>
            <w:r>
              <w:rPr>
                <w:snapToGrid w:val="0"/>
                <w:spacing w:val="-2"/>
              </w:rPr>
              <w:t xml:space="preserve">12 Oct 2016 (see s. 2(b) and </w:t>
            </w:r>
            <w:r>
              <w:rPr>
                <w:i/>
                <w:snapToGrid w:val="0"/>
                <w:spacing w:val="-2"/>
              </w:rPr>
              <w:t>Gazette</w:t>
            </w:r>
            <w:r>
              <w:rPr>
                <w:snapToGrid w:val="0"/>
                <w:spacing w:val="-2"/>
              </w:rPr>
              <w:t xml:space="preserve"> 11 Oct 2016 p. 4531)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rPr>
              <w:t>Public Health (Consequential Provisions) Act 2016</w:t>
            </w:r>
            <w:r>
              <w:t xml:space="preserve"> Pt. 3 Div. 10</w:t>
            </w:r>
          </w:p>
        </w:tc>
        <w:tc>
          <w:tcPr>
            <w:tcW w:w="1134" w:type="dxa"/>
            <w:shd w:val="clear" w:color="auto" w:fill="auto"/>
          </w:tcPr>
          <w:p>
            <w:pPr>
              <w:pStyle w:val="nTable"/>
              <w:spacing w:after="40"/>
            </w:pPr>
            <w:r>
              <w:t>19 of 2016</w:t>
            </w:r>
          </w:p>
        </w:tc>
        <w:tc>
          <w:tcPr>
            <w:tcW w:w="1134" w:type="dxa"/>
            <w:shd w:val="clear" w:color="auto" w:fill="auto"/>
          </w:tcPr>
          <w:p>
            <w:pPr>
              <w:pStyle w:val="nTable"/>
              <w:spacing w:after="40"/>
            </w:pPr>
            <w:r>
              <w:t>25 Jul 2016</w:t>
            </w:r>
          </w:p>
        </w:tc>
        <w:tc>
          <w:tcPr>
            <w:tcW w:w="2552" w:type="dxa"/>
            <w:shd w:val="clear" w:color="auto" w:fill="auto"/>
          </w:tcPr>
          <w:p>
            <w:pPr>
              <w:pStyle w:val="nTable"/>
              <w:spacing w:after="40"/>
              <w:rPr>
                <w:snapToGrid w:val="0"/>
                <w:spacing w:val="-2"/>
              </w:rPr>
            </w:pPr>
            <w:r>
              <w:rPr>
                <w:snapToGrid w:val="0"/>
              </w:rPr>
              <w:t xml:space="preserve">24 Jan 2017 (see s. 2(1)(c) and </w:t>
            </w:r>
            <w:r>
              <w:rPr>
                <w:i/>
                <w:snapToGrid w:val="0"/>
              </w:rPr>
              <w:t>Gazette</w:t>
            </w:r>
            <w:r>
              <w:rPr>
                <w:snapToGrid w:val="0"/>
              </w:rPr>
              <w:t xml:space="preserve"> 10 Jan 2017 p. 165)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Road Traffic Amendment (Impounding and Confiscation of Vehicles) Act 2016 </w:t>
            </w:r>
            <w:r>
              <w:rPr>
                <w:snapToGrid w:val="0"/>
              </w:rPr>
              <w:t>Pt. 3 Div. 1</w:t>
            </w:r>
          </w:p>
        </w:tc>
        <w:tc>
          <w:tcPr>
            <w:tcW w:w="1134" w:type="dxa"/>
            <w:shd w:val="clear" w:color="auto" w:fill="auto"/>
          </w:tcPr>
          <w:p>
            <w:pPr>
              <w:pStyle w:val="nTable"/>
              <w:spacing w:after="40"/>
            </w:pPr>
            <w:r>
              <w:t>51 of 2016</w:t>
            </w:r>
          </w:p>
        </w:tc>
        <w:tc>
          <w:tcPr>
            <w:tcW w:w="1134" w:type="dxa"/>
            <w:shd w:val="clear" w:color="auto" w:fill="auto"/>
          </w:tcPr>
          <w:p>
            <w:pPr>
              <w:pStyle w:val="nTable"/>
              <w:spacing w:after="40"/>
            </w:pPr>
            <w:r>
              <w:t>28 Nov 2016</w:t>
            </w:r>
          </w:p>
        </w:tc>
        <w:tc>
          <w:tcPr>
            <w:tcW w:w="2552" w:type="dxa"/>
            <w:shd w:val="clear" w:color="auto" w:fill="auto"/>
          </w:tcPr>
          <w:p>
            <w:pPr>
              <w:pStyle w:val="nTable"/>
              <w:spacing w:after="40"/>
              <w:rPr>
                <w:snapToGrid w:val="0"/>
                <w:spacing w:val="-2"/>
              </w:rPr>
            </w:pPr>
            <w:r>
              <w:rPr>
                <w:snapToGrid w:val="0"/>
                <w:spacing w:val="-2"/>
              </w:rPr>
              <w:t xml:space="preserve">14 Jan 2017 (see s. 2(1)(b) and </w:t>
            </w:r>
            <w:r>
              <w:rPr>
                <w:i/>
                <w:snapToGrid w:val="0"/>
                <w:spacing w:val="-2"/>
              </w:rPr>
              <w:t>Gazette</w:t>
            </w:r>
            <w:r>
              <w:rPr>
                <w:snapToGrid w:val="0"/>
                <w:spacing w:val="-2"/>
              </w:rPr>
              <w:t xml:space="preserve"> 13 Jan 2017 p. 338)</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rPr>
              <w:t xml:space="preserve">Restraining Orders and Related Legislation Amendment (Family Violence) Act 2016 </w:t>
            </w:r>
            <w:r>
              <w:t>Pt. 3 Div. 4 (s. 97-100)</w:t>
            </w:r>
          </w:p>
        </w:tc>
        <w:tc>
          <w:tcPr>
            <w:tcW w:w="1134" w:type="dxa"/>
            <w:shd w:val="clear" w:color="auto" w:fill="auto"/>
          </w:tcPr>
          <w:p>
            <w:pPr>
              <w:pStyle w:val="nTable"/>
              <w:spacing w:after="40"/>
            </w:pPr>
            <w:r>
              <w:t>49 of 2016</w:t>
            </w:r>
          </w:p>
        </w:tc>
        <w:tc>
          <w:tcPr>
            <w:tcW w:w="1134" w:type="dxa"/>
            <w:shd w:val="clear" w:color="auto" w:fill="auto"/>
          </w:tcPr>
          <w:p>
            <w:pPr>
              <w:pStyle w:val="nTable"/>
              <w:spacing w:after="40"/>
            </w:pPr>
            <w:r>
              <w:t>29 Nov 2016</w:t>
            </w:r>
          </w:p>
        </w:tc>
        <w:tc>
          <w:tcPr>
            <w:tcW w:w="2552" w:type="dxa"/>
            <w:shd w:val="clear" w:color="auto" w:fill="auto"/>
          </w:tcPr>
          <w:p>
            <w:pPr>
              <w:pStyle w:val="nTable"/>
              <w:spacing w:after="40"/>
              <w:rPr>
                <w:snapToGrid w:val="0"/>
                <w:spacing w:val="-2"/>
              </w:rPr>
            </w:pPr>
            <w:r>
              <w:rPr>
                <w:snapToGrid w:val="0"/>
                <w:spacing w:val="-2"/>
              </w:rPr>
              <w:t xml:space="preserve">s. 97, 98 and 100: 8 Feb 2017 (see s. 2(b) and </w:t>
            </w:r>
            <w:r>
              <w:rPr>
                <w:i/>
                <w:snapToGrid w:val="0"/>
                <w:spacing w:val="-2"/>
              </w:rPr>
              <w:t>Gazette</w:t>
            </w:r>
            <w:r>
              <w:rPr>
                <w:snapToGrid w:val="0"/>
                <w:spacing w:val="-2"/>
              </w:rPr>
              <w:t xml:space="preserve"> 7 Feb 2017 p. 1157);</w:t>
            </w:r>
            <w:r>
              <w:rPr>
                <w:snapToGrid w:val="0"/>
                <w:spacing w:val="-2"/>
              </w:rPr>
              <w:br/>
            </w:r>
            <w:r>
              <w:t xml:space="preserve">s. 99: </w:t>
            </w:r>
            <w:r>
              <w:rPr>
                <w:snapToGrid w:val="0"/>
              </w:rPr>
              <w:t>1 Jul 2017 (see s. 2(b)</w:t>
            </w:r>
            <w:r>
              <w:rPr>
                <w:snapToGrid w:val="0"/>
                <w:spacing w:val="-2"/>
              </w:rPr>
              <w:t xml:space="preserve"> and </w:t>
            </w:r>
            <w:r>
              <w:rPr>
                <w:i/>
                <w:snapToGrid w:val="0"/>
                <w:spacing w:val="-2"/>
              </w:rPr>
              <w:t>Gazette</w:t>
            </w:r>
            <w:r>
              <w:rPr>
                <w:snapToGrid w:val="0"/>
                <w:spacing w:val="-2"/>
              </w:rPr>
              <w:t xml:space="preserve"> 7 Feb 2017 p. 1157</w:t>
            </w:r>
            <w:r>
              <w:rPr>
                <w:snapToGrid w:val="0"/>
              </w:rPr>
              <w:t>)</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Sentencing Legislation Amendment Act 2016</w:t>
            </w:r>
            <w:r>
              <w:rPr>
                <w:snapToGrid w:val="0"/>
              </w:rPr>
              <w:t xml:space="preserve"> Pt. 2 Div. 2</w:t>
            </w:r>
          </w:p>
        </w:tc>
        <w:tc>
          <w:tcPr>
            <w:tcW w:w="1134" w:type="dxa"/>
            <w:shd w:val="clear" w:color="auto" w:fill="auto"/>
          </w:tcPr>
          <w:p>
            <w:pPr>
              <w:pStyle w:val="nTable"/>
              <w:spacing w:after="40"/>
            </w:pPr>
            <w:r>
              <w:t>45 of 2016</w:t>
            </w:r>
          </w:p>
        </w:tc>
        <w:tc>
          <w:tcPr>
            <w:tcW w:w="1134" w:type="dxa"/>
            <w:shd w:val="clear" w:color="auto" w:fill="auto"/>
          </w:tcPr>
          <w:p>
            <w:pPr>
              <w:pStyle w:val="nTable"/>
              <w:spacing w:after="40"/>
            </w:pPr>
            <w:r>
              <w:t>7 Dec 2016</w:t>
            </w:r>
          </w:p>
        </w:tc>
        <w:tc>
          <w:tcPr>
            <w:tcW w:w="2552" w:type="dxa"/>
            <w:shd w:val="clear" w:color="auto" w:fill="auto"/>
          </w:tcPr>
          <w:p>
            <w:pPr>
              <w:pStyle w:val="nTable"/>
              <w:spacing w:after="40"/>
              <w:rPr>
                <w:snapToGrid w:val="0"/>
                <w:spacing w:val="-2"/>
              </w:rPr>
            </w:pPr>
            <w:r>
              <w:rPr>
                <w:snapToGrid w:val="0"/>
                <w:spacing w:val="-2"/>
              </w:rPr>
              <w:t>8 Dec 2016 (see s. 2(b))</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spacing w:val="-2"/>
              </w:rPr>
            </w:pPr>
            <w:r>
              <w:rPr>
                <w:b/>
                <w:snapToGrid w:val="0"/>
                <w:spacing w:val="-2"/>
              </w:rPr>
              <w:t>Reprint 19</w:t>
            </w:r>
            <w:r>
              <w:rPr>
                <w:b/>
                <w:vertAlign w:val="superscript"/>
              </w:rPr>
              <w:t> </w:t>
            </w:r>
            <w:r>
              <w:rPr>
                <w:bCs/>
                <w:vertAlign w:val="superscript"/>
              </w:rPr>
              <w:t>22</w:t>
            </w:r>
            <w:r>
              <w:rPr>
                <w:b/>
                <w:snapToGrid w:val="0"/>
                <w:spacing w:val="-2"/>
              </w:rPr>
              <w:t xml:space="preserve">: The </w:t>
            </w:r>
            <w:r>
              <w:rPr>
                <w:b/>
                <w:i/>
                <w:noProof/>
                <w:snapToGrid w:val="0"/>
                <w:spacing w:val="-2"/>
              </w:rPr>
              <w:t>Criminal Code</w:t>
            </w:r>
            <w:r>
              <w:rPr>
                <w:b/>
                <w:snapToGrid w:val="0"/>
                <w:spacing w:val="-2"/>
              </w:rPr>
              <w:t xml:space="preserve"> </w:t>
            </w:r>
            <w:r>
              <w:rPr>
                <w:b/>
                <w:i/>
                <w:snapToGrid w:val="0"/>
                <w:spacing w:val="-2"/>
              </w:rPr>
              <w:t>Act Compilation Act 1913</w:t>
            </w:r>
            <w:r>
              <w:rPr>
                <w:b/>
                <w:snapToGrid w:val="0"/>
                <w:spacing w:val="-2"/>
              </w:rPr>
              <w:t xml:space="preserve"> as at 22 Sep 2017</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 xml:space="preserve">Transport (Road Passenger Services) Act 2018 </w:t>
            </w:r>
            <w:r>
              <w:rPr>
                <w:snapToGrid w:val="0"/>
              </w:rPr>
              <w:t>Pt. 14 Div. 2 Subdiv. 2</w:t>
            </w:r>
          </w:p>
        </w:tc>
        <w:tc>
          <w:tcPr>
            <w:tcW w:w="1134" w:type="dxa"/>
            <w:shd w:val="clear" w:color="auto" w:fill="auto"/>
          </w:tcPr>
          <w:p>
            <w:pPr>
              <w:pStyle w:val="nTable"/>
              <w:spacing w:after="40"/>
            </w:pPr>
            <w:r>
              <w:t>26 of 2018</w:t>
            </w:r>
          </w:p>
        </w:tc>
        <w:tc>
          <w:tcPr>
            <w:tcW w:w="1134" w:type="dxa"/>
            <w:shd w:val="clear" w:color="auto" w:fill="auto"/>
          </w:tcPr>
          <w:p>
            <w:pPr>
              <w:pStyle w:val="nTable"/>
              <w:spacing w:after="40"/>
            </w:pPr>
            <w:r>
              <w:t>30 Oct 2018</w:t>
            </w:r>
          </w:p>
        </w:tc>
        <w:tc>
          <w:tcPr>
            <w:tcW w:w="2552" w:type="dxa"/>
            <w:shd w:val="clear" w:color="auto" w:fill="auto"/>
          </w:tcPr>
          <w:p>
            <w:pPr>
              <w:pStyle w:val="nTable"/>
              <w:spacing w:after="40"/>
              <w:rPr>
                <w:snapToGrid w:val="0"/>
                <w:spacing w:val="-2"/>
              </w:rPr>
            </w:pPr>
            <w:r>
              <w:rPr>
                <w:snapToGrid w:val="0"/>
                <w:spacing w:val="-2"/>
              </w:rPr>
              <w:t xml:space="preserve">2 Jul 2019 (see s. 2(b) and </w:t>
            </w:r>
            <w:r>
              <w:rPr>
                <w:i/>
                <w:snapToGrid w:val="0"/>
                <w:spacing w:val="-2"/>
              </w:rPr>
              <w:t>Gazette</w:t>
            </w:r>
            <w:r>
              <w:rPr>
                <w:snapToGrid w:val="0"/>
                <w:spacing w:val="-2"/>
              </w:rPr>
              <w:t xml:space="preserve"> 28 Jun 2019 p. 2473)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 xml:space="preserve">Court Jurisdiction Legislation Amendment Act 2018 </w:t>
            </w:r>
            <w:r>
              <w:rPr>
                <w:snapToGrid w:val="0"/>
              </w:rPr>
              <w:t>Pt. 3</w:t>
            </w:r>
          </w:p>
        </w:tc>
        <w:tc>
          <w:tcPr>
            <w:tcW w:w="1134" w:type="dxa"/>
            <w:shd w:val="clear" w:color="auto" w:fill="auto"/>
          </w:tcPr>
          <w:p>
            <w:pPr>
              <w:pStyle w:val="nTable"/>
              <w:spacing w:after="40"/>
            </w:pPr>
            <w:r>
              <w:t>28 of 2018</w:t>
            </w:r>
          </w:p>
        </w:tc>
        <w:tc>
          <w:tcPr>
            <w:tcW w:w="1134" w:type="dxa"/>
            <w:shd w:val="clear" w:color="auto" w:fill="auto"/>
          </w:tcPr>
          <w:p>
            <w:pPr>
              <w:pStyle w:val="nTable"/>
              <w:spacing w:after="40"/>
            </w:pPr>
            <w:r>
              <w:t>2 Nov 2018</w:t>
            </w:r>
          </w:p>
        </w:tc>
        <w:tc>
          <w:tcPr>
            <w:tcW w:w="2552" w:type="dxa"/>
            <w:shd w:val="clear" w:color="auto" w:fill="auto"/>
          </w:tcPr>
          <w:p>
            <w:pPr>
              <w:pStyle w:val="nTable"/>
              <w:spacing w:after="40"/>
              <w:rPr>
                <w:snapToGrid w:val="0"/>
                <w:spacing w:val="-2"/>
              </w:rPr>
            </w:pPr>
            <w:r>
              <w:rPr>
                <w:snapToGrid w:val="0"/>
                <w:spacing w:val="-2"/>
              </w:rPr>
              <w:t xml:space="preserve">1 Jan 2019 (see s. 2(b) and </w:t>
            </w:r>
            <w:r>
              <w:rPr>
                <w:i/>
                <w:snapToGrid w:val="0"/>
                <w:spacing w:val="-2"/>
              </w:rPr>
              <w:t>Gazette</w:t>
            </w:r>
            <w:r>
              <w:rPr>
                <w:snapToGrid w:val="0"/>
                <w:spacing w:val="-2"/>
              </w:rPr>
              <w:t xml:space="preserve"> 21 Dec 2018 p. 4845)</w:t>
            </w:r>
          </w:p>
        </w:tc>
      </w:tr>
      <w:tr>
        <w:trPr>
          <w:cantSplit/>
        </w:trPr>
        <w:tc>
          <w:tcPr>
            <w:tcW w:w="2268" w:type="dxa"/>
            <w:tcBorders>
              <w:top w:val="nil"/>
              <w:bottom w:val="nil"/>
            </w:tcBorders>
            <w:shd w:val="clear" w:color="auto" w:fill="auto"/>
          </w:tcPr>
          <w:p>
            <w:pPr>
              <w:pStyle w:val="nTable"/>
              <w:spacing w:after="40"/>
              <w:rPr>
                <w:i/>
                <w:snapToGrid w:val="0"/>
              </w:rPr>
            </w:pPr>
            <w:r>
              <w:rPr>
                <w:i/>
              </w:rPr>
              <w:t>Criminal Law Amendment (Intimate Images) Act 2019</w:t>
            </w:r>
            <w:r>
              <w:rPr>
                <w:snapToGrid w:val="0"/>
                <w:vertAlign w:val="superscript"/>
              </w:rPr>
              <w:t xml:space="preserve"> </w:t>
            </w:r>
            <w:r>
              <w:rPr>
                <w:snapToGrid w:val="0"/>
              </w:rPr>
              <w:t>Pt. 2</w:t>
            </w:r>
          </w:p>
        </w:tc>
        <w:tc>
          <w:tcPr>
            <w:tcW w:w="1134" w:type="dxa"/>
            <w:tcBorders>
              <w:top w:val="nil"/>
              <w:bottom w:val="nil"/>
            </w:tcBorders>
            <w:shd w:val="clear" w:color="auto" w:fill="auto"/>
          </w:tcPr>
          <w:p>
            <w:pPr>
              <w:pStyle w:val="nTable"/>
              <w:spacing w:after="40"/>
            </w:pPr>
            <w:r>
              <w:t>4 of 2019</w:t>
            </w:r>
          </w:p>
        </w:tc>
        <w:tc>
          <w:tcPr>
            <w:tcW w:w="1134" w:type="dxa"/>
            <w:tcBorders>
              <w:top w:val="nil"/>
              <w:bottom w:val="nil"/>
            </w:tcBorders>
            <w:shd w:val="clear" w:color="auto" w:fill="auto"/>
          </w:tcPr>
          <w:p>
            <w:pPr>
              <w:pStyle w:val="nTable"/>
              <w:spacing w:after="40"/>
            </w:pPr>
            <w:r>
              <w:t>26 Feb 2019</w:t>
            </w:r>
          </w:p>
        </w:tc>
        <w:tc>
          <w:tcPr>
            <w:tcW w:w="2552" w:type="dxa"/>
            <w:tcBorders>
              <w:top w:val="nil"/>
              <w:bottom w:val="nil"/>
            </w:tcBorders>
            <w:shd w:val="clear" w:color="auto" w:fill="auto"/>
          </w:tcPr>
          <w:p>
            <w:pPr>
              <w:pStyle w:val="nTable"/>
              <w:spacing w:after="40"/>
              <w:rPr>
                <w:snapToGrid w:val="0"/>
                <w:spacing w:val="-2"/>
              </w:rPr>
            </w:pPr>
            <w:r>
              <w:t xml:space="preserve">15 Apr 2019 (see s. 2(b) and </w:t>
            </w:r>
            <w:r>
              <w:rPr>
                <w:i/>
              </w:rPr>
              <w:t>Gazette</w:t>
            </w:r>
            <w:r>
              <w:t xml:space="preserve"> 9 Apr 2019 p. 1041)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rPr>
            </w:pPr>
            <w:r>
              <w:rPr>
                <w:i/>
              </w:rPr>
              <w:t>Criminal Code Amendment (Child Marriage) Act 2020</w:t>
            </w:r>
          </w:p>
        </w:tc>
        <w:tc>
          <w:tcPr>
            <w:tcW w:w="1134" w:type="dxa"/>
            <w:shd w:val="clear" w:color="auto" w:fill="auto"/>
          </w:tcPr>
          <w:p>
            <w:pPr>
              <w:pStyle w:val="nTable"/>
              <w:spacing w:after="40"/>
            </w:pPr>
            <w:r>
              <w:t>2 of 2020</w:t>
            </w:r>
          </w:p>
        </w:tc>
        <w:tc>
          <w:tcPr>
            <w:tcW w:w="1134" w:type="dxa"/>
            <w:shd w:val="clear" w:color="auto" w:fill="auto"/>
          </w:tcPr>
          <w:p>
            <w:pPr>
              <w:pStyle w:val="nTable"/>
              <w:spacing w:after="40"/>
            </w:pPr>
            <w:r>
              <w:t>27 Feb 2020</w:t>
            </w:r>
          </w:p>
        </w:tc>
        <w:tc>
          <w:tcPr>
            <w:tcW w:w="2552" w:type="dxa"/>
            <w:shd w:val="clear" w:color="auto" w:fill="auto"/>
          </w:tcPr>
          <w:p>
            <w:pPr>
              <w:pStyle w:val="nTable"/>
              <w:spacing w:after="40"/>
            </w:pPr>
            <w:r>
              <w:t>s. 1 and 2: 27 Feb 2020 (see s. 2(a));</w:t>
            </w:r>
            <w:r>
              <w:br/>
              <w:t>Act other than s.1 and 2: 28 Feb 2020 (see s. 2(b))</w:t>
            </w:r>
          </w:p>
        </w:tc>
      </w:tr>
      <w:tr>
        <w:tblPrEx>
          <w:tblBorders>
            <w:top w:val="none" w:sz="0" w:space="0" w:color="auto"/>
            <w:bottom w:val="none" w:sz="0" w:space="0" w:color="auto"/>
            <w:insideH w:val="none" w:sz="0" w:space="0" w:color="auto"/>
          </w:tblBorders>
        </w:tblPrEx>
        <w:trPr>
          <w:cantSplit/>
          <w:trHeight w:val="473"/>
        </w:trPr>
        <w:tc>
          <w:tcPr>
            <w:tcW w:w="2268" w:type="dxa"/>
            <w:shd w:val="clear" w:color="auto" w:fill="auto"/>
          </w:tcPr>
          <w:p>
            <w:pPr>
              <w:pStyle w:val="nTable"/>
              <w:spacing w:after="40"/>
              <w:rPr>
                <w:i/>
              </w:rPr>
            </w:pPr>
            <w:r>
              <w:rPr>
                <w:i/>
              </w:rPr>
              <w:t>Criminal Code Amendment (COVID</w:t>
            </w:r>
            <w:r>
              <w:rPr>
                <w:i/>
              </w:rPr>
              <w:noBreakHyphen/>
              <w:t xml:space="preserve">19 Response) Act 2020 </w:t>
            </w:r>
          </w:p>
        </w:tc>
        <w:tc>
          <w:tcPr>
            <w:tcW w:w="1134" w:type="dxa"/>
            <w:shd w:val="clear" w:color="auto" w:fill="auto"/>
          </w:tcPr>
          <w:p>
            <w:pPr>
              <w:pStyle w:val="nTable"/>
              <w:spacing w:after="40"/>
            </w:pPr>
            <w:r>
              <w:t>8 of 2020</w:t>
            </w:r>
          </w:p>
        </w:tc>
        <w:tc>
          <w:tcPr>
            <w:tcW w:w="1134" w:type="dxa"/>
            <w:shd w:val="clear" w:color="auto" w:fill="auto"/>
          </w:tcPr>
          <w:p>
            <w:pPr>
              <w:pStyle w:val="nTable"/>
              <w:spacing w:after="40"/>
            </w:pPr>
            <w:r>
              <w:t>3 Apr 2020</w:t>
            </w:r>
          </w:p>
        </w:tc>
        <w:tc>
          <w:tcPr>
            <w:tcW w:w="2552" w:type="dxa"/>
            <w:shd w:val="clear" w:color="auto" w:fill="auto"/>
          </w:tcPr>
          <w:p>
            <w:pPr>
              <w:pStyle w:val="nTable"/>
              <w:spacing w:after="40"/>
            </w:pPr>
            <w:r>
              <w:t>s. 1 and 2: 3 Apr 2020 (see s. 2(a));</w:t>
            </w:r>
            <w:r>
              <w:br/>
              <w:t>Act other than s. 1, 2, 4(2) and 5(3): 4 Apr 2020 (see s. 2(c))</w:t>
            </w:r>
          </w:p>
        </w:tc>
      </w:tr>
      <w:tr>
        <w:trPr>
          <w:cantSplit/>
          <w:trHeight w:val="473"/>
        </w:trPr>
        <w:tc>
          <w:tcPr>
            <w:tcW w:w="2268" w:type="dxa"/>
            <w:tcBorders>
              <w:top w:val="nil"/>
              <w:bottom w:val="nil"/>
              <w:right w:val="nil"/>
            </w:tcBorders>
            <w:shd w:val="clear" w:color="auto" w:fill="auto"/>
          </w:tcPr>
          <w:p>
            <w:pPr>
              <w:pStyle w:val="nTable"/>
              <w:spacing w:after="40"/>
              <w:rPr>
                <w:i/>
              </w:rPr>
            </w:pPr>
            <w:r>
              <w:rPr>
                <w:i/>
              </w:rPr>
              <w:t>Family Violence Legislation Reform Act 2020</w:t>
            </w:r>
            <w:r>
              <w:t xml:space="preserve"> Pt. 2</w:t>
            </w:r>
          </w:p>
        </w:tc>
        <w:tc>
          <w:tcPr>
            <w:tcW w:w="1134" w:type="dxa"/>
            <w:tcBorders>
              <w:top w:val="nil"/>
              <w:left w:val="nil"/>
              <w:bottom w:val="nil"/>
              <w:right w:val="nil"/>
            </w:tcBorders>
            <w:shd w:val="clear" w:color="auto" w:fill="auto"/>
          </w:tcPr>
          <w:p>
            <w:pPr>
              <w:pStyle w:val="nTable"/>
              <w:spacing w:after="40"/>
            </w:pPr>
            <w:r>
              <w:t>30 of 2020</w:t>
            </w:r>
          </w:p>
        </w:tc>
        <w:tc>
          <w:tcPr>
            <w:tcW w:w="1134" w:type="dxa"/>
            <w:tcBorders>
              <w:top w:val="nil"/>
              <w:left w:val="nil"/>
              <w:bottom w:val="nil"/>
              <w:right w:val="nil"/>
            </w:tcBorders>
            <w:shd w:val="clear" w:color="auto" w:fill="auto"/>
          </w:tcPr>
          <w:p>
            <w:pPr>
              <w:pStyle w:val="nTable"/>
              <w:spacing w:after="40"/>
            </w:pPr>
            <w:r>
              <w:t>9 Jul 2020</w:t>
            </w:r>
          </w:p>
        </w:tc>
        <w:tc>
          <w:tcPr>
            <w:tcW w:w="2552" w:type="dxa"/>
            <w:tcBorders>
              <w:top w:val="nil"/>
              <w:left w:val="nil"/>
              <w:bottom w:val="nil"/>
            </w:tcBorders>
            <w:shd w:val="clear" w:color="auto" w:fill="auto"/>
          </w:tcPr>
          <w:p>
            <w:pPr>
              <w:pStyle w:val="nTable"/>
              <w:spacing w:after="40"/>
            </w:pPr>
            <w:r>
              <w:t>s. 12: 10 Jul 2020 (see s. 2(1)(b));</w:t>
            </w:r>
            <w:r>
              <w:br/>
              <w:t>s. 3, 4 and 7-11: 6 Aug 2020 (see s. 2(1)(c) and SL 2020/125 cl. 2(a)(i));</w:t>
            </w:r>
            <w:r>
              <w:br/>
              <w:t>s. 5 and 6: 1 Oct 2020 (see s. 2(1)(c) and SL 2020/125 cl. 2(b)(i))</w:t>
            </w:r>
          </w:p>
        </w:tc>
      </w:tr>
      <w:tr>
        <w:trPr>
          <w:cantSplit/>
          <w:trHeight w:val="473"/>
        </w:trPr>
        <w:tc>
          <w:tcPr>
            <w:tcW w:w="2268" w:type="dxa"/>
            <w:tcBorders>
              <w:top w:val="nil"/>
              <w:bottom w:val="nil"/>
              <w:right w:val="nil"/>
            </w:tcBorders>
            <w:shd w:val="clear" w:color="auto" w:fill="auto"/>
          </w:tcPr>
          <w:p>
            <w:pPr>
              <w:pStyle w:val="nTable"/>
              <w:spacing w:after="40"/>
            </w:pPr>
            <w:r>
              <w:rPr>
                <w:i/>
              </w:rPr>
              <w:t>COVID</w:t>
            </w:r>
            <w:r>
              <w:rPr>
                <w:i/>
              </w:rPr>
              <w:noBreakHyphen/>
              <w:t>19 Response Legislation Amendment (Extension of Expiring Provisions) Act 2020</w:t>
            </w:r>
            <w:r>
              <w:t xml:space="preserve"> Pt. 2</w:t>
            </w:r>
          </w:p>
        </w:tc>
        <w:tc>
          <w:tcPr>
            <w:tcW w:w="1134" w:type="dxa"/>
            <w:tcBorders>
              <w:top w:val="nil"/>
              <w:left w:val="nil"/>
              <w:bottom w:val="nil"/>
              <w:right w:val="nil"/>
            </w:tcBorders>
            <w:shd w:val="clear" w:color="auto" w:fill="auto"/>
          </w:tcPr>
          <w:p>
            <w:pPr>
              <w:pStyle w:val="nTable"/>
              <w:spacing w:after="40"/>
            </w:pPr>
            <w:r>
              <w:t>39 of 2020</w:t>
            </w:r>
          </w:p>
        </w:tc>
        <w:tc>
          <w:tcPr>
            <w:tcW w:w="1134" w:type="dxa"/>
            <w:tcBorders>
              <w:top w:val="nil"/>
              <w:left w:val="nil"/>
              <w:bottom w:val="nil"/>
              <w:right w:val="nil"/>
            </w:tcBorders>
            <w:shd w:val="clear" w:color="auto" w:fill="auto"/>
          </w:tcPr>
          <w:p>
            <w:pPr>
              <w:pStyle w:val="nTable"/>
              <w:spacing w:after="40"/>
            </w:pPr>
            <w:r>
              <w:t>19 Nov 2020</w:t>
            </w:r>
          </w:p>
        </w:tc>
        <w:tc>
          <w:tcPr>
            <w:tcW w:w="2552" w:type="dxa"/>
            <w:tcBorders>
              <w:top w:val="nil"/>
              <w:left w:val="nil"/>
              <w:bottom w:val="nil"/>
            </w:tcBorders>
            <w:shd w:val="clear" w:color="auto" w:fill="auto"/>
          </w:tcPr>
          <w:p>
            <w:pPr>
              <w:pStyle w:val="nTable"/>
              <w:spacing w:after="40"/>
            </w:pPr>
            <w:r>
              <w:t>20 Nov 2020 (see s. 2(b))</w:t>
            </w:r>
          </w:p>
        </w:tc>
      </w:tr>
      <w:tr>
        <w:tblPrEx>
          <w:tblBorders>
            <w:top w:val="none" w:sz="0" w:space="0" w:color="auto"/>
            <w:bottom w:val="none" w:sz="0" w:space="0" w:color="auto"/>
            <w:insideH w:val="none" w:sz="0" w:space="0" w:color="auto"/>
          </w:tblBorders>
        </w:tblPrEx>
        <w:trPr>
          <w:cantSplit/>
          <w:trHeight w:val="473"/>
        </w:trPr>
        <w:tc>
          <w:tcPr>
            <w:tcW w:w="2268" w:type="dxa"/>
            <w:shd w:val="clear" w:color="auto" w:fill="auto"/>
          </w:tcPr>
          <w:p>
            <w:pPr>
              <w:pStyle w:val="nTable"/>
              <w:spacing w:after="40"/>
            </w:pPr>
            <w:r>
              <w:rPr>
                <w:i/>
              </w:rPr>
              <w:t>Criminal Law Amendment (Uncertain Dates) Act 2020</w:t>
            </w:r>
            <w:r>
              <w:t xml:space="preserve"> Pt. 2</w:t>
            </w:r>
          </w:p>
        </w:tc>
        <w:tc>
          <w:tcPr>
            <w:tcW w:w="1134" w:type="dxa"/>
            <w:shd w:val="clear" w:color="auto" w:fill="auto"/>
          </w:tcPr>
          <w:p>
            <w:pPr>
              <w:pStyle w:val="nTable"/>
              <w:spacing w:after="40"/>
            </w:pPr>
            <w:r>
              <w:t>47 of 2020</w:t>
            </w:r>
          </w:p>
        </w:tc>
        <w:tc>
          <w:tcPr>
            <w:tcW w:w="1134" w:type="dxa"/>
            <w:shd w:val="clear" w:color="auto" w:fill="auto"/>
          </w:tcPr>
          <w:p>
            <w:pPr>
              <w:pStyle w:val="nTable"/>
              <w:spacing w:after="40"/>
            </w:pPr>
            <w:r>
              <w:t>9 Dec 2020</w:t>
            </w:r>
          </w:p>
        </w:tc>
        <w:tc>
          <w:tcPr>
            <w:tcW w:w="2552" w:type="dxa"/>
            <w:shd w:val="clear" w:color="auto" w:fill="auto"/>
          </w:tcPr>
          <w:p>
            <w:pPr>
              <w:pStyle w:val="nTable"/>
              <w:spacing w:after="40"/>
            </w:pPr>
            <w:r>
              <w:t>10 Dec 2020 (see s. 2(b))</w:t>
            </w:r>
          </w:p>
        </w:tc>
      </w:tr>
      <w:tr>
        <w:trPr>
          <w:cantSplit/>
          <w:trHeight w:val="473"/>
        </w:trPr>
        <w:tc>
          <w:tcPr>
            <w:tcW w:w="2268" w:type="dxa"/>
            <w:tcBorders>
              <w:top w:val="nil"/>
              <w:bottom w:val="nil"/>
            </w:tcBorders>
            <w:shd w:val="clear" w:color="auto" w:fill="auto"/>
          </w:tcPr>
          <w:p>
            <w:pPr>
              <w:pStyle w:val="nTable"/>
              <w:spacing w:after="40"/>
            </w:pPr>
            <w:r>
              <w:rPr>
                <w:i/>
              </w:rPr>
              <w:t>COVID</w:t>
            </w:r>
            <w:r>
              <w:rPr>
                <w:i/>
              </w:rPr>
              <w:noBreakHyphen/>
              <w:t>19 Response Legislation Amendment (Extension of Expiring Provisions) Act 2021</w:t>
            </w:r>
            <w:r>
              <w:t xml:space="preserve"> Pt. 2</w:t>
            </w:r>
          </w:p>
        </w:tc>
        <w:tc>
          <w:tcPr>
            <w:tcW w:w="1134" w:type="dxa"/>
            <w:tcBorders>
              <w:top w:val="nil"/>
              <w:bottom w:val="nil"/>
            </w:tcBorders>
            <w:shd w:val="clear" w:color="auto" w:fill="auto"/>
          </w:tcPr>
          <w:p>
            <w:pPr>
              <w:pStyle w:val="nTable"/>
              <w:spacing w:after="40"/>
            </w:pPr>
            <w:r>
              <w:t>1 of 2021</w:t>
            </w:r>
          </w:p>
        </w:tc>
        <w:tc>
          <w:tcPr>
            <w:tcW w:w="1134" w:type="dxa"/>
            <w:tcBorders>
              <w:top w:val="nil"/>
              <w:bottom w:val="nil"/>
            </w:tcBorders>
            <w:shd w:val="clear" w:color="auto" w:fill="auto"/>
          </w:tcPr>
          <w:p>
            <w:pPr>
              <w:pStyle w:val="nTable"/>
              <w:spacing w:after="40"/>
            </w:pPr>
            <w:r>
              <w:t>2 Jun 2021</w:t>
            </w:r>
          </w:p>
        </w:tc>
        <w:tc>
          <w:tcPr>
            <w:tcW w:w="2552" w:type="dxa"/>
            <w:tcBorders>
              <w:top w:val="nil"/>
              <w:bottom w:val="nil"/>
            </w:tcBorders>
            <w:shd w:val="clear" w:color="auto" w:fill="auto"/>
          </w:tcPr>
          <w:p>
            <w:pPr>
              <w:pStyle w:val="nTable"/>
              <w:spacing w:after="40"/>
            </w:pPr>
            <w:r>
              <w:t>3 Jun 2021 (see s. 2(b))</w:t>
            </w:r>
          </w:p>
        </w:tc>
      </w:tr>
      <w:tr>
        <w:trPr>
          <w:cantSplit/>
          <w:trHeight w:val="473"/>
        </w:trPr>
        <w:tc>
          <w:tcPr>
            <w:tcW w:w="2268" w:type="dxa"/>
            <w:tcBorders>
              <w:top w:val="nil"/>
              <w:bottom w:val="nil"/>
            </w:tcBorders>
            <w:shd w:val="clear" w:color="auto" w:fill="auto"/>
          </w:tcPr>
          <w:p>
            <w:pPr>
              <w:pStyle w:val="nTable"/>
              <w:spacing w:after="40"/>
            </w:pPr>
            <w:r>
              <w:rPr>
                <w:i/>
              </w:rPr>
              <w:t>COVID</w:t>
            </w:r>
            <w:r>
              <w:rPr>
                <w:i/>
              </w:rPr>
              <w:noBreakHyphen/>
              <w:t>19 Response Legislation Amendment (Extension of Expiring Provisions) Act (No. 2) 2021</w:t>
            </w:r>
            <w:r>
              <w:t xml:space="preserve"> Pt. 2</w:t>
            </w:r>
          </w:p>
        </w:tc>
        <w:tc>
          <w:tcPr>
            <w:tcW w:w="1134" w:type="dxa"/>
            <w:tcBorders>
              <w:top w:val="nil"/>
              <w:bottom w:val="nil"/>
            </w:tcBorders>
            <w:shd w:val="clear" w:color="auto" w:fill="auto"/>
          </w:tcPr>
          <w:p>
            <w:pPr>
              <w:pStyle w:val="nTable"/>
              <w:spacing w:after="40"/>
            </w:pPr>
            <w:r>
              <w:t>21 of 2021</w:t>
            </w:r>
          </w:p>
        </w:tc>
        <w:tc>
          <w:tcPr>
            <w:tcW w:w="1134" w:type="dxa"/>
            <w:tcBorders>
              <w:top w:val="nil"/>
              <w:bottom w:val="nil"/>
            </w:tcBorders>
            <w:shd w:val="clear" w:color="auto" w:fill="auto"/>
          </w:tcPr>
          <w:p>
            <w:pPr>
              <w:pStyle w:val="nTable"/>
              <w:spacing w:after="40"/>
            </w:pPr>
            <w:r>
              <w:t>24 Nov 2021</w:t>
            </w:r>
          </w:p>
        </w:tc>
        <w:tc>
          <w:tcPr>
            <w:tcW w:w="2552" w:type="dxa"/>
            <w:tcBorders>
              <w:top w:val="nil"/>
              <w:bottom w:val="nil"/>
            </w:tcBorders>
            <w:shd w:val="clear" w:color="auto" w:fill="auto"/>
          </w:tcPr>
          <w:p>
            <w:pPr>
              <w:pStyle w:val="nTable"/>
              <w:spacing w:after="40"/>
              <w:rPr>
                <w:highlight w:val="yellow"/>
              </w:rPr>
            </w:pPr>
            <w:r>
              <w:t>25 Nov 2021 (see s. 2(b))</w:t>
            </w:r>
          </w:p>
        </w:tc>
      </w:tr>
      <w:tr>
        <w:tblPrEx>
          <w:tblBorders>
            <w:top w:val="none" w:sz="0" w:space="0" w:color="auto"/>
            <w:bottom w:val="none" w:sz="0" w:space="0" w:color="auto"/>
            <w:insideH w:val="none" w:sz="0" w:space="0" w:color="auto"/>
          </w:tblBorders>
        </w:tblPrEx>
        <w:trPr>
          <w:cantSplit/>
          <w:trHeight w:val="473"/>
        </w:trPr>
        <w:tc>
          <w:tcPr>
            <w:tcW w:w="2268" w:type="dxa"/>
            <w:tcBorders>
              <w:bottom w:val="single" w:sz="4" w:space="0" w:color="auto"/>
            </w:tcBorders>
            <w:shd w:val="clear" w:color="auto" w:fill="auto"/>
          </w:tcPr>
          <w:p>
            <w:pPr>
              <w:pStyle w:val="nTable"/>
              <w:spacing w:after="40"/>
              <w:rPr>
                <w:i/>
              </w:rPr>
            </w:pPr>
            <w:r>
              <w:rPr>
                <w:i/>
                <w:noProof/>
              </w:rPr>
              <w:t xml:space="preserve">Criminal Law (Unlawful Consorting and Prohibited Insignia) Act 2021 </w:t>
            </w:r>
            <w:r>
              <w:rPr>
                <w:noProof/>
              </w:rPr>
              <w:t>Pt. 6 Div. 2 (other than s. 67)</w:t>
            </w:r>
          </w:p>
        </w:tc>
        <w:tc>
          <w:tcPr>
            <w:tcW w:w="1134" w:type="dxa"/>
            <w:tcBorders>
              <w:bottom w:val="single" w:sz="4" w:space="0" w:color="auto"/>
            </w:tcBorders>
            <w:shd w:val="clear" w:color="auto" w:fill="auto"/>
          </w:tcPr>
          <w:p>
            <w:pPr>
              <w:pStyle w:val="nTable"/>
              <w:spacing w:after="40"/>
            </w:pPr>
            <w:r>
              <w:t>25 of 2021</w:t>
            </w:r>
          </w:p>
        </w:tc>
        <w:tc>
          <w:tcPr>
            <w:tcW w:w="1134" w:type="dxa"/>
            <w:tcBorders>
              <w:bottom w:val="single" w:sz="4" w:space="0" w:color="auto"/>
            </w:tcBorders>
            <w:shd w:val="clear" w:color="auto" w:fill="auto"/>
          </w:tcPr>
          <w:p>
            <w:pPr>
              <w:pStyle w:val="nTable"/>
              <w:spacing w:after="40"/>
            </w:pPr>
            <w:r>
              <w:t>13 Dec 2021</w:t>
            </w:r>
          </w:p>
        </w:tc>
        <w:tc>
          <w:tcPr>
            <w:tcW w:w="2552" w:type="dxa"/>
            <w:tcBorders>
              <w:bottom w:val="single" w:sz="4" w:space="0" w:color="auto"/>
            </w:tcBorders>
            <w:shd w:val="clear" w:color="auto" w:fill="auto"/>
          </w:tcPr>
          <w:p>
            <w:pPr>
              <w:pStyle w:val="nTable"/>
              <w:spacing w:after="40"/>
            </w:pPr>
            <w:r>
              <w:t>24 Dec 2021 (see s. 2(b) and SL 2021/219 cl. 2)</w:t>
            </w:r>
          </w:p>
        </w:tc>
      </w:tr>
    </w:tbl>
    <w:p>
      <w:pPr>
        <w:rPr>
          <w:sz w:val="2"/>
          <w:szCs w:val="2"/>
        </w:rPr>
      </w:pPr>
    </w:p>
    <w:p>
      <w:pPr>
        <w:pStyle w:val="nHeading3"/>
      </w:pPr>
      <w:bookmarkStart w:id="1333" w:name="_Toc103864704"/>
      <w:bookmarkStart w:id="1334" w:name="_Toc90997003"/>
      <w:r>
        <w:t>Uncommenced provisions table</w:t>
      </w:r>
      <w:bookmarkEnd w:id="1333"/>
      <w:bookmarkEnd w:id="1334"/>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keepNext/>
              <w:spacing w:after="40"/>
              <w:rPr>
                <w:b/>
              </w:rPr>
            </w:pPr>
            <w:r>
              <w:rPr>
                <w:b/>
              </w:rPr>
              <w:t>Short title</w:t>
            </w:r>
          </w:p>
        </w:tc>
        <w:tc>
          <w:tcPr>
            <w:tcW w:w="1134" w:type="dxa"/>
          </w:tcPr>
          <w:p>
            <w:pPr>
              <w:pStyle w:val="nTable"/>
              <w:keepNext/>
              <w:spacing w:after="40"/>
              <w:rPr>
                <w:b/>
              </w:rPr>
            </w:pPr>
            <w:r>
              <w:rPr>
                <w:b/>
              </w:rPr>
              <w:t>Number and year</w:t>
            </w:r>
          </w:p>
        </w:tc>
        <w:tc>
          <w:tcPr>
            <w:tcW w:w="1134"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rPr>
          <w:cantSplit/>
        </w:trPr>
        <w:tc>
          <w:tcPr>
            <w:tcW w:w="2268" w:type="dxa"/>
            <w:tcBorders>
              <w:bottom w:val="nil"/>
            </w:tcBorders>
          </w:tcPr>
          <w:p>
            <w:pPr>
              <w:pStyle w:val="nTable"/>
              <w:keepNext/>
              <w:spacing w:after="40"/>
              <w:rPr>
                <w:i/>
                <w:snapToGrid w:val="0"/>
              </w:rPr>
            </w:pPr>
            <w:r>
              <w:rPr>
                <w:i/>
                <w:snapToGrid w:val="0"/>
              </w:rPr>
              <w:t>Prostitution Amendment Act 2008</w:t>
            </w:r>
            <w:r>
              <w:rPr>
                <w:iCs/>
                <w:snapToGrid w:val="0"/>
              </w:rPr>
              <w:t xml:space="preserve"> s. 30</w:t>
            </w:r>
          </w:p>
        </w:tc>
        <w:tc>
          <w:tcPr>
            <w:tcW w:w="1134" w:type="dxa"/>
            <w:tcBorders>
              <w:bottom w:val="nil"/>
            </w:tcBorders>
          </w:tcPr>
          <w:p>
            <w:pPr>
              <w:pStyle w:val="nTable"/>
              <w:keepNext/>
              <w:spacing w:after="40"/>
            </w:pPr>
            <w:r>
              <w:t>13 of 2008</w:t>
            </w:r>
          </w:p>
        </w:tc>
        <w:tc>
          <w:tcPr>
            <w:tcW w:w="1134" w:type="dxa"/>
            <w:tcBorders>
              <w:bottom w:val="nil"/>
            </w:tcBorders>
          </w:tcPr>
          <w:p>
            <w:pPr>
              <w:pStyle w:val="nTable"/>
              <w:keepNext/>
              <w:spacing w:after="40"/>
            </w:pPr>
            <w:r>
              <w:t>14 Apr 2008</w:t>
            </w:r>
          </w:p>
        </w:tc>
        <w:tc>
          <w:tcPr>
            <w:tcW w:w="2552" w:type="dxa"/>
            <w:tcBorders>
              <w:bottom w:val="nil"/>
            </w:tcBorders>
          </w:tcPr>
          <w:p>
            <w:pPr>
              <w:pStyle w:val="nTable"/>
              <w:keepNext/>
              <w:spacing w:after="40"/>
              <w:rPr>
                <w:snapToGrid w:val="0"/>
              </w:rPr>
            </w:pPr>
            <w:r>
              <w:rPr>
                <w:snapToGrid w:val="0"/>
              </w:rPr>
              <w:t>To be proclaimed (see s. 2(b))</w:t>
            </w:r>
          </w:p>
        </w:tc>
      </w:tr>
      <w:tr>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Criminal Code Amendment (COVID</w:t>
            </w:r>
            <w:r>
              <w:rPr>
                <w:i/>
                <w:snapToGrid w:val="0"/>
              </w:rPr>
              <w:noBreakHyphen/>
              <w:t>19 Response) Act 2020</w:t>
            </w:r>
            <w:r>
              <w:rPr>
                <w:snapToGrid w:val="0"/>
              </w:rPr>
              <w:t xml:space="preserve"> s. 4(2) and 5(3)</w:t>
            </w:r>
          </w:p>
        </w:tc>
        <w:tc>
          <w:tcPr>
            <w:tcW w:w="1134" w:type="dxa"/>
            <w:tcBorders>
              <w:top w:val="nil"/>
              <w:left w:val="nil"/>
              <w:bottom w:val="nil"/>
              <w:right w:val="nil"/>
            </w:tcBorders>
            <w:shd w:val="clear" w:color="auto" w:fill="auto"/>
          </w:tcPr>
          <w:p>
            <w:pPr>
              <w:pStyle w:val="nTable"/>
              <w:spacing w:after="40"/>
            </w:pPr>
            <w:r>
              <w:t>8 of 2020 (as amended by No. 39 of 2020 Pt. 3, No. 1 of 2021 Pt. 3 and No. 21 of 2021 Pt. 3)</w:t>
            </w:r>
          </w:p>
        </w:tc>
        <w:tc>
          <w:tcPr>
            <w:tcW w:w="1134" w:type="dxa"/>
            <w:tcBorders>
              <w:top w:val="nil"/>
              <w:left w:val="nil"/>
              <w:bottom w:val="nil"/>
              <w:right w:val="nil"/>
            </w:tcBorders>
            <w:shd w:val="clear" w:color="auto" w:fill="auto"/>
          </w:tcPr>
          <w:p>
            <w:pPr>
              <w:pStyle w:val="nTable"/>
              <w:spacing w:after="40"/>
            </w:pPr>
            <w:r>
              <w:t>3 Apr 2020</w:t>
            </w:r>
          </w:p>
        </w:tc>
        <w:tc>
          <w:tcPr>
            <w:tcW w:w="2552" w:type="dxa"/>
            <w:tcBorders>
              <w:top w:val="nil"/>
              <w:left w:val="nil"/>
              <w:bottom w:val="nil"/>
            </w:tcBorders>
            <w:shd w:val="clear" w:color="auto" w:fill="auto"/>
          </w:tcPr>
          <w:p>
            <w:pPr>
              <w:pStyle w:val="nTable"/>
              <w:spacing w:after="40"/>
              <w:rPr>
                <w:snapToGrid w:val="0"/>
              </w:rPr>
            </w:pPr>
            <w:r>
              <w:rPr>
                <w:snapToGrid w:val="0"/>
              </w:rPr>
              <w:t>4 Jul 2022 (see s. 2(b))</w:t>
            </w:r>
          </w:p>
        </w:tc>
      </w:tr>
      <w:tr>
        <w:trPr>
          <w:cantSplit/>
        </w:trPr>
        <w:tc>
          <w:tcPr>
            <w:tcW w:w="2268" w:type="dxa"/>
            <w:tcBorders>
              <w:top w:val="nil"/>
              <w:bottom w:val="nil"/>
              <w:right w:val="nil"/>
            </w:tcBorders>
            <w:shd w:val="clear" w:color="auto" w:fill="auto"/>
          </w:tcPr>
          <w:p>
            <w:pPr>
              <w:pStyle w:val="nTable"/>
              <w:spacing w:after="40"/>
              <w:rPr>
                <w:i/>
                <w:snapToGrid w:val="0"/>
              </w:rPr>
            </w:pPr>
            <w:r>
              <w:rPr>
                <w:i/>
                <w:noProof/>
              </w:rPr>
              <w:t>Criminal Law (Unlawful Consorting and Prohibited Insignia) Act 2021</w:t>
            </w:r>
            <w:r>
              <w:rPr>
                <w:noProof/>
              </w:rPr>
              <w:t xml:space="preserve"> s. 67</w:t>
            </w:r>
          </w:p>
        </w:tc>
        <w:tc>
          <w:tcPr>
            <w:tcW w:w="1134" w:type="dxa"/>
            <w:tcBorders>
              <w:top w:val="nil"/>
              <w:left w:val="nil"/>
              <w:bottom w:val="nil"/>
              <w:right w:val="nil"/>
            </w:tcBorders>
            <w:shd w:val="clear" w:color="auto" w:fill="auto"/>
          </w:tcPr>
          <w:p>
            <w:pPr>
              <w:pStyle w:val="nTable"/>
              <w:spacing w:after="40"/>
            </w:pPr>
            <w:r>
              <w:t>25 of 2021</w:t>
            </w:r>
          </w:p>
        </w:tc>
        <w:tc>
          <w:tcPr>
            <w:tcW w:w="1134" w:type="dxa"/>
            <w:tcBorders>
              <w:top w:val="nil"/>
              <w:left w:val="nil"/>
              <w:bottom w:val="nil"/>
              <w:right w:val="nil"/>
            </w:tcBorders>
            <w:shd w:val="clear" w:color="auto" w:fill="auto"/>
          </w:tcPr>
          <w:p>
            <w:pPr>
              <w:pStyle w:val="nTable"/>
              <w:spacing w:after="40"/>
            </w:pPr>
            <w:r>
              <w:t>13 Dec 2021</w:t>
            </w:r>
          </w:p>
        </w:tc>
        <w:tc>
          <w:tcPr>
            <w:tcW w:w="2552" w:type="dxa"/>
            <w:tcBorders>
              <w:top w:val="nil"/>
              <w:left w:val="nil"/>
              <w:bottom w:val="nil"/>
            </w:tcBorders>
            <w:shd w:val="clear" w:color="auto" w:fill="auto"/>
          </w:tcPr>
          <w:p>
            <w:pPr>
              <w:pStyle w:val="nTable"/>
              <w:spacing w:after="40"/>
              <w:rPr>
                <w:snapToGrid w:val="0"/>
              </w:rPr>
            </w:pPr>
            <w:r>
              <w:t>24 Dec 2024 (see s. 2(c) and SL 2021/219 cl. 2)</w:t>
            </w:r>
          </w:p>
        </w:tc>
      </w:tr>
      <w:tr>
        <w:trPr>
          <w:cantSplit/>
          <w:ins w:id="1335" w:author="Master Repository Process" w:date="2022-05-19T15:18:00Z"/>
        </w:trPr>
        <w:tc>
          <w:tcPr>
            <w:tcW w:w="2268" w:type="dxa"/>
            <w:tcBorders>
              <w:top w:val="nil"/>
              <w:bottom w:val="single" w:sz="4" w:space="0" w:color="auto"/>
              <w:right w:val="nil"/>
            </w:tcBorders>
            <w:shd w:val="clear" w:color="auto" w:fill="auto"/>
          </w:tcPr>
          <w:p>
            <w:pPr>
              <w:pStyle w:val="nTable"/>
              <w:spacing w:after="40"/>
              <w:rPr>
                <w:ins w:id="1336" w:author="Master Repository Process" w:date="2022-05-19T15:18:00Z"/>
                <w:noProof/>
              </w:rPr>
            </w:pPr>
            <w:ins w:id="1337" w:author="Master Repository Process" w:date="2022-05-19T15:18:00Z">
              <w:r>
                <w:rPr>
                  <w:i/>
                  <w:noProof/>
                </w:rPr>
                <w:t>Firearms Amendment Act 2022</w:t>
              </w:r>
              <w:r>
                <w:rPr>
                  <w:noProof/>
                </w:rPr>
                <w:t xml:space="preserve"> Pt. 3 Div. 1</w:t>
              </w:r>
            </w:ins>
          </w:p>
        </w:tc>
        <w:tc>
          <w:tcPr>
            <w:tcW w:w="1134" w:type="dxa"/>
            <w:tcBorders>
              <w:top w:val="nil"/>
              <w:left w:val="nil"/>
              <w:bottom w:val="single" w:sz="4" w:space="0" w:color="auto"/>
              <w:right w:val="nil"/>
            </w:tcBorders>
            <w:shd w:val="clear" w:color="auto" w:fill="auto"/>
          </w:tcPr>
          <w:p>
            <w:pPr>
              <w:pStyle w:val="nTable"/>
              <w:spacing w:after="40"/>
              <w:rPr>
                <w:ins w:id="1338" w:author="Master Repository Process" w:date="2022-05-19T15:18:00Z"/>
              </w:rPr>
            </w:pPr>
            <w:ins w:id="1339" w:author="Master Repository Process" w:date="2022-05-19T15:18:00Z">
              <w:r>
                <w:t>13 of 2022</w:t>
              </w:r>
            </w:ins>
          </w:p>
        </w:tc>
        <w:tc>
          <w:tcPr>
            <w:tcW w:w="1134" w:type="dxa"/>
            <w:tcBorders>
              <w:top w:val="nil"/>
              <w:left w:val="nil"/>
              <w:bottom w:val="single" w:sz="4" w:space="0" w:color="auto"/>
              <w:right w:val="nil"/>
            </w:tcBorders>
            <w:shd w:val="clear" w:color="auto" w:fill="auto"/>
          </w:tcPr>
          <w:p>
            <w:pPr>
              <w:pStyle w:val="nTable"/>
              <w:spacing w:after="40"/>
              <w:rPr>
                <w:ins w:id="1340" w:author="Master Repository Process" w:date="2022-05-19T15:18:00Z"/>
              </w:rPr>
            </w:pPr>
            <w:ins w:id="1341" w:author="Master Repository Process" w:date="2022-05-19T15:18:00Z">
              <w:r>
                <w:t>18 May 2022</w:t>
              </w:r>
            </w:ins>
          </w:p>
        </w:tc>
        <w:tc>
          <w:tcPr>
            <w:tcW w:w="2552" w:type="dxa"/>
            <w:tcBorders>
              <w:top w:val="nil"/>
              <w:left w:val="nil"/>
              <w:bottom w:val="single" w:sz="4" w:space="0" w:color="auto"/>
            </w:tcBorders>
            <w:shd w:val="clear" w:color="auto" w:fill="auto"/>
          </w:tcPr>
          <w:p>
            <w:pPr>
              <w:pStyle w:val="nTable"/>
              <w:spacing w:after="40"/>
              <w:rPr>
                <w:ins w:id="1342" w:author="Master Repository Process" w:date="2022-05-19T15:18:00Z"/>
              </w:rPr>
            </w:pPr>
            <w:ins w:id="1343" w:author="Master Repository Process" w:date="2022-05-19T15:18:00Z">
              <w:r>
                <w:t>15 Jun 2022 (see s. 2(b))</w:t>
              </w:r>
            </w:ins>
          </w:p>
        </w:tc>
      </w:tr>
    </w:tbl>
    <w:p>
      <w:pPr>
        <w:pStyle w:val="nHeading3"/>
      </w:pPr>
      <w:bookmarkStart w:id="1344" w:name="_Toc103864705"/>
      <w:bookmarkStart w:id="1345" w:name="_Toc90997004"/>
      <w:r>
        <w:t>Other notes</w:t>
      </w:r>
      <w:bookmarkEnd w:id="1344"/>
      <w:bookmarkEnd w:id="1345"/>
    </w:p>
    <w:p>
      <w:pPr>
        <w:pStyle w:val="nNote"/>
        <w:keepNext/>
        <w:spacing w:before="160"/>
        <w:ind w:left="482" w:hanging="482"/>
      </w:pPr>
      <w:r>
        <w:rPr>
          <w:vertAlign w:val="superscript"/>
        </w:rPr>
        <w:t>1</w:t>
      </w:r>
      <w:r>
        <w:tab/>
        <w:t>Footnote no longer applicable.</w:t>
      </w:r>
    </w:p>
    <w:p>
      <w:pPr>
        <w:pStyle w:val="nNote"/>
        <w:spacing w:before="160"/>
        <w:ind w:left="482" w:hanging="482"/>
      </w:pPr>
      <w:r>
        <w:rPr>
          <w:vertAlign w:val="superscript"/>
        </w:rPr>
        <w:t>2</w:t>
      </w:r>
      <w:r>
        <w:tab/>
        <w:t xml:space="preserve">The </w:t>
      </w:r>
      <w:r>
        <w:rPr>
          <w:i/>
        </w:rPr>
        <w:t>Criminal Law Amendment Act 1996</w:t>
      </w:r>
      <w:r>
        <w:t xml:space="preserve"> s. 5(2) is a transitional provision.</w:t>
      </w:r>
    </w:p>
    <w:p>
      <w:pPr>
        <w:pStyle w:val="nNote"/>
        <w:ind w:left="459" w:hanging="459"/>
      </w:pPr>
      <w:r>
        <w:rPr>
          <w:vertAlign w:val="superscript"/>
        </w:rPr>
        <w:t>3</w:t>
      </w:r>
      <w:r>
        <w:tab/>
        <w:t xml:space="preserve">The </w:t>
      </w:r>
      <w:r>
        <w:rPr>
          <w:i/>
        </w:rPr>
        <w:t>Criminal Law Amendment Act 1996</w:t>
      </w:r>
      <w:r>
        <w:t xml:space="preserve"> s. 6(2) is a transitional provision.</w:t>
      </w:r>
    </w:p>
    <w:p>
      <w:pPr>
        <w:pStyle w:val="nNote"/>
        <w:ind w:left="459" w:hanging="459"/>
      </w:pPr>
      <w:r>
        <w:rPr>
          <w:vertAlign w:val="superscript"/>
        </w:rPr>
        <w:t>4</w:t>
      </w:r>
      <w:r>
        <w:rPr>
          <w:vertAlign w:val="superscript"/>
        </w:rPr>
        <w:tab/>
      </w:r>
      <w:r>
        <w:t xml:space="preserve">See </w:t>
      </w:r>
      <w:r>
        <w:rPr>
          <w:i/>
          <w:iCs/>
        </w:rPr>
        <w:t xml:space="preserve">Firearms Regulations 1974 </w:t>
      </w:r>
      <w:r>
        <w:t>r. 2B.</w:t>
      </w:r>
    </w:p>
    <w:p>
      <w:pPr>
        <w:pStyle w:val="nNote"/>
        <w:ind w:left="459" w:hanging="459"/>
      </w:pPr>
      <w:r>
        <w:rPr>
          <w:spacing w:val="-2"/>
          <w:vertAlign w:val="superscript"/>
        </w:rPr>
        <w:t>5</w:t>
      </w:r>
      <w:r>
        <w:rPr>
          <w:spacing w:val="-2"/>
        </w:rPr>
        <w:tab/>
      </w:r>
      <w:r>
        <w:t xml:space="preserve">Renumbered under the </w:t>
      </w:r>
      <w:r>
        <w:rPr>
          <w:i/>
          <w:iCs/>
        </w:rPr>
        <w:t>Reprints Act 1984</w:t>
      </w:r>
      <w:r>
        <w:t xml:space="preserve"> s. 7(5)(c)(ii).</w:t>
      </w:r>
    </w:p>
    <w:p>
      <w:pPr>
        <w:pStyle w:val="nNote"/>
        <w:ind w:left="459" w:hanging="459"/>
      </w:pPr>
      <w:r>
        <w:rPr>
          <w:spacing w:val="-2"/>
          <w:vertAlign w:val="superscript"/>
        </w:rPr>
        <w:t>6</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Note"/>
        <w:ind w:left="459" w:hanging="459"/>
      </w:pPr>
      <w:r>
        <w:rPr>
          <w:spacing w:val="-2"/>
          <w:vertAlign w:val="superscript"/>
        </w:rPr>
        <w:t>7</w:t>
      </w:r>
      <w:r>
        <w:rPr>
          <w:spacing w:val="-2"/>
        </w:rPr>
        <w:tab/>
      </w:r>
      <w:r>
        <w:t>T</w:t>
      </w:r>
      <w:r>
        <w:rPr>
          <w:spacing w:val="-2"/>
        </w:rPr>
        <w:t xml:space="preserve">he </w:t>
      </w:r>
      <w:r>
        <w:rPr>
          <w:i/>
          <w:spacing w:val="-2"/>
        </w:rPr>
        <w:t>Acts Amendment (Mental Health) Act 1981</w:t>
      </w:r>
      <w:r>
        <w:rPr>
          <w:spacing w:val="-2"/>
        </w:rPr>
        <w:t xml:space="preserve"> was repealed by the </w:t>
      </w:r>
      <w:r>
        <w:rPr>
          <w:i/>
          <w:spacing w:val="-2"/>
        </w:rPr>
        <w:t>Statute Law Revision Act 2006</w:t>
      </w:r>
      <w:r>
        <w:rPr>
          <w:spacing w:val="-2"/>
        </w:rPr>
        <w:t xml:space="preserve"> s. 3(1) before it came into operation</w:t>
      </w:r>
      <w:r>
        <w:t>.</w:t>
      </w:r>
    </w:p>
    <w:p>
      <w:pPr>
        <w:pStyle w:val="nNote"/>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Note"/>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pPr>
        <w:pStyle w:val="nNote"/>
        <w:ind w:left="459" w:hanging="459"/>
      </w:pPr>
      <w:r>
        <w:rPr>
          <w:vertAlign w:val="superscript"/>
        </w:rPr>
        <w:t>10</w:t>
      </w:r>
      <w:r>
        <w:tab/>
      </w:r>
      <w:r>
        <w:rPr>
          <w:iCs/>
        </w:rPr>
        <w:t>The</w:t>
      </w:r>
      <w:r>
        <w:rPr>
          <w:i/>
        </w:rPr>
        <w:t xml:space="preserve"> Criminal Code Amendment Act 1962</w:t>
      </w:r>
      <w:r>
        <w:t xml:space="preserve"> s. 8 was repealed by No. 63 of 1963 s. 17.</w:t>
      </w:r>
    </w:p>
    <w:p>
      <w:pPr>
        <w:pStyle w:val="nNote"/>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pPr>
        <w:pStyle w:val="nNote"/>
        <w:ind w:left="459" w:hanging="459"/>
      </w:pPr>
      <w:r>
        <w:rPr>
          <w:vertAlign w:val="superscript"/>
        </w:rPr>
        <w:t>12</w:t>
      </w:r>
      <w:r>
        <w:tab/>
      </w:r>
      <w:r>
        <w:rPr>
          <w:iCs/>
        </w:rPr>
        <w:t>The</w:t>
      </w:r>
      <w:r>
        <w:rPr>
          <w:i/>
        </w:rPr>
        <w:t xml:space="preserve"> Criminal Code Amendment Act (No. 2) 1976 </w:t>
      </w:r>
      <w:r>
        <w:t>s. 3 is a validation provision.</w:t>
      </w:r>
    </w:p>
    <w:p>
      <w:pPr>
        <w:pStyle w:val="nNote"/>
        <w:ind w:left="459" w:hanging="459"/>
      </w:pPr>
      <w:r>
        <w:rPr>
          <w:vertAlign w:val="superscript"/>
        </w:rPr>
        <w:t>13</w:t>
      </w:r>
      <w:r>
        <w:tab/>
      </w:r>
      <w:r>
        <w:rPr>
          <w:iCs/>
        </w:rPr>
        <w:t>The</w:t>
      </w:r>
      <w:r>
        <w:rPr>
          <w:i/>
        </w:rPr>
        <w:t xml:space="preserve"> Criminal Law Amendment Act 1986</w:t>
      </w:r>
      <w:r>
        <w:t xml:space="preserve"> s. 10 was repealed by No. 106 of 1987 s. 14(7).</w:t>
      </w:r>
    </w:p>
    <w:p>
      <w:pPr>
        <w:pStyle w:val="nNote"/>
        <w:ind w:left="459" w:hanging="459"/>
      </w:pPr>
      <w:r>
        <w:rPr>
          <w:vertAlign w:val="superscript"/>
        </w:rPr>
        <w:t>14</w:t>
      </w:r>
      <w:r>
        <w:tab/>
      </w:r>
      <w:r>
        <w:rPr>
          <w:iCs/>
        </w:rPr>
        <w:t>The</w:t>
      </w:r>
      <w:r>
        <w:rPr>
          <w:i/>
        </w:rPr>
        <w:t xml:space="preserve"> Criminal Code Amendment Act (No. 2) 1987</w:t>
      </w:r>
      <w:r>
        <w:t xml:space="preserve"> s. 25 is a savings provision.</w:t>
      </w:r>
    </w:p>
    <w:p>
      <w:pPr>
        <w:pStyle w:val="nNote"/>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Note"/>
        <w:ind w:left="459" w:hanging="459"/>
      </w:pPr>
      <w:r>
        <w:rPr>
          <w:vertAlign w:val="superscript"/>
        </w:rPr>
        <w:t>16</w:t>
      </w:r>
      <w:r>
        <w:tab/>
      </w:r>
      <w:r>
        <w:rPr>
          <w:iCs/>
        </w:rPr>
        <w:t>The</w:t>
      </w:r>
      <w:r>
        <w:rPr>
          <w:i/>
        </w:rPr>
        <w:t xml:space="preserve"> Criminal Law Amendment Act 1991</w:t>
      </w:r>
      <w:r>
        <w:t xml:space="preserve"> s. 6(3) and (4) are savings provisions.</w:t>
      </w:r>
    </w:p>
    <w:p>
      <w:pPr>
        <w:pStyle w:val="nNote"/>
        <w:ind w:left="459" w:hanging="459"/>
      </w:pPr>
      <w:r>
        <w:rPr>
          <w:vertAlign w:val="superscript"/>
        </w:rPr>
        <w:t>17</w:t>
      </w:r>
      <w:r>
        <w:tab/>
      </w:r>
      <w:r>
        <w:rPr>
          <w:iCs/>
        </w:rPr>
        <w:t>The</w:t>
      </w:r>
      <w:r>
        <w:rPr>
          <w:i/>
        </w:rPr>
        <w:t xml:space="preserve"> Acts Amendment (Evidence) Act 1991</w:t>
      </w:r>
      <w:r>
        <w:t xml:space="preserve"> s. 3 is a transitional provision.</w:t>
      </w:r>
    </w:p>
    <w:p>
      <w:pPr>
        <w:pStyle w:val="nNote"/>
      </w:pPr>
      <w:r>
        <w:rPr>
          <w:vertAlign w:val="superscript"/>
        </w:rPr>
        <w:t>18</w:t>
      </w:r>
      <w:r>
        <w:tab/>
      </w:r>
      <w:r>
        <w:rPr>
          <w:iCs/>
        </w:rPr>
        <w:t>The</w:t>
      </w:r>
      <w:r>
        <w:rPr>
          <w:i/>
        </w:rPr>
        <w:t xml:space="preserve"> Acts Amendment (Sexual Offences) Act 1992</w:t>
      </w:r>
      <w:r>
        <w:t xml:space="preserve"> s. 6(7) and Sch. 1 are transitional and savings provisions.</w:t>
      </w:r>
    </w:p>
    <w:p>
      <w:pPr>
        <w:pStyle w:val="nNote"/>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pPr>
        <w:pStyle w:val="nNote"/>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pPr>
        <w:pStyle w:val="nNote"/>
        <w:ind w:left="459" w:hanging="459"/>
      </w:pPr>
      <w:r>
        <w:rPr>
          <w:vertAlign w:val="superscript"/>
        </w:rPr>
        <w:t>21</w:t>
      </w:r>
      <w:r>
        <w:tab/>
        <w:t xml:space="preserve">The </w:t>
      </w:r>
      <w:r>
        <w:rPr>
          <w:i/>
        </w:rPr>
        <w:t>Mental Health (Consequential Provisions) Act 1996</w:t>
      </w:r>
      <w:r>
        <w:t xml:space="preserve"> s. 20 is a transitional provision.</w:t>
      </w:r>
    </w:p>
    <w:p>
      <w:pPr>
        <w:pStyle w:val="nNote"/>
        <w:keepLines/>
        <w:rPr>
          <w:snapToGrid w:val="0"/>
        </w:rPr>
      </w:pPr>
      <w:r>
        <w:rPr>
          <w:snapToGrid w:val="0"/>
          <w:vertAlign w:val="superscript"/>
        </w:rPr>
        <w:t>22</w:t>
      </w:r>
      <w:r>
        <w:rPr>
          <w:snapToGrid w:val="0"/>
          <w:vertAlign w:val="superscript"/>
        </w:rPr>
        <w:tab/>
      </w:r>
      <w:r>
        <w:rPr>
          <w:snapToGrid w:val="0"/>
        </w:rPr>
        <w:t>Reprints before Reprint 10 are not numbered.  Reprint 10 and subsequent reprints are numbered consecutively but are out by one number.</w:t>
      </w:r>
    </w:p>
    <w:p>
      <w:pPr>
        <w:pStyle w:val="nNote"/>
        <w:ind w:left="459" w:hanging="459"/>
      </w:pPr>
      <w:r>
        <w:rPr>
          <w:vertAlign w:val="superscript"/>
        </w:rPr>
        <w:t>23</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w:t>
      </w:r>
    </w:p>
    <w:p>
      <w:pPr>
        <w:pStyle w:val="nNote"/>
        <w:rPr>
          <w:snapToGrid w:val="0"/>
        </w:rPr>
      </w:pPr>
      <w:r>
        <w:rPr>
          <w:vertAlign w:val="superscript"/>
        </w:rPr>
        <w:t>24</w:t>
      </w:r>
      <w:r>
        <w:tab/>
      </w:r>
      <w:r>
        <w:rPr>
          <w:snapToGrid w:val="0"/>
        </w:rPr>
        <w:t xml:space="preserve">The </w:t>
      </w:r>
      <w:r>
        <w:rPr>
          <w:i/>
          <w:snapToGrid w:val="0"/>
        </w:rPr>
        <w:t>Criminal Law Amendment (Simple Offences) Act 2004</w:t>
      </w:r>
      <w:r>
        <w:rPr>
          <w:iCs/>
          <w:snapToGrid w:val="0"/>
        </w:rPr>
        <w:t xml:space="preserve"> </w:t>
      </w:r>
      <w:r>
        <w:rPr>
          <w:snapToGrid w:val="0"/>
        </w:rPr>
        <w:t xml:space="preserve">s. 37 did not come into operation and was repealed by the </w:t>
      </w:r>
      <w:r>
        <w:rPr>
          <w:i/>
          <w:iCs/>
          <w:snapToGrid w:val="0"/>
        </w:rPr>
        <w:t>Criminal Law and Evidence Amendment Act </w:t>
      </w:r>
      <w:r>
        <w:rPr>
          <w:snapToGrid w:val="0"/>
        </w:rPr>
        <w:t>2008 s. 76(2).</w:t>
      </w:r>
    </w:p>
    <w:p>
      <w:pPr>
        <w:pStyle w:val="nNote"/>
        <w:rPr>
          <w:snapToGrid w:val="0"/>
        </w:rPr>
      </w:pPr>
      <w:r>
        <w:rPr>
          <w:snapToGrid w:val="0"/>
          <w:vertAlign w:val="superscript"/>
        </w:rPr>
        <w:t>25</w:t>
      </w:r>
      <w:r>
        <w:rPr>
          <w:snapToGrid w:val="0"/>
        </w:rPr>
        <w:tab/>
      </w:r>
      <w:r>
        <w:rPr>
          <w:iCs/>
          <w:snapToGrid w:val="0"/>
        </w:rPr>
        <w:t xml:space="preserve">The amendment in the </w:t>
      </w:r>
      <w:r>
        <w:rPr>
          <w:i/>
          <w:snapToGrid w:val="0"/>
        </w:rPr>
        <w:t>Criminal Law Amendment (Simple Offences) Act 2004</w:t>
      </w:r>
      <w:r>
        <w:rPr>
          <w:iCs/>
          <w:snapToGrid w:val="0"/>
        </w:rPr>
        <w:t xml:space="preserve"> </w:t>
      </w:r>
      <w:r>
        <w:rPr>
          <w:snapToGrid w:val="0"/>
        </w:rPr>
        <w:t xml:space="preserve">s. 35(4) to </w:t>
      </w:r>
      <w:r>
        <w:rPr>
          <w:i/>
          <w:iCs/>
          <w:snapToGrid w:val="0"/>
        </w:rPr>
        <w:t>The Criminal Code</w:t>
      </w:r>
      <w:r>
        <w:rPr>
          <w:snapToGrid w:val="0"/>
        </w:rPr>
        <w:t xml:space="preserve"> s. 635A(5) is not included because s. 635A was deleted by the </w:t>
      </w:r>
      <w:r>
        <w:rPr>
          <w:i/>
          <w:iCs/>
          <w:snapToGrid w:val="0"/>
        </w:rPr>
        <w:t xml:space="preserve">Criminal Procedure and Appeals (Consequential and Other Provisions) Act 2004 </w:t>
      </w:r>
      <w:r>
        <w:rPr>
          <w:snapToGrid w:val="0"/>
        </w:rPr>
        <w:t>s. 24 before s. 35(4) commenced.</w:t>
      </w:r>
    </w:p>
    <w:p>
      <w:pPr>
        <w:pStyle w:val="nNote"/>
        <w:rPr>
          <w:snapToGrid w:val="0"/>
        </w:rPr>
      </w:pPr>
      <w:r>
        <w:rPr>
          <w:snapToGrid w:val="0"/>
          <w:vertAlign w:val="superscript"/>
        </w:rPr>
        <w:t>26</w:t>
      </w:r>
      <w:r>
        <w:rPr>
          <w:snapToGrid w:val="0"/>
          <w:vertAlign w:val="superscript"/>
        </w:rPr>
        <w:tab/>
      </w:r>
      <w:r>
        <w:rPr>
          <w:snapToGrid w:val="0"/>
        </w:rPr>
        <w:t xml:space="preserve">The </w:t>
      </w:r>
      <w:r>
        <w:rPr>
          <w:i/>
          <w:iCs/>
          <w:snapToGrid w:val="0"/>
        </w:rPr>
        <w:t xml:space="preserve">Criminal Law Amendment (Simple Offences) Act 2004 </w:t>
      </w:r>
      <w:r>
        <w:rPr>
          <w:snapToGrid w:val="0"/>
        </w:rPr>
        <w:t xml:space="preserve">s. 39 did not come into operation and was repealed by the </w:t>
      </w:r>
      <w:r>
        <w:rPr>
          <w:i/>
          <w:iCs/>
          <w:snapToGrid w:val="0"/>
        </w:rPr>
        <w:t xml:space="preserve">Oaths, Affidavits and Statutory Declarations (Consequential Provisions) Act 2005 </w:t>
      </w:r>
      <w:r>
        <w:rPr>
          <w:snapToGrid w:val="0"/>
        </w:rPr>
        <w:t>Sch. 1 item 7.</w:t>
      </w:r>
    </w:p>
    <w:p>
      <w:pPr>
        <w:pStyle w:val="nNote"/>
      </w:pPr>
      <w:r>
        <w:rPr>
          <w:vertAlign w:val="superscript"/>
        </w:rPr>
        <w:t>27</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rPr>
        <w:t xml:space="preserve">were repealed by the </w:t>
      </w:r>
      <w:r>
        <w:rPr>
          <w:i/>
          <w:iCs/>
          <w:snapToGrid w:val="0"/>
        </w:rPr>
        <w:t>Criminal Law and Evidence Amendment Act </w:t>
      </w:r>
      <w:r>
        <w:rPr>
          <w:snapToGrid w:val="0"/>
        </w:rPr>
        <w:t>2008 s. 6(2), 7(2) and 8(2)</w:t>
      </w:r>
      <w:r>
        <w:rPr>
          <w:iCs/>
        </w:rPr>
        <w:t>.</w:t>
      </w:r>
    </w:p>
    <w:p>
      <w:pPr>
        <w:pStyle w:val="nNote"/>
        <w:rPr>
          <w:snapToGrid w:val="0"/>
        </w:rPr>
      </w:pPr>
      <w:r>
        <w:rPr>
          <w:iCs/>
          <w:snapToGrid w:val="0"/>
          <w:vertAlign w:val="superscript"/>
        </w:rPr>
        <w:t>28</w:t>
      </w:r>
      <w:r>
        <w:rPr>
          <w:iCs/>
          <w:snapToGrid w:val="0"/>
        </w:rPr>
        <w:tab/>
        <w:t xml:space="preserve">The amendment in the </w:t>
      </w:r>
      <w:r>
        <w:rPr>
          <w:i/>
          <w:iCs/>
          <w:snapToGrid w:val="0"/>
        </w:rPr>
        <w:t>Criminal Procedure and Appeals (Consequential and Other Provisions) Act 2004</w:t>
      </w:r>
      <w:r>
        <w:rPr>
          <w:snapToGrid w:val="0"/>
        </w:rPr>
        <w:t xml:space="preserve"> s. 82 to </w:t>
      </w:r>
      <w:r>
        <w:rPr>
          <w:i/>
          <w:iCs/>
          <w:snapToGrid w:val="0"/>
        </w:rPr>
        <w:t>The Criminal Code</w:t>
      </w:r>
      <w:r>
        <w:rPr>
          <w:snapToGrid w:val="0"/>
        </w:rPr>
        <w:t xml:space="preserve"> s. 5(11) is not included because s. 5(11) was amended by the </w:t>
      </w:r>
      <w:r>
        <w:rPr>
          <w:i/>
          <w:iCs/>
          <w:snapToGrid w:val="0"/>
        </w:rPr>
        <w:t>Courts Legislation Amendment and Repeal Act 2004</w:t>
      </w:r>
      <w:r>
        <w:rPr>
          <w:snapToGrid w:val="0"/>
        </w:rPr>
        <w:t xml:space="preserve"> s. 80 before s. 82 commenced.</w:t>
      </w:r>
    </w:p>
    <w:p>
      <w:pPr>
        <w:pStyle w:val="nNote"/>
        <w:rPr>
          <w:snapToGrid w:val="0"/>
        </w:rPr>
      </w:pPr>
      <w:r>
        <w:rPr>
          <w:iCs/>
          <w:snapToGrid w:val="0"/>
          <w:vertAlign w:val="superscript"/>
        </w:rPr>
        <w:t>29</w:t>
      </w:r>
      <w:r>
        <w:rPr>
          <w:iCs/>
          <w:snapToGrid w:val="0"/>
        </w:rPr>
        <w:tab/>
        <w:t>The</w:t>
      </w:r>
      <w:r>
        <w:rPr>
          <w:snapToGrid w:val="0"/>
        </w:rPr>
        <w:t xml:space="preserve"> amendment in the</w:t>
      </w:r>
      <w:r>
        <w:rPr>
          <w:iCs/>
          <w:snapToGrid w:val="0"/>
        </w:rPr>
        <w:t xml:space="preserve"> </w:t>
      </w:r>
      <w:r>
        <w:rPr>
          <w:i/>
          <w:iCs/>
          <w:snapToGrid w:val="0"/>
        </w:rPr>
        <w:t>Criminal Procedure and Appeals (Consequential and Other Provisions) Act 2004</w:t>
      </w:r>
      <w:r>
        <w:rPr>
          <w:snapToGrid w:val="0"/>
        </w:rPr>
        <w:t xml:space="preserve"> Sch. 2 cl. 36 to </w:t>
      </w:r>
      <w:r>
        <w:rPr>
          <w:i/>
          <w:snapToGrid w:val="0"/>
        </w:rPr>
        <w:t>The Criminal Code</w:t>
      </w:r>
      <w:r>
        <w:rPr>
          <w:snapToGrid w:val="0"/>
        </w:rPr>
        <w:t xml:space="preserve"> s. 133A was deleted by the </w:t>
      </w:r>
      <w:r>
        <w:rPr>
          <w:i/>
          <w:iCs/>
          <w:snapToGrid w:val="0"/>
        </w:rPr>
        <w:t>Criminal Law and Evidence Amendment Act </w:t>
      </w:r>
      <w:r>
        <w:rPr>
          <w:snapToGrid w:val="0"/>
        </w:rPr>
        <w:t>2008 s. 78(7) before it came into operation.</w:t>
      </w:r>
    </w:p>
    <w:p>
      <w:pPr>
        <w:pStyle w:val="nNote"/>
        <w:keepNext/>
        <w:keepLines/>
        <w:rPr>
          <w:iCs/>
          <w:snapToGrid w:val="0"/>
        </w:rPr>
      </w:pPr>
      <w:r>
        <w:rPr>
          <w:snapToGrid w:val="0"/>
          <w:vertAlign w:val="superscript"/>
        </w:rPr>
        <w:t>30</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came into operation.</w:t>
      </w:r>
    </w:p>
    <w:p>
      <w:pPr>
        <w:pStyle w:val="nNote"/>
        <w:rPr>
          <w:snapToGrid w:val="0"/>
        </w:rPr>
      </w:pPr>
      <w:r>
        <w:rPr>
          <w:snapToGrid w:val="0"/>
          <w:vertAlign w:val="superscript"/>
        </w:rPr>
        <w:t>31</w:t>
      </w:r>
      <w:r>
        <w:rPr>
          <w:snapToGrid w:val="0"/>
        </w:rPr>
        <w:tab/>
        <w:t xml:space="preserve">The </w:t>
      </w:r>
      <w:r>
        <w:rPr>
          <w:i/>
          <w:snapToGrid w:val="0"/>
        </w:rPr>
        <w:t>Criminal Investigation (Consequential Provisions) Act 2006</w:t>
      </w:r>
      <w:r>
        <w:rPr>
          <w:iCs/>
          <w:snapToGrid w:val="0"/>
        </w:rPr>
        <w:t xml:space="preserve"> s. 29 is a transitional provision about search warrants.</w:t>
      </w:r>
    </w:p>
    <w:p/>
    <w:p>
      <w:pPr>
        <w:sectPr>
          <w:headerReference w:type="even" r:id="rId36"/>
          <w:headerReference w:type="default" r:id="rId37"/>
          <w:pgSz w:w="11907" w:h="16840" w:code="9"/>
          <w:pgMar w:top="2376" w:right="2405" w:bottom="3542" w:left="2405" w:header="706" w:footer="3380" w:gutter="0"/>
          <w:cols w:space="720"/>
          <w:noEndnote/>
          <w:docGrid w:linePitch="326"/>
        </w:sectPr>
      </w:pPr>
    </w:p>
    <w:p>
      <w:pPr>
        <w:rPr>
          <w:snapToGrid w:val="0"/>
        </w:rPr>
      </w:pPr>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19-s0-00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19-s0-00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19-s0-00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Page 1)&quot; \* MERGEFORMAT ">
              <w:r>
                <w:rPr>
                  <w:bCs/>
                  <w:noProof/>
                  <w:lang w:val="en-US"/>
                </w:rPr>
                <w:t>Criminal Code Act</w:t>
              </w:r>
              <w:r>
                <w:rPr>
                  <w:noProof/>
                </w:rPr>
                <w:t xml:space="preserve"> Compilation Act 1913</w:t>
              </w:r>
            </w:fldSimple>
          </w:p>
        </w:tc>
      </w:tr>
      <w:tr>
        <w:tc>
          <w:tcPr>
            <w:tcW w:w="1548" w:type="dxa"/>
          </w:tcPr>
          <w:p/>
        </w:tc>
        <w:tc>
          <w:tcPr>
            <w:tcW w:w="5715" w:type="dxa"/>
          </w:tcPr>
          <w:p/>
        </w:tc>
      </w:tr>
      <w:tr>
        <w:tc>
          <w:tcPr>
            <w:tcW w:w="1548" w:type="dxa"/>
          </w:tcPr>
          <w:p/>
        </w:tc>
        <w:tc>
          <w:tcPr>
            <w:tcW w:w="5715" w:type="dxa"/>
          </w:tcPr>
          <w:p/>
        </w:tc>
      </w:tr>
      <w:tr>
        <w:trPr>
          <w:cantSplit/>
        </w:trPr>
        <w:tc>
          <w:tcPr>
            <w:tcW w:w="7258" w:type="dxa"/>
            <w:gridSpan w:val="2"/>
          </w:tcPr>
          <w:p>
            <w:pPr>
              <w:ind w:right="17"/>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Page 1)&quot; \* MERGEFORMAT ">
              <w:r>
                <w:rPr>
                  <w:bCs/>
                  <w:noProof/>
                  <w:lang w:val="en-US"/>
                </w:rPr>
                <w:t>Criminal Code Act</w:t>
              </w:r>
              <w:r>
                <w:rPr>
                  <w:noProof/>
                </w:rPr>
                <w:t xml:space="preserve"> Compilation Act 1913</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p>
      <w:pPr>
        <w:pStyle w:val="Footer"/>
        <w:tabs>
          <w:tab w:val="right" w:pos="7088"/>
        </w:tabs>
      </w:pPr>
    </w:p>
    <w:p>
      <w:pPr>
        <w:tabs>
          <w:tab w:val="right" w:pos="7088"/>
        </w:tabs>
      </w:pPr>
      <w:r>
        <w:t xml:space="preserve">page </w:t>
      </w:r>
      <w:r>
        <w:fldChar w:fldCharType="begin"/>
      </w:r>
      <w:r>
        <w:instrText xml:space="preserve"> PAGE </w:instrText>
      </w:r>
      <w:r>
        <w:fldChar w:fldCharType="separate"/>
      </w:r>
      <w:r>
        <w:rPr>
          <w:noProof/>
        </w:rPr>
        <w:t>366</w:t>
      </w:r>
      <w:r>
        <w:fldChar w:fldCharType="end"/>
      </w:r>
      <w:r>
        <w:tab/>
        <w:t xml:space="preserve">Reprint </w:t>
      </w:r>
      <w:fldSimple w:instr=" DOCPROPERTY &quot;ReprintNo&quot; ">
        <w:r>
          <w:t>19</w:t>
        </w:r>
      </w:fldSimple>
    </w:p>
    <w:p>
      <w:pPr>
        <w:tabs>
          <w:tab w:val="right" w:pos="7088"/>
        </w:tabs>
        <w:rPr>
          <w:sz w:val="16"/>
        </w:rPr>
      </w:pPr>
    </w:p>
    <w:p>
      <w:pPr>
        <w:pStyle w:val="Footer"/>
      </w:pPr>
    </w:p>
    <w:p/>
    <w:p>
      <w:pPr>
        <w:pStyle w:val="Footer"/>
        <w:tabs>
          <w:tab w:val="right" w:pos="7088"/>
        </w:tabs>
      </w:pPr>
    </w:p>
    <w:p>
      <w:pPr>
        <w:pStyle w:val="Footer"/>
        <w:pBdr>
          <w:top w:val="single" w:sz="4" w:space="1" w:color="auto"/>
        </w:pBdr>
        <w:tabs>
          <w:tab w:val="right" w:pos="7088"/>
        </w:tabs>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19</w:t>
      </w:r>
      <w:r>
        <w:rPr>
          <w:sz w:val="20"/>
        </w:rPr>
        <w:fldChar w:fldCharType="end"/>
      </w:r>
      <w:r>
        <w:rPr>
          <w:sz w:val="20"/>
        </w:rPr>
        <w:tab/>
        <w:t xml:space="preserve">page </w:t>
      </w:r>
      <w:r>
        <w:fldChar w:fldCharType="begin"/>
      </w:r>
      <w:r>
        <w:instrText xml:space="preserve"> PAGE </w:instrText>
      </w:r>
      <w:r>
        <w:fldChar w:fldCharType="separate"/>
      </w:r>
      <w:r>
        <w:t>367</w:t>
      </w:r>
      <w:r>
        <w:fldChar w:fldCharType="end"/>
      </w:r>
    </w:p>
    <w:p>
      <w:pPr>
        <w:pStyle w:val="Footer"/>
        <w:pBdr>
          <w:top w:val="single" w:sz="4" w:space="1" w:color="auto"/>
        </w:pBdr>
        <w:tabs>
          <w:tab w:val="right" w:pos="7088"/>
        </w:tabs>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Criminal Code Act Compilation Act 1913</w:t>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B</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Appendix B</w:t>
          </w:r>
          <w:r>
            <w:rPr>
              <w:b/>
            </w:rPr>
            <w:fldChar w:fldCharType="end"/>
          </w:r>
        </w:p>
      </w:tc>
    </w:tr>
    <w:tr>
      <w:trPr>
        <w:jc w:val="center"/>
      </w:trP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5</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B</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vAlign w:val="bottom"/>
        </w:tcPr>
        <w:p>
          <w:pPr>
            <w:pStyle w:val="Header"/>
            <w:spacing w:before="40"/>
            <w:jc w:val="right"/>
          </w:pPr>
          <w:r>
            <w:fldChar w:fldCharType="begin"/>
          </w:r>
          <w:r>
            <w:instrText xml:space="preserve"> styleref CharPartText </w:instrText>
          </w:r>
          <w:r>
            <w:fldChar w:fldCharType="separate"/>
          </w:r>
          <w:r>
            <w:t>Introductory</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I</w:t>
          </w:r>
          <w:r>
            <w:rPr>
              <w:b/>
            </w:rPr>
            <w:fldChar w:fldCharType="end"/>
          </w:r>
        </w:p>
      </w:tc>
    </w:tr>
    <w:tr>
      <w:trPr>
        <w:jc w:val="center"/>
      </w:trPr>
      <w:tc>
        <w:tcPr>
          <w:tcW w:w="5472" w:type="dxa"/>
          <w:vAlign w:val="bottom"/>
        </w:tcPr>
        <w:p>
          <w:pPr>
            <w:pStyle w:val="Header"/>
            <w:spacing w:before="40"/>
            <w:jc w:val="right"/>
          </w:pPr>
          <w:r>
            <w:fldChar w:fldCharType="begin"/>
          </w:r>
          <w:r>
            <w:instrText xml:space="preserve"> styleref CharDivText </w:instrText>
          </w:r>
          <w:r>
            <w:fldChar w:fldCharType="separate"/>
          </w:r>
          <w:r>
            <w:t>Interpretation</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I</w: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Preparation to commit offences: Conspiracy: Accessories after the fact</w: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separate"/>
          </w:r>
          <w:r>
            <w:rPr>
              <w:b/>
            </w:rPr>
            <w:t>Chapter LIX</w:t>
          </w:r>
          <w:r>
            <w:rPr>
              <w:b/>
            </w:rPr>
            <w:fldChar w:fldCharType="end"/>
          </w:r>
        </w:p>
      </w:tc>
      <w:tc>
        <w:tcPr>
          <w:tcW w:w="5511" w:type="dxa"/>
        </w:tcPr>
        <w:p>
          <w:pPr>
            <w:pStyle w:val="Header"/>
            <w:spacing w:before="40"/>
          </w:pPr>
          <w:r>
            <w:fldChar w:fldCharType="begin"/>
          </w:r>
          <w:r>
            <w:instrText xml:space="preserve"> styleref CharDivText </w:instrText>
          </w:r>
          <w:r>
            <w:fldChar w:fldCharType="separate"/>
          </w:r>
          <w:r>
            <w:t>Accessories after the fact and property laundering</w: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tcPr>
        <w:p>
          <w:pPr>
            <w:pStyle w:val="Header"/>
            <w:spacing w:before="40"/>
            <w:jc w:val="right"/>
          </w:pPr>
          <w:r>
            <w:fldChar w:fldCharType="begin"/>
          </w:r>
          <w:r>
            <w:instrText xml:space="preserve"> styleref CharPartText </w:instrText>
          </w:r>
          <w:r>
            <w:fldChar w:fldCharType="separate"/>
          </w:r>
          <w:r>
            <w:t>Preparation to commit offences: Conspiracy: Accessories after the fact</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w:t>
          </w:r>
          <w:r>
            <w:rPr>
              <w:b/>
            </w:rPr>
            <w:fldChar w:fldCharType="end"/>
          </w:r>
        </w:p>
      </w:tc>
    </w:tr>
    <w:tr>
      <w:trPr>
        <w:jc w:val="center"/>
      </w:trPr>
      <w:tc>
        <w:tcPr>
          <w:tcW w:w="5472" w:type="dxa"/>
        </w:tcPr>
        <w:p>
          <w:pPr>
            <w:pStyle w:val="Header"/>
            <w:spacing w:before="40"/>
            <w:jc w:val="right"/>
          </w:pPr>
          <w:r>
            <w:fldChar w:fldCharType="begin"/>
          </w:r>
          <w:r>
            <w:instrText xml:space="preserve"> styleref CharDivText </w:instrText>
          </w:r>
          <w:r>
            <w:fldChar w:fldCharType="separate"/>
          </w:r>
          <w:r>
            <w:t>Accessories after the fact and property laundering</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LIX</w: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Miscellaneous</w: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tcPr>
        <w:p>
          <w:pPr>
            <w:pStyle w:val="Header"/>
            <w:spacing w:before="40"/>
            <w:jc w:val="right"/>
          </w:pPr>
          <w:r>
            <w:fldChar w:fldCharType="begin"/>
          </w:r>
          <w:r>
            <w:instrText xml:space="preserve"> styleref CharPartText </w:instrText>
          </w:r>
          <w:r>
            <w:fldChar w:fldCharType="separate"/>
          </w:r>
          <w:r>
            <w:t>Miscellaneous</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VIII</w:t>
          </w:r>
          <w:r>
            <w:rPr>
              <w:b/>
            </w:rPr>
            <w:fldChar w:fldCharType="end"/>
          </w:r>
        </w:p>
      </w:tc>
    </w:tr>
    <w:tr>
      <w:trPr>
        <w:jc w:val="center"/>
      </w:trPr>
      <w:tc>
        <w:tcPr>
          <w:tcW w:w="5472" w:type="dxa"/>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t>The Criminal Code</w:t>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7263"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The Criminal Code</w:t>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7263" w:type="dxa"/>
          <w:gridSpan w:val="2"/>
        </w:tcPr>
        <w:p>
          <w:pPr>
            <w:pStyle w:val="Header"/>
            <w:spacing w:before="40"/>
            <w:ind w:right="17"/>
            <w:jc w:val="right"/>
            <w:rPr>
              <w:bCs/>
            </w:rPr>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1324" w:name="Schedule"/>
    <w:bookmarkEnd w:id="1324"/>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Code</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Code</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346" w:name="Compilation"/>
    <w:bookmarkEnd w:id="1346"/>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47" w:name="Coversheet"/>
    <w:bookmarkEnd w:id="134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t>Criminal Code Act Compilation Act 1913</w:t>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pPr>
          <w:r>
            <w:t>Preamble</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Criminal Code Act Compilation Act 1913</w:t>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Preamble</w:t>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t>Criminal Code Act Compilation Act 1913</w:t>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rPr>
              <w:b/>
            </w:rPr>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Criminal Code Act Compilation Act 1913</w:t>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2969B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EC92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F448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4CF8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F6BD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2EB4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ACCA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7067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E68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FCE6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08A0F3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19133530"/>
    <w:docVar w:name="WAFER_20131217143110" w:val="RemoveTocBookmarks,RemoveUnusedBookmarks,RemoveLanguageTags,UsedStyles,ResetPageSize,UpdateArrangement"/>
    <w:docVar w:name="WAFER_20131217143110_GUID" w:val="cf488371-e9cb-4822-b161-57a54234b9c7"/>
    <w:docVar w:name="WAFER_20140423152610" w:val="RemoveTocBookmarks,RemoveUnusedBookmarks,RemoveLanguageTags,UsedStyles,ResetPageSize,UpdateArrangement"/>
    <w:docVar w:name="WAFER_20140423152610_GUID" w:val="5d87ae16-88c1-4fa7-a8fd-215102939445"/>
    <w:docVar w:name="WAFER_20140423163825" w:val="RemoveTocBookmarks,RunningHeaders"/>
    <w:docVar w:name="WAFER_20140423163825_GUID" w:val="7933caf0-3c6d-4891-9bb0-c3e9a5de55fc"/>
    <w:docVar w:name="WAFER_20140630154538" w:val="RemoveTocBookmarks,RemoveUnusedBookmarks,RemoveLanguageTags,UsedStyles,ResetPageSize,UpdateArrangement"/>
    <w:docVar w:name="WAFER_20140630154538_GUID" w:val="1854f6b8-234e-4266-b94d-ca1d7d3ad14b"/>
    <w:docVar w:name="WAFER_20140811113516" w:val="RemoveTocBookmarks,RunningHeaders"/>
    <w:docVar w:name="WAFER_20140811113516_GUID" w:val="79dbc8c4-fa75-4f49-8f0e-c08e4ff44eee"/>
    <w:docVar w:name="WAFER_20141104172757" w:val="RemoveTocBookmarks,RemoveUnusedBookmarks,RemoveLanguageTags,UsedStyles,ResetPageSize,UpdateArrangement"/>
    <w:docVar w:name="WAFER_20141104172757_GUID" w:val="066cbd8b-052e-490d-aa59-55318f52ecae"/>
    <w:docVar w:name="WAFER_20150305151658" w:val="ResetPageSize,UpdateArrangement,UpdateNTable"/>
    <w:docVar w:name="WAFER_20150305151658_GUID" w:val="fa043565-3b96-46a5-a4b3-3426c94237f5"/>
    <w:docVar w:name="WAFER_20151102165124" w:val="UpdateStyles"/>
    <w:docVar w:name="WAFER_20151102165124_GUID" w:val="5a53e1c6-3033-40a5-aefc-03ee2fba7808"/>
    <w:docVar w:name="WAFER_20151102165445" w:val="UsedStyles"/>
    <w:docVar w:name="WAFER_20151102165445_GUID" w:val="8466e29c-7511-4a4c-8468-decac63bad58"/>
    <w:docVar w:name="WAFER_20151102165503" w:val="UsedStyles"/>
    <w:docVar w:name="WAFER_20151102165503_GUID" w:val="11f0cecd-8413-4f45-963d-4fd89ee83205"/>
    <w:docVar w:name="WAFER_20161129133829" w:val="RemoveTocBookmarks,RemoveUnusedBookmarks,RemoveLanguageTags,UsedStyles,ResetPageSize"/>
    <w:docVar w:name="WAFER_20161129133829_GUID" w:val="3f90c34a-be46-43c3-9dc4-deb9900b669d"/>
    <w:docVar w:name="WAFER_20161130111745" w:val="RemoveTocBookmarks,RemoveUnusedBookmarks,RemoveLanguageTags,UsedStyles,ResetPageSize"/>
    <w:docVar w:name="WAFER_20161130111745_GUID" w:val="1583a46e-995b-499d-b451-196bfdd5fd31"/>
    <w:docVar w:name="WAFER_20161130112656" w:val="RemoveTocBookmarks,RemoveUnusedBookmarks,RemoveLanguageTags,UsedStyles,ResetPageSize"/>
    <w:docVar w:name="WAFER_20161130112656_GUID" w:val="edaa317a-1dbe-490e-89e1-ae65e6c90da5"/>
    <w:docVar w:name="WAFER_20161130112824" w:val="RemoveTocBookmarks,RemoveUnusedBookmarks,RemoveLanguageTags,UsedStyles,ResetPageSize"/>
    <w:docVar w:name="WAFER_20161130112824_GUID" w:val="64713d6a-3050-40d9-bde4-252cdc972eea"/>
    <w:docVar w:name="WAFER_20170704144517" w:val="RemoveTocBookmarks,RemoveUnusedBookmarks,RemoveLanguageTags,UsedStyles,ResetPageSize,RemoveCustomizations"/>
    <w:docVar w:name="WAFER_20170704144517_GUID" w:val="9feba0e3-b0f1-440d-aa52-71958f62bcb5"/>
    <w:docVar w:name="WAFER_20190227085021" w:val="RemoveTocBookmarks,RemoveUnusedBookmarks,RemoveLanguageTags,UpdateStyles,UsedStyles,ResetPageSize"/>
    <w:docVar w:name="WAFER_20190227085021_GUID" w:val="b3d9b1b7-e30b-4b45-bb1e-2aa01a24905a"/>
    <w:docVar w:name="WAFER_20190227112038" w:val="RemoveTocBookmarks,RemoveUnusedBookmarks,RemoveLanguageTags,UpdateStyles,UsedStyles,ResetPageSize"/>
    <w:docVar w:name="WAFER_20190227112038_GUID" w:val="c9ac1fc4-ebb9-43a1-9953-9e73f5eae412"/>
    <w:docVar w:name="WAFER_20190409092330" w:val="RemoveTocBookmarks,RemoveUnusedBookmarks,RemoveLanguageTags,ResetPageSize,RunningHeaders,UpdateStyles,UsedStyles"/>
    <w:docVar w:name="WAFER_20190409092330_GUID" w:val="b4143a12-0f96-4615-b5ea-aac3e4a471d0"/>
    <w:docVar w:name="WAFER_2020021211563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15637_GUID" w:val="5e089ba8-ef4c-47bf-9df9-7d7ff0f2711d"/>
    <w:docVar w:name="WAFER_202007100921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2113_GUID" w:val="1980ca86-c810-444a-93e5-7dffb4c1560a"/>
    <w:docVar w:name="WAFER_202007131107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3110725_GUID" w:val="f700ad4f-63ab-400e-9b53-ddf0cf6cfcd4"/>
    <w:docVar w:name="WAFER_202007281415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8141508_GUID" w:val="53aa537e-2192-4528-b4d4-4bf359fd866d"/>
    <w:docVar w:name="WAFER_202009300839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30083940_GUID" w:val="472465b1-2daf-4d0b-95c3-ae22a147ba07"/>
    <w:docVar w:name="WAFER_202011181222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18122210_GUID" w:val="5c9bfff8-d09b-48a7-83f1-a9327897a58e"/>
    <w:docVar w:name="WAFER_202011271519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7151921_GUID" w:val="29fa1be9-4b4b-415b-ac0c-5e67715d7882"/>
    <w:docVar w:name="WAFER_202106031043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3104354_GUID" w:val="7fd2c36d-a4f4-4a0d-902d-027f0d53c243"/>
    <w:docVar w:name="WAFER_202111231416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23141655_GUID" w:val="e149bd7a-c340-48c1-aa1c-05bcd0f1144f"/>
    <w:docVar w:name="WAFER_202112141018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4101809_GUID" w:val="5dffc602-b6f9-4666-93f8-3aeb5edd0d88"/>
    <w:docVar w:name="WAFER_202112211412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41232_GUID" w:val="a417ce67-8bc2-4d87-88d8-020126a51a72"/>
    <w:docVar w:name="WAFER_2022051913353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33530_GUID" w:val="c5780978-450d-4576-8f62-0ac285e1ad2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C52B289-3D53-4693-95D5-6F471E23E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header" Target="header2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footer" Target="footer7.xm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image" Target="media/image2.png"/><Relationship Id="rId38" Type="http://schemas.openxmlformats.org/officeDocument/2006/relationships/header" Target="header23.xml"/><Relationship Id="rId4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95A80-6C3E-48AD-AF5F-1D1614581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85255</Words>
  <Characters>386210</Characters>
  <Application>Microsoft Office Word</Application>
  <DocSecurity>0</DocSecurity>
  <Lines>10728</Lines>
  <Paragraphs>5967</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465498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19-r0-00 - 19-s0-00</dc:title>
  <dc:subject/>
  <dc:creator/>
  <cp:keywords/>
  <dc:description/>
  <cp:lastModifiedBy>Master Repository Process</cp:lastModifiedBy>
  <cp:revision>2</cp:revision>
  <cp:lastPrinted>2017-09-28T08:10:00Z</cp:lastPrinted>
  <dcterms:created xsi:type="dcterms:W3CDTF">2022-05-19T07:18:00Z</dcterms:created>
  <dcterms:modified xsi:type="dcterms:W3CDTF">2022-05-19T07:19:00Z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DocumentType">
    <vt:lpwstr>Act</vt:lpwstr>
  </property>
  <property fmtid="{D5CDD505-2E9C-101B-9397-08002B2CF9AE}" pid="4" name="OwlsUID">
    <vt:i4>196</vt:i4>
  </property>
  <property fmtid="{D5CDD505-2E9C-101B-9397-08002B2CF9AE}" pid="5" name="ReprintedAsAt">
    <vt:filetime>2017-09-21T16:00:00Z</vt:filetime>
  </property>
  <property fmtid="{D5CDD505-2E9C-101B-9397-08002B2CF9AE}" pid="6" name="ReprintNo">
    <vt:lpwstr>19</vt:lpwstr>
  </property>
  <property fmtid="{D5CDD505-2E9C-101B-9397-08002B2CF9AE}" pid="7" name="CommencementDate">
    <vt:lpwstr>20220518</vt:lpwstr>
  </property>
  <property fmtid="{D5CDD505-2E9C-101B-9397-08002B2CF9AE}" pid="8" name="FromSuffix">
    <vt:lpwstr>19-r0-00</vt:lpwstr>
  </property>
  <property fmtid="{D5CDD505-2E9C-101B-9397-08002B2CF9AE}" pid="9" name="FromAsAtDate">
    <vt:lpwstr>24 Dec 2021</vt:lpwstr>
  </property>
  <property fmtid="{D5CDD505-2E9C-101B-9397-08002B2CF9AE}" pid="10" name="ToSuffix">
    <vt:lpwstr>19-s0-00</vt:lpwstr>
  </property>
  <property fmtid="{D5CDD505-2E9C-101B-9397-08002B2CF9AE}" pid="11" name="ToAsAtDate">
    <vt:lpwstr>18 May 2022</vt:lpwstr>
  </property>
</Properties>
</file>