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(Fees and Charges)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Police Act 1892</w:t>
      </w:r>
    </w:p>
    <w:p>
      <w:pPr>
        <w:pStyle w:val="NameofActReg"/>
      </w:pPr>
      <w:r>
        <w:t>Police (Fees and Charges) Regulations 2018</w:t>
      </w:r>
    </w:p>
    <w:p>
      <w:pPr>
        <w:pStyle w:val="Heading5"/>
      </w:pPr>
      <w:bookmarkStart w:id="1" w:name="_Toc104975617"/>
      <w:bookmarkStart w:id="2" w:name="_Toc7586566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04975618"/>
      <w:bookmarkStart w:id="6" w:name="_Toc7586566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7" w:name="_Toc104975619"/>
      <w:bookmarkStart w:id="8" w:name="_Toc75865663"/>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9" w:name="_Toc104975620"/>
      <w:bookmarkStart w:id="10" w:name="_Toc75865664"/>
      <w:r>
        <w:rPr>
          <w:rStyle w:val="CharSectno"/>
        </w:rPr>
        <w:t>4</w:t>
      </w:r>
      <w:r>
        <w:t>.</w:t>
      </w:r>
      <w:r>
        <w:tab/>
        <w:t>Fees</w:t>
      </w:r>
      <w:bookmarkEnd w:id="9"/>
      <w:bookmarkEnd w:id="10"/>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11" w:name="_Toc104975621"/>
      <w:bookmarkStart w:id="12" w:name="_Toc75865665"/>
      <w:r>
        <w:rPr>
          <w:rStyle w:val="CharSectno"/>
        </w:rPr>
        <w:t>5</w:t>
      </w:r>
      <w:r>
        <w:t>.</w:t>
      </w:r>
      <w:r>
        <w:tab/>
        <w:t>Exempt events</w:t>
      </w:r>
      <w:bookmarkEnd w:id="11"/>
      <w:bookmarkEnd w:id="12"/>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13" w:name="_Toc104975622"/>
      <w:bookmarkStart w:id="14" w:name="_Toc75865666"/>
      <w:r>
        <w:rPr>
          <w:rStyle w:val="CharSectno"/>
        </w:rPr>
        <w:t>6</w:t>
      </w:r>
      <w:r>
        <w:t>.</w:t>
      </w:r>
      <w:r>
        <w:tab/>
        <w:t>Charges for police services at major event</w:t>
      </w:r>
      <w:bookmarkEnd w:id="13"/>
      <w:bookmarkEnd w:id="14"/>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5" w:name="_Toc104975623"/>
      <w:bookmarkStart w:id="16" w:name="_Toc75865667"/>
      <w:r>
        <w:rPr>
          <w:rStyle w:val="CharSectno"/>
        </w:rPr>
        <w:t>7</w:t>
      </w:r>
      <w:r>
        <w:t>.</w:t>
      </w:r>
      <w:r>
        <w:tab/>
        <w:t>Charges for police services if major event cancelled</w:t>
      </w:r>
      <w:bookmarkEnd w:id="15"/>
      <w:bookmarkEnd w:id="16"/>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7" w:name="_Toc104975624"/>
      <w:bookmarkStart w:id="18" w:name="_Toc75865668"/>
      <w:r>
        <w:rPr>
          <w:rStyle w:val="CharSectno"/>
        </w:rPr>
        <w:t>8</w:t>
      </w:r>
      <w:r>
        <w:t>.</w:t>
      </w:r>
      <w:r>
        <w:tab/>
        <w:t>Amounts inclusive of GST</w:t>
      </w:r>
      <w:bookmarkEnd w:id="17"/>
      <w:bookmarkEnd w:id="18"/>
    </w:p>
    <w:p>
      <w:pPr>
        <w:pStyle w:val="Subsection"/>
        <w:keepNext/>
      </w:pPr>
      <w:r>
        <w:tab/>
      </w:r>
      <w:r>
        <w:tab/>
        <w:t>The amounts specified in Schedule 2 are inclusive of GST.</w:t>
      </w:r>
    </w:p>
    <w:p>
      <w:pPr>
        <w:pStyle w:val="Heading5"/>
      </w:pPr>
      <w:bookmarkStart w:id="19" w:name="_Toc104975625"/>
      <w:bookmarkStart w:id="20" w:name="_Toc75865669"/>
      <w:r>
        <w:rPr>
          <w:rStyle w:val="CharSectno"/>
        </w:rPr>
        <w:t>9</w:t>
      </w:r>
      <w:r>
        <w:t>.</w:t>
      </w:r>
      <w:r>
        <w:tab/>
      </w:r>
      <w:r>
        <w:rPr>
          <w:i/>
        </w:rPr>
        <w:t xml:space="preserve">Police (Fees) Regulations 1981 </w:t>
      </w:r>
      <w:r>
        <w:t>repealed</w:t>
      </w:r>
      <w:bookmarkEnd w:id="19"/>
      <w:bookmarkEnd w:id="20"/>
    </w:p>
    <w:p>
      <w:pPr>
        <w:pStyle w:val="Subsection"/>
      </w:pPr>
      <w:r>
        <w:tab/>
      </w:r>
      <w:r>
        <w:tab/>
        <w:t xml:space="preserve">The </w:t>
      </w:r>
      <w:r>
        <w:rPr>
          <w:i/>
        </w:rPr>
        <w:t xml:space="preserve">Police (Fees) Regulations 1981 </w:t>
      </w:r>
      <w:r>
        <w:t>are repealed.</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1" w:name="_Toc104968247"/>
      <w:bookmarkStart w:id="22" w:name="_Toc104968417"/>
      <w:bookmarkStart w:id="23" w:name="_Toc104975626"/>
      <w:bookmarkStart w:id="24" w:name="_Toc75769703"/>
      <w:bookmarkStart w:id="25" w:name="_Toc75865670"/>
      <w:bookmarkStart w:id="26" w:name="_Toc75769071"/>
      <w:r>
        <w:rPr>
          <w:rStyle w:val="CharSchNo"/>
        </w:rPr>
        <w:t>Schedule 1</w:t>
      </w:r>
      <w:r>
        <w:rPr>
          <w:rStyle w:val="CharSDivNo"/>
        </w:rPr>
        <w:t> </w:t>
      </w:r>
      <w:r>
        <w:t>—</w:t>
      </w:r>
      <w:r>
        <w:rPr>
          <w:rStyle w:val="CharSDivText"/>
        </w:rPr>
        <w:t> </w:t>
      </w:r>
      <w:r>
        <w:rPr>
          <w:rStyle w:val="CharSchText"/>
        </w:rPr>
        <w:t>Fees</w:t>
      </w:r>
      <w:bookmarkEnd w:id="21"/>
      <w:bookmarkEnd w:id="22"/>
      <w:bookmarkEnd w:id="23"/>
      <w:bookmarkEnd w:id="24"/>
      <w:bookmarkEnd w:id="25"/>
    </w:p>
    <w:p>
      <w:pPr>
        <w:pStyle w:val="yShoulderClause"/>
      </w:pPr>
      <w:r>
        <w:t>[r. 4(1)]</w:t>
      </w:r>
    </w:p>
    <w:p>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969"/>
        <w:gridCol w:w="1446"/>
      </w:tblGrid>
      <w:tr>
        <w:trPr>
          <w:cantSplit/>
          <w:tblHeader/>
        </w:trPr>
        <w:tc>
          <w:tcPr>
            <w:tcW w:w="851" w:type="dxa"/>
          </w:tcPr>
          <w:p>
            <w:pPr>
              <w:pStyle w:val="yTableNAm"/>
            </w:pPr>
          </w:p>
        </w:tc>
        <w:tc>
          <w:tcPr>
            <w:tcW w:w="3969" w:type="dxa"/>
          </w:tcPr>
          <w:p>
            <w:pPr>
              <w:pStyle w:val="yTableNAm"/>
              <w:rPr>
                <w:b/>
              </w:rPr>
            </w:pPr>
            <w:r>
              <w:rPr>
                <w:b/>
              </w:rPr>
              <w:t>Purpose</w:t>
            </w:r>
          </w:p>
        </w:tc>
        <w:tc>
          <w:tcPr>
            <w:tcW w:w="1446" w:type="dxa"/>
          </w:tcPr>
          <w:p>
            <w:pPr>
              <w:pStyle w:val="yTableNAm"/>
            </w:pPr>
            <w:r>
              <w:rPr>
                <w:b/>
              </w:rPr>
              <w:t>Fee</w:t>
            </w:r>
          </w:p>
        </w:tc>
      </w:tr>
      <w:tr>
        <w:trPr>
          <w:cantSplit/>
        </w:trPr>
        <w:tc>
          <w:tcPr>
            <w:tcW w:w="851" w:type="dxa"/>
          </w:tcPr>
          <w:p>
            <w:pPr>
              <w:pStyle w:val="yTableNAm"/>
            </w:pPr>
            <w:r>
              <w:t>1.</w:t>
            </w:r>
          </w:p>
        </w:tc>
        <w:tc>
          <w:tcPr>
            <w:tcW w:w="3969" w:type="dxa"/>
          </w:tcPr>
          <w:p>
            <w:pPr>
              <w:pStyle w:val="yTableNAm"/>
              <w:spacing w:after="60"/>
            </w:pPr>
            <w:r>
              <w:t>Copy of traffic infringement notice record</w:t>
            </w:r>
          </w:p>
        </w:tc>
        <w:tc>
          <w:tcPr>
            <w:tcW w:w="1446" w:type="dxa"/>
          </w:tcPr>
          <w:p>
            <w:pPr>
              <w:pStyle w:val="yTableNAm"/>
            </w:pPr>
            <w:r>
              <w:t>$28.90</w:t>
            </w:r>
          </w:p>
        </w:tc>
      </w:tr>
      <w:tr>
        <w:trPr>
          <w:cantSplit/>
        </w:trPr>
        <w:tc>
          <w:tcPr>
            <w:tcW w:w="851" w:type="dxa"/>
            <w:tcBorders>
              <w:bottom w:val="single" w:sz="4" w:space="0" w:color="auto"/>
            </w:tcBorders>
          </w:tcPr>
          <w:p>
            <w:pPr>
              <w:pStyle w:val="yTableNAm"/>
            </w:pPr>
            <w:r>
              <w:t>2.</w:t>
            </w:r>
          </w:p>
        </w:tc>
        <w:tc>
          <w:tcPr>
            <w:tcW w:w="3969" w:type="dxa"/>
            <w:tcBorders>
              <w:bottom w:val="single" w:sz="4" w:space="0" w:color="auto"/>
            </w:tcBorders>
          </w:tcPr>
          <w:p>
            <w:pPr>
              <w:pStyle w:val="yTableNAm"/>
              <w:spacing w:after="60"/>
              <w:rPr>
                <w:b/>
                <w:i/>
              </w:rPr>
            </w:pPr>
            <w:r>
              <w:t xml:space="preserve">Escorts and guards — each person provided per hour or part of an hour for high risk escorts carried out by TRG </w:t>
            </w:r>
          </w:p>
        </w:tc>
        <w:tc>
          <w:tcPr>
            <w:tcW w:w="1446" w:type="dxa"/>
            <w:tcBorders>
              <w:bottom w:val="single" w:sz="4" w:space="0" w:color="auto"/>
            </w:tcBorders>
            <w:vAlign w:val="bottom"/>
          </w:tcPr>
          <w:p>
            <w:pPr>
              <w:pStyle w:val="yTableNAm"/>
            </w:pPr>
            <w:r>
              <w:t>$138.30</w:t>
            </w:r>
          </w:p>
        </w:tc>
      </w:tr>
      <w:tr>
        <w:trPr>
          <w:cantSplit/>
        </w:trPr>
        <w:tc>
          <w:tcPr>
            <w:tcW w:w="851" w:type="dxa"/>
            <w:tcBorders>
              <w:bottom w:val="single" w:sz="4" w:space="0" w:color="auto"/>
            </w:tcBorders>
          </w:tcPr>
          <w:p>
            <w:pPr>
              <w:pStyle w:val="yTableNAm"/>
            </w:pPr>
            <w:r>
              <w:t>3.</w:t>
            </w:r>
          </w:p>
        </w:tc>
        <w:tc>
          <w:tcPr>
            <w:tcW w:w="3969" w:type="dxa"/>
            <w:tcBorders>
              <w:bottom w:val="single" w:sz="4" w:space="0" w:color="auto"/>
            </w:tcBorders>
          </w:tcPr>
          <w:p>
            <w:pPr>
              <w:pStyle w:val="yTableNAm"/>
              <w:spacing w:after="60"/>
            </w:pPr>
            <w:r>
              <w:t>Authorised copy of a photograph</w:t>
            </w:r>
          </w:p>
        </w:tc>
        <w:tc>
          <w:tcPr>
            <w:tcW w:w="1446" w:type="dxa"/>
            <w:tcBorders>
              <w:bottom w:val="single" w:sz="4" w:space="0" w:color="auto"/>
            </w:tcBorders>
          </w:tcPr>
          <w:p>
            <w:pPr>
              <w:pStyle w:val="yTableNAm"/>
            </w:pPr>
            <w:r>
              <w:t>$11.00</w:t>
            </w:r>
          </w:p>
        </w:tc>
      </w:tr>
      <w:tr>
        <w:trPr>
          <w:cantSplit/>
        </w:trPr>
        <w:tc>
          <w:tcPr>
            <w:tcW w:w="851" w:type="dxa"/>
            <w:tcBorders>
              <w:bottom w:val="nil"/>
            </w:tcBorders>
          </w:tcPr>
          <w:p>
            <w:pPr>
              <w:pStyle w:val="yTableNAm"/>
            </w:pPr>
            <w:r>
              <w:t>4.</w:t>
            </w:r>
          </w:p>
        </w:tc>
        <w:tc>
          <w:tcPr>
            <w:tcW w:w="3969" w:type="dxa"/>
            <w:tcBorders>
              <w:bottom w:val="nil"/>
            </w:tcBorders>
          </w:tcPr>
          <w:p>
            <w:pPr>
              <w:pStyle w:val="yTableNAm"/>
              <w:spacing w:after="60"/>
            </w:pPr>
            <w:r>
              <w:t xml:space="preserve">National criminal history record check — </w:t>
            </w:r>
          </w:p>
        </w:tc>
        <w:tc>
          <w:tcPr>
            <w:tcW w:w="1446" w:type="dxa"/>
            <w:tcBorders>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pPr>
            <w:r>
              <w:t>(a)</w:t>
            </w:r>
            <w:r>
              <w:tab/>
              <w:t>issued to a volunteer organisation</w:t>
            </w:r>
          </w:p>
        </w:tc>
        <w:tc>
          <w:tcPr>
            <w:tcW w:w="1446" w:type="dxa"/>
            <w:tcBorders>
              <w:top w:val="nil"/>
              <w:bottom w:val="nil"/>
            </w:tcBorders>
          </w:tcPr>
          <w:p>
            <w:pPr>
              <w:pStyle w:val="yTableNAm"/>
            </w:pPr>
            <w:r>
              <w:t>$16.70</w:t>
            </w:r>
          </w:p>
        </w:tc>
      </w:tr>
      <w:tr>
        <w:trPr>
          <w:cantSplit/>
        </w:trPr>
        <w:tc>
          <w:tcPr>
            <w:tcW w:w="851" w:type="dxa"/>
            <w:tcBorders>
              <w:top w:val="nil"/>
            </w:tcBorders>
          </w:tcPr>
          <w:p>
            <w:pPr>
              <w:pStyle w:val="yTableNAm"/>
            </w:pPr>
          </w:p>
        </w:tc>
        <w:tc>
          <w:tcPr>
            <w:tcW w:w="3969" w:type="dxa"/>
            <w:tcBorders>
              <w:top w:val="nil"/>
            </w:tcBorders>
          </w:tcPr>
          <w:p>
            <w:pPr>
              <w:pStyle w:val="yTableNAm"/>
            </w:pPr>
            <w:r>
              <w:t>(b)</w:t>
            </w:r>
            <w:r>
              <w:tab/>
              <w:t>issued to a public sector body</w:t>
            </w:r>
          </w:p>
        </w:tc>
        <w:tc>
          <w:tcPr>
            <w:tcW w:w="1446" w:type="dxa"/>
            <w:tcBorders>
              <w:top w:val="nil"/>
            </w:tcBorders>
          </w:tcPr>
          <w:p>
            <w:pPr>
              <w:pStyle w:val="yTableNAm"/>
            </w:pPr>
            <w:r>
              <w:t>$34.20</w:t>
            </w:r>
          </w:p>
        </w:tc>
      </w:tr>
      <w:tr>
        <w:trPr>
          <w:cantSplit/>
        </w:trPr>
        <w:tc>
          <w:tcPr>
            <w:tcW w:w="851" w:type="dxa"/>
            <w:tcBorders>
              <w:bottom w:val="single" w:sz="4" w:space="0" w:color="auto"/>
            </w:tcBorders>
          </w:tcPr>
          <w:p>
            <w:pPr>
              <w:pStyle w:val="yTableNAm"/>
            </w:pPr>
            <w:r>
              <w:t>5.</w:t>
            </w:r>
          </w:p>
        </w:tc>
        <w:tc>
          <w:tcPr>
            <w:tcW w:w="3969" w:type="dxa"/>
            <w:tcBorders>
              <w:bottom w:val="single" w:sz="4" w:space="0" w:color="auto"/>
            </w:tcBorders>
          </w:tcPr>
          <w:p>
            <w:pPr>
              <w:pStyle w:val="yTableNAm"/>
            </w:pPr>
            <w:r>
              <w:t>National police certificate</w:t>
            </w:r>
          </w:p>
        </w:tc>
        <w:tc>
          <w:tcPr>
            <w:tcW w:w="1446" w:type="dxa"/>
            <w:tcBorders>
              <w:bottom w:val="single" w:sz="4" w:space="0" w:color="auto"/>
            </w:tcBorders>
          </w:tcPr>
          <w:p>
            <w:pPr>
              <w:pStyle w:val="yTableNAm"/>
            </w:pPr>
            <w:r>
              <w:t>$57.60</w:t>
            </w:r>
          </w:p>
        </w:tc>
      </w:tr>
      <w:tr>
        <w:trPr>
          <w:cantSplit/>
        </w:trPr>
        <w:tc>
          <w:tcPr>
            <w:tcW w:w="851" w:type="dxa"/>
            <w:tcBorders>
              <w:bottom w:val="nil"/>
            </w:tcBorders>
          </w:tcPr>
          <w:p>
            <w:pPr>
              <w:pStyle w:val="yTableNAm"/>
              <w:keepNext/>
              <w:keepLines/>
            </w:pPr>
            <w:r>
              <w:t>6.</w:t>
            </w:r>
          </w:p>
        </w:tc>
        <w:tc>
          <w:tcPr>
            <w:tcW w:w="3969" w:type="dxa"/>
            <w:tcBorders>
              <w:bottom w:val="nil"/>
            </w:tcBorders>
          </w:tcPr>
          <w:p>
            <w:pPr>
              <w:pStyle w:val="yTableNAm"/>
              <w:keepNext/>
              <w:keepLines/>
            </w:pPr>
            <w:r>
              <w:t xml:space="preserve">Provision of incident information as defined in the </w:t>
            </w:r>
            <w:r>
              <w:rPr>
                <w:i/>
              </w:rPr>
              <w:t xml:space="preserve">Road Traffic (Administration) Act 2008 </w:t>
            </w:r>
            <w:r>
              <w:t>section 12(1) —</w:t>
            </w:r>
          </w:p>
        </w:tc>
        <w:tc>
          <w:tcPr>
            <w:tcW w:w="1446" w:type="dxa"/>
            <w:tcBorders>
              <w:bottom w:val="nil"/>
            </w:tcBorders>
          </w:tcPr>
          <w:p>
            <w:pPr>
              <w:pStyle w:val="yTableNAm"/>
              <w:keepNext/>
              <w:keepLines/>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ind w:left="567" w:hanging="567"/>
            </w:pPr>
            <w:r>
              <w:t>(a)</w:t>
            </w:r>
            <w:r>
              <w:tab/>
              <w:t>to those involved or their representatives (outlining certain accident details)</w:t>
            </w:r>
          </w:p>
        </w:tc>
        <w:tc>
          <w:tcPr>
            <w:tcW w:w="1446" w:type="dxa"/>
            <w:tcBorders>
              <w:top w:val="nil"/>
              <w:bottom w:val="nil"/>
            </w:tcBorders>
            <w:vAlign w:val="bottom"/>
          </w:tcPr>
          <w:p>
            <w:pPr>
              <w:pStyle w:val="yTableNAm"/>
            </w:pPr>
            <w:r>
              <w:t>$46.20</w:t>
            </w:r>
          </w:p>
        </w:tc>
      </w:tr>
      <w:tr>
        <w:trPr>
          <w:cantSplit/>
        </w:trPr>
        <w:tc>
          <w:tcPr>
            <w:tcW w:w="851" w:type="dxa"/>
            <w:tcBorders>
              <w:top w:val="nil"/>
              <w:bottom w:val="single" w:sz="4" w:space="0" w:color="auto"/>
            </w:tcBorders>
          </w:tcPr>
          <w:p>
            <w:pPr>
              <w:pStyle w:val="yTableNAm"/>
            </w:pPr>
          </w:p>
        </w:tc>
        <w:tc>
          <w:tcPr>
            <w:tcW w:w="3969" w:type="dxa"/>
            <w:tcBorders>
              <w:top w:val="nil"/>
              <w:bottom w:val="single" w:sz="4" w:space="0" w:color="auto"/>
            </w:tcBorders>
          </w:tcPr>
          <w:p>
            <w:pPr>
              <w:pStyle w:val="yTableNAm"/>
              <w:ind w:left="567" w:hanging="567"/>
            </w:pPr>
            <w:r>
              <w:t>(b)</w:t>
            </w:r>
            <w:r>
              <w:tab/>
              <w:t>to the Insurance Commission of Western Australia for third party insurance purposes</w:t>
            </w:r>
          </w:p>
        </w:tc>
        <w:tc>
          <w:tcPr>
            <w:tcW w:w="1446" w:type="dxa"/>
            <w:tcBorders>
              <w:top w:val="nil"/>
              <w:bottom w:val="single" w:sz="4" w:space="0" w:color="auto"/>
            </w:tcBorders>
            <w:vAlign w:val="bottom"/>
          </w:tcPr>
          <w:p>
            <w:pPr>
              <w:pStyle w:val="yTableNAm"/>
            </w:pPr>
            <w:r>
              <w:t>$46.20</w:t>
            </w:r>
          </w:p>
        </w:tc>
      </w:tr>
      <w:tr>
        <w:trPr>
          <w:cantSplit/>
        </w:trPr>
        <w:tc>
          <w:tcPr>
            <w:tcW w:w="851" w:type="dxa"/>
            <w:tcBorders>
              <w:top w:val="single" w:sz="4" w:space="0" w:color="auto"/>
              <w:bottom w:val="single" w:sz="4" w:space="0" w:color="auto"/>
            </w:tcBorders>
          </w:tcPr>
          <w:p>
            <w:pPr>
              <w:pStyle w:val="yTableNAm"/>
            </w:pPr>
            <w:r>
              <w:t>7.</w:t>
            </w:r>
          </w:p>
        </w:tc>
        <w:tc>
          <w:tcPr>
            <w:tcW w:w="3969" w:type="dxa"/>
            <w:tcBorders>
              <w:top w:val="single" w:sz="4" w:space="0" w:color="auto"/>
              <w:bottom w:val="single" w:sz="4" w:space="0" w:color="auto"/>
            </w:tcBorders>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446" w:type="dxa"/>
            <w:tcBorders>
              <w:top w:val="single" w:sz="4" w:space="0" w:color="auto"/>
              <w:bottom w:val="single" w:sz="4" w:space="0" w:color="auto"/>
            </w:tcBorders>
            <w:vAlign w:val="bottom"/>
          </w:tcPr>
          <w:p>
            <w:pPr>
              <w:pStyle w:val="yTableNAm"/>
            </w:pPr>
            <w:r>
              <w:t>$45.80</w:t>
            </w:r>
          </w:p>
        </w:tc>
      </w:tr>
      <w:tr>
        <w:trPr>
          <w:cantSplit/>
        </w:trPr>
        <w:tc>
          <w:tcPr>
            <w:tcW w:w="851" w:type="dxa"/>
            <w:tcBorders>
              <w:top w:val="single" w:sz="4" w:space="0" w:color="auto"/>
              <w:bottom w:val="nil"/>
            </w:tcBorders>
          </w:tcPr>
          <w:p>
            <w:pPr>
              <w:pStyle w:val="yTableNAm"/>
            </w:pPr>
            <w:r>
              <w:t>8.</w:t>
            </w:r>
          </w:p>
        </w:tc>
        <w:tc>
          <w:tcPr>
            <w:tcW w:w="3969" w:type="dxa"/>
            <w:tcBorders>
              <w:top w:val="single" w:sz="4" w:space="0" w:color="auto"/>
              <w:bottom w:val="nil"/>
            </w:tcBorders>
          </w:tcPr>
          <w:p>
            <w:pPr>
              <w:pStyle w:val="yTableNAm"/>
            </w:pPr>
            <w:r>
              <w:t xml:space="preserve">Replacement of prosecution documents — </w:t>
            </w:r>
          </w:p>
        </w:tc>
        <w:tc>
          <w:tcPr>
            <w:tcW w:w="1446" w:type="dxa"/>
            <w:tcBorders>
              <w:top w:val="single" w:sz="4" w:space="0" w:color="auto"/>
              <w:bottom w:val="nil"/>
            </w:tcBorders>
          </w:tcPr>
          <w:p>
            <w:pPr>
              <w:pStyle w:val="yTableNAm"/>
            </w:pPr>
          </w:p>
        </w:tc>
      </w:tr>
      <w:tr>
        <w:trPr>
          <w:cantSplit/>
        </w:trPr>
        <w:tc>
          <w:tcPr>
            <w:tcW w:w="851" w:type="dxa"/>
            <w:tcBorders>
              <w:top w:val="nil"/>
              <w:bottom w:val="nil"/>
            </w:tcBorders>
          </w:tcPr>
          <w:p>
            <w:pPr>
              <w:pStyle w:val="yTableNAm"/>
            </w:pPr>
          </w:p>
        </w:tc>
        <w:tc>
          <w:tcPr>
            <w:tcW w:w="3969" w:type="dxa"/>
            <w:tcBorders>
              <w:top w:val="nil"/>
              <w:bottom w:val="nil"/>
            </w:tcBorders>
          </w:tcPr>
          <w:p>
            <w:pPr>
              <w:pStyle w:val="yTableNAm"/>
              <w:spacing w:after="60"/>
              <w:ind w:left="567" w:hanging="567"/>
            </w:pPr>
            <w:r>
              <w:t>(a)</w:t>
            </w:r>
            <w:r>
              <w:tab/>
              <w:t>a statement of the material facts of a charge, which has already been served (per hour or part of an hour)</w:t>
            </w:r>
          </w:p>
        </w:tc>
        <w:tc>
          <w:tcPr>
            <w:tcW w:w="1446" w:type="dxa"/>
            <w:tcBorders>
              <w:top w:val="nil"/>
              <w:bottom w:val="nil"/>
            </w:tcBorders>
            <w:vAlign w:val="bottom"/>
          </w:tcPr>
          <w:p>
            <w:pPr>
              <w:pStyle w:val="yTableNAm"/>
            </w:pPr>
            <w:r>
              <w:t>$98.00</w:t>
            </w:r>
          </w:p>
        </w:tc>
      </w:tr>
      <w:tr>
        <w:trPr>
          <w:cantSplit/>
        </w:trPr>
        <w:tc>
          <w:tcPr>
            <w:tcW w:w="851" w:type="dxa"/>
            <w:tcBorders>
              <w:top w:val="nil"/>
            </w:tcBorders>
          </w:tcPr>
          <w:p>
            <w:pPr>
              <w:pStyle w:val="yTableNAm"/>
            </w:pPr>
          </w:p>
        </w:tc>
        <w:tc>
          <w:tcPr>
            <w:tcW w:w="3969" w:type="dxa"/>
            <w:tcBorders>
              <w:top w:val="nil"/>
            </w:tcBorders>
          </w:tcPr>
          <w:p>
            <w:pPr>
              <w:pStyle w:val="yTableNAm"/>
              <w:ind w:left="567" w:hanging="567"/>
            </w:pPr>
            <w:r>
              <w:t>(b)</w:t>
            </w:r>
            <w:r>
              <w:tab/>
              <w:t>additional copy of documents already disclosed (per hour or part of an hour)</w:t>
            </w:r>
          </w:p>
        </w:tc>
        <w:tc>
          <w:tcPr>
            <w:tcW w:w="1446" w:type="dxa"/>
            <w:tcBorders>
              <w:top w:val="nil"/>
            </w:tcBorders>
            <w:vAlign w:val="bottom"/>
          </w:tcPr>
          <w:p>
            <w:pPr>
              <w:pStyle w:val="yTableNAm"/>
            </w:pPr>
            <w:r>
              <w:t>$98.00</w:t>
            </w:r>
          </w:p>
        </w:tc>
      </w:tr>
    </w:tbl>
    <w:p>
      <w:pPr>
        <w:pStyle w:val="yFootnotesection"/>
      </w:pPr>
      <w:r>
        <w:tab/>
        <w:t>[Schedule 1 inserted: SL 2021/106 r. 9.]</w:t>
      </w:r>
    </w:p>
    <w:p>
      <w:pPr>
        <w:pStyle w:val="yScheduleHeading"/>
      </w:pPr>
      <w:bookmarkStart w:id="27" w:name="_Toc104968248"/>
      <w:bookmarkStart w:id="28" w:name="_Toc104968418"/>
      <w:bookmarkStart w:id="29" w:name="_Toc104975627"/>
      <w:bookmarkStart w:id="30" w:name="_Toc75769704"/>
      <w:bookmarkStart w:id="31" w:name="_Toc75865671"/>
      <w:r>
        <w:rPr>
          <w:rStyle w:val="CharSchNo"/>
        </w:rPr>
        <w:t>Schedule 2</w:t>
      </w:r>
      <w:r>
        <w:rPr>
          <w:rStyle w:val="CharSDivNo"/>
        </w:rPr>
        <w:t> </w:t>
      </w:r>
      <w:r>
        <w:t>—</w:t>
      </w:r>
      <w:r>
        <w:rPr>
          <w:rStyle w:val="CharSDivText"/>
        </w:rPr>
        <w:t> </w:t>
      </w:r>
      <w:r>
        <w:rPr>
          <w:rStyle w:val="CharSchText"/>
        </w:rPr>
        <w:t>Charges for major events</w:t>
      </w:r>
      <w:bookmarkEnd w:id="27"/>
      <w:bookmarkEnd w:id="28"/>
      <w:bookmarkEnd w:id="29"/>
      <w:bookmarkEnd w:id="30"/>
      <w:bookmarkEnd w:id="31"/>
    </w:p>
    <w:p>
      <w:pPr>
        <w:pStyle w:val="yShoulderClause"/>
      </w:pPr>
      <w:r>
        <w:t>[r. 6 and 8]</w:t>
      </w:r>
    </w:p>
    <w:p>
      <w:pPr>
        <w:pStyle w:val="yFootnoteheading"/>
        <w:spacing w:after="120"/>
      </w:pPr>
      <w:r>
        <w:tab/>
        <w:t>[Heading inserted: SL 2021/106 r. 9.]</w:t>
      </w:r>
    </w:p>
    <w:tbl>
      <w:tblPr>
        <w:tblW w:w="626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827"/>
        <w:gridCol w:w="1588"/>
      </w:tblGrid>
      <w:tr>
        <w:trPr>
          <w:tblHeader/>
        </w:trPr>
        <w:tc>
          <w:tcPr>
            <w:tcW w:w="851" w:type="dxa"/>
          </w:tcPr>
          <w:p>
            <w:pPr>
              <w:pStyle w:val="yTableNAm"/>
              <w:keepNext/>
              <w:keepLines/>
            </w:pPr>
          </w:p>
        </w:tc>
        <w:tc>
          <w:tcPr>
            <w:tcW w:w="3827" w:type="dxa"/>
          </w:tcPr>
          <w:p>
            <w:pPr>
              <w:pStyle w:val="yTableNAm"/>
              <w:keepNext/>
              <w:keepLines/>
              <w:rPr>
                <w:b/>
              </w:rPr>
            </w:pPr>
            <w:r>
              <w:rPr>
                <w:b/>
              </w:rPr>
              <w:t>Charge</w:t>
            </w:r>
          </w:p>
        </w:tc>
        <w:tc>
          <w:tcPr>
            <w:tcW w:w="1588" w:type="dxa"/>
          </w:tcPr>
          <w:p>
            <w:pPr>
              <w:pStyle w:val="yTableNAm"/>
              <w:keepNext/>
              <w:keepLines/>
              <w:rPr>
                <w:b/>
              </w:rPr>
            </w:pPr>
            <w:r>
              <w:rPr>
                <w:b/>
              </w:rPr>
              <w:t>Rate/hour</w:t>
            </w:r>
          </w:p>
        </w:tc>
      </w:tr>
      <w:tr>
        <w:tc>
          <w:tcPr>
            <w:tcW w:w="851" w:type="dxa"/>
          </w:tcPr>
          <w:p>
            <w:pPr>
              <w:pStyle w:val="yTableNAm"/>
              <w:keepNext/>
              <w:keepLines/>
            </w:pPr>
            <w:r>
              <w:t>1.</w:t>
            </w:r>
          </w:p>
        </w:tc>
        <w:tc>
          <w:tcPr>
            <w:tcW w:w="3827" w:type="dxa"/>
          </w:tcPr>
          <w:p>
            <w:pPr>
              <w:pStyle w:val="yTableNAm"/>
              <w:keepNext/>
              <w:keepLines/>
              <w:tabs>
                <w:tab w:val="right" w:leader="dot" w:pos="567"/>
                <w:tab w:val="right" w:leader="dot" w:pos="3328"/>
              </w:tabs>
              <w:spacing w:after="60"/>
            </w:pPr>
            <w:r>
              <w:t>Planning rate</w:t>
            </w:r>
          </w:p>
        </w:tc>
        <w:tc>
          <w:tcPr>
            <w:tcW w:w="1588" w:type="dxa"/>
          </w:tcPr>
          <w:p>
            <w:pPr>
              <w:pStyle w:val="yTableNAm"/>
              <w:keepNext/>
              <w:keepLines/>
            </w:pPr>
            <w:r>
              <w:t>$61.00</w:t>
            </w:r>
          </w:p>
        </w:tc>
      </w:tr>
      <w:tr>
        <w:tc>
          <w:tcPr>
            <w:tcW w:w="851" w:type="dxa"/>
          </w:tcPr>
          <w:p>
            <w:pPr>
              <w:pStyle w:val="yTableNAm"/>
            </w:pPr>
            <w:r>
              <w:t>2.</w:t>
            </w:r>
          </w:p>
        </w:tc>
        <w:tc>
          <w:tcPr>
            <w:tcW w:w="3827" w:type="dxa"/>
          </w:tcPr>
          <w:p>
            <w:pPr>
              <w:pStyle w:val="yTableNAm"/>
            </w:pPr>
            <w:r>
              <w:t>Attendance rate</w:t>
            </w:r>
          </w:p>
        </w:tc>
        <w:tc>
          <w:tcPr>
            <w:tcW w:w="1588" w:type="dxa"/>
          </w:tcPr>
          <w:p>
            <w:pPr>
              <w:pStyle w:val="yTableNAm"/>
            </w:pPr>
            <w:r>
              <w:t>$109.00</w:t>
            </w:r>
          </w:p>
        </w:tc>
      </w:tr>
      <w:tr>
        <w:tc>
          <w:tcPr>
            <w:tcW w:w="851" w:type="dxa"/>
          </w:tcPr>
          <w:p>
            <w:pPr>
              <w:pStyle w:val="yTableNAm"/>
            </w:pPr>
            <w:r>
              <w:t>3.</w:t>
            </w:r>
          </w:p>
        </w:tc>
        <w:tc>
          <w:tcPr>
            <w:tcW w:w="3827" w:type="dxa"/>
          </w:tcPr>
          <w:p>
            <w:pPr>
              <w:pStyle w:val="yTableNAm"/>
              <w:tabs>
                <w:tab w:val="right" w:leader="dot" w:pos="567"/>
                <w:tab w:val="right" w:leader="dot" w:pos="3328"/>
              </w:tabs>
              <w:spacing w:after="60"/>
            </w:pPr>
            <w:r>
              <w:t>General overhead expenses rate</w:t>
            </w:r>
          </w:p>
        </w:tc>
        <w:tc>
          <w:tcPr>
            <w:tcW w:w="1588" w:type="dxa"/>
          </w:tcPr>
          <w:p>
            <w:pPr>
              <w:pStyle w:val="yTableNAm"/>
            </w:pPr>
            <w:r>
              <w:t>$16.00</w:t>
            </w:r>
          </w:p>
        </w:tc>
      </w:tr>
      <w:tr>
        <w:tc>
          <w:tcPr>
            <w:tcW w:w="851" w:type="dxa"/>
          </w:tcPr>
          <w:p>
            <w:pPr>
              <w:pStyle w:val="yTableNAm"/>
            </w:pPr>
            <w:r>
              <w:t>4.</w:t>
            </w:r>
          </w:p>
        </w:tc>
        <w:tc>
          <w:tcPr>
            <w:tcW w:w="3827" w:type="dxa"/>
          </w:tcPr>
          <w:p>
            <w:pPr>
              <w:pStyle w:val="yTableNAm"/>
              <w:tabs>
                <w:tab w:val="right" w:leader="dot" w:pos="567"/>
                <w:tab w:val="right" w:leader="dot" w:pos="3328"/>
              </w:tabs>
              <w:spacing w:after="60"/>
            </w:pPr>
            <w:r>
              <w:t>Overhead expenses rate for air support — helicopter</w:t>
            </w:r>
          </w:p>
        </w:tc>
        <w:tc>
          <w:tcPr>
            <w:tcW w:w="1588" w:type="dxa"/>
            <w:vAlign w:val="bottom"/>
          </w:tcPr>
          <w:p>
            <w:pPr>
              <w:pStyle w:val="yTableNAm"/>
            </w:pPr>
            <w:r>
              <w:t>$3 087.00</w:t>
            </w:r>
          </w:p>
        </w:tc>
      </w:tr>
      <w:tr>
        <w:tc>
          <w:tcPr>
            <w:tcW w:w="851" w:type="dxa"/>
          </w:tcPr>
          <w:p>
            <w:pPr>
              <w:pStyle w:val="yTableNAm"/>
            </w:pPr>
            <w:r>
              <w:t>5.</w:t>
            </w:r>
          </w:p>
        </w:tc>
        <w:tc>
          <w:tcPr>
            <w:tcW w:w="3827" w:type="dxa"/>
          </w:tcPr>
          <w:p>
            <w:pPr>
              <w:pStyle w:val="yTableNAm"/>
              <w:tabs>
                <w:tab w:val="right" w:leader="dot" w:pos="567"/>
                <w:tab w:val="right" w:leader="dot" w:pos="3328"/>
              </w:tabs>
              <w:spacing w:after="60"/>
            </w:pPr>
            <w:r>
              <w:t>Overhead expenses rate for air support — fixed wing aircraft</w:t>
            </w:r>
          </w:p>
        </w:tc>
        <w:tc>
          <w:tcPr>
            <w:tcW w:w="1588" w:type="dxa"/>
            <w:vAlign w:val="bottom"/>
          </w:tcPr>
          <w:p>
            <w:pPr>
              <w:pStyle w:val="yTableNAm"/>
            </w:pPr>
            <w:r>
              <w:t>$2 037.00</w:t>
            </w:r>
          </w:p>
        </w:tc>
      </w:tr>
    </w:tbl>
    <w:p>
      <w:pPr>
        <w:pStyle w:val="yFootnotesection"/>
      </w:pPr>
      <w:r>
        <w:tab/>
        <w:t>[Schedule 2 inserted: SL 2021/106 r. 9.]</w:t>
      </w:r>
    </w:p>
    <w:bookmarkEnd w:id="26"/>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3" w:name="_Toc104968249"/>
      <w:bookmarkStart w:id="34" w:name="_Toc104968419"/>
      <w:bookmarkStart w:id="35" w:name="_Toc104975628"/>
      <w:bookmarkStart w:id="36" w:name="_Toc75769073"/>
      <w:bookmarkStart w:id="37" w:name="_Toc75769705"/>
      <w:bookmarkStart w:id="38" w:name="_Toc75865672"/>
      <w:r>
        <w:t>Notes</w:t>
      </w:r>
      <w:bookmarkEnd w:id="33"/>
      <w:bookmarkEnd w:id="34"/>
      <w:bookmarkEnd w:id="35"/>
      <w:bookmarkEnd w:id="36"/>
      <w:bookmarkEnd w:id="37"/>
      <w:bookmarkEnd w:id="38"/>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 </w:t>
      </w:r>
      <w:ins w:id="39" w:author="Master Repository Process" w:date="2022-06-03T11:41:00Z">
        <w:r>
          <w:t>For provisions that have not yet come into operation see the uncommenced provisions table.</w:t>
        </w:r>
      </w:ins>
    </w:p>
    <w:p>
      <w:pPr>
        <w:pStyle w:val="nHeading3"/>
      </w:pPr>
      <w:bookmarkStart w:id="40" w:name="_Toc104975629"/>
      <w:bookmarkStart w:id="41" w:name="_Toc75865673"/>
      <w:r>
        <w:t>Compilation table</w:t>
      </w:r>
      <w:bookmarkEnd w:id="40"/>
      <w:bookmarkEnd w:id="4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2021</w:t>
            </w:r>
            <w:r>
              <w:t xml:space="preserve"> Pt. 4</w:t>
            </w:r>
          </w:p>
        </w:tc>
        <w:tc>
          <w:tcPr>
            <w:tcW w:w="1276" w:type="dxa"/>
            <w:tcBorders>
              <w:top w:val="nil"/>
              <w:bottom w:val="single" w:sz="4" w:space="0" w:color="auto"/>
            </w:tcBorders>
          </w:tcPr>
          <w:p>
            <w:pPr>
              <w:pStyle w:val="nTable"/>
              <w:spacing w:after="40"/>
            </w:pPr>
            <w:r>
              <w:t xml:space="preserve">SL 2021/106 29 Jun 2021 </w:t>
            </w:r>
          </w:p>
        </w:tc>
        <w:tc>
          <w:tcPr>
            <w:tcW w:w="2693" w:type="dxa"/>
            <w:tcBorders>
              <w:top w:val="nil"/>
              <w:bottom w:val="single" w:sz="4" w:space="0" w:color="auto"/>
            </w:tcBorders>
          </w:tcPr>
          <w:p>
            <w:pPr>
              <w:pStyle w:val="nTable"/>
              <w:spacing w:after="40"/>
            </w:pPr>
            <w:r>
              <w:t>1 Jul 2021 (see r. 2(b))</w:t>
            </w:r>
          </w:p>
        </w:tc>
      </w:tr>
    </w:tbl>
    <w:p>
      <w:pPr>
        <w:pStyle w:val="nHeading3"/>
        <w:rPr>
          <w:ins w:id="42" w:author="Master Repository Process" w:date="2022-06-03T11:41:00Z"/>
        </w:rPr>
      </w:pPr>
      <w:bookmarkStart w:id="43" w:name="_Toc104975630"/>
      <w:ins w:id="44" w:author="Master Repository Process" w:date="2022-06-03T11:41:00Z">
        <w:r>
          <w:t>Uncommenced provisions table</w:t>
        </w:r>
        <w:bookmarkEnd w:id="43"/>
      </w:ins>
    </w:p>
    <w:p>
      <w:pPr>
        <w:pStyle w:val="nStatement"/>
        <w:keepNext/>
        <w:spacing w:after="240"/>
        <w:rPr>
          <w:ins w:id="45" w:author="Master Repository Process" w:date="2022-06-03T11:41:00Z"/>
        </w:rPr>
      </w:pPr>
      <w:ins w:id="46" w:author="Master Repository Process" w:date="2022-06-03T11: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2-06-03T11:41:00Z"/>
        </w:trPr>
        <w:tc>
          <w:tcPr>
            <w:tcW w:w="3118" w:type="dxa"/>
          </w:tcPr>
          <w:p>
            <w:pPr>
              <w:pStyle w:val="nTable"/>
              <w:spacing w:after="40"/>
              <w:rPr>
                <w:ins w:id="48" w:author="Master Repository Process" w:date="2022-06-03T11:41:00Z"/>
                <w:b/>
              </w:rPr>
            </w:pPr>
            <w:ins w:id="49" w:author="Master Repository Process" w:date="2022-06-03T11:41:00Z">
              <w:r>
                <w:rPr>
                  <w:b/>
                </w:rPr>
                <w:t>Citation</w:t>
              </w:r>
            </w:ins>
          </w:p>
        </w:tc>
        <w:tc>
          <w:tcPr>
            <w:tcW w:w="1276" w:type="dxa"/>
          </w:tcPr>
          <w:p>
            <w:pPr>
              <w:pStyle w:val="nTable"/>
              <w:spacing w:after="40"/>
              <w:rPr>
                <w:ins w:id="50" w:author="Master Repository Process" w:date="2022-06-03T11:41:00Z"/>
                <w:b/>
              </w:rPr>
            </w:pPr>
            <w:ins w:id="51" w:author="Master Repository Process" w:date="2022-06-03T11:41:00Z">
              <w:r>
                <w:rPr>
                  <w:b/>
                </w:rPr>
                <w:t>Published</w:t>
              </w:r>
            </w:ins>
          </w:p>
        </w:tc>
        <w:tc>
          <w:tcPr>
            <w:tcW w:w="2693" w:type="dxa"/>
          </w:tcPr>
          <w:p>
            <w:pPr>
              <w:pStyle w:val="nTable"/>
              <w:spacing w:after="40"/>
              <w:rPr>
                <w:ins w:id="52" w:author="Master Repository Process" w:date="2022-06-03T11:41:00Z"/>
                <w:b/>
              </w:rPr>
            </w:pPr>
            <w:ins w:id="53" w:author="Master Repository Process" w:date="2022-06-03T11:41:00Z">
              <w:r>
                <w:rPr>
                  <w:b/>
                </w:rPr>
                <w:t>Commencement</w:t>
              </w:r>
            </w:ins>
          </w:p>
        </w:tc>
      </w:tr>
      <w:tr>
        <w:trPr>
          <w:ins w:id="54" w:author="Master Repository Process" w:date="2022-06-03T11:41:00Z"/>
        </w:trPr>
        <w:tc>
          <w:tcPr>
            <w:tcW w:w="3118" w:type="dxa"/>
          </w:tcPr>
          <w:p>
            <w:pPr>
              <w:pStyle w:val="nTable"/>
              <w:spacing w:after="40"/>
              <w:rPr>
                <w:ins w:id="55" w:author="Master Repository Process" w:date="2022-06-03T11:41:00Z"/>
              </w:rPr>
            </w:pPr>
            <w:ins w:id="56" w:author="Master Repository Process" w:date="2022-06-03T11:41:00Z">
              <w:r>
                <w:rPr>
                  <w:i/>
                </w:rPr>
                <w:t>Police Regulations Amendment (Fees and Charges) Regulations 2022</w:t>
              </w:r>
              <w:r>
                <w:t xml:space="preserve"> Pt. 4</w:t>
              </w:r>
            </w:ins>
          </w:p>
        </w:tc>
        <w:tc>
          <w:tcPr>
            <w:tcW w:w="1276" w:type="dxa"/>
          </w:tcPr>
          <w:p>
            <w:pPr>
              <w:pStyle w:val="nTable"/>
              <w:spacing w:after="40"/>
              <w:rPr>
                <w:ins w:id="57" w:author="Master Repository Process" w:date="2022-06-03T11:41:00Z"/>
              </w:rPr>
            </w:pPr>
            <w:ins w:id="58" w:author="Master Repository Process" w:date="2022-06-03T11:41:00Z">
              <w:r>
                <w:t>SL 2022/65 3 Jun 2022</w:t>
              </w:r>
            </w:ins>
          </w:p>
        </w:tc>
        <w:tc>
          <w:tcPr>
            <w:tcW w:w="2693" w:type="dxa"/>
          </w:tcPr>
          <w:p>
            <w:pPr>
              <w:pStyle w:val="nTable"/>
              <w:spacing w:after="40"/>
              <w:rPr>
                <w:ins w:id="59" w:author="Master Repository Process" w:date="2022-06-03T11:41:00Z"/>
              </w:rPr>
            </w:pPr>
            <w:ins w:id="60" w:author="Master Repository Process" w:date="2022-06-03T11:41:00Z">
              <w:r>
                <w:t>1 Jul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2" w:name="Schedule"/>
    <w:bookmarkEnd w:id="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85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8E24-D1A3-455E-AE66-17D18C25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6303</Characters>
  <Application>Microsoft Office Word</Application>
  <DocSecurity>0</DocSecurity>
  <Lines>262</Lines>
  <Paragraphs>171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00-h0-00 - 00-i0-00</dc:title>
  <dc:subject/>
  <dc:creator/>
  <cp:keywords/>
  <dc:description/>
  <cp:lastModifiedBy>Master Repository Process</cp:lastModifiedBy>
  <cp:revision>2</cp:revision>
  <cp:lastPrinted>2019-06-25T00:38:00Z</cp:lastPrinted>
  <dcterms:created xsi:type="dcterms:W3CDTF">2022-06-03T03:41:00Z</dcterms:created>
  <dcterms:modified xsi:type="dcterms:W3CDTF">2022-06-03T03:41:00Z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20220603</vt:lpwstr>
  </property>
  <property fmtid="{D5CDD505-2E9C-101B-9397-08002B2CF9AE}" pid="4" name="FromSuffix">
    <vt:lpwstr>00-h0-00</vt:lpwstr>
  </property>
  <property fmtid="{D5CDD505-2E9C-101B-9397-08002B2CF9AE}" pid="5" name="FromAsAtDate">
    <vt:lpwstr>01 Jul 2021</vt:lpwstr>
  </property>
  <property fmtid="{D5CDD505-2E9C-101B-9397-08002B2CF9AE}" pid="6" name="ToSuffix">
    <vt:lpwstr>00-i0-00</vt:lpwstr>
  </property>
  <property fmtid="{D5CDD505-2E9C-101B-9397-08002B2CF9AE}" pid="7" name="ToAsAtDate">
    <vt:lpwstr>03 Jun 2022</vt:lpwstr>
  </property>
</Properties>
</file>