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Control (General)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Apr 2006</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31 Jul 2006</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Tobacco Control Act 1990</w:t>
      </w:r>
    </w:p>
    <w:p>
      <w:pPr>
        <w:pStyle w:val="NameofActReg"/>
      </w:pPr>
      <w:r>
        <w:t>Tobacco Control (General) Regulations 1991</w:t>
      </w:r>
    </w:p>
    <w:p>
      <w:pPr>
        <w:pStyle w:val="Heading2"/>
        <w:pageBreakBefore w:val="0"/>
      </w:pPr>
      <w:bookmarkStart w:id="1" w:name="_Toc379276665"/>
      <w:bookmarkStart w:id="2" w:name="_Toc426543810"/>
      <w:bookmarkStart w:id="3" w:name="_Toc133125584"/>
      <w:r>
        <w:rPr>
          <w:rStyle w:val="CharPartNo"/>
        </w:rPr>
        <w:t>P</w:t>
      </w:r>
      <w:bookmarkStart w:id="4" w:name="_GoBack"/>
      <w:bookmarkEnd w:id="4"/>
      <w:r>
        <w:rPr>
          <w:rStyle w:val="CharPartNo"/>
        </w:rPr>
        <w:t>art 1</w:t>
      </w:r>
      <w:r>
        <w:t> —</w:t>
      </w:r>
      <w:r>
        <w:rPr>
          <w:rStyle w:val="CharDivText"/>
        </w:rPr>
        <w:t> </w:t>
      </w:r>
      <w:r>
        <w:rPr>
          <w:rStyle w:val="CharPartText"/>
        </w:rPr>
        <w:t>Preliminary</w:t>
      </w:r>
      <w:bookmarkEnd w:id="1"/>
      <w:bookmarkEnd w:id="2"/>
      <w:bookmarkEnd w:id="3"/>
    </w:p>
    <w:p>
      <w:pPr>
        <w:pStyle w:val="Heading5"/>
        <w:rPr>
          <w:snapToGrid w:val="0"/>
        </w:rPr>
      </w:pPr>
      <w:bookmarkStart w:id="5" w:name="_Toc379276666"/>
      <w:bookmarkStart w:id="6" w:name="_Toc426543811"/>
      <w:bookmarkStart w:id="7" w:name="_Toc435000958"/>
      <w:bookmarkStart w:id="8" w:name="_Toc533836878"/>
      <w:bookmarkStart w:id="9" w:name="_Toc535903318"/>
      <w:bookmarkStart w:id="10" w:name="_Toc133125585"/>
      <w:r>
        <w:rPr>
          <w:rStyle w:val="CharSectno"/>
        </w:rPr>
        <w:t>1</w:t>
      </w:r>
      <w:r>
        <w:rPr>
          <w:snapToGrid w:val="0"/>
        </w:rPr>
        <w:t>.</w:t>
      </w:r>
      <w:r>
        <w:rPr>
          <w:snapToGrid w:val="0"/>
        </w:rPr>
        <w:tab/>
        <w:t>Citation</w:t>
      </w:r>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Tobacco Control (General) Regulations 1991</w:t>
      </w:r>
      <w:r>
        <w:rPr>
          <w:snapToGrid w:val="0"/>
          <w:vertAlign w:val="superscript"/>
        </w:rPr>
        <w:t> 1</w:t>
      </w:r>
      <w:r>
        <w:rPr>
          <w:snapToGrid w:val="0"/>
        </w:rPr>
        <w:t>.</w:t>
      </w:r>
    </w:p>
    <w:p>
      <w:pPr>
        <w:pStyle w:val="Heading5"/>
        <w:rPr>
          <w:snapToGrid w:val="0"/>
        </w:rPr>
      </w:pPr>
      <w:bookmarkStart w:id="11" w:name="_Toc379276667"/>
      <w:bookmarkStart w:id="12" w:name="_Toc426543812"/>
      <w:bookmarkStart w:id="13" w:name="_Toc435000959"/>
      <w:bookmarkStart w:id="14" w:name="_Toc533836879"/>
      <w:bookmarkStart w:id="15" w:name="_Toc535903319"/>
      <w:bookmarkStart w:id="16" w:name="_Toc133125586"/>
      <w:r>
        <w:rPr>
          <w:rStyle w:val="CharSectno"/>
        </w:rPr>
        <w:t>2</w:t>
      </w:r>
      <w:r>
        <w:rPr>
          <w:snapToGrid w:val="0"/>
        </w:rPr>
        <w:t>.</w:t>
      </w:r>
      <w:r>
        <w:rPr>
          <w:snapToGrid w:val="0"/>
        </w:rPr>
        <w:tab/>
        <w:t>Commencement</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These regulations shall come into operation on the day on which section 5(1) of the Act comes into operation</w:t>
      </w:r>
      <w:r>
        <w:rPr>
          <w:snapToGrid w:val="0"/>
          <w:vertAlign w:val="superscript"/>
        </w:rPr>
        <w:t> 1</w:t>
      </w:r>
      <w:r>
        <w:rPr>
          <w:snapToGrid w:val="0"/>
        </w:rPr>
        <w:t>.</w:t>
      </w:r>
    </w:p>
    <w:p>
      <w:pPr>
        <w:pStyle w:val="Heading5"/>
        <w:rPr>
          <w:snapToGrid w:val="0"/>
        </w:rPr>
      </w:pPr>
      <w:bookmarkStart w:id="17" w:name="_Toc379276668"/>
      <w:bookmarkStart w:id="18" w:name="_Toc426543813"/>
      <w:bookmarkStart w:id="19" w:name="_Toc435000960"/>
      <w:bookmarkStart w:id="20" w:name="_Toc533836880"/>
      <w:bookmarkStart w:id="21" w:name="_Toc535903320"/>
      <w:bookmarkStart w:id="22" w:name="_Toc133125587"/>
      <w:r>
        <w:rPr>
          <w:rStyle w:val="CharSectno"/>
        </w:rPr>
        <w:t>3</w:t>
      </w:r>
      <w:r>
        <w:rPr>
          <w:snapToGrid w:val="0"/>
        </w:rPr>
        <w:t>.</w:t>
      </w:r>
      <w:r>
        <w:rPr>
          <w:snapToGrid w:val="0"/>
        </w:rPr>
        <w:tab/>
        <w:t>Interpretation</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advertising display</w:t>
      </w:r>
      <w:r>
        <w:rPr>
          <w:b/>
        </w:rPr>
        <w:t>”</w:t>
      </w:r>
      <w:r>
        <w:t xml:space="preserve"> means dispensing unit, together with any tobacco advertisement directly adjacent to it;</w:t>
      </w:r>
    </w:p>
    <w:p>
      <w:pPr>
        <w:pStyle w:val="Defstart"/>
      </w:pPr>
      <w:r>
        <w:rPr>
          <w:b/>
        </w:rPr>
        <w:tab/>
        <w:t>“</w:t>
      </w:r>
      <w:r>
        <w:rPr>
          <w:rStyle w:val="CharDefText"/>
        </w:rPr>
        <w:t>dispensing unit</w:t>
      </w:r>
      <w:r>
        <w:rPr>
          <w:b/>
        </w:rPr>
        <w:t>”</w:t>
      </w:r>
      <w:r>
        <w:t xml:space="preserve"> means container, structure or unit — </w:t>
      </w:r>
    </w:p>
    <w:p>
      <w:pPr>
        <w:pStyle w:val="Defpara"/>
      </w:pPr>
      <w:r>
        <w:tab/>
        <w:t>(a)</w:t>
      </w:r>
      <w:r>
        <w:tab/>
        <w:t>designed or adapted to dispense, display, promote or store tobacco products; and</w:t>
      </w:r>
    </w:p>
    <w:p>
      <w:pPr>
        <w:pStyle w:val="Defpara"/>
      </w:pPr>
      <w:r>
        <w:tab/>
        <w:t>(b)</w:t>
      </w:r>
      <w:r>
        <w:tab/>
        <w:t>situated in a shop or other retail outlet,</w:t>
      </w:r>
    </w:p>
    <w:p>
      <w:pPr>
        <w:pStyle w:val="Defstart"/>
      </w:pPr>
      <w:r>
        <w:tab/>
      </w:r>
      <w:r>
        <w:tab/>
        <w:t>and includes a vending machine situated in a shop or other retail outlet;</w:t>
      </w:r>
    </w:p>
    <w:p>
      <w:pPr>
        <w:pStyle w:val="Defstart"/>
        <w:keepNext/>
      </w:pPr>
      <w:r>
        <w:rPr>
          <w:b/>
        </w:rPr>
        <w:tab/>
        <w:t>“</w:t>
      </w:r>
      <w:r>
        <w:rPr>
          <w:rStyle w:val="CharDefText"/>
        </w:rPr>
        <w:t>health warning</w:t>
      </w:r>
      <w:r>
        <w:rPr>
          <w:b/>
        </w:rPr>
        <w:t>”</w:t>
      </w:r>
      <w:r>
        <w:t xml:space="preserve"> means either of the following warnings — </w:t>
      </w:r>
    </w:p>
    <w:p>
      <w:pPr>
        <w:pStyle w:val="Defpara"/>
      </w:pPr>
      <w:r>
        <w:tab/>
        <w:t>(a)</w:t>
      </w:r>
      <w:r>
        <w:tab/>
        <w:t>“SMOKING KILLS”; or</w:t>
      </w:r>
    </w:p>
    <w:p>
      <w:pPr>
        <w:pStyle w:val="Defpara"/>
      </w:pPr>
      <w:r>
        <w:tab/>
        <w:t>(b)</w:t>
      </w:r>
      <w:r>
        <w:tab/>
        <w:t>“SMOKING IS ADDICTIVE”;</w:t>
      </w:r>
    </w:p>
    <w:p>
      <w:pPr>
        <w:pStyle w:val="Defstart"/>
      </w:pPr>
      <w:r>
        <w:rPr>
          <w:b/>
        </w:rPr>
        <w:tab/>
        <w:t>“</w:t>
      </w:r>
      <w:r>
        <w:rPr>
          <w:rStyle w:val="CharDefText"/>
        </w:rPr>
        <w:t>illuminated sign</w:t>
      </w:r>
      <w:r>
        <w:rPr>
          <w:b/>
        </w:rPr>
        <w:t>”</w:t>
      </w:r>
      <w:r>
        <w:t xml:space="preserve"> includes neon sign, but does not include electronically</w:t>
      </w:r>
      <w:r>
        <w:noBreakHyphen/>
        <w:t>generated image;</w:t>
      </w:r>
    </w:p>
    <w:p>
      <w:pPr>
        <w:pStyle w:val="Defstart"/>
      </w:pPr>
      <w:r>
        <w:rPr>
          <w:b/>
        </w:rPr>
        <w:tab/>
        <w:t>“</w:t>
      </w:r>
      <w:bookmarkStart w:id="23" w:name="endcomma"/>
      <w:bookmarkEnd w:id="23"/>
      <w:r>
        <w:rPr>
          <w:rStyle w:val="CharDefText"/>
        </w:rPr>
        <w:t>shopkeeper</w:t>
      </w:r>
      <w:r>
        <w:rPr>
          <w:b/>
        </w:rPr>
        <w:t>”</w:t>
      </w:r>
      <w:r>
        <w:t xml:space="preserve"> </w:t>
      </w:r>
      <w:bookmarkStart w:id="24" w:name="comma"/>
      <w:bookmarkEnd w:id="24"/>
      <w:r>
        <w:t>means person who operates a shop or other retail outlet.</w:t>
      </w:r>
    </w:p>
    <w:p>
      <w:pPr>
        <w:pStyle w:val="Subsection"/>
        <w:keepNext/>
        <w:rPr>
          <w:snapToGrid w:val="0"/>
        </w:rPr>
      </w:pPr>
      <w:r>
        <w:rPr>
          <w:snapToGrid w:val="0"/>
        </w:rPr>
        <w:tab/>
        <w:t>(2)</w:t>
      </w:r>
      <w:r>
        <w:rPr>
          <w:snapToGrid w:val="0"/>
        </w:rPr>
        <w:tab/>
        <w:t>A reference in these regulations to “an attribution” or “the attribution” is a reference to the statement “Health Authority Warning”.</w:t>
      </w:r>
    </w:p>
    <w:p>
      <w:pPr>
        <w:pStyle w:val="Footnotesection"/>
      </w:pPr>
      <w:r>
        <w:tab/>
        <w:t xml:space="preserve">[Regulation 3 amended in Gazette 24 Jan 1992 p. 366; 4 Sep 1992 p. 4476; 9 Dec 1994 p. 6665.] </w:t>
      </w:r>
    </w:p>
    <w:p>
      <w:pPr>
        <w:pStyle w:val="Heading2"/>
      </w:pPr>
      <w:bookmarkStart w:id="25" w:name="_Toc379276669"/>
      <w:bookmarkStart w:id="26" w:name="_Toc426543814"/>
      <w:bookmarkStart w:id="27" w:name="_Toc133125588"/>
      <w:r>
        <w:rPr>
          <w:rStyle w:val="CharPartNo"/>
        </w:rPr>
        <w:t>Part 2</w:t>
      </w:r>
      <w:r>
        <w:rPr>
          <w:rStyle w:val="CharDivNo"/>
        </w:rPr>
        <w:t> </w:t>
      </w:r>
      <w:r>
        <w:t>—</w:t>
      </w:r>
      <w:r>
        <w:rPr>
          <w:rStyle w:val="CharDivText"/>
        </w:rPr>
        <w:t> </w:t>
      </w:r>
      <w:r>
        <w:rPr>
          <w:rStyle w:val="CharPartText"/>
        </w:rPr>
        <w:t>Point of sale advertising</w:t>
      </w:r>
      <w:bookmarkEnd w:id="25"/>
      <w:bookmarkEnd w:id="26"/>
      <w:bookmarkEnd w:id="27"/>
      <w:r>
        <w:rPr>
          <w:rStyle w:val="CharPartText"/>
        </w:rPr>
        <w:t xml:space="preserve"> </w:t>
      </w:r>
    </w:p>
    <w:p>
      <w:pPr>
        <w:pStyle w:val="Heading5"/>
        <w:rPr>
          <w:snapToGrid w:val="0"/>
        </w:rPr>
      </w:pPr>
      <w:bookmarkStart w:id="28" w:name="_Toc379276670"/>
      <w:bookmarkStart w:id="29" w:name="_Toc426543815"/>
      <w:bookmarkStart w:id="30" w:name="_Toc435000961"/>
      <w:bookmarkStart w:id="31" w:name="_Toc533836881"/>
      <w:bookmarkStart w:id="32" w:name="_Toc535903321"/>
      <w:bookmarkStart w:id="33" w:name="_Toc133125589"/>
      <w:r>
        <w:rPr>
          <w:rStyle w:val="CharSectno"/>
        </w:rPr>
        <w:t>4</w:t>
      </w:r>
      <w:r>
        <w:rPr>
          <w:snapToGrid w:val="0"/>
        </w:rPr>
        <w:t>.</w:t>
      </w:r>
      <w:r>
        <w:rPr>
          <w:snapToGrid w:val="0"/>
        </w:rPr>
        <w:tab/>
        <w:t>Tobacco advertisements not to be visible from public places outside shops or other retail outlets</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A shopkeeper shall ensure that a tobacco advertisement which is situated inside his or her shop or other retail outlet is positioned in such a way that its visual or written message is not visible from a public place outside that shop or retail outlet.</w:t>
      </w:r>
    </w:p>
    <w:p>
      <w:pPr>
        <w:pStyle w:val="Penstart"/>
        <w:rPr>
          <w:snapToGrid w:val="0"/>
        </w:rPr>
      </w:pPr>
      <w:r>
        <w:rPr>
          <w:snapToGrid w:val="0"/>
        </w:rPr>
        <w:tab/>
        <w:t>Penalty: $1 000.</w:t>
      </w:r>
    </w:p>
    <w:p>
      <w:pPr>
        <w:pStyle w:val="Footnotesection"/>
      </w:pPr>
      <w:r>
        <w:tab/>
        <w:t xml:space="preserve">[Regulation 4 amended in Gazette 24 Jan 1992 p. 366.] </w:t>
      </w:r>
    </w:p>
    <w:p>
      <w:pPr>
        <w:pStyle w:val="Heading5"/>
        <w:rPr>
          <w:snapToGrid w:val="0"/>
        </w:rPr>
      </w:pPr>
      <w:bookmarkStart w:id="34" w:name="_Toc379276671"/>
      <w:bookmarkStart w:id="35" w:name="_Toc426543816"/>
      <w:bookmarkStart w:id="36" w:name="_Toc435000962"/>
      <w:bookmarkStart w:id="37" w:name="_Toc533836882"/>
      <w:bookmarkStart w:id="38" w:name="_Toc535903322"/>
      <w:bookmarkStart w:id="39" w:name="_Toc133125590"/>
      <w:r>
        <w:rPr>
          <w:rStyle w:val="CharSectno"/>
        </w:rPr>
        <w:t>5</w:t>
      </w:r>
      <w:r>
        <w:rPr>
          <w:snapToGrid w:val="0"/>
        </w:rPr>
        <w:t>.</w:t>
      </w:r>
      <w:r>
        <w:rPr>
          <w:snapToGrid w:val="0"/>
        </w:rPr>
        <w:tab/>
        <w:t>Maximum dimensions of tobacco advertisements</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A shopkeeper shall ensure that the maximum area occupied by tobacco advertisements which form part of an advertising display which is situated inside his or her shop or other retail outlet does not exceed 3 000 square centimetres.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shopkeeper shall ensure that the width, or the maximum width, as the case requires, of any one tobacco advertisement which is situated inside his or her shop or other retail outlet is neither less than half, nor more than 3½ times, the height, or the maximum height, as the case requires, of that tobacco advertisement.</w:t>
      </w:r>
    </w:p>
    <w:p>
      <w:pPr>
        <w:pStyle w:val="Penstart"/>
        <w:rPr>
          <w:snapToGrid w:val="0"/>
        </w:rPr>
      </w:pPr>
      <w:r>
        <w:rPr>
          <w:snapToGrid w:val="0"/>
        </w:rPr>
        <w:tab/>
        <w:t>Penalty: $1 000.</w:t>
      </w:r>
    </w:p>
    <w:p>
      <w:pPr>
        <w:pStyle w:val="Footnotesection"/>
      </w:pPr>
      <w:r>
        <w:tab/>
        <w:t xml:space="preserve">[Regulation 5 inserted in Gazette 24 Jan 1992 p. 366.] </w:t>
      </w:r>
    </w:p>
    <w:p>
      <w:pPr>
        <w:pStyle w:val="Heading5"/>
        <w:rPr>
          <w:snapToGrid w:val="0"/>
        </w:rPr>
      </w:pPr>
      <w:bookmarkStart w:id="40" w:name="_Toc379276672"/>
      <w:bookmarkStart w:id="41" w:name="_Toc426543817"/>
      <w:bookmarkStart w:id="42" w:name="_Toc435000963"/>
      <w:bookmarkStart w:id="43" w:name="_Toc533836883"/>
      <w:bookmarkStart w:id="44" w:name="_Toc535903323"/>
      <w:bookmarkStart w:id="45" w:name="_Toc133125591"/>
      <w:r>
        <w:rPr>
          <w:rStyle w:val="CharSectno"/>
        </w:rPr>
        <w:t>6</w:t>
      </w:r>
      <w:r>
        <w:rPr>
          <w:snapToGrid w:val="0"/>
        </w:rPr>
        <w:t>.</w:t>
      </w:r>
      <w:r>
        <w:rPr>
          <w:snapToGrid w:val="0"/>
        </w:rPr>
        <w:tab/>
        <w:t>Tobacco advertisements to form part of advertising displays</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A shopkeeper shall not have situated inside his or her shop or other retail outlet a tobacco advertisement which does not form part of an advertising display.</w:t>
      </w:r>
    </w:p>
    <w:p>
      <w:pPr>
        <w:pStyle w:val="Penstart"/>
        <w:rPr>
          <w:snapToGrid w:val="0"/>
        </w:rPr>
      </w:pPr>
      <w:r>
        <w:rPr>
          <w:snapToGrid w:val="0"/>
        </w:rPr>
        <w:tab/>
        <w:t>Penalty: $1 000.</w:t>
      </w:r>
    </w:p>
    <w:p>
      <w:pPr>
        <w:pStyle w:val="Heading5"/>
        <w:rPr>
          <w:snapToGrid w:val="0"/>
        </w:rPr>
      </w:pPr>
      <w:bookmarkStart w:id="46" w:name="_Toc379276673"/>
      <w:bookmarkStart w:id="47" w:name="_Toc426543818"/>
      <w:bookmarkStart w:id="48" w:name="_Toc435000964"/>
      <w:bookmarkStart w:id="49" w:name="_Toc533836884"/>
      <w:bookmarkStart w:id="50" w:name="_Toc535903324"/>
      <w:bookmarkStart w:id="51" w:name="_Toc133125592"/>
      <w:r>
        <w:rPr>
          <w:rStyle w:val="CharSectno"/>
        </w:rPr>
        <w:t>6A</w:t>
      </w:r>
      <w:r>
        <w:rPr>
          <w:snapToGrid w:val="0"/>
        </w:rPr>
        <w:t>.</w:t>
      </w:r>
      <w:r>
        <w:rPr>
          <w:snapToGrid w:val="0"/>
        </w:rPr>
        <w:tab/>
        <w:t>Electronic advertising</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A shopkeeper shall not have situated inside his or her shop or other retail outlet a tobacco advertisement which is constituted in whole or part by, or which uses, an electronically generated image or electronically generated sound.</w:t>
      </w:r>
    </w:p>
    <w:p>
      <w:pPr>
        <w:pStyle w:val="Penstart"/>
        <w:rPr>
          <w:snapToGrid w:val="0"/>
        </w:rPr>
      </w:pPr>
      <w:r>
        <w:rPr>
          <w:snapToGrid w:val="0"/>
        </w:rPr>
        <w:tab/>
        <w:t>Penalty: $1 000.</w:t>
      </w:r>
    </w:p>
    <w:p>
      <w:pPr>
        <w:pStyle w:val="Footnotesection"/>
      </w:pPr>
      <w:r>
        <w:tab/>
        <w:t xml:space="preserve">[Regulation 6A inserted in Gazette 13 Dec 1991 p. 6190.] </w:t>
      </w:r>
    </w:p>
    <w:p>
      <w:pPr>
        <w:pStyle w:val="Ednotesection"/>
      </w:pPr>
      <w:r>
        <w:t>[</w:t>
      </w:r>
      <w:r>
        <w:rPr>
          <w:b/>
        </w:rPr>
        <w:t>7.</w:t>
      </w:r>
      <w:r>
        <w:tab/>
      </w:r>
      <w:r>
        <w:tab/>
        <w:t xml:space="preserve">Repealed in Gazette 24 Jan 1992 p. 366.] </w:t>
      </w:r>
    </w:p>
    <w:p>
      <w:pPr>
        <w:pStyle w:val="Heading5"/>
        <w:rPr>
          <w:snapToGrid w:val="0"/>
        </w:rPr>
      </w:pPr>
      <w:bookmarkStart w:id="52" w:name="_Toc379276674"/>
      <w:bookmarkStart w:id="53" w:name="_Toc426543819"/>
      <w:bookmarkStart w:id="54" w:name="_Toc435000965"/>
      <w:bookmarkStart w:id="55" w:name="_Toc533836885"/>
      <w:bookmarkStart w:id="56" w:name="_Toc535903325"/>
      <w:bookmarkStart w:id="57" w:name="_Toc133125593"/>
      <w:r>
        <w:rPr>
          <w:rStyle w:val="CharSectno"/>
        </w:rPr>
        <w:t>8</w:t>
      </w:r>
      <w:r>
        <w:rPr>
          <w:snapToGrid w:val="0"/>
        </w:rPr>
        <w:t>.</w:t>
      </w:r>
      <w:r>
        <w:rPr>
          <w:snapToGrid w:val="0"/>
        </w:rPr>
        <w:tab/>
        <w:t>Lettering of health warnings</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A shopkeeper inside whose shop or other retail outlet a tobacco advertisement is situated shall ensure that the letters in which a health warning in the tobacco advertisement is written — </w:t>
      </w:r>
    </w:p>
    <w:p>
      <w:pPr>
        <w:pStyle w:val="Indenta"/>
        <w:rPr>
          <w:snapToGrid w:val="0"/>
        </w:rPr>
      </w:pPr>
      <w:r>
        <w:rPr>
          <w:snapToGrid w:val="0"/>
        </w:rPr>
        <w:tab/>
        <w:t>(a)</w:t>
      </w:r>
      <w:r>
        <w:rPr>
          <w:snapToGrid w:val="0"/>
        </w:rPr>
        <w:tab/>
        <w:t>appear in Helvetica Medium capitals;</w:t>
      </w:r>
    </w:p>
    <w:p>
      <w:pPr>
        <w:pStyle w:val="Indenta"/>
        <w:rPr>
          <w:snapToGrid w:val="0"/>
        </w:rPr>
      </w:pPr>
      <w:r>
        <w:rPr>
          <w:snapToGrid w:val="0"/>
        </w:rPr>
        <w:tab/>
        <w:t>(b)</w:t>
      </w:r>
      <w:r>
        <w:rPr>
          <w:snapToGrid w:val="0"/>
        </w:rPr>
        <w:tab/>
        <w:t>are reproduced in black on a white background; and</w:t>
      </w:r>
    </w:p>
    <w:p>
      <w:pPr>
        <w:pStyle w:val="Indenta"/>
        <w:rPr>
          <w:snapToGrid w:val="0"/>
        </w:rPr>
      </w:pPr>
      <w:r>
        <w:rPr>
          <w:snapToGrid w:val="0"/>
        </w:rPr>
        <w:tab/>
        <w:t>(c)</w:t>
      </w:r>
      <w:r>
        <w:rPr>
          <w:snapToGrid w:val="0"/>
        </w:rPr>
        <w:tab/>
        <w:t>together with an attribution, occupy not less than 80% of that part of the total area of the tobacco advertisement which is required by regulation 9 to be devoted exclusively to the display of a health warning.</w:t>
      </w:r>
    </w:p>
    <w:p>
      <w:pPr>
        <w:pStyle w:val="Penstart"/>
        <w:rPr>
          <w:snapToGrid w:val="0"/>
        </w:rPr>
      </w:pPr>
      <w:r>
        <w:rPr>
          <w:snapToGrid w:val="0"/>
        </w:rPr>
        <w:tab/>
        <w:t>Penalty: $1 000.</w:t>
      </w:r>
    </w:p>
    <w:p>
      <w:pPr>
        <w:pStyle w:val="Footnotesection"/>
      </w:pPr>
      <w:r>
        <w:tab/>
        <w:t xml:space="preserve">[Regulation 8 amended in Gazette 24 Jan 1992 p. 366.] </w:t>
      </w:r>
    </w:p>
    <w:p>
      <w:pPr>
        <w:pStyle w:val="Heading5"/>
        <w:rPr>
          <w:snapToGrid w:val="0"/>
        </w:rPr>
      </w:pPr>
      <w:bookmarkStart w:id="58" w:name="_Toc379276675"/>
      <w:bookmarkStart w:id="59" w:name="_Toc426543820"/>
      <w:bookmarkStart w:id="60" w:name="_Toc435000966"/>
      <w:bookmarkStart w:id="61" w:name="_Toc533836886"/>
      <w:bookmarkStart w:id="62" w:name="_Toc535903326"/>
      <w:bookmarkStart w:id="63" w:name="_Toc133125594"/>
      <w:r>
        <w:rPr>
          <w:rStyle w:val="CharSectno"/>
        </w:rPr>
        <w:t>9</w:t>
      </w:r>
      <w:r>
        <w:rPr>
          <w:snapToGrid w:val="0"/>
        </w:rPr>
        <w:t>.</w:t>
      </w:r>
      <w:r>
        <w:rPr>
          <w:snapToGrid w:val="0"/>
        </w:rPr>
        <w:tab/>
        <w:t>Areas of tobacco advertisements to be devoted to health warnings</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A shopkeeper shall ensure that an area constituting 50% of the total area of each tobacco advertisement (other than a tobacco advertisement referred to in subregulation (2)) which is situated inside his or her shop or other retail outlet is exclusively devoted to the display of a health warning, together with an attribution.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shopkeeper shall ensure that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in the case of a tobacco advertisement — </w:t>
      </w:r>
    </w:p>
    <w:p>
      <w:pPr>
        <w:pStyle w:val="Indenti"/>
        <w:rPr>
          <w:snapToGrid w:val="0"/>
        </w:rPr>
      </w:pPr>
      <w:r>
        <w:rPr>
          <w:snapToGrid w:val="0"/>
        </w:rPr>
        <w:tab/>
        <w:t>(i)</w:t>
      </w:r>
      <w:r>
        <w:rPr>
          <w:snapToGrid w:val="0"/>
        </w:rPr>
        <w:tab/>
        <w:t>which is situated inside his or her shop or other retail outlet; and</w:t>
      </w:r>
    </w:p>
    <w:p>
      <w:pPr>
        <w:pStyle w:val="Indenti"/>
        <w:rPr>
          <w:snapToGrid w:val="0"/>
        </w:rPr>
      </w:pPr>
      <w:r>
        <w:rPr>
          <w:snapToGrid w:val="0"/>
        </w:rPr>
        <w:tab/>
        <w:t>(ii)</w:t>
      </w:r>
      <w:r>
        <w:rPr>
          <w:snapToGrid w:val="0"/>
        </w:rPr>
        <w:tab/>
        <w:t>which takes the form of an illuminated sign,</w:t>
      </w:r>
    </w:p>
    <w:p>
      <w:pPr>
        <w:pStyle w:val="Subsection"/>
        <w:rPr>
          <w:snapToGrid w:val="0"/>
        </w:rPr>
      </w:pPr>
      <w:r>
        <w:rPr>
          <w:snapToGrid w:val="0"/>
        </w:rPr>
        <w:tab/>
      </w:r>
      <w:r>
        <w:rPr>
          <w:snapToGrid w:val="0"/>
        </w:rPr>
        <w:tab/>
        <w:t>an area constituting 50% of the total area of the illuminated sign referred to in subparagraph (ii) is exclusively devoted to the display of a health warning, together with an attribution, and that both the health warning and the attribution are illuminated in the same manner as the remainder of that illuminated sign.</w:t>
      </w:r>
    </w:p>
    <w:p>
      <w:pPr>
        <w:pStyle w:val="Penstart"/>
        <w:rPr>
          <w:snapToGrid w:val="0"/>
        </w:rPr>
      </w:pPr>
      <w:r>
        <w:rPr>
          <w:snapToGrid w:val="0"/>
        </w:rPr>
        <w:tab/>
        <w:t>Penalty: $1 000.</w:t>
      </w:r>
    </w:p>
    <w:p>
      <w:pPr>
        <w:pStyle w:val="Footnotesection"/>
      </w:pPr>
      <w:r>
        <w:tab/>
        <w:t>[Regulation 9 amended in Gazette 13 Dec 1991 p. 6190; 24 Jan 1992 p. 366</w:t>
      </w:r>
      <w:r>
        <w:noBreakHyphen/>
        <w:t xml:space="preserve">7; 9 Dec 1994 p. 6666.] </w:t>
      </w:r>
    </w:p>
    <w:p>
      <w:pPr>
        <w:pStyle w:val="Heading5"/>
        <w:rPr>
          <w:snapToGrid w:val="0"/>
        </w:rPr>
      </w:pPr>
      <w:bookmarkStart w:id="64" w:name="_Toc379276676"/>
      <w:bookmarkStart w:id="65" w:name="_Toc426543821"/>
      <w:bookmarkStart w:id="66" w:name="_Toc435000967"/>
      <w:bookmarkStart w:id="67" w:name="_Toc533836887"/>
      <w:bookmarkStart w:id="68" w:name="_Toc535903327"/>
      <w:bookmarkStart w:id="69" w:name="_Toc133125595"/>
      <w:r>
        <w:rPr>
          <w:rStyle w:val="CharSectno"/>
        </w:rPr>
        <w:t>10</w:t>
      </w:r>
      <w:r>
        <w:rPr>
          <w:snapToGrid w:val="0"/>
        </w:rPr>
        <w:t>.</w:t>
      </w:r>
      <w:r>
        <w:rPr>
          <w:snapToGrid w:val="0"/>
        </w:rPr>
        <w:tab/>
        <w:t>Position and lettering of attributions</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A shopkeeper who is required to comply with regulation 8 or 9 shall ensure that — </w:t>
      </w:r>
    </w:p>
    <w:p>
      <w:pPr>
        <w:pStyle w:val="Indenta"/>
        <w:rPr>
          <w:snapToGrid w:val="0"/>
        </w:rPr>
      </w:pPr>
      <w:r>
        <w:rPr>
          <w:snapToGrid w:val="0"/>
        </w:rPr>
        <w:tab/>
        <w:t>(a)</w:t>
      </w:r>
      <w:r>
        <w:rPr>
          <w:snapToGrid w:val="0"/>
        </w:rPr>
        <w:tab/>
        <w:t>an attribution is positioned directly below each health warning referred to in that regulation; and</w:t>
      </w:r>
    </w:p>
    <w:p>
      <w:pPr>
        <w:pStyle w:val="Indenta"/>
        <w:rPr>
          <w:snapToGrid w:val="0"/>
        </w:rPr>
      </w:pPr>
      <w:r>
        <w:rPr>
          <w:snapToGrid w:val="0"/>
        </w:rPr>
        <w:tab/>
        <w:t>(b)</w:t>
      </w:r>
      <w:r>
        <w:rPr>
          <w:snapToGrid w:val="0"/>
        </w:rPr>
        <w:tab/>
        <w:t>the letters of the attribution referred to in paragraph (a) — </w:t>
      </w:r>
    </w:p>
    <w:p>
      <w:pPr>
        <w:pStyle w:val="Indenti"/>
        <w:rPr>
          <w:snapToGrid w:val="0"/>
        </w:rPr>
      </w:pPr>
      <w:r>
        <w:rPr>
          <w:snapToGrid w:val="0"/>
        </w:rPr>
        <w:tab/>
        <w:t>(i)</w:t>
      </w:r>
      <w:r>
        <w:rPr>
          <w:snapToGrid w:val="0"/>
        </w:rPr>
        <w:tab/>
        <w:t>appear in Helvetica Medium capitals and Helvetica Medium lower case type; and</w:t>
      </w:r>
    </w:p>
    <w:p>
      <w:pPr>
        <w:pStyle w:val="Indenti"/>
        <w:rPr>
          <w:snapToGrid w:val="0"/>
        </w:rPr>
      </w:pPr>
      <w:r>
        <w:rPr>
          <w:snapToGrid w:val="0"/>
        </w:rPr>
        <w:tab/>
        <w:t>(ii)</w:t>
      </w:r>
      <w:r>
        <w:rPr>
          <w:snapToGrid w:val="0"/>
        </w:rPr>
        <w:tab/>
        <w:t>do not exceed half the height of the letters used for the health warning referred to in that paragraph.</w:t>
      </w:r>
    </w:p>
    <w:p>
      <w:pPr>
        <w:pStyle w:val="Penstart"/>
        <w:rPr>
          <w:snapToGrid w:val="0"/>
        </w:rPr>
      </w:pPr>
      <w:r>
        <w:rPr>
          <w:snapToGrid w:val="0"/>
        </w:rPr>
        <w:tab/>
        <w:t>Penalty: $1 000.</w:t>
      </w:r>
    </w:p>
    <w:p>
      <w:pPr>
        <w:pStyle w:val="Footnotesection"/>
      </w:pPr>
      <w:r>
        <w:tab/>
        <w:t xml:space="preserve">[Regulation 10 inserted in Gazette 24 Jan 1992 p. 367.]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nHeading2"/>
      </w:pPr>
      <w:bookmarkStart w:id="70" w:name="_Toc379276677"/>
      <w:bookmarkStart w:id="71" w:name="_Toc426543822"/>
      <w:bookmarkStart w:id="72" w:name="_Toc133125596"/>
      <w:r>
        <w:t>Notes</w:t>
      </w:r>
      <w:bookmarkEnd w:id="70"/>
      <w:bookmarkEnd w:id="71"/>
      <w:bookmarkEnd w:id="72"/>
    </w:p>
    <w:p>
      <w:pPr>
        <w:pStyle w:val="nSubsection"/>
        <w:rPr>
          <w:snapToGrid w:val="0"/>
        </w:rPr>
      </w:pPr>
      <w:r>
        <w:rPr>
          <w:snapToGrid w:val="0"/>
          <w:vertAlign w:val="superscript"/>
        </w:rPr>
        <w:t>1</w:t>
      </w:r>
      <w:r>
        <w:rPr>
          <w:snapToGrid w:val="0"/>
        </w:rPr>
        <w:tab/>
        <w:t xml:space="preserve">This is a compilation of the </w:t>
      </w:r>
      <w:r>
        <w:rPr>
          <w:i/>
          <w:snapToGrid w:val="0"/>
        </w:rPr>
        <w:t>Tobacco Control (General) Regulations 1991</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73" w:name="_Toc379276678"/>
      <w:bookmarkStart w:id="74" w:name="_Toc426543823"/>
      <w:bookmarkStart w:id="75" w:name="_Toc535903328"/>
      <w:bookmarkStart w:id="76" w:name="_Toc133125597"/>
      <w:r>
        <w:rPr>
          <w:snapToGrid w:val="0"/>
        </w:rPr>
        <w:t>Compilation table</w:t>
      </w:r>
      <w:bookmarkEnd w:id="73"/>
      <w:bookmarkEnd w:id="74"/>
      <w:bookmarkEnd w:id="75"/>
      <w:bookmarkEnd w:id="7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Tobacco Control (General) Regulations 1991</w:t>
            </w:r>
          </w:p>
        </w:tc>
        <w:tc>
          <w:tcPr>
            <w:tcW w:w="1276" w:type="dxa"/>
          </w:tcPr>
          <w:p>
            <w:pPr>
              <w:pStyle w:val="nTable"/>
              <w:spacing w:before="120"/>
            </w:pPr>
            <w:r>
              <w:t>26 Jul 1991 p. 3852</w:t>
            </w:r>
            <w:r>
              <w:noBreakHyphen/>
              <w:t>3</w:t>
            </w:r>
          </w:p>
        </w:tc>
        <w:tc>
          <w:tcPr>
            <w:tcW w:w="2693" w:type="dxa"/>
          </w:tcPr>
          <w:p>
            <w:pPr>
              <w:pStyle w:val="nTable"/>
              <w:spacing w:before="120"/>
            </w:pPr>
            <w:r>
              <w:t>8 Feb 1992 (see r. 2)</w:t>
            </w:r>
          </w:p>
        </w:tc>
      </w:tr>
      <w:tr>
        <w:trPr>
          <w:cantSplit/>
        </w:trPr>
        <w:tc>
          <w:tcPr>
            <w:tcW w:w="3119" w:type="dxa"/>
          </w:tcPr>
          <w:p>
            <w:pPr>
              <w:pStyle w:val="nTable"/>
              <w:spacing w:before="120"/>
              <w:ind w:right="113"/>
            </w:pPr>
            <w:r>
              <w:rPr>
                <w:i/>
              </w:rPr>
              <w:t>Tobacco Control (General) Amendment Regulations 1991</w:t>
            </w:r>
          </w:p>
        </w:tc>
        <w:tc>
          <w:tcPr>
            <w:tcW w:w="1276" w:type="dxa"/>
          </w:tcPr>
          <w:p>
            <w:pPr>
              <w:pStyle w:val="nTable"/>
              <w:spacing w:before="120"/>
            </w:pPr>
            <w:r>
              <w:t>7 Aug 1991 p. 4097</w:t>
            </w:r>
          </w:p>
        </w:tc>
        <w:tc>
          <w:tcPr>
            <w:tcW w:w="2693" w:type="dxa"/>
          </w:tcPr>
          <w:p>
            <w:pPr>
              <w:pStyle w:val="nTable"/>
              <w:spacing w:before="120"/>
            </w:pPr>
            <w:r>
              <w:t>7 Aug 1991</w:t>
            </w:r>
          </w:p>
        </w:tc>
      </w:tr>
      <w:tr>
        <w:trPr>
          <w:cantSplit/>
        </w:trPr>
        <w:tc>
          <w:tcPr>
            <w:tcW w:w="3119" w:type="dxa"/>
          </w:tcPr>
          <w:p>
            <w:pPr>
              <w:pStyle w:val="nTable"/>
              <w:spacing w:before="120"/>
              <w:ind w:right="113"/>
            </w:pPr>
            <w:r>
              <w:rPr>
                <w:i/>
              </w:rPr>
              <w:t>Tobacco Control (General) Amendment Regulations (No. 2) 1991</w:t>
            </w:r>
          </w:p>
        </w:tc>
        <w:tc>
          <w:tcPr>
            <w:tcW w:w="1276" w:type="dxa"/>
          </w:tcPr>
          <w:p>
            <w:pPr>
              <w:pStyle w:val="nTable"/>
              <w:spacing w:before="120"/>
            </w:pPr>
            <w:r>
              <w:t>13 Dec 1991 p. 6189</w:t>
            </w:r>
            <w:r>
              <w:noBreakHyphen/>
              <w:t>90</w:t>
            </w:r>
          </w:p>
        </w:tc>
        <w:tc>
          <w:tcPr>
            <w:tcW w:w="2693" w:type="dxa"/>
          </w:tcPr>
          <w:p>
            <w:pPr>
              <w:pStyle w:val="nTable"/>
              <w:spacing w:before="120"/>
            </w:pPr>
            <w:r>
              <w:t>13 Dec 1991</w:t>
            </w:r>
          </w:p>
        </w:tc>
      </w:tr>
      <w:tr>
        <w:trPr>
          <w:cantSplit/>
        </w:trPr>
        <w:tc>
          <w:tcPr>
            <w:tcW w:w="3119" w:type="dxa"/>
          </w:tcPr>
          <w:p>
            <w:pPr>
              <w:pStyle w:val="nTable"/>
              <w:spacing w:before="120"/>
              <w:ind w:right="113"/>
            </w:pPr>
            <w:r>
              <w:rPr>
                <w:i/>
              </w:rPr>
              <w:t>Tobacco Control (General) Amendment Regulations 1992</w:t>
            </w:r>
          </w:p>
        </w:tc>
        <w:tc>
          <w:tcPr>
            <w:tcW w:w="1276" w:type="dxa"/>
          </w:tcPr>
          <w:p>
            <w:pPr>
              <w:pStyle w:val="nTable"/>
              <w:spacing w:before="120"/>
            </w:pPr>
            <w:r>
              <w:t>24 Jan 1992 p. 365</w:t>
            </w:r>
            <w:r>
              <w:noBreakHyphen/>
              <w:t>7</w:t>
            </w:r>
          </w:p>
        </w:tc>
        <w:tc>
          <w:tcPr>
            <w:tcW w:w="2693" w:type="dxa"/>
          </w:tcPr>
          <w:p>
            <w:pPr>
              <w:pStyle w:val="nTable"/>
              <w:spacing w:before="120"/>
            </w:pPr>
            <w:r>
              <w:t>24 Jan 1992</w:t>
            </w:r>
          </w:p>
        </w:tc>
      </w:tr>
      <w:tr>
        <w:trPr>
          <w:cantSplit/>
        </w:trPr>
        <w:tc>
          <w:tcPr>
            <w:tcW w:w="3119" w:type="dxa"/>
          </w:tcPr>
          <w:p>
            <w:pPr>
              <w:pStyle w:val="nTable"/>
              <w:spacing w:before="120"/>
              <w:ind w:right="113"/>
            </w:pPr>
            <w:r>
              <w:rPr>
                <w:i/>
              </w:rPr>
              <w:t>Tobacco Control (General) Amendment Regulations (No. 2) 1992</w:t>
            </w:r>
          </w:p>
        </w:tc>
        <w:tc>
          <w:tcPr>
            <w:tcW w:w="1276" w:type="dxa"/>
          </w:tcPr>
          <w:p>
            <w:pPr>
              <w:pStyle w:val="nTable"/>
              <w:spacing w:before="120"/>
            </w:pPr>
            <w:r>
              <w:t>4 Sep 1992 p. 4476</w:t>
            </w:r>
          </w:p>
        </w:tc>
        <w:tc>
          <w:tcPr>
            <w:tcW w:w="2693" w:type="dxa"/>
          </w:tcPr>
          <w:p>
            <w:pPr>
              <w:pStyle w:val="nTable"/>
              <w:spacing w:before="120"/>
            </w:pPr>
            <w:r>
              <w:t>4 Sep 1992</w:t>
            </w:r>
          </w:p>
        </w:tc>
      </w:tr>
      <w:tr>
        <w:trPr>
          <w:cantSplit/>
        </w:trPr>
        <w:tc>
          <w:tcPr>
            <w:tcW w:w="3119" w:type="dxa"/>
          </w:tcPr>
          <w:p>
            <w:pPr>
              <w:pStyle w:val="nTable"/>
              <w:spacing w:before="120"/>
              <w:ind w:right="113"/>
            </w:pPr>
            <w:r>
              <w:rPr>
                <w:i/>
              </w:rPr>
              <w:t>Tobacco Control (General) Amendment Regulations 1994</w:t>
            </w:r>
          </w:p>
        </w:tc>
        <w:tc>
          <w:tcPr>
            <w:tcW w:w="1276" w:type="dxa"/>
          </w:tcPr>
          <w:p>
            <w:pPr>
              <w:pStyle w:val="nTable"/>
              <w:spacing w:before="120"/>
            </w:pPr>
            <w:r>
              <w:t>9 Dec 1994 p. 6665</w:t>
            </w:r>
            <w:r>
              <w:noBreakHyphen/>
              <w:t>6</w:t>
            </w:r>
          </w:p>
        </w:tc>
        <w:tc>
          <w:tcPr>
            <w:tcW w:w="2693" w:type="dxa"/>
          </w:tcPr>
          <w:p>
            <w:pPr>
              <w:pStyle w:val="nTable"/>
              <w:spacing w:before="120"/>
            </w:pPr>
            <w:r>
              <w:t>1 Mar 1995 (see r. 2)</w:t>
            </w:r>
          </w:p>
        </w:tc>
      </w:tr>
      <w:tr>
        <w:trPr>
          <w:cantSplit/>
        </w:trPr>
        <w:tc>
          <w:tcPr>
            <w:tcW w:w="7088" w:type="dxa"/>
            <w:gridSpan w:val="3"/>
          </w:tcPr>
          <w:p>
            <w:pPr>
              <w:pStyle w:val="nTable"/>
              <w:spacing w:before="120"/>
            </w:pPr>
            <w:r>
              <w:rPr>
                <w:b/>
              </w:rPr>
              <w:t xml:space="preserve">Reprint of the </w:t>
            </w:r>
            <w:r>
              <w:rPr>
                <w:b/>
                <w:i/>
              </w:rPr>
              <w:t>Tobacco Control (General) Regulations 1991</w:t>
            </w:r>
            <w:r>
              <w:rPr>
                <w:b/>
              </w:rPr>
              <w:t xml:space="preserve"> as at 4 Jan 2002</w:t>
            </w:r>
            <w:r>
              <w:rPr>
                <w:b/>
              </w:rPr>
              <w:br/>
            </w:r>
            <w:r>
              <w:t>(includes amendments listed above)</w:t>
            </w:r>
          </w:p>
        </w:tc>
      </w:tr>
      <w:tr>
        <w:trPr>
          <w:cantSplit/>
          <w:ins w:id="77" w:author="Master Repository Process" w:date="2021-09-18T08:46:00Z"/>
        </w:trPr>
        <w:tc>
          <w:tcPr>
            <w:tcW w:w="7088" w:type="dxa"/>
            <w:gridSpan w:val="3"/>
            <w:tcBorders>
              <w:bottom w:val="single" w:sz="4" w:space="0" w:color="auto"/>
            </w:tcBorders>
          </w:tcPr>
          <w:p>
            <w:pPr>
              <w:pStyle w:val="nTable"/>
              <w:spacing w:before="120"/>
              <w:rPr>
                <w:ins w:id="78" w:author="Master Repository Process" w:date="2021-09-18T08:46:00Z"/>
                <w:b/>
                <w:color w:val="FF0000"/>
              </w:rPr>
            </w:pPr>
            <w:ins w:id="79" w:author="Master Repository Process" w:date="2021-09-18T08:46:00Z">
              <w:r>
                <w:rPr>
                  <w:b/>
                  <w:color w:val="FF0000"/>
                </w:rPr>
                <w:t xml:space="preserve">These regulations were repealed by the </w:t>
              </w:r>
              <w:r>
                <w:rPr>
                  <w:b/>
                  <w:i/>
                  <w:iCs/>
                  <w:color w:val="FF0000"/>
                </w:rPr>
                <w:t>Tobacco Products Control Act 2006</w:t>
              </w:r>
              <w:r>
                <w:rPr>
                  <w:b/>
                  <w:color w:val="FF0000"/>
                </w:rPr>
                <w:t xml:space="preserve"> s. 126 (No. 5 of 2006) as at 31 Jul 2006 (see s. 2 and </w:t>
              </w:r>
              <w:r>
                <w:rPr>
                  <w:b/>
                  <w:i/>
                  <w:iCs/>
                  <w:color w:val="FF0000"/>
                </w:rPr>
                <w:t>Gazette</w:t>
              </w:r>
              <w:r>
                <w:rPr>
                  <w:b/>
                  <w:color w:val="FF0000"/>
                </w:rPr>
                <w:t xml:space="preserve"> 25 Jul 2006 p. 2701)</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0" w:name="_Toc379276679"/>
      <w:bookmarkStart w:id="81" w:name="_Toc426543824"/>
      <w:bookmarkStart w:id="82" w:name="_Toc534778309"/>
      <w:bookmarkStart w:id="83" w:name="_Toc7405063"/>
      <w:r>
        <w:rPr>
          <w:snapToGrid w:val="0"/>
        </w:rPr>
        <w:t>Provisions that have not come into operation</w:t>
      </w:r>
      <w:bookmarkEnd w:id="80"/>
      <w:bookmarkEnd w:id="81"/>
      <w:bookmarkEnd w:id="82"/>
      <w:bookmarkEnd w:id="83"/>
    </w:p>
    <w:tbl>
      <w:tblPr>
        <w:tblW w:w="0" w:type="auto"/>
        <w:tblInd w:w="61"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092"/>
        <w:gridCol w:w="1200"/>
        <w:gridCol w:w="2556"/>
      </w:tblGrid>
      <w:tr>
        <w:tc>
          <w:tcPr>
            <w:tcW w:w="2268" w:type="dxa"/>
            <w:tcBorders>
              <w:top w:val="single" w:sz="4" w:space="0" w:color="auto"/>
              <w:bottom w:val="single" w:sz="4" w:space="0" w:color="auto"/>
            </w:tcBorders>
          </w:tcPr>
          <w:p>
            <w:pPr>
              <w:pStyle w:val="nTable"/>
              <w:keepNext/>
              <w:keepLines/>
              <w:spacing w:before="100"/>
              <w:rPr>
                <w:b/>
                <w:bCs/>
                <w:iCs/>
              </w:rPr>
            </w:pPr>
            <w:r>
              <w:rPr>
                <w:b/>
                <w:bCs/>
                <w:iCs/>
              </w:rPr>
              <w:t>Short title</w:t>
            </w:r>
          </w:p>
        </w:tc>
        <w:tc>
          <w:tcPr>
            <w:tcW w:w="1092" w:type="dxa"/>
            <w:tcBorders>
              <w:top w:val="single" w:sz="4" w:space="0" w:color="auto"/>
              <w:bottom w:val="single" w:sz="4" w:space="0" w:color="auto"/>
            </w:tcBorders>
          </w:tcPr>
          <w:p>
            <w:pPr>
              <w:pStyle w:val="nTable"/>
              <w:keepNext/>
              <w:keepLines/>
              <w:spacing w:before="100"/>
              <w:rPr>
                <w:b/>
                <w:bCs/>
              </w:rPr>
            </w:pPr>
            <w:r>
              <w:rPr>
                <w:b/>
                <w:bCs/>
              </w:rPr>
              <w:t>Number and Year</w:t>
            </w:r>
          </w:p>
        </w:tc>
        <w:tc>
          <w:tcPr>
            <w:tcW w:w="1200" w:type="dxa"/>
            <w:tcBorders>
              <w:top w:val="single" w:sz="4" w:space="0" w:color="auto"/>
              <w:bottom w:val="single" w:sz="4" w:space="0" w:color="auto"/>
            </w:tcBorders>
          </w:tcPr>
          <w:p>
            <w:pPr>
              <w:pStyle w:val="nTable"/>
              <w:keepNext/>
              <w:keepLines/>
              <w:spacing w:before="100"/>
              <w:rPr>
                <w:b/>
                <w:bCs/>
              </w:rPr>
            </w:pPr>
            <w:r>
              <w:rPr>
                <w:b/>
                <w:bCs/>
              </w:rPr>
              <w:t>Assent</w:t>
            </w:r>
          </w:p>
        </w:tc>
        <w:tc>
          <w:tcPr>
            <w:tcW w:w="2556" w:type="dxa"/>
            <w:tcBorders>
              <w:top w:val="single" w:sz="4" w:space="0" w:color="auto"/>
              <w:bottom w:val="single" w:sz="4" w:space="0" w:color="auto"/>
            </w:tcBorders>
          </w:tcPr>
          <w:p>
            <w:pPr>
              <w:pStyle w:val="nTable"/>
              <w:keepNext/>
              <w:keepLines/>
              <w:spacing w:before="100"/>
              <w:rPr>
                <w:b/>
                <w:bCs/>
              </w:rPr>
            </w:pPr>
            <w:r>
              <w:rPr>
                <w:b/>
                <w:bCs/>
              </w:rPr>
              <w:t>Commencement</w:t>
            </w:r>
          </w:p>
        </w:tc>
      </w:tr>
      <w:tr>
        <w:tc>
          <w:tcPr>
            <w:tcW w:w="2268" w:type="dxa"/>
            <w:tcBorders>
              <w:top w:val="single" w:sz="4" w:space="0" w:color="auto"/>
            </w:tcBorders>
          </w:tcPr>
          <w:p>
            <w:pPr>
              <w:pStyle w:val="nTable"/>
              <w:keepNext/>
              <w:keepLines/>
              <w:spacing w:before="100"/>
              <w:rPr>
                <w:iCs/>
              </w:rPr>
            </w:pPr>
            <w:r>
              <w:rPr>
                <w:i/>
              </w:rPr>
              <w:t>Tobacco Products Control Act 2006</w:t>
            </w:r>
            <w:r>
              <w:rPr>
                <w:iCs/>
              </w:rPr>
              <w:t xml:space="preserve"> s. 126 </w:t>
            </w:r>
            <w:r>
              <w:rPr>
                <w:iCs/>
                <w:vertAlign w:val="superscript"/>
              </w:rPr>
              <w:t>2</w:t>
            </w:r>
          </w:p>
        </w:tc>
        <w:tc>
          <w:tcPr>
            <w:tcW w:w="1092" w:type="dxa"/>
            <w:tcBorders>
              <w:top w:val="single" w:sz="4" w:space="0" w:color="auto"/>
            </w:tcBorders>
          </w:tcPr>
          <w:p>
            <w:pPr>
              <w:pStyle w:val="nTable"/>
              <w:keepNext/>
              <w:keepLines/>
              <w:spacing w:before="100"/>
            </w:pPr>
            <w:r>
              <w:t>5 of 2006</w:t>
            </w:r>
          </w:p>
        </w:tc>
        <w:tc>
          <w:tcPr>
            <w:tcW w:w="1200" w:type="dxa"/>
            <w:tcBorders>
              <w:top w:val="single" w:sz="4" w:space="0" w:color="auto"/>
            </w:tcBorders>
          </w:tcPr>
          <w:p>
            <w:pPr>
              <w:pStyle w:val="nTable"/>
              <w:keepNext/>
              <w:keepLines/>
              <w:spacing w:before="100"/>
            </w:pPr>
            <w:r>
              <w:t>12 Apr 2006</w:t>
            </w:r>
          </w:p>
        </w:tc>
        <w:tc>
          <w:tcPr>
            <w:tcW w:w="2556" w:type="dxa"/>
            <w:tcBorders>
              <w:top w:val="single" w:sz="4" w:space="0" w:color="auto"/>
            </w:tcBorders>
          </w:tcPr>
          <w:p>
            <w:pPr>
              <w:pStyle w:val="nTable"/>
              <w:keepNext/>
              <w:keepLines/>
              <w:spacing w:before="100"/>
            </w:pPr>
            <w:r>
              <w:t>To be proclaimed (see s. 2)</w:t>
            </w:r>
          </w:p>
        </w:tc>
      </w:tr>
    </w:tbl>
    <w:p>
      <w:pPr>
        <w:pStyle w:val="nSubsection"/>
        <w:rPr>
          <w:snapToGrid w:val="0"/>
        </w:rPr>
      </w:pPr>
      <w:r>
        <w:rPr>
          <w:vertAlign w:val="superscript"/>
        </w:rPr>
        <w:t>2</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84" w:name="_Toc104888061"/>
      <w:bookmarkStart w:id="85" w:name="_Toc112831141"/>
      <w:bookmarkStart w:id="86" w:name="_Toc132001064"/>
      <w:bookmarkStart w:id="87" w:name="_Toc133116236"/>
      <w:r>
        <w:rPr>
          <w:rStyle w:val="CharSectno"/>
        </w:rPr>
        <w:t>126</w:t>
      </w:r>
      <w:r>
        <w:t>.</w:t>
      </w:r>
      <w:r>
        <w:tab/>
        <w:t>Repeals, transitional provisions, consequential amendments to other Acts</w:t>
      </w:r>
      <w:bookmarkEnd w:id="84"/>
      <w:bookmarkEnd w:id="85"/>
      <w:bookmarkEnd w:id="86"/>
      <w:bookmarkEnd w:id="87"/>
    </w:p>
    <w:p>
      <w:pPr>
        <w:pStyle w:val="nzSubsection"/>
      </w:pPr>
      <w:r>
        <w:tab/>
      </w:r>
      <w:r>
        <w:tab/>
        <w:t>Schedule 2 has effect.</w:t>
      </w:r>
    </w:p>
    <w:p>
      <w:pPr>
        <w:pStyle w:val="MiscClose"/>
      </w:pPr>
      <w:r>
        <w:t>”.</w:t>
      </w:r>
    </w:p>
    <w:p>
      <w:pPr>
        <w:pStyle w:val="nSubsection"/>
      </w:pPr>
      <w:r>
        <w:tab/>
        <w:t>Schedule 2 Division 1 cl. 2(1) reads as follows:</w:t>
      </w:r>
    </w:p>
    <w:p>
      <w:pPr>
        <w:pStyle w:val="MiscOpen"/>
      </w:pPr>
      <w:r>
        <w:t>“</w:t>
      </w:r>
    </w:p>
    <w:p>
      <w:pPr>
        <w:pStyle w:val="nzHeading2"/>
      </w:pPr>
      <w:bookmarkStart w:id="88" w:name="_Toc107644221"/>
      <w:bookmarkStart w:id="89" w:name="_Toc112831167"/>
      <w:bookmarkStart w:id="90" w:name="_Toc112831362"/>
      <w:bookmarkStart w:id="91" w:name="_Toc112833486"/>
      <w:bookmarkStart w:id="92" w:name="_Toc114570035"/>
      <w:bookmarkStart w:id="93" w:name="_Toc130805118"/>
      <w:bookmarkStart w:id="94" w:name="_Toc130806155"/>
      <w:bookmarkStart w:id="95" w:name="_Toc130811866"/>
      <w:bookmarkStart w:id="96" w:name="_Toc131931592"/>
      <w:bookmarkStart w:id="97" w:name="_Toc131931824"/>
      <w:bookmarkStart w:id="98" w:name="_Toc131933107"/>
      <w:bookmarkStart w:id="99" w:name="_Toc132001090"/>
      <w:bookmarkStart w:id="100" w:name="_Toc133116262"/>
      <w:r>
        <w:rPr>
          <w:rStyle w:val="CharSchNo"/>
        </w:rPr>
        <w:t>Schedule 2</w:t>
      </w:r>
      <w:r>
        <w:t> — </w:t>
      </w:r>
      <w:r>
        <w:rPr>
          <w:rStyle w:val="CharSchText"/>
        </w:rPr>
        <w:t>Repeals, transitional provisions, consequential amendments to other Acts</w:t>
      </w:r>
      <w:bookmarkEnd w:id="88"/>
      <w:bookmarkEnd w:id="89"/>
      <w:bookmarkEnd w:id="90"/>
      <w:bookmarkEnd w:id="91"/>
      <w:bookmarkEnd w:id="92"/>
      <w:bookmarkEnd w:id="93"/>
      <w:bookmarkEnd w:id="94"/>
      <w:bookmarkEnd w:id="95"/>
      <w:bookmarkEnd w:id="96"/>
      <w:bookmarkEnd w:id="97"/>
      <w:bookmarkEnd w:id="98"/>
      <w:bookmarkEnd w:id="99"/>
      <w:bookmarkEnd w:id="100"/>
    </w:p>
    <w:p>
      <w:pPr>
        <w:pStyle w:val="nzMiscellaneousBody"/>
        <w:jc w:val="right"/>
      </w:pPr>
      <w:r>
        <w:t>[s. 126]</w:t>
      </w:r>
    </w:p>
    <w:p>
      <w:pPr>
        <w:pStyle w:val="nzHeading3"/>
      </w:pPr>
      <w:bookmarkStart w:id="101" w:name="_Toc112831168"/>
      <w:bookmarkStart w:id="102" w:name="_Toc112831363"/>
      <w:bookmarkStart w:id="103" w:name="_Toc112833487"/>
      <w:bookmarkStart w:id="104" w:name="_Toc114570036"/>
      <w:bookmarkStart w:id="105" w:name="_Toc130805119"/>
      <w:bookmarkStart w:id="106" w:name="_Toc130806156"/>
      <w:bookmarkStart w:id="107" w:name="_Toc130811867"/>
      <w:bookmarkStart w:id="108" w:name="_Toc131931593"/>
      <w:bookmarkStart w:id="109" w:name="_Toc131931825"/>
      <w:bookmarkStart w:id="110" w:name="_Toc131933108"/>
      <w:bookmarkStart w:id="111" w:name="_Toc132001091"/>
      <w:bookmarkStart w:id="112" w:name="_Toc133116263"/>
      <w:bookmarkStart w:id="113" w:name="_Toc104888088"/>
      <w:r>
        <w:rPr>
          <w:rStyle w:val="CharSDivNo"/>
        </w:rPr>
        <w:t>Division 1</w:t>
      </w:r>
      <w:r>
        <w:t> — </w:t>
      </w:r>
      <w:r>
        <w:rPr>
          <w:rStyle w:val="CharSDivText"/>
        </w:rPr>
        <w:t>Repeals</w:t>
      </w:r>
      <w:bookmarkEnd w:id="101"/>
      <w:bookmarkEnd w:id="102"/>
      <w:bookmarkEnd w:id="103"/>
      <w:bookmarkEnd w:id="104"/>
      <w:bookmarkEnd w:id="105"/>
      <w:bookmarkEnd w:id="106"/>
      <w:bookmarkEnd w:id="107"/>
      <w:bookmarkEnd w:id="108"/>
      <w:bookmarkEnd w:id="109"/>
      <w:bookmarkEnd w:id="110"/>
      <w:bookmarkEnd w:id="111"/>
      <w:bookmarkEnd w:id="112"/>
    </w:p>
    <w:p>
      <w:pPr>
        <w:pStyle w:val="nzHeading5"/>
      </w:pPr>
      <w:bookmarkStart w:id="114" w:name="_Toc104888090"/>
      <w:bookmarkStart w:id="115" w:name="_Toc112831170"/>
      <w:bookmarkStart w:id="116" w:name="_Toc132001093"/>
      <w:bookmarkStart w:id="117" w:name="_Toc133116265"/>
      <w:bookmarkEnd w:id="113"/>
      <w:r>
        <w:rPr>
          <w:rStyle w:val="CharSClsNo"/>
          <w:sz w:val="20"/>
        </w:rPr>
        <w:t>2</w:t>
      </w:r>
      <w:r>
        <w:t>.</w:t>
      </w:r>
      <w:r>
        <w:tab/>
        <w:t xml:space="preserve">Regulations under the </w:t>
      </w:r>
      <w:r>
        <w:rPr>
          <w:i/>
          <w:iCs/>
        </w:rPr>
        <w:t>Tobacco Control Act 1990</w:t>
      </w:r>
      <w:r>
        <w:t xml:space="preserve"> repealed</w:t>
      </w:r>
      <w:bookmarkEnd w:id="114"/>
      <w:bookmarkEnd w:id="115"/>
      <w:bookmarkEnd w:id="116"/>
      <w:bookmarkEnd w:id="117"/>
    </w:p>
    <w:p>
      <w:pPr>
        <w:pStyle w:val="nzSubsection"/>
      </w:pPr>
      <w:r>
        <w:tab/>
        <w:t>(1)</w:t>
      </w:r>
      <w:r>
        <w:tab/>
        <w:t xml:space="preserve">The </w:t>
      </w:r>
      <w:r>
        <w:rPr>
          <w:i/>
          <w:iCs/>
        </w:rPr>
        <w:t>Tobacco Control (General) Regulations 1991</w:t>
      </w:r>
      <w:r>
        <w:t xml:space="preserve"> are repealed.</w:t>
      </w:r>
    </w:p>
    <w:p>
      <w:pPr>
        <w:pStyle w:val="MiscClose"/>
      </w:pPr>
      <w:r>
        <w:t>”.</w:t>
      </w:r>
    </w:p>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9" w:name="Coversheet"/>
    <w:bookmarkEnd w:id="1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Control (General) Regulations 1991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Control (General)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Tobacco Control (General) Regulations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Control (General)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1054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FB830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B48E2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BA3E7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D6DE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146B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E27D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5804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3AA0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7A40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7B8909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5206"/>
    <w:docVar w:name="WAFER_20140204111102" w:val="RemoveTocBookmarks,RemoveUnusedBookmarks,RemoveLanguageTags,UsedStyles,ResetPageSize,UpdateArrangement"/>
    <w:docVar w:name="WAFER_20140204111102_GUID" w:val="43c810be-7158-492b-985f-62f5b16a057d"/>
    <w:docVar w:name="WAFER_20140204112339" w:val="RemoveTocBookmarks,RunningHeaders"/>
    <w:docVar w:name="WAFER_20140204112339_GUID" w:val="86b9d257-5bf6-4727-b728-bb410c31cee6"/>
    <w:docVar w:name="WAFER_20150805130204" w:val="ResetPageSize,UpdateArrangement,UpdateNTable"/>
    <w:docVar w:name="WAFER_20150805130204_GUID" w:val="4acb84da-e2d7-4d58-a1f3-db8a4d24598a"/>
    <w:docVar w:name="WAFER_20151117145206" w:val="UpdateStyles,UsedStyles"/>
    <w:docVar w:name="WAFER_20151117145206_GUID" w:val="f9083368-35f5-48cb-b0b4-c15eb2ae89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D4F3516-40AF-4012-A29A-1CE21465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75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6453</Characters>
  <Application>Microsoft Office Word</Application>
  <DocSecurity>0</DocSecurity>
  <Lines>208</Lines>
  <Paragraphs>146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Control (General) Regulations 1991 01-b0-02 - 01-c0-06</dc:title>
  <dc:subject/>
  <dc:creator/>
  <cp:keywords/>
  <dc:description/>
  <cp:lastModifiedBy>Master Repository Process</cp:lastModifiedBy>
  <cp:revision>2</cp:revision>
  <cp:lastPrinted>2002-01-03T06:35:00Z</cp:lastPrinted>
  <dcterms:created xsi:type="dcterms:W3CDTF">2021-09-18T00:46:00Z</dcterms:created>
  <dcterms:modified xsi:type="dcterms:W3CDTF">2021-09-18T00:46:00Z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July 1991 pp.3852-53</vt:lpwstr>
  </property>
  <property fmtid="{D5CDD505-2E9C-101B-9397-08002B2CF9AE}" pid="3" name="CommencementDate">
    <vt:lpwstr>20060731</vt:lpwstr>
  </property>
  <property fmtid="{D5CDD505-2E9C-101B-9397-08002B2CF9AE}" pid="4" name="DocumentType">
    <vt:lpwstr>Reg</vt:lpwstr>
  </property>
  <property fmtid="{D5CDD505-2E9C-101B-9397-08002B2CF9AE}" pid="5" name="OwlsUID">
    <vt:i4>4811</vt:i4>
  </property>
  <property fmtid="{D5CDD505-2E9C-101B-9397-08002B2CF9AE}" pid="6" name="Status">
    <vt:lpwstr>NIF</vt:lpwstr>
  </property>
  <property fmtid="{D5CDD505-2E9C-101B-9397-08002B2CF9AE}" pid="7" name="FromSuffix">
    <vt:lpwstr>01-b0-02</vt:lpwstr>
  </property>
  <property fmtid="{D5CDD505-2E9C-101B-9397-08002B2CF9AE}" pid="8" name="FromAsAtDate">
    <vt:lpwstr>12 Apr 2006</vt:lpwstr>
  </property>
  <property fmtid="{D5CDD505-2E9C-101B-9397-08002B2CF9AE}" pid="9" name="ToSuffix">
    <vt:lpwstr>01-c0-06</vt:lpwstr>
  </property>
  <property fmtid="{D5CDD505-2E9C-101B-9397-08002B2CF9AE}" pid="10" name="ToAsAtDate">
    <vt:lpwstr>31 Jul 2006</vt:lpwstr>
  </property>
</Properties>
</file>