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2022</w:t>
      </w:r>
      <w:r>
        <w:fldChar w:fldCharType="end"/>
      </w:r>
      <w:r>
        <w:t xml:space="preserve">, </w:t>
      </w:r>
      <w:r>
        <w:fldChar w:fldCharType="begin"/>
      </w:r>
      <w:r>
        <w:instrText xml:space="preserve"> DocProperty FromSuffix </w:instrText>
      </w:r>
      <w:r>
        <w:fldChar w:fldCharType="separate"/>
      </w:r>
      <w:r>
        <w:t>05-af0-00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05-ag0-00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106111768"/>
      <w:bookmarkStart w:id="2" w:name="_Toc106111810"/>
      <w:bookmarkStart w:id="3" w:name="_Toc106111852"/>
      <w:bookmarkStart w:id="4" w:name="_Toc106112009"/>
      <w:bookmarkStart w:id="5" w:name="_Toc106181739"/>
      <w:bookmarkStart w:id="6" w:name="_Toc98853649"/>
      <w:bookmarkStart w:id="7" w:name="_Toc98853948"/>
      <w:bookmarkStart w:id="8" w:name="_Toc98856650"/>
      <w:bookmarkStart w:id="9" w:name="_Toc98918434"/>
      <w:bookmarkStart w:id="10" w:name="_Toc99097476"/>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106181740"/>
      <w:bookmarkStart w:id="13" w:name="_Toc99097477"/>
      <w:r>
        <w:rPr>
          <w:rStyle w:val="CharSectno"/>
        </w:rPr>
        <w:t>1</w:t>
      </w:r>
      <w:r>
        <w:t>.</w:t>
      </w:r>
      <w:r>
        <w:tab/>
        <w:t>Citation</w:t>
      </w:r>
      <w:bookmarkEnd w:id="12"/>
      <w:bookmarkEnd w:id="13"/>
    </w:p>
    <w:p>
      <w:pPr>
        <w:pStyle w:val="Subsection"/>
        <w:spacing w:before="120"/>
      </w:pPr>
      <w:r>
        <w:tab/>
      </w:r>
      <w:r>
        <w:tab/>
      </w:r>
      <w:bookmarkStart w:id="14" w:name="Start_Cursor"/>
      <w:bookmarkEnd w:id="14"/>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5" w:name="_Toc106181741"/>
      <w:bookmarkStart w:id="16" w:name="_Toc99097478"/>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7" w:name="_Toc106181742"/>
      <w:bookmarkStart w:id="18" w:name="_Toc99097479"/>
      <w:r>
        <w:rPr>
          <w:rStyle w:val="CharSectno"/>
        </w:rPr>
        <w:t>3</w:t>
      </w:r>
      <w:r>
        <w:t>.</w:t>
      </w:r>
      <w:r>
        <w:tab/>
        <w:t>Terms used</w:t>
      </w:r>
      <w:bookmarkEnd w:id="17"/>
      <w:bookmarkEnd w:id="18"/>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9" w:name="_Toc106111772"/>
      <w:bookmarkStart w:id="20" w:name="_Toc106111814"/>
      <w:bookmarkStart w:id="21" w:name="_Toc106111856"/>
      <w:bookmarkStart w:id="22" w:name="_Toc106112013"/>
      <w:bookmarkStart w:id="23" w:name="_Toc106181743"/>
      <w:bookmarkStart w:id="24" w:name="_Toc98853653"/>
      <w:bookmarkStart w:id="25" w:name="_Toc98853952"/>
      <w:bookmarkStart w:id="26" w:name="_Toc98856654"/>
      <w:bookmarkStart w:id="27" w:name="_Toc98918438"/>
      <w:bookmarkStart w:id="28" w:name="_Toc99097480"/>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p>
    <w:p>
      <w:pPr>
        <w:pStyle w:val="Heading5"/>
      </w:pPr>
      <w:bookmarkStart w:id="29" w:name="_Toc106181744"/>
      <w:bookmarkStart w:id="30" w:name="_Toc99097481"/>
      <w:r>
        <w:rPr>
          <w:rStyle w:val="CharSectno"/>
        </w:rPr>
        <w:t>4</w:t>
      </w:r>
      <w:r>
        <w:t>.</w:t>
      </w:r>
      <w:r>
        <w:tab/>
        <w:t xml:space="preserve">Acts prescribed for purpose of definition of </w:t>
      </w:r>
      <w:r>
        <w:rPr>
          <w:i/>
          <w:iCs/>
        </w:rPr>
        <w:t>vocational regulatory body</w:t>
      </w:r>
      <w:bookmarkEnd w:id="29"/>
      <w:bookmarkEnd w:id="3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1" w:name="_Toc106181745"/>
      <w:bookmarkStart w:id="32" w:name="_Toc99097482"/>
      <w:r>
        <w:rPr>
          <w:rStyle w:val="CharSectno"/>
        </w:rPr>
        <w:t>5</w:t>
      </w:r>
      <w:r>
        <w:t>.</w:t>
      </w:r>
      <w:r>
        <w:tab/>
        <w:t>Register of proceedings</w:t>
      </w:r>
      <w:bookmarkEnd w:id="31"/>
      <w:bookmarkEnd w:id="3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 w:name="_Toc106181746"/>
      <w:bookmarkStart w:id="34" w:name="_Toc99097483"/>
      <w:r>
        <w:rPr>
          <w:rStyle w:val="CharSectno"/>
        </w:rPr>
        <w:t>6</w:t>
      </w:r>
      <w:r>
        <w:t>.</w:t>
      </w:r>
      <w:r>
        <w:tab/>
        <w:t>Prescribed places: s. 116(3)(a) of Act</w:t>
      </w:r>
      <w:bookmarkEnd w:id="33"/>
      <w:bookmarkEnd w:id="34"/>
    </w:p>
    <w:p>
      <w:pPr>
        <w:pStyle w:val="Subsection"/>
      </w:pPr>
      <w:r>
        <w:tab/>
      </w:r>
      <w:r>
        <w:tab/>
        <w:t>For the purposes of the Act section 116(3)(a), the places listed in Schedule 2 are prescribed.</w:t>
      </w:r>
    </w:p>
    <w:p>
      <w:pPr>
        <w:pStyle w:val="Heading5"/>
      </w:pPr>
      <w:bookmarkStart w:id="35" w:name="_Toc106181747"/>
      <w:bookmarkStart w:id="36" w:name="_Toc99097484"/>
      <w:r>
        <w:rPr>
          <w:rStyle w:val="CharSectno"/>
        </w:rPr>
        <w:t>7</w:t>
      </w:r>
      <w:r>
        <w:t>.</w:t>
      </w:r>
      <w:r>
        <w:tab/>
        <w:t>Class prescribed: s. 117(5)(a) of Act</w:t>
      </w:r>
      <w:bookmarkEnd w:id="35"/>
      <w:bookmarkEnd w:id="3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37" w:name="_Toc106111777"/>
      <w:bookmarkStart w:id="38" w:name="_Toc106111819"/>
      <w:bookmarkStart w:id="39" w:name="_Toc106111861"/>
      <w:bookmarkStart w:id="40" w:name="_Toc106112018"/>
      <w:bookmarkStart w:id="41" w:name="_Toc106181748"/>
      <w:bookmarkStart w:id="42" w:name="_Toc98853658"/>
      <w:bookmarkStart w:id="43" w:name="_Toc98853957"/>
      <w:bookmarkStart w:id="44" w:name="_Toc98856659"/>
      <w:bookmarkStart w:id="45" w:name="_Toc98918443"/>
      <w:bookmarkStart w:id="46" w:name="_Toc99097485"/>
      <w:r>
        <w:rPr>
          <w:rStyle w:val="CharPartNo"/>
        </w:rPr>
        <w:t>Part 3</w:t>
      </w:r>
      <w:r>
        <w:rPr>
          <w:rStyle w:val="CharDivNo"/>
        </w:rPr>
        <w:t> </w:t>
      </w:r>
      <w:r>
        <w:t>—</w:t>
      </w:r>
      <w:r>
        <w:rPr>
          <w:rStyle w:val="CharDivText"/>
        </w:rPr>
        <w:t> </w:t>
      </w:r>
      <w:r>
        <w:rPr>
          <w:rStyle w:val="CharPartText"/>
        </w:rPr>
        <w:t>Fees</w:t>
      </w:r>
      <w:bookmarkEnd w:id="37"/>
      <w:bookmarkEnd w:id="38"/>
      <w:bookmarkEnd w:id="39"/>
      <w:bookmarkEnd w:id="40"/>
      <w:bookmarkEnd w:id="41"/>
      <w:bookmarkEnd w:id="42"/>
      <w:bookmarkEnd w:id="43"/>
      <w:bookmarkEnd w:id="44"/>
      <w:bookmarkEnd w:id="45"/>
      <w:bookmarkEnd w:id="46"/>
    </w:p>
    <w:p>
      <w:pPr>
        <w:pStyle w:val="Heading5"/>
      </w:pPr>
      <w:bookmarkStart w:id="47" w:name="_Toc106181749"/>
      <w:bookmarkStart w:id="48" w:name="_Toc99097486"/>
      <w:r>
        <w:rPr>
          <w:rStyle w:val="CharSectno"/>
        </w:rPr>
        <w:t>8</w:t>
      </w:r>
      <w:r>
        <w:t>.</w:t>
      </w:r>
      <w:r>
        <w:tab/>
        <w:t>General</w:t>
      </w:r>
      <w:bookmarkEnd w:id="47"/>
      <w:bookmarkEnd w:id="48"/>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49" w:name="_Toc106181750"/>
      <w:bookmarkStart w:id="50" w:name="_Toc99097487"/>
      <w:r>
        <w:rPr>
          <w:rStyle w:val="CharSectno"/>
        </w:rPr>
        <w:t>9A</w:t>
      </w:r>
      <w:r>
        <w:t>.</w:t>
      </w:r>
      <w:r>
        <w:tab/>
        <w:t>Who is an eligible individual or eligible entity</w:t>
      </w:r>
      <w:bookmarkEnd w:id="49"/>
      <w:bookmarkEnd w:id="5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51" w:name="_Toc106181751"/>
      <w:bookmarkStart w:id="52" w:name="_Toc99097488"/>
      <w:r>
        <w:rPr>
          <w:rStyle w:val="CharSectno"/>
        </w:rPr>
        <w:t>9B</w:t>
      </w:r>
      <w:r>
        <w:t>.</w:t>
      </w:r>
      <w:r>
        <w:tab/>
        <w:t>Application to be recognised as eligible individual or eligible entity</w:t>
      </w:r>
      <w:bookmarkEnd w:id="51"/>
      <w:bookmarkEnd w:id="5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53" w:name="_Toc106181752"/>
      <w:bookmarkStart w:id="54" w:name="_Toc99097489"/>
      <w:r>
        <w:rPr>
          <w:rStyle w:val="CharSectno"/>
        </w:rPr>
        <w:t>9C</w:t>
      </w:r>
      <w:r>
        <w:t>.</w:t>
      </w:r>
      <w:r>
        <w:tab/>
        <w:t>Recognition as eligible individual or eligible entity</w:t>
      </w:r>
      <w:bookmarkEnd w:id="53"/>
      <w:bookmarkEnd w:id="54"/>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55" w:name="_Toc106181753"/>
      <w:bookmarkStart w:id="56" w:name="_Toc99097490"/>
      <w:r>
        <w:rPr>
          <w:rStyle w:val="CharSectno"/>
        </w:rPr>
        <w:t>9D</w:t>
      </w:r>
      <w:r>
        <w:t>.</w:t>
      </w:r>
      <w:r>
        <w:tab/>
        <w:t>False or misleading statements</w:t>
      </w:r>
      <w:bookmarkEnd w:id="55"/>
      <w:bookmarkEnd w:id="56"/>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57" w:name="_Toc106181754"/>
      <w:bookmarkStart w:id="58" w:name="_Toc99097491"/>
      <w:r>
        <w:rPr>
          <w:rStyle w:val="CharSectno"/>
        </w:rPr>
        <w:t>9E</w:t>
      </w:r>
      <w:r>
        <w:t>.</w:t>
      </w:r>
      <w:r>
        <w:tab/>
        <w:t>Refunds</w:t>
      </w:r>
      <w:bookmarkEnd w:id="57"/>
      <w:bookmarkEnd w:id="5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59" w:name="_Toc106181755"/>
      <w:bookmarkStart w:id="60" w:name="_Toc99097492"/>
      <w:r>
        <w:rPr>
          <w:rStyle w:val="CharSectno"/>
        </w:rPr>
        <w:t>9F</w:t>
      </w:r>
      <w:r>
        <w:t>.</w:t>
      </w:r>
      <w:r>
        <w:tab/>
        <w:t>Waiving fee for copy of document or transcript</w:t>
      </w:r>
      <w:bookmarkEnd w:id="59"/>
      <w:bookmarkEnd w:id="60"/>
      <w:r>
        <w:t xml:space="preserve"> </w:t>
      </w:r>
    </w:p>
    <w:p>
      <w:pPr>
        <w:pStyle w:val="Subsection"/>
        <w:keepLines/>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61" w:name="_Toc106181756"/>
      <w:bookmarkStart w:id="62" w:name="_Toc99097493"/>
      <w:r>
        <w:rPr>
          <w:rStyle w:val="CharSectno"/>
        </w:rPr>
        <w:t>9</w:t>
      </w:r>
      <w:r>
        <w:t>.</w:t>
      </w:r>
      <w:r>
        <w:tab/>
        <w:t>Fees relating to application under provision in Sch. 3, 4 or 6</w:t>
      </w:r>
      <w:bookmarkEnd w:id="61"/>
      <w:bookmarkEnd w:id="62"/>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keepNext/>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63" w:name="_Toc106181757"/>
      <w:bookmarkStart w:id="64" w:name="_Toc99097494"/>
      <w:r>
        <w:rPr>
          <w:rStyle w:val="CharSectno"/>
        </w:rPr>
        <w:t>10</w:t>
      </w:r>
      <w:r>
        <w:t>.</w:t>
      </w:r>
      <w:r>
        <w:tab/>
        <w:t>Fees relating to application to do with development on land</w:t>
      </w:r>
      <w:bookmarkEnd w:id="63"/>
      <w:bookmarkEnd w:id="6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65" w:name="_Toc106181758"/>
      <w:bookmarkStart w:id="66" w:name="_Toc99097495"/>
      <w:r>
        <w:rPr>
          <w:rStyle w:val="CharSectno"/>
        </w:rPr>
        <w:t>11A</w:t>
      </w:r>
      <w:r>
        <w:t>.</w:t>
      </w:r>
      <w:r>
        <w:tab/>
        <w:t>No fee relating to application under enactment in Sch. 7</w:t>
      </w:r>
      <w:bookmarkEnd w:id="65"/>
      <w:bookmarkEnd w:id="66"/>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67" w:name="_Toc106181759"/>
      <w:bookmarkStart w:id="68" w:name="_Toc99097496"/>
      <w:r>
        <w:rPr>
          <w:rStyle w:val="CharSectno"/>
        </w:rPr>
        <w:t>11B</w:t>
      </w:r>
      <w:r>
        <w:t>.</w:t>
      </w:r>
      <w:r>
        <w:tab/>
        <w:t>Fees relating to application not covered by r. 9, 10 or 11A</w:t>
      </w:r>
      <w:bookmarkEnd w:id="67"/>
      <w:bookmarkEnd w:id="68"/>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69" w:name="_Toc106181760"/>
      <w:bookmarkStart w:id="70" w:name="_Toc99097497"/>
      <w:r>
        <w:rPr>
          <w:rStyle w:val="CharSectno"/>
        </w:rPr>
        <w:t>11</w:t>
      </w:r>
      <w:r>
        <w:t>.</w:t>
      </w:r>
      <w:r>
        <w:tab/>
        <w:t>Fees for provision of transcripts to third parties</w:t>
      </w:r>
      <w:bookmarkEnd w:id="69"/>
      <w:bookmarkEnd w:id="7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71" w:name="_Toc106181761"/>
      <w:bookmarkStart w:id="72" w:name="_Toc99097498"/>
      <w:r>
        <w:rPr>
          <w:rStyle w:val="CharSectno"/>
        </w:rPr>
        <w:t>27</w:t>
      </w:r>
      <w:r>
        <w:t>.</w:t>
      </w:r>
      <w:r>
        <w:tab/>
        <w:t>Other fees</w:t>
      </w:r>
      <w:bookmarkEnd w:id="71"/>
      <w:bookmarkEnd w:id="72"/>
    </w:p>
    <w:p>
      <w:pPr>
        <w:pStyle w:val="Subsection"/>
      </w:pPr>
      <w:r>
        <w:tab/>
      </w:r>
      <w:r>
        <w:tab/>
        <w:t>The fees set out in Schedule 20 are to be charged in respect of the matters shown in that Schedule.</w:t>
      </w:r>
    </w:p>
    <w:p>
      <w:pPr>
        <w:pStyle w:val="Heading2"/>
      </w:pPr>
      <w:bookmarkStart w:id="73" w:name="_Toc106111791"/>
      <w:bookmarkStart w:id="74" w:name="_Toc106111833"/>
      <w:bookmarkStart w:id="75" w:name="_Toc106111875"/>
      <w:bookmarkStart w:id="76" w:name="_Toc106112032"/>
      <w:bookmarkStart w:id="77" w:name="_Toc106181762"/>
      <w:bookmarkStart w:id="78" w:name="_Toc98853672"/>
      <w:bookmarkStart w:id="79" w:name="_Toc98853971"/>
      <w:bookmarkStart w:id="80" w:name="_Toc98856673"/>
      <w:bookmarkStart w:id="81" w:name="_Toc98918457"/>
      <w:bookmarkStart w:id="82" w:name="_Toc9909749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73"/>
      <w:bookmarkEnd w:id="74"/>
      <w:bookmarkEnd w:id="75"/>
      <w:bookmarkEnd w:id="76"/>
      <w:bookmarkEnd w:id="77"/>
      <w:bookmarkEnd w:id="78"/>
      <w:bookmarkEnd w:id="79"/>
      <w:bookmarkEnd w:id="80"/>
      <w:bookmarkEnd w:id="81"/>
      <w:bookmarkEnd w:id="82"/>
    </w:p>
    <w:p>
      <w:pPr>
        <w:pStyle w:val="Heading5"/>
        <w:spacing w:before="180"/>
      </w:pPr>
      <w:bookmarkStart w:id="83" w:name="_Toc106181763"/>
      <w:bookmarkStart w:id="84" w:name="_Toc99097500"/>
      <w:r>
        <w:rPr>
          <w:rStyle w:val="CharSectno"/>
        </w:rPr>
        <w:t>28</w:t>
      </w:r>
      <w:r>
        <w:t>.</w:t>
      </w:r>
      <w:r>
        <w:tab/>
        <w:t>Transitional provisions</w:t>
      </w:r>
      <w:bookmarkEnd w:id="83"/>
      <w:bookmarkEnd w:id="8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85" w:name="_Toc106181764"/>
      <w:bookmarkStart w:id="86" w:name="_Toc99097501"/>
      <w:r>
        <w:rPr>
          <w:rStyle w:val="CharSectno"/>
        </w:rPr>
        <w:t>33</w:t>
      </w:r>
      <w:r>
        <w:t>.</w:t>
      </w:r>
      <w:r>
        <w:tab/>
      </w:r>
      <w:r>
        <w:rPr>
          <w:i/>
        </w:rPr>
        <w:t>Land Administration Act 1997</w:t>
      </w:r>
      <w:bookmarkEnd w:id="85"/>
      <w:bookmarkEnd w:id="8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87" w:name="_Toc106111794"/>
      <w:bookmarkStart w:id="88" w:name="_Toc106111836"/>
      <w:bookmarkStart w:id="89" w:name="_Toc106111878"/>
      <w:bookmarkStart w:id="90" w:name="_Toc106112035"/>
      <w:bookmarkStart w:id="91" w:name="_Toc106181765"/>
      <w:bookmarkStart w:id="92" w:name="_Toc98853675"/>
      <w:bookmarkStart w:id="93" w:name="_Toc98853974"/>
      <w:bookmarkStart w:id="94" w:name="_Toc98856676"/>
      <w:bookmarkStart w:id="95" w:name="_Toc98918460"/>
      <w:bookmarkStart w:id="96" w:name="_Toc9909750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87"/>
      <w:bookmarkEnd w:id="88"/>
      <w:bookmarkEnd w:id="89"/>
      <w:bookmarkEnd w:id="90"/>
      <w:bookmarkEnd w:id="91"/>
      <w:bookmarkEnd w:id="92"/>
      <w:bookmarkEnd w:id="93"/>
      <w:bookmarkEnd w:id="94"/>
      <w:bookmarkEnd w:id="95"/>
      <w:bookmarkEnd w:id="96"/>
    </w:p>
    <w:p>
      <w:pPr>
        <w:pStyle w:val="Heading5"/>
      </w:pPr>
      <w:bookmarkStart w:id="97" w:name="_Toc106181766"/>
      <w:bookmarkStart w:id="98" w:name="_Toc99097503"/>
      <w:r>
        <w:rPr>
          <w:rStyle w:val="CharSectno"/>
        </w:rPr>
        <w:t>42</w:t>
      </w:r>
      <w:r>
        <w:t>.</w:t>
      </w:r>
      <w:r>
        <w:tab/>
        <w:t>Transitional provision</w:t>
      </w:r>
      <w:bookmarkEnd w:id="97"/>
      <w:bookmarkEnd w:id="9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99" w:name="_Toc106181767"/>
      <w:bookmarkStart w:id="100" w:name="_Toc99097504"/>
      <w:r>
        <w:rPr>
          <w:rStyle w:val="CharSectno"/>
        </w:rPr>
        <w:t>55</w:t>
      </w:r>
      <w:r>
        <w:t>.</w:t>
      </w:r>
      <w:r>
        <w:tab/>
      </w:r>
      <w:r>
        <w:rPr>
          <w:i/>
        </w:rPr>
        <w:t>Local Government (Miscellaneous Provisions) Act 1960</w:t>
      </w:r>
      <w:bookmarkEnd w:id="99"/>
      <w:bookmarkEnd w:id="10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101" w:name="_Toc106181768"/>
      <w:bookmarkStart w:id="102" w:name="_Toc99097505"/>
      <w:r>
        <w:rPr>
          <w:rStyle w:val="CharSectno"/>
        </w:rPr>
        <w:t>61</w:t>
      </w:r>
      <w:r>
        <w:t>.</w:t>
      </w:r>
      <w:r>
        <w:tab/>
      </w:r>
      <w:r>
        <w:rPr>
          <w:i/>
        </w:rPr>
        <w:t>Rights in Water and Irrigation Act 1914</w:t>
      </w:r>
      <w:bookmarkEnd w:id="101"/>
      <w:bookmarkEnd w:id="10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103" w:name="_Toc106181769"/>
      <w:bookmarkStart w:id="104" w:name="_Toc99097506"/>
      <w:r>
        <w:rPr>
          <w:rStyle w:val="CharSectno"/>
        </w:rPr>
        <w:t>63</w:t>
      </w:r>
      <w:r>
        <w:t>.</w:t>
      </w:r>
      <w:r>
        <w:tab/>
      </w:r>
      <w:r>
        <w:rPr>
          <w:i/>
        </w:rPr>
        <w:t>Strata Titles Act 1985</w:t>
      </w:r>
      <w:bookmarkEnd w:id="103"/>
      <w:bookmarkEnd w:id="10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106111799"/>
      <w:bookmarkStart w:id="106" w:name="_Toc106111841"/>
      <w:bookmarkStart w:id="107" w:name="_Toc106111883"/>
      <w:bookmarkStart w:id="108" w:name="_Toc106112040"/>
      <w:bookmarkStart w:id="109" w:name="_Toc106181770"/>
      <w:bookmarkStart w:id="110" w:name="_Toc98853680"/>
      <w:bookmarkStart w:id="111" w:name="_Toc98853979"/>
      <w:bookmarkStart w:id="112" w:name="_Toc98856681"/>
      <w:bookmarkStart w:id="113" w:name="_Toc98918465"/>
      <w:bookmarkStart w:id="114" w:name="_Toc990975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5"/>
      <w:bookmarkEnd w:id="106"/>
      <w:bookmarkEnd w:id="107"/>
      <w:bookmarkEnd w:id="108"/>
      <w:bookmarkEnd w:id="109"/>
      <w:bookmarkEnd w:id="110"/>
      <w:bookmarkEnd w:id="111"/>
      <w:bookmarkEnd w:id="112"/>
      <w:bookmarkEnd w:id="113"/>
      <w:bookmarkEnd w:id="114"/>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szCs w:val="22"/>
        </w:rPr>
        <w:t xml:space="preserve">Veterinary </w:t>
      </w:r>
      <w:del w:id="115" w:author="Master Repository Process" w:date="2022-06-17T10:43:00Z">
        <w:r>
          <w:rPr>
            <w:i/>
            <w:iCs/>
          </w:rPr>
          <w:delText>Surgeons</w:delText>
        </w:r>
      </w:del>
      <w:ins w:id="116" w:author="Master Repository Process" w:date="2022-06-17T10:43:00Z">
        <w:r>
          <w:rPr>
            <w:i/>
            <w:szCs w:val="22"/>
          </w:rPr>
          <w:t>Practice</w:t>
        </w:r>
      </w:ins>
      <w:r>
        <w:rPr>
          <w:i/>
          <w:szCs w:val="22"/>
        </w:rPr>
        <w:t xml:space="preserve"> Act </w:t>
      </w:r>
      <w:del w:id="117" w:author="Master Repository Process" w:date="2022-06-17T10:43:00Z">
        <w:r>
          <w:rPr>
            <w:i/>
            <w:iCs/>
          </w:rPr>
          <w:delText>1960</w:delText>
        </w:r>
      </w:del>
      <w:ins w:id="118" w:author="Master Repository Process" w:date="2022-06-17T10:43:00Z">
        <w:r>
          <w:rPr>
            <w:i/>
            <w:szCs w:val="22"/>
          </w:rPr>
          <w:t>2021</w:t>
        </w:r>
      </w:ins>
    </w:p>
    <w:p>
      <w:pPr>
        <w:pStyle w:val="yFootnotesection"/>
      </w:pPr>
      <w:r>
        <w:tab/>
        <w:t>[Schedule 1 amended: Gazette 31 Jul 2007 p. 3805; 7 Dec 2012 p. 5994</w:t>
      </w:r>
      <w:r>
        <w:rPr>
          <w:szCs w:val="22"/>
        </w:rPr>
        <w:t>; 6 Aug 2013 p.</w:t>
      </w:r>
      <w:r>
        <w:rPr>
          <w:sz w:val="24"/>
          <w:szCs w:val="24"/>
        </w:rPr>
        <w:t> </w:t>
      </w:r>
      <w:r>
        <w:t>3653</w:t>
      </w:r>
      <w:r>
        <w:noBreakHyphen/>
        <w:t>4; 24 Jan 2017 p. 745</w:t>
      </w:r>
      <w:ins w:id="119" w:author="Master Repository Process" w:date="2022-06-17T10:43:00Z">
        <w:r>
          <w:t>; SL 2022/97 r. 6</w:t>
        </w:r>
      </w:ins>
      <w:r>
        <w:t>.]</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21" w:name="_Toc106111800"/>
      <w:bookmarkStart w:id="122" w:name="_Toc106111842"/>
      <w:bookmarkStart w:id="123" w:name="_Toc106111884"/>
      <w:bookmarkStart w:id="124" w:name="_Toc106112041"/>
      <w:bookmarkStart w:id="125" w:name="_Toc106181771"/>
      <w:bookmarkStart w:id="126" w:name="_Toc98853681"/>
      <w:bookmarkStart w:id="127" w:name="_Toc98853980"/>
      <w:bookmarkStart w:id="128" w:name="_Toc98856682"/>
      <w:bookmarkStart w:id="129" w:name="_Toc98918466"/>
      <w:bookmarkStart w:id="130" w:name="_Toc99097508"/>
      <w:r>
        <w:rPr>
          <w:rStyle w:val="CharSchNo"/>
        </w:rPr>
        <w:t>Schedule 2</w:t>
      </w:r>
      <w:r>
        <w:t> — </w:t>
      </w:r>
      <w:r>
        <w:rPr>
          <w:rStyle w:val="CharSchText"/>
        </w:rPr>
        <w:t>Places at which a magistrate may be authorised to perform functions as a member of the Tribunal</w:t>
      </w:r>
      <w:bookmarkEnd w:id="121"/>
      <w:bookmarkEnd w:id="122"/>
      <w:bookmarkEnd w:id="123"/>
      <w:bookmarkEnd w:id="124"/>
      <w:bookmarkEnd w:id="125"/>
      <w:bookmarkEnd w:id="126"/>
      <w:bookmarkEnd w:id="127"/>
      <w:bookmarkEnd w:id="128"/>
      <w:bookmarkEnd w:id="129"/>
      <w:bookmarkEnd w:id="13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131" w:name="_Toc106111801"/>
      <w:bookmarkStart w:id="132" w:name="_Toc106111843"/>
      <w:bookmarkStart w:id="133" w:name="_Toc106111885"/>
      <w:bookmarkStart w:id="134" w:name="_Toc106112042"/>
      <w:bookmarkStart w:id="135" w:name="_Toc106181772"/>
      <w:bookmarkStart w:id="136" w:name="_Toc98853682"/>
      <w:bookmarkStart w:id="137" w:name="_Toc98853981"/>
      <w:bookmarkStart w:id="138" w:name="_Toc98856683"/>
      <w:bookmarkStart w:id="139" w:name="_Toc98918467"/>
      <w:bookmarkStart w:id="140" w:name="_Toc99097509"/>
      <w:r>
        <w:rPr>
          <w:rStyle w:val="CharSchNo"/>
        </w:rPr>
        <w:t>Schedule 3</w:t>
      </w:r>
      <w:r>
        <w:t> — </w:t>
      </w:r>
      <w:r>
        <w:rPr>
          <w:rStyle w:val="CharSchText"/>
        </w:rPr>
        <w:t>Provision under which application made</w:t>
      </w:r>
      <w:bookmarkEnd w:id="131"/>
      <w:bookmarkEnd w:id="132"/>
      <w:bookmarkEnd w:id="133"/>
      <w:bookmarkEnd w:id="134"/>
      <w:bookmarkEnd w:id="135"/>
      <w:bookmarkEnd w:id="136"/>
      <w:bookmarkEnd w:id="137"/>
      <w:bookmarkEnd w:id="138"/>
      <w:bookmarkEnd w:id="139"/>
      <w:bookmarkEnd w:id="140"/>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41" w:name="_Toc106111802"/>
      <w:bookmarkStart w:id="142" w:name="_Toc106111844"/>
      <w:bookmarkStart w:id="143" w:name="_Toc106111886"/>
      <w:bookmarkStart w:id="144" w:name="_Toc106112043"/>
      <w:bookmarkStart w:id="145" w:name="_Toc106181773"/>
      <w:bookmarkStart w:id="146" w:name="_Toc98853683"/>
      <w:bookmarkStart w:id="147" w:name="_Toc98853982"/>
      <w:bookmarkStart w:id="148" w:name="_Toc98856684"/>
      <w:bookmarkStart w:id="149" w:name="_Toc98918468"/>
      <w:bookmarkStart w:id="150" w:name="_Toc99097510"/>
      <w:r>
        <w:rPr>
          <w:rStyle w:val="CharSchNo"/>
        </w:rPr>
        <w:t>Schedule 4</w:t>
      </w:r>
      <w:r>
        <w:t> — </w:t>
      </w:r>
      <w:r>
        <w:rPr>
          <w:rStyle w:val="CharSchText"/>
        </w:rPr>
        <w:t>Provision under which application made</w:t>
      </w:r>
      <w:bookmarkEnd w:id="141"/>
      <w:bookmarkEnd w:id="142"/>
      <w:bookmarkEnd w:id="143"/>
      <w:bookmarkEnd w:id="144"/>
      <w:bookmarkEnd w:id="145"/>
      <w:bookmarkEnd w:id="146"/>
      <w:bookmarkEnd w:id="147"/>
      <w:bookmarkEnd w:id="148"/>
      <w:bookmarkEnd w:id="149"/>
      <w:bookmarkEnd w:id="150"/>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51" w:name="_Toc106111803"/>
      <w:bookmarkStart w:id="152" w:name="_Toc106111845"/>
      <w:bookmarkStart w:id="153" w:name="_Toc106111887"/>
      <w:bookmarkStart w:id="154" w:name="_Toc106112044"/>
      <w:bookmarkStart w:id="155" w:name="_Toc106181774"/>
      <w:bookmarkStart w:id="156" w:name="_Toc98853684"/>
      <w:bookmarkStart w:id="157" w:name="_Toc98853983"/>
      <w:bookmarkStart w:id="158" w:name="_Toc98856685"/>
      <w:bookmarkStart w:id="159" w:name="_Toc98918469"/>
      <w:bookmarkStart w:id="160" w:name="_Toc99097511"/>
      <w:r>
        <w:rPr>
          <w:rStyle w:val="CharSchNo"/>
        </w:rPr>
        <w:t>Schedule 6</w:t>
      </w:r>
      <w:r>
        <w:t> — </w:t>
      </w:r>
      <w:r>
        <w:rPr>
          <w:rStyle w:val="CharSchText"/>
        </w:rPr>
        <w:t>Provision under which application made</w:t>
      </w:r>
      <w:bookmarkEnd w:id="151"/>
      <w:bookmarkEnd w:id="152"/>
      <w:bookmarkEnd w:id="153"/>
      <w:bookmarkEnd w:id="154"/>
      <w:bookmarkEnd w:id="155"/>
      <w:bookmarkEnd w:id="156"/>
      <w:bookmarkEnd w:id="157"/>
      <w:bookmarkEnd w:id="158"/>
      <w:bookmarkEnd w:id="159"/>
      <w:bookmarkEnd w:id="1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Code) Regulations 2022</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 SL 2022/39 r. 4.]</w:t>
      </w:r>
    </w:p>
    <w:p>
      <w:pPr>
        <w:pStyle w:val="yScheduleHeading"/>
      </w:pPr>
      <w:bookmarkStart w:id="161" w:name="_Toc106111804"/>
      <w:bookmarkStart w:id="162" w:name="_Toc106111846"/>
      <w:bookmarkStart w:id="163" w:name="_Toc106111888"/>
      <w:bookmarkStart w:id="164" w:name="_Toc106112045"/>
      <w:bookmarkStart w:id="165" w:name="_Toc106181775"/>
      <w:bookmarkStart w:id="166" w:name="_Toc98853685"/>
      <w:bookmarkStart w:id="167" w:name="_Toc98853984"/>
      <w:bookmarkStart w:id="168" w:name="_Toc98856686"/>
      <w:bookmarkStart w:id="169" w:name="_Toc98918470"/>
      <w:bookmarkStart w:id="170" w:name="_Toc99097512"/>
      <w:r>
        <w:rPr>
          <w:rStyle w:val="CharSchNo"/>
        </w:rPr>
        <w:t>Schedule 7</w:t>
      </w:r>
      <w:r>
        <w:t> — </w:t>
      </w:r>
      <w:r>
        <w:rPr>
          <w:rStyle w:val="CharSchText"/>
        </w:rPr>
        <w:t>Enactment under which application made</w:t>
      </w:r>
      <w:bookmarkEnd w:id="161"/>
      <w:bookmarkEnd w:id="162"/>
      <w:bookmarkEnd w:id="163"/>
      <w:bookmarkEnd w:id="164"/>
      <w:bookmarkEnd w:id="165"/>
      <w:bookmarkEnd w:id="166"/>
      <w:bookmarkEnd w:id="167"/>
      <w:bookmarkEnd w:id="168"/>
      <w:bookmarkEnd w:id="169"/>
      <w:bookmarkEnd w:id="170"/>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71" w:name="_Toc106111805"/>
      <w:bookmarkStart w:id="172" w:name="_Toc106111847"/>
      <w:bookmarkStart w:id="173" w:name="_Toc106111889"/>
      <w:bookmarkStart w:id="174" w:name="_Toc106112046"/>
      <w:bookmarkStart w:id="175" w:name="_Toc106181776"/>
      <w:bookmarkStart w:id="176" w:name="_Toc98853686"/>
      <w:bookmarkStart w:id="177" w:name="_Toc98853985"/>
      <w:bookmarkStart w:id="178" w:name="_Toc98856687"/>
      <w:bookmarkStart w:id="179" w:name="_Toc98918471"/>
      <w:bookmarkStart w:id="180" w:name="_Toc99097513"/>
      <w:r>
        <w:rPr>
          <w:rStyle w:val="CharSchNo"/>
        </w:rPr>
        <w:t>Schedule 20</w:t>
      </w:r>
      <w:r>
        <w:t> — </w:t>
      </w:r>
      <w:r>
        <w:rPr>
          <w:rStyle w:val="CharSchText"/>
        </w:rPr>
        <w:t>Other fees</w:t>
      </w:r>
      <w:bookmarkEnd w:id="171"/>
      <w:bookmarkEnd w:id="172"/>
      <w:bookmarkEnd w:id="173"/>
      <w:bookmarkEnd w:id="174"/>
      <w:bookmarkEnd w:id="175"/>
      <w:bookmarkEnd w:id="176"/>
      <w:bookmarkEnd w:id="177"/>
      <w:bookmarkEnd w:id="178"/>
      <w:bookmarkEnd w:id="179"/>
      <w:bookmarkEnd w:id="180"/>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81" w:name="_Toc106111806"/>
      <w:bookmarkStart w:id="182" w:name="_Toc106111848"/>
      <w:bookmarkStart w:id="183" w:name="_Toc106111890"/>
      <w:bookmarkStart w:id="184" w:name="_Toc106112047"/>
      <w:bookmarkStart w:id="185" w:name="_Toc106181777"/>
      <w:bookmarkStart w:id="186" w:name="_Toc98853687"/>
      <w:bookmarkStart w:id="187" w:name="_Toc98853986"/>
      <w:bookmarkStart w:id="188" w:name="_Toc98856688"/>
      <w:bookmarkStart w:id="189" w:name="_Toc98918472"/>
      <w:bookmarkStart w:id="190" w:name="_Toc99097514"/>
      <w:r>
        <w:t>Notes</w:t>
      </w:r>
      <w:bookmarkEnd w:id="181"/>
      <w:bookmarkEnd w:id="182"/>
      <w:bookmarkEnd w:id="183"/>
      <w:bookmarkEnd w:id="184"/>
      <w:bookmarkEnd w:id="185"/>
      <w:bookmarkEnd w:id="186"/>
      <w:bookmarkEnd w:id="187"/>
      <w:bookmarkEnd w:id="188"/>
      <w:bookmarkEnd w:id="189"/>
      <w:bookmarkEnd w:id="190"/>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191" w:name="_Toc106181778"/>
      <w:bookmarkStart w:id="192" w:name="_Toc99097515"/>
      <w:r>
        <w:t>Compilation table</w:t>
      </w:r>
      <w:bookmarkEnd w:id="191"/>
      <w:bookmarkEnd w:id="192"/>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 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nil"/>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nil"/>
            </w:tcBorders>
            <w:shd w:val="clear" w:color="auto" w:fill="auto"/>
          </w:tcPr>
          <w:p>
            <w:pPr>
              <w:pStyle w:val="nTable"/>
              <w:spacing w:after="40"/>
            </w:pPr>
            <w:r>
              <w:t>SL 2021/201 3 Dec 2021</w:t>
            </w:r>
          </w:p>
        </w:tc>
        <w:tc>
          <w:tcPr>
            <w:tcW w:w="2835" w:type="dxa"/>
            <w:tcBorders>
              <w:top w:val="nil"/>
              <w:bottom w:val="nil"/>
            </w:tcBorders>
            <w:shd w:val="clear" w:color="auto" w:fill="auto"/>
          </w:tcPr>
          <w:p>
            <w:pPr>
              <w:pStyle w:val="nTable"/>
              <w:spacing w:after="40"/>
            </w:pPr>
            <w:r>
              <w:t>r. 1 and 2: 3 Dec 2021 (see r. 2(a));</w:t>
            </w:r>
            <w:r>
              <w:br/>
              <w:t>Regulations other than r. 1 and 2: 31 Jan 2022 (see r. 2(b) and SL 2021/195 cl. 2)</w:t>
            </w:r>
          </w:p>
        </w:tc>
      </w:tr>
      <w:tr>
        <w:trPr>
          <w:cantSplit/>
        </w:trPr>
        <w:tc>
          <w:tcPr>
            <w:tcW w:w="3119" w:type="dxa"/>
            <w:tcBorders>
              <w:top w:val="nil"/>
              <w:bottom w:val="nil"/>
            </w:tcBorders>
            <w:shd w:val="clear" w:color="auto" w:fill="auto"/>
          </w:tcPr>
          <w:p>
            <w:pPr>
              <w:pStyle w:val="nTable"/>
              <w:spacing w:after="40"/>
              <w:rPr>
                <w:i/>
              </w:rPr>
            </w:pPr>
            <w:r>
              <w:rPr>
                <w:i/>
                <w:noProof/>
              </w:rPr>
              <w:t>State Administrative Tribunal Amendment Regulations 2022</w:t>
            </w:r>
          </w:p>
        </w:tc>
        <w:tc>
          <w:tcPr>
            <w:tcW w:w="1276" w:type="dxa"/>
            <w:tcBorders>
              <w:top w:val="nil"/>
              <w:bottom w:val="nil"/>
            </w:tcBorders>
            <w:shd w:val="clear" w:color="auto" w:fill="auto"/>
          </w:tcPr>
          <w:p>
            <w:pPr>
              <w:pStyle w:val="nTable"/>
              <w:spacing w:after="40"/>
            </w:pPr>
            <w:r>
              <w:t>SL 2022/39 25 Mar 2022</w:t>
            </w:r>
          </w:p>
        </w:tc>
        <w:tc>
          <w:tcPr>
            <w:tcW w:w="2835" w:type="dxa"/>
            <w:tcBorders>
              <w:top w:val="nil"/>
              <w:bottom w:val="nil"/>
            </w:tcBorders>
            <w:shd w:val="clear" w:color="auto" w:fill="auto"/>
          </w:tcPr>
          <w:p>
            <w:pPr>
              <w:pStyle w:val="nTable"/>
              <w:spacing w:after="40"/>
            </w:pPr>
            <w:r>
              <w:t>r. 1 and 2: 25 Mar 2022 (see r. 2(a));</w:t>
            </w:r>
            <w:r>
              <w:br/>
              <w:t>Regulations other than r. 1 and 2: 1 Apr 2022 (see r. 2(b))</w:t>
            </w:r>
          </w:p>
        </w:tc>
      </w:tr>
      <w:tr>
        <w:trPr>
          <w:cantSplit/>
          <w:ins w:id="193" w:author="Master Repository Process" w:date="2022-06-17T10:43:00Z"/>
        </w:trPr>
        <w:tc>
          <w:tcPr>
            <w:tcW w:w="3119" w:type="dxa"/>
            <w:tcBorders>
              <w:top w:val="nil"/>
              <w:bottom w:val="single" w:sz="4" w:space="0" w:color="auto"/>
            </w:tcBorders>
            <w:shd w:val="clear" w:color="auto" w:fill="auto"/>
          </w:tcPr>
          <w:p>
            <w:pPr>
              <w:pStyle w:val="nTable"/>
              <w:spacing w:after="40"/>
              <w:rPr>
                <w:ins w:id="194" w:author="Master Repository Process" w:date="2022-06-17T10:43:00Z"/>
                <w:i/>
                <w:noProof/>
              </w:rPr>
            </w:pPr>
            <w:ins w:id="195" w:author="Master Repository Process" w:date="2022-06-17T10:43:00Z">
              <w:r>
                <w:rPr>
                  <w:i/>
                  <w:noProof/>
                </w:rPr>
                <w:t>Attorney General Regulations Amendment (Veterinary Practice) Regulations 2022</w:t>
              </w:r>
              <w:r>
                <w:rPr>
                  <w:noProof/>
                </w:rPr>
                <w:t xml:space="preserve"> Pt. 3</w:t>
              </w:r>
            </w:ins>
          </w:p>
        </w:tc>
        <w:tc>
          <w:tcPr>
            <w:tcW w:w="1276" w:type="dxa"/>
            <w:tcBorders>
              <w:top w:val="nil"/>
              <w:bottom w:val="single" w:sz="4" w:space="0" w:color="auto"/>
            </w:tcBorders>
            <w:shd w:val="clear" w:color="auto" w:fill="auto"/>
          </w:tcPr>
          <w:p>
            <w:pPr>
              <w:pStyle w:val="nTable"/>
              <w:spacing w:after="40"/>
              <w:rPr>
                <w:ins w:id="196" w:author="Master Repository Process" w:date="2022-06-17T10:43:00Z"/>
              </w:rPr>
            </w:pPr>
            <w:ins w:id="197" w:author="Master Repository Process" w:date="2022-06-17T10:43:00Z">
              <w:r>
                <w:t>SL 2022/97 17 Jun 2022</w:t>
              </w:r>
            </w:ins>
          </w:p>
        </w:tc>
        <w:tc>
          <w:tcPr>
            <w:tcW w:w="2835" w:type="dxa"/>
            <w:tcBorders>
              <w:top w:val="nil"/>
              <w:bottom w:val="single" w:sz="4" w:space="0" w:color="auto"/>
            </w:tcBorders>
            <w:shd w:val="clear" w:color="auto" w:fill="auto"/>
          </w:tcPr>
          <w:p>
            <w:pPr>
              <w:pStyle w:val="nTable"/>
              <w:spacing w:after="40"/>
              <w:rPr>
                <w:ins w:id="198" w:author="Master Repository Process" w:date="2022-06-17T10:43:00Z"/>
              </w:rPr>
            </w:pPr>
            <w:ins w:id="199" w:author="Master Repository Process" w:date="2022-06-17T10:43:00Z">
              <w:r>
                <w:rPr>
                  <w:bCs/>
                  <w:snapToGrid w:val="0"/>
                </w:rPr>
                <w:t>18 Jun 2022 (see r. 2(b) and SL 2022/81 cl. 2)</w:t>
              </w:r>
            </w:ins>
          </w:p>
        </w:tc>
      </w:tr>
    </w:tbl>
    <w:p>
      <w:pPr>
        <w:pStyle w:val="nHeading3"/>
      </w:pPr>
      <w:bookmarkStart w:id="200" w:name="_Toc106181779"/>
      <w:bookmarkStart w:id="201" w:name="_Toc99097516"/>
      <w:r>
        <w:t>Other notes</w:t>
      </w:r>
      <w:bookmarkEnd w:id="200"/>
      <w:bookmarkEnd w:id="201"/>
    </w:p>
    <w:p>
      <w:pPr>
        <w:pStyle w:val="nNote"/>
        <w:keepNext/>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4564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 w:name="WAFER_202206141455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34_GUID" w:val="d43efc82-29fe-4d1f-b065-b79d73ce2815"/>
    <w:docVar w:name="WAFER_20220614145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45649_GUID" w:val="a1aef976-392c-4ae0-94f0-70beee399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94F2-0C8B-43D8-9259-7C408189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8531</Words>
  <Characters>40097</Characters>
  <Application>Microsoft Office Word</Application>
  <DocSecurity>0</DocSecurity>
  <Lines>1743</Lines>
  <Paragraphs>935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05-af0-00 - 05-ag0-00</dc:title>
  <dc:subject/>
  <dc:creator/>
  <cp:keywords/>
  <dc:description/>
  <cp:lastModifiedBy>Master Repository Process</cp:lastModifiedBy>
  <cp:revision>2</cp:revision>
  <cp:lastPrinted>2021-03-23T06:07:00Z</cp:lastPrinted>
  <dcterms:created xsi:type="dcterms:W3CDTF">2022-06-17T02:43:00Z</dcterms:created>
  <dcterms:modified xsi:type="dcterms:W3CDTF">2022-06-17T02:43:00Z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No">
    <vt:lpwstr>5</vt:lpwstr>
  </property>
  <property fmtid="{D5CDD505-2E9C-101B-9397-08002B2CF9AE}" pid="6" name="ReprintedAsAt">
    <vt:filetime>2022-03-31T16:00:00Z</vt:filetime>
  </property>
  <property fmtid="{D5CDD505-2E9C-101B-9397-08002B2CF9AE}" pid="7" name="CommencementDate">
    <vt:lpwstr>20220618</vt:lpwstr>
  </property>
  <property fmtid="{D5CDD505-2E9C-101B-9397-08002B2CF9AE}" pid="8" name="FromSuffix">
    <vt:lpwstr>05-af0-00</vt:lpwstr>
  </property>
  <property fmtid="{D5CDD505-2E9C-101B-9397-08002B2CF9AE}" pid="9" name="FromAsAtDate">
    <vt:lpwstr>01 Apr 2022</vt:lpwstr>
  </property>
  <property fmtid="{D5CDD505-2E9C-101B-9397-08002B2CF9AE}" pid="10" name="ToSuffix">
    <vt:lpwstr>05-ag0-00</vt:lpwstr>
  </property>
  <property fmtid="{D5CDD505-2E9C-101B-9397-08002B2CF9AE}" pid="11" name="ToAsAtDate">
    <vt:lpwstr>18 Jun 2022</vt:lpwstr>
  </property>
</Properties>
</file>