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2022</w:t>
      </w:r>
      <w:r>
        <w:fldChar w:fldCharType="end"/>
      </w:r>
      <w:r>
        <w:t xml:space="preserve">, </w:t>
      </w:r>
      <w:r>
        <w:fldChar w:fldCharType="begin"/>
      </w:r>
      <w:r>
        <w:instrText xml:space="preserve"> DocProperty FromSuffix </w:instrText>
      </w:r>
      <w:r>
        <w:fldChar w:fldCharType="separate"/>
      </w:r>
      <w:r>
        <w:t>00-i0-00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1" w:name="_Toc106885796"/>
      <w:bookmarkStart w:id="2" w:name="_Toc106885972"/>
      <w:bookmarkStart w:id="3" w:name="_Toc106891047"/>
      <w:bookmarkStart w:id="4" w:name="_Toc104904296"/>
      <w:bookmarkStart w:id="5" w:name="_Toc104904495"/>
      <w:bookmarkStart w:id="6" w:name="_Toc10496950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6891048"/>
      <w:bookmarkStart w:id="9" w:name="_Toc104969501"/>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Teacher Registration (Accreditation of Initial Teacher Education Programmes) Regulations 2012</w:t>
      </w:r>
      <w:r>
        <w:t>.</w:t>
      </w:r>
    </w:p>
    <w:p>
      <w:pPr>
        <w:pStyle w:val="Heading5"/>
        <w:rPr>
          <w:spacing w:val="-2"/>
        </w:rPr>
      </w:pPr>
      <w:bookmarkStart w:id="11" w:name="_Toc106891049"/>
      <w:bookmarkStart w:id="12" w:name="_Toc104969502"/>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3" w:name="_Toc106891050"/>
      <w:bookmarkStart w:id="14" w:name="_Toc104969503"/>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accreditation standards</w:t>
      </w:r>
      <w:r>
        <w:t xml:space="preserve"> means the standards referred to in regulation 9;</w:t>
      </w:r>
    </w:p>
    <w:p>
      <w:pPr>
        <w:pStyle w:val="Defstart"/>
      </w:pPr>
      <w:r>
        <w:tab/>
      </w:r>
      <w:r>
        <w:rPr>
          <w:rStyle w:val="CharDefText"/>
        </w:rPr>
        <w:t>accredited initial teacher education programme</w:t>
      </w:r>
      <w:r>
        <w:t xml:space="preserve"> means a programme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tab/>
      </w:r>
      <w:r>
        <w:rPr>
          <w:rStyle w:val="CharDefText"/>
        </w:rPr>
        <w:t>application</w:t>
      </w:r>
      <w:r>
        <w:t xml:space="preserve"> means an application under Part 2 Division 1;</w:t>
      </w:r>
    </w:p>
    <w:p>
      <w:pPr>
        <w:pStyle w:val="Defstart"/>
      </w:pPr>
      <w:r>
        <w:tab/>
      </w:r>
      <w:r>
        <w:rPr>
          <w:rStyle w:val="CharDefText"/>
        </w:rPr>
        <w:t>ATRA</w:t>
      </w:r>
      <w:r>
        <w:t xml:space="preserve"> means the Australasian Teacher Regulatory Authorities, an association incorporated in Victoria;</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r>
        <w:rPr>
          <w:i/>
        </w:rPr>
        <w:t>Curtin University of Technology Act 1966</w:t>
      </w:r>
      <w:r>
        <w:t>;</w:t>
      </w:r>
    </w:p>
    <w:p>
      <w:pPr>
        <w:pStyle w:val="Defpara"/>
      </w:pPr>
      <w:r>
        <w:tab/>
        <w:t>(b)</w:t>
      </w:r>
      <w:r>
        <w:tab/>
        <w:t xml:space="preserve">Edith Cowan University established under the </w:t>
      </w:r>
      <w:r>
        <w:rPr>
          <w:i/>
        </w:rPr>
        <w:t>Edith Cowan University Act 1984</w:t>
      </w:r>
      <w:r>
        <w:t>;</w:t>
      </w:r>
    </w:p>
    <w:p>
      <w:pPr>
        <w:pStyle w:val="Defpara"/>
      </w:pPr>
      <w:r>
        <w:tab/>
        <w:t>(c)</w:t>
      </w:r>
      <w:r>
        <w:tab/>
        <w:t xml:space="preserve">Murdoch University established under the </w:t>
      </w:r>
      <w:r>
        <w:rPr>
          <w:i/>
        </w:rPr>
        <w:t>Murdoch University Act 1973</w:t>
      </w:r>
      <w:r>
        <w:t>;</w:t>
      </w:r>
    </w:p>
    <w:p>
      <w:pPr>
        <w:pStyle w:val="Defpara"/>
      </w:pPr>
      <w:r>
        <w:tab/>
        <w:t>(d)</w:t>
      </w:r>
      <w:r>
        <w:tab/>
        <w:t xml:space="preserve">The University of Notre Dame established under the </w:t>
      </w:r>
      <w:r>
        <w:rPr>
          <w:i/>
        </w:rPr>
        <w:t>University of Notre Dame Australia Act 1989</w:t>
      </w:r>
      <w:r>
        <w:t>;</w:t>
      </w:r>
    </w:p>
    <w:p>
      <w:pPr>
        <w:pStyle w:val="Defpara"/>
      </w:pPr>
      <w:r>
        <w:tab/>
        <w:t>(e)</w:t>
      </w:r>
      <w:r>
        <w:tab/>
        <w:t xml:space="preserve">The University of Western Australia established under the </w:t>
      </w:r>
      <w:r>
        <w:rPr>
          <w:i/>
        </w:rPr>
        <w:t>University of Western Australia Act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Western Australia;</w:t>
      </w:r>
    </w:p>
    <w:p>
      <w:pPr>
        <w:pStyle w:val="Defstart"/>
      </w:pPr>
      <w:r>
        <w:tab/>
      </w:r>
      <w:r>
        <w:rPr>
          <w:rStyle w:val="CharDefText"/>
        </w:rPr>
        <w:t>programme</w:t>
      </w:r>
      <w:r>
        <w:t xml:space="preserve"> means an initial teacher education programme — </w:t>
      </w:r>
    </w:p>
    <w:p>
      <w:pPr>
        <w:pStyle w:val="Defpara"/>
      </w:pPr>
      <w:r>
        <w:tab/>
        <w:t>(a)</w:t>
      </w:r>
      <w:r>
        <w:tab/>
        <w:t>designed to qualify a graduate of the programme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Heading5"/>
      </w:pPr>
      <w:bookmarkStart w:id="15" w:name="_Toc106891051"/>
      <w:bookmarkStart w:id="16" w:name="_Toc104969504"/>
      <w:r>
        <w:rPr>
          <w:rStyle w:val="CharSectno"/>
        </w:rPr>
        <w:t>4</w:t>
      </w:r>
      <w:r>
        <w:t>.</w:t>
      </w:r>
      <w:r>
        <w:tab/>
        <w:t>Accredited initial teacher education programmes</w:t>
      </w:r>
      <w:bookmarkEnd w:id="15"/>
      <w:bookmarkEnd w:id="16"/>
    </w:p>
    <w:p>
      <w:pPr>
        <w:pStyle w:val="Subsection"/>
        <w:keepNext/>
      </w:pPr>
      <w:r>
        <w:tab/>
      </w:r>
      <w:r>
        <w:tab/>
        <w:t xml:space="preserve">A programme is accredited for the purposes of the Act if — </w:t>
      </w:r>
    </w:p>
    <w:p>
      <w:pPr>
        <w:pStyle w:val="Indenta"/>
      </w:pPr>
      <w:r>
        <w:tab/>
        <w:t>(a)</w:t>
      </w:r>
      <w:r>
        <w:tab/>
        <w:t>it is accredited by the Board under Part 2; or</w:t>
      </w:r>
    </w:p>
    <w:p>
      <w:pPr>
        <w:pStyle w:val="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Heading2"/>
      </w:pPr>
      <w:bookmarkStart w:id="17" w:name="_Toc106885801"/>
      <w:bookmarkStart w:id="18" w:name="_Toc106885977"/>
      <w:bookmarkStart w:id="19" w:name="_Toc106891052"/>
      <w:bookmarkStart w:id="20" w:name="_Toc104904301"/>
      <w:bookmarkStart w:id="21" w:name="_Toc104904500"/>
      <w:bookmarkStart w:id="22" w:name="_Toc104969505"/>
      <w:r>
        <w:rPr>
          <w:rStyle w:val="CharPartNo"/>
        </w:rPr>
        <w:t>Part 2</w:t>
      </w:r>
      <w:r>
        <w:t> — </w:t>
      </w:r>
      <w:r>
        <w:rPr>
          <w:rStyle w:val="CharPartText"/>
        </w:rPr>
        <w:t>Accreditation of programmes by the Board</w:t>
      </w:r>
      <w:bookmarkEnd w:id="17"/>
      <w:bookmarkEnd w:id="18"/>
      <w:bookmarkEnd w:id="19"/>
      <w:bookmarkEnd w:id="20"/>
      <w:bookmarkEnd w:id="21"/>
      <w:bookmarkEnd w:id="22"/>
    </w:p>
    <w:p>
      <w:pPr>
        <w:pStyle w:val="Heading3"/>
      </w:pPr>
      <w:bookmarkStart w:id="23" w:name="_Toc106885802"/>
      <w:bookmarkStart w:id="24" w:name="_Toc106885978"/>
      <w:bookmarkStart w:id="25" w:name="_Toc106891053"/>
      <w:bookmarkStart w:id="26" w:name="_Toc104904302"/>
      <w:bookmarkStart w:id="27" w:name="_Toc104904501"/>
      <w:bookmarkStart w:id="28" w:name="_Toc104969506"/>
      <w:r>
        <w:rPr>
          <w:rStyle w:val="CharDivNo"/>
        </w:rPr>
        <w:t>Division 1</w:t>
      </w:r>
      <w:r>
        <w:t> — </w:t>
      </w:r>
      <w:r>
        <w:rPr>
          <w:rStyle w:val="CharDivText"/>
        </w:rPr>
        <w:t>Applications for accreditation</w:t>
      </w:r>
      <w:bookmarkEnd w:id="23"/>
      <w:bookmarkEnd w:id="24"/>
      <w:bookmarkEnd w:id="25"/>
      <w:bookmarkEnd w:id="26"/>
      <w:bookmarkEnd w:id="27"/>
      <w:bookmarkEnd w:id="28"/>
    </w:p>
    <w:p>
      <w:pPr>
        <w:pStyle w:val="Heading5"/>
      </w:pPr>
      <w:bookmarkStart w:id="29" w:name="_Toc106891054"/>
      <w:bookmarkStart w:id="30" w:name="_Toc104969507"/>
      <w:r>
        <w:rPr>
          <w:rStyle w:val="CharSectno"/>
        </w:rPr>
        <w:t>5</w:t>
      </w:r>
      <w:r>
        <w:t>.</w:t>
      </w:r>
      <w:r>
        <w:tab/>
        <w:t>Application for accreditation of programme</w:t>
      </w:r>
      <w:bookmarkEnd w:id="29"/>
      <w:bookmarkEnd w:id="30"/>
    </w:p>
    <w:p>
      <w:pPr>
        <w:pStyle w:val="Subsection"/>
      </w:pPr>
      <w:r>
        <w:tab/>
        <w:t>(1)</w:t>
      </w:r>
      <w:r>
        <w:tab/>
        <w:t>An application may be made to the Board for the accreditation of a programme.</w:t>
      </w:r>
    </w:p>
    <w:p>
      <w:pPr>
        <w:pStyle w:val="Subsection"/>
      </w:pPr>
      <w:r>
        <w:tab/>
        <w:t>(2)</w:t>
      </w:r>
      <w:r>
        <w:tab/>
        <w:t>An application may be made only by an education provider.</w:t>
      </w:r>
    </w:p>
    <w:p>
      <w:pPr>
        <w:pStyle w:val="Subsection"/>
      </w:pPr>
      <w:r>
        <w:tab/>
        <w:t>(3)</w:t>
      </w:r>
      <w:r>
        <w:tab/>
        <w:t xml:space="preserve">An application for the accreditation of a programme is to — </w:t>
      </w:r>
    </w:p>
    <w:p>
      <w:pPr>
        <w:pStyle w:val="Indenta"/>
      </w:pPr>
      <w:r>
        <w:tab/>
        <w:t>(a)</w:t>
      </w:r>
      <w:r>
        <w:tab/>
        <w:t>be in writing in such form, if any, as is approved by the Board; and</w:t>
      </w:r>
    </w:p>
    <w:p>
      <w:pPr>
        <w:pStyle w:val="Indenta"/>
      </w:pPr>
      <w:r>
        <w:tab/>
        <w:t>(b)</w:t>
      </w:r>
      <w:r>
        <w:tab/>
        <w:t>be accompanied by the fee of $2 </w:t>
      </w:r>
      <w:del w:id="31" w:author="Master Repository Process" w:date="2022-06-29T16:08:00Z">
        <w:r>
          <w:delText>142.50</w:delText>
        </w:r>
      </w:del>
      <w:ins w:id="32" w:author="Master Repository Process" w:date="2022-06-29T16:08:00Z">
        <w:r>
          <w:t>185</w:t>
        </w:r>
      </w:ins>
      <w:r>
        <w:t>.</w:t>
      </w:r>
    </w:p>
    <w:p>
      <w:pPr>
        <w:pStyle w:val="Subsection"/>
      </w:pPr>
      <w:r>
        <w:tab/>
        <w:t>(4)</w:t>
      </w:r>
      <w:r>
        <w:tab/>
        <w:t>The fee referred to in subregulation (3)(b) is not refundable.</w:t>
      </w:r>
    </w:p>
    <w:p>
      <w:pPr>
        <w:pStyle w:val="Footnotesection"/>
      </w:pPr>
      <w:r>
        <w:tab/>
        <w:t>[Regulation 5 amended: Gazette 12 Jun 2015 p. 2026; 14 Jun 2016 p. 1825; 27 Jun 2017 p. 3417; 31 Jul 2018 p. 2715</w:t>
      </w:r>
      <w:ins w:id="33" w:author="Master Repository Process" w:date="2022-06-29T16:08:00Z">
        <w:r>
          <w:t>; SL 2022/61 r. 8</w:t>
        </w:r>
      </w:ins>
      <w:r>
        <w:t>.]</w:t>
      </w:r>
    </w:p>
    <w:p>
      <w:pPr>
        <w:pStyle w:val="Heading5"/>
      </w:pPr>
      <w:bookmarkStart w:id="34" w:name="_Toc106891055"/>
      <w:bookmarkStart w:id="35" w:name="_Toc104969508"/>
      <w:r>
        <w:rPr>
          <w:rStyle w:val="CharSectno"/>
        </w:rPr>
        <w:t>6</w:t>
      </w:r>
      <w:r>
        <w:t>.</w:t>
      </w:r>
      <w:r>
        <w:tab/>
        <w:t>Application for re</w:t>
      </w:r>
      <w:r>
        <w:noBreakHyphen/>
        <w:t>accreditation of programme</w:t>
      </w:r>
      <w:bookmarkEnd w:id="34"/>
      <w:bookmarkEnd w:id="35"/>
    </w:p>
    <w:p>
      <w:pPr>
        <w:pStyle w:val="Subsection"/>
      </w:pPr>
      <w:r>
        <w:tab/>
        <w:t>(1)</w:t>
      </w:r>
      <w:r>
        <w:tab/>
        <w:t>An application may be made to the Board for the re</w:t>
      </w:r>
      <w:r>
        <w:noBreakHyphen/>
        <w:t>accreditation of a programme.</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programme is to — </w:t>
      </w:r>
    </w:p>
    <w:p>
      <w:pPr>
        <w:pStyle w:val="Indenta"/>
      </w:pPr>
      <w:r>
        <w:tab/>
        <w:t>(a)</w:t>
      </w:r>
      <w:r>
        <w:tab/>
        <w:t>be in writing in such form, if any, as is approved by the Board; and</w:t>
      </w:r>
    </w:p>
    <w:p>
      <w:pPr>
        <w:pStyle w:val="Indenta"/>
      </w:pPr>
      <w:r>
        <w:tab/>
        <w:t>(b)</w:t>
      </w:r>
      <w:r>
        <w:tab/>
        <w:t>be accompanied by the fee of $2 </w:t>
      </w:r>
      <w:del w:id="36" w:author="Master Repository Process" w:date="2022-06-29T16:08:00Z">
        <w:r>
          <w:delText>142.50</w:delText>
        </w:r>
      </w:del>
      <w:ins w:id="37" w:author="Master Repository Process" w:date="2022-06-29T16:08:00Z">
        <w:r>
          <w:t>185</w:t>
        </w:r>
      </w:ins>
      <w:r>
        <w:t>.</w:t>
      </w:r>
    </w:p>
    <w:p>
      <w:pPr>
        <w:pStyle w:val="Subsection"/>
        <w:keepNext/>
      </w:pPr>
      <w:r>
        <w:tab/>
        <w:t>(5)</w:t>
      </w:r>
      <w:r>
        <w:tab/>
        <w:t>The fee referred to in subregulation (4)(b) is not refundable.</w:t>
      </w:r>
    </w:p>
    <w:p>
      <w:pPr>
        <w:pStyle w:val="Footnotesection"/>
      </w:pPr>
      <w:r>
        <w:tab/>
        <w:t>[Regulation 6 amended: Gazette 12 Jun 2015 p. 2026; 14 Jun 2016 p. 1825; 27 Jun 2017 p. 3417; 31 Jul 2018 p. 2715</w:t>
      </w:r>
      <w:ins w:id="38" w:author="Master Repository Process" w:date="2022-06-29T16:08:00Z">
        <w:r>
          <w:t>; SL 2022/61 r. 9</w:t>
        </w:r>
      </w:ins>
      <w:r>
        <w:t>.]</w:t>
      </w:r>
    </w:p>
    <w:p>
      <w:pPr>
        <w:pStyle w:val="Heading5"/>
      </w:pPr>
      <w:bookmarkStart w:id="39" w:name="_Toc106891056"/>
      <w:bookmarkStart w:id="40" w:name="_Toc104969509"/>
      <w:r>
        <w:rPr>
          <w:rStyle w:val="CharSectno"/>
        </w:rPr>
        <w:t>7</w:t>
      </w:r>
      <w:r>
        <w:t>.</w:t>
      </w:r>
      <w:r>
        <w:tab/>
        <w:t>Information in support of application</w:t>
      </w:r>
      <w:bookmarkEnd w:id="39"/>
      <w:bookmarkEnd w:id="40"/>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programme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Heading5"/>
      </w:pPr>
      <w:bookmarkStart w:id="41" w:name="_Toc106891057"/>
      <w:bookmarkStart w:id="42" w:name="_Toc104969510"/>
      <w:r>
        <w:rPr>
          <w:rStyle w:val="CharSectno"/>
        </w:rPr>
        <w:t>8</w:t>
      </w:r>
      <w:r>
        <w:t>.</w:t>
      </w:r>
      <w:r>
        <w:tab/>
        <w:t>Board may refuse to consider some applications</w:t>
      </w:r>
      <w:bookmarkEnd w:id="41"/>
      <w:bookmarkEnd w:id="42"/>
    </w:p>
    <w:p>
      <w:pPr>
        <w:pStyle w:val="Subsection"/>
      </w:pPr>
      <w:r>
        <w:tab/>
      </w:r>
      <w:r>
        <w:tab/>
        <w:t>The Board may refuse to consider, or consider further, an application if it is not made in accordance with these regulations.</w:t>
      </w:r>
    </w:p>
    <w:p>
      <w:pPr>
        <w:pStyle w:val="Heading3"/>
      </w:pPr>
      <w:bookmarkStart w:id="43" w:name="_Toc106885807"/>
      <w:bookmarkStart w:id="44" w:name="_Toc106885983"/>
      <w:bookmarkStart w:id="45" w:name="_Toc106891058"/>
      <w:bookmarkStart w:id="46" w:name="_Toc104904307"/>
      <w:bookmarkStart w:id="47" w:name="_Toc104904506"/>
      <w:bookmarkStart w:id="48" w:name="_Toc104969511"/>
      <w:r>
        <w:rPr>
          <w:rStyle w:val="CharDivNo"/>
        </w:rPr>
        <w:t>Division 2</w:t>
      </w:r>
      <w:r>
        <w:t> — </w:t>
      </w:r>
      <w:r>
        <w:rPr>
          <w:rStyle w:val="CharDivText"/>
        </w:rPr>
        <w:t>Accreditation standards</w:t>
      </w:r>
      <w:bookmarkEnd w:id="43"/>
      <w:bookmarkEnd w:id="44"/>
      <w:bookmarkEnd w:id="45"/>
      <w:bookmarkEnd w:id="46"/>
      <w:bookmarkEnd w:id="47"/>
      <w:bookmarkEnd w:id="48"/>
    </w:p>
    <w:p>
      <w:pPr>
        <w:pStyle w:val="Heading5"/>
      </w:pPr>
      <w:bookmarkStart w:id="49" w:name="_Toc106891059"/>
      <w:bookmarkStart w:id="50" w:name="_Toc104969512"/>
      <w:r>
        <w:rPr>
          <w:rStyle w:val="CharSectno"/>
        </w:rPr>
        <w:t>9</w:t>
      </w:r>
      <w:r>
        <w:t>.</w:t>
      </w:r>
      <w:r>
        <w:tab/>
        <w:t>Accreditation standards for programmes</w:t>
      </w:r>
      <w:bookmarkEnd w:id="49"/>
      <w:bookmarkEnd w:id="50"/>
    </w:p>
    <w:p>
      <w:pPr>
        <w:pStyle w:val="Subsection"/>
      </w:pPr>
      <w:r>
        <w:tab/>
        <w:t>(1)</w:t>
      </w:r>
      <w:r>
        <w:tab/>
        <w:t>Accreditation standards are to be developed by the Board and approved by the Minister.</w:t>
      </w:r>
    </w:p>
    <w:p>
      <w:pPr>
        <w:pStyle w:val="Subsection"/>
      </w:pPr>
      <w:r>
        <w:tab/>
        <w:t>(2)</w:t>
      </w:r>
      <w:r>
        <w:tab/>
        <w:t>The purpose of the accreditation standards is to detail the structure, content, duration, admission and graduation criteria, and outcomes of programmes that are suitable for accreditation.</w:t>
      </w:r>
    </w:p>
    <w:p>
      <w:pPr>
        <w:pStyle w:val="Subsection"/>
      </w:pPr>
      <w:r>
        <w:tab/>
        <w:t>(3)</w:t>
      </w:r>
      <w:r>
        <w:tab/>
        <w:t>The accreditation standards may adopt the text of any code, rules, specifications, standard or other document issued, published or approved by another person or body.</w:t>
      </w:r>
    </w:p>
    <w:p>
      <w:pPr>
        <w:pStyle w:val="Subsection"/>
      </w:pPr>
      <w:r>
        <w:tab/>
        <w:t>(4)</w:t>
      </w:r>
      <w:r>
        <w:tab/>
        <w:t xml:space="preserve">The text referred to in subregulation (3) may be adopted — </w:t>
      </w:r>
    </w:p>
    <w:p>
      <w:pPr>
        <w:pStyle w:val="Indenta"/>
      </w:pPr>
      <w:r>
        <w:tab/>
        <w:t>(a)</w:t>
      </w:r>
      <w:r>
        <w:tab/>
        <w:t>wholly or in part or as modified by the accreditation standards; and</w:t>
      </w:r>
    </w:p>
    <w:p>
      <w:pPr>
        <w:pStyle w:val="Indenta"/>
      </w:pPr>
      <w:r>
        <w:tab/>
        <w:t>(b)</w:t>
      </w:r>
      <w:r>
        <w:tab/>
        <w:t>as it exists at a particular date or as amended from time to time.</w:t>
      </w:r>
    </w:p>
    <w:p>
      <w:pPr>
        <w:pStyle w:val="Subsection"/>
      </w:pPr>
      <w:r>
        <w:tab/>
        <w:t>(5)</w:t>
      </w:r>
      <w:r>
        <w:tab/>
        <w:t>The Board is to make the accreditation standards available for inspection on a website maintained by the Board.</w:t>
      </w:r>
    </w:p>
    <w:p>
      <w:pPr>
        <w:pStyle w:val="Heading3"/>
      </w:pPr>
      <w:bookmarkStart w:id="51" w:name="_Toc106885809"/>
      <w:bookmarkStart w:id="52" w:name="_Toc106885985"/>
      <w:bookmarkStart w:id="53" w:name="_Toc106891060"/>
      <w:bookmarkStart w:id="54" w:name="_Toc104904309"/>
      <w:bookmarkStart w:id="55" w:name="_Toc104904508"/>
      <w:bookmarkStart w:id="56" w:name="_Toc104969513"/>
      <w:r>
        <w:rPr>
          <w:rStyle w:val="CharDivNo"/>
        </w:rPr>
        <w:t>Division 3</w:t>
      </w:r>
      <w:r>
        <w:t> — </w:t>
      </w:r>
      <w:r>
        <w:rPr>
          <w:rStyle w:val="CharDivText"/>
        </w:rPr>
        <w:t>Accreditation of programmes</w:t>
      </w:r>
      <w:bookmarkEnd w:id="51"/>
      <w:bookmarkEnd w:id="52"/>
      <w:bookmarkEnd w:id="53"/>
      <w:bookmarkEnd w:id="54"/>
      <w:bookmarkEnd w:id="55"/>
      <w:bookmarkEnd w:id="56"/>
    </w:p>
    <w:p>
      <w:pPr>
        <w:pStyle w:val="Heading5"/>
      </w:pPr>
      <w:bookmarkStart w:id="57" w:name="_Toc106891061"/>
      <w:bookmarkStart w:id="58" w:name="_Toc104969514"/>
      <w:r>
        <w:rPr>
          <w:rStyle w:val="CharSectno"/>
        </w:rPr>
        <w:t>10</w:t>
      </w:r>
      <w:r>
        <w:t>.</w:t>
      </w:r>
      <w:r>
        <w:tab/>
        <w:t>Accreditation</w:t>
      </w:r>
      <w:bookmarkEnd w:id="57"/>
      <w:bookmarkEnd w:id="58"/>
    </w:p>
    <w:p>
      <w:pPr>
        <w:pStyle w:val="Subsection"/>
      </w:pPr>
      <w:r>
        <w:tab/>
      </w:r>
      <w:r>
        <w:tab/>
        <w:t>The Board may accredit a programme if satisfied that the programme meets the accreditation standards and is a programme that is suitable for accreditation.</w:t>
      </w:r>
    </w:p>
    <w:p>
      <w:pPr>
        <w:pStyle w:val="Heading5"/>
      </w:pPr>
      <w:bookmarkStart w:id="59" w:name="_Toc106891062"/>
      <w:bookmarkStart w:id="60" w:name="_Toc104969515"/>
      <w:r>
        <w:rPr>
          <w:rStyle w:val="CharSectno"/>
        </w:rPr>
        <w:t>11</w:t>
      </w:r>
      <w:r>
        <w:t>.</w:t>
      </w:r>
      <w:r>
        <w:tab/>
        <w:t>Re</w:t>
      </w:r>
      <w:r>
        <w:noBreakHyphen/>
        <w:t>accreditation</w:t>
      </w:r>
      <w:bookmarkEnd w:id="59"/>
      <w:bookmarkEnd w:id="60"/>
    </w:p>
    <w:p>
      <w:pPr>
        <w:pStyle w:val="Subsection"/>
      </w:pPr>
      <w:r>
        <w:tab/>
      </w:r>
      <w:r>
        <w:tab/>
        <w:t>The Board may re</w:t>
      </w:r>
      <w:r>
        <w:noBreakHyphen/>
        <w:t xml:space="preserve">accredit a programme if satisfied that — </w:t>
      </w:r>
    </w:p>
    <w:p>
      <w:pPr>
        <w:pStyle w:val="Indenta"/>
      </w:pPr>
      <w:r>
        <w:tab/>
        <w:t>(a)</w:t>
      </w:r>
      <w:r>
        <w:tab/>
        <w:t>the programme meets the accreditation standards and is a programme that is suitable for accreditation; and</w:t>
      </w:r>
    </w:p>
    <w:p>
      <w:pPr>
        <w:pStyle w:val="Indenta"/>
      </w:pPr>
      <w:r>
        <w:tab/>
        <w:t>(b)</w:t>
      </w:r>
      <w:r>
        <w:tab/>
        <w:t>any conditions to which the accreditation is subject are being complied with.</w:t>
      </w:r>
    </w:p>
    <w:p>
      <w:pPr>
        <w:pStyle w:val="Heading5"/>
      </w:pPr>
      <w:bookmarkStart w:id="61" w:name="_Toc106891063"/>
      <w:bookmarkStart w:id="62" w:name="_Toc104969516"/>
      <w:r>
        <w:rPr>
          <w:rStyle w:val="CharSectno"/>
        </w:rPr>
        <w:t>12</w:t>
      </w:r>
      <w:r>
        <w:t>.</w:t>
      </w:r>
      <w:r>
        <w:tab/>
        <w:t>National accreditation scheme</w:t>
      </w:r>
      <w:bookmarkEnd w:id="61"/>
      <w:bookmarkEnd w:id="62"/>
    </w:p>
    <w:p>
      <w:pPr>
        <w:pStyle w:val="Subsection"/>
      </w:pPr>
      <w:r>
        <w:tab/>
        <w:t>(1)</w:t>
      </w:r>
      <w:r>
        <w:tab/>
        <w:t>In implementing and administering a national accreditation scheme for initial teacher education programmes the Board may liaise with other bodies, including AITSL.</w:t>
      </w:r>
    </w:p>
    <w:p>
      <w:pPr>
        <w:pStyle w:val="Subsection"/>
      </w:pPr>
      <w:r>
        <w:tab/>
        <w:t>(2)</w:t>
      </w:r>
      <w:r>
        <w:tab/>
        <w:t>For the avoidance of doubt, matters on which the Board may liaise include matters with respect to decisions about accreditation to be made under these regulations.</w:t>
      </w:r>
    </w:p>
    <w:p>
      <w:pPr>
        <w:pStyle w:val="Heading5"/>
      </w:pPr>
      <w:bookmarkStart w:id="63" w:name="_Toc106891064"/>
      <w:bookmarkStart w:id="64" w:name="_Toc104969517"/>
      <w:r>
        <w:rPr>
          <w:rStyle w:val="CharSectno"/>
        </w:rPr>
        <w:t>13</w:t>
      </w:r>
      <w:r>
        <w:t>.</w:t>
      </w:r>
      <w:r>
        <w:tab/>
        <w:t>Duration of accreditation</w:t>
      </w:r>
      <w:bookmarkEnd w:id="63"/>
      <w:bookmarkEnd w:id="64"/>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65" w:name="_Toc106891065"/>
      <w:bookmarkStart w:id="66" w:name="_Toc104969518"/>
      <w:r>
        <w:rPr>
          <w:rStyle w:val="CharSectno"/>
        </w:rPr>
        <w:t>14</w:t>
      </w:r>
      <w:r>
        <w:t>.</w:t>
      </w:r>
      <w:r>
        <w:tab/>
        <w:t>Notice of significant change to accredited programme to be given to Board</w:t>
      </w:r>
      <w:bookmarkEnd w:id="65"/>
      <w:bookmarkEnd w:id="66"/>
    </w:p>
    <w:p>
      <w:pPr>
        <w:pStyle w:val="Subsection"/>
      </w:pPr>
      <w:r>
        <w:tab/>
        <w:t>(1)</w:t>
      </w:r>
      <w:r>
        <w:tab/>
        <w:t>An education provider must give written notice to the Board if the education provider intends to make a significant change to an accredited programme.</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programme.</w:t>
      </w:r>
    </w:p>
    <w:p>
      <w:pPr>
        <w:pStyle w:val="Heading3"/>
      </w:pPr>
      <w:bookmarkStart w:id="67" w:name="_Toc106885815"/>
      <w:bookmarkStart w:id="68" w:name="_Toc106885991"/>
      <w:bookmarkStart w:id="69" w:name="_Toc106891066"/>
      <w:bookmarkStart w:id="70" w:name="_Toc104904315"/>
      <w:bookmarkStart w:id="71" w:name="_Toc104904514"/>
      <w:bookmarkStart w:id="72" w:name="_Toc104969519"/>
      <w:r>
        <w:rPr>
          <w:rStyle w:val="CharDivNo"/>
        </w:rPr>
        <w:t>Division 4</w:t>
      </w:r>
      <w:r>
        <w:t> — </w:t>
      </w:r>
      <w:r>
        <w:rPr>
          <w:rStyle w:val="CharDivText"/>
        </w:rPr>
        <w:t>Conditions on accreditation and cancellation of accreditation</w:t>
      </w:r>
      <w:bookmarkEnd w:id="67"/>
      <w:bookmarkEnd w:id="68"/>
      <w:bookmarkEnd w:id="69"/>
      <w:bookmarkEnd w:id="70"/>
      <w:bookmarkEnd w:id="71"/>
      <w:bookmarkEnd w:id="72"/>
    </w:p>
    <w:p>
      <w:pPr>
        <w:pStyle w:val="Heading5"/>
      </w:pPr>
      <w:bookmarkStart w:id="73" w:name="_Toc106891067"/>
      <w:bookmarkStart w:id="74" w:name="_Toc104969520"/>
      <w:r>
        <w:rPr>
          <w:rStyle w:val="CharSectno"/>
        </w:rPr>
        <w:t>15</w:t>
      </w:r>
      <w:r>
        <w:t>.</w:t>
      </w:r>
      <w:r>
        <w:tab/>
        <w:t>Accreditation may be subject to conditions</w:t>
      </w:r>
      <w:bookmarkEnd w:id="73"/>
      <w:bookmarkEnd w:id="74"/>
    </w:p>
    <w:p>
      <w:pPr>
        <w:pStyle w:val="Subsection"/>
      </w:pPr>
      <w:r>
        <w:tab/>
        <w:t>(1)</w:t>
      </w:r>
      <w:r>
        <w:tab/>
        <w:t>Accreditation of a programme under this Part is subject to any condition imposed by the Board.</w:t>
      </w:r>
    </w:p>
    <w:p>
      <w:pPr>
        <w:pStyle w:val="Subsection"/>
      </w:pPr>
      <w:r>
        <w:tab/>
        <w:t>(2)</w:t>
      </w:r>
      <w:r>
        <w:tab/>
        <w:t xml:space="preserve">The Board may impose a condition, or conditions, on the accreditation of a programme under this Part — </w:t>
      </w:r>
    </w:p>
    <w:p>
      <w:pPr>
        <w:pStyle w:val="Indenta"/>
      </w:pPr>
      <w:r>
        <w:tab/>
        <w:t>(a)</w:t>
      </w:r>
      <w:r>
        <w:tab/>
        <w:t>when accrediting or re</w:t>
      </w:r>
      <w:r>
        <w:noBreakHyphen/>
        <w:t>accrediting the programme; or</w:t>
      </w:r>
    </w:p>
    <w:p>
      <w:pPr>
        <w:pStyle w:val="Indenta"/>
      </w:pPr>
      <w:r>
        <w:tab/>
        <w:t>(b)</w:t>
      </w:r>
      <w:r>
        <w:tab/>
        <w:t>during the currency of the accreditation.</w:t>
      </w:r>
    </w:p>
    <w:p>
      <w:pPr>
        <w:pStyle w:val="Subsection"/>
      </w:pPr>
      <w:r>
        <w:tab/>
        <w:t>(3)</w:t>
      </w:r>
      <w:r>
        <w:tab/>
        <w:t>The Board may at any time, on the application of an education provider or on its own initiative, on reasonable grounds, modify or cancel a condition on the accreditation of a programme under this Part.</w:t>
      </w:r>
    </w:p>
    <w:p>
      <w:pPr>
        <w:pStyle w:val="Subsection"/>
      </w:pPr>
      <w:r>
        <w:tab/>
        <w:t>(4)</w:t>
      </w:r>
      <w:r>
        <w:tab/>
        <w:t>Conditions imposed or modified by the Board under this regulation must be reasonable and relevant to ensuring that the programme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programme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Heading5"/>
      </w:pPr>
      <w:bookmarkStart w:id="75" w:name="_Toc106891068"/>
      <w:bookmarkStart w:id="76" w:name="_Toc104969521"/>
      <w:r>
        <w:rPr>
          <w:rStyle w:val="CharSectno"/>
        </w:rPr>
        <w:t>16</w:t>
      </w:r>
      <w:r>
        <w:t>.</w:t>
      </w:r>
      <w:r>
        <w:tab/>
        <w:t>Cancellation of accreditation by Board</w:t>
      </w:r>
      <w:bookmarkEnd w:id="75"/>
      <w:bookmarkEnd w:id="76"/>
    </w:p>
    <w:p>
      <w:pPr>
        <w:pStyle w:val="Subsection"/>
      </w:pPr>
      <w:r>
        <w:tab/>
        <w:t>(1)</w:t>
      </w:r>
      <w:r>
        <w:tab/>
        <w:t xml:space="preserve">The Board is to cancel the accreditation of a programme under this Part as soon as possible after the Board forms the view that — </w:t>
      </w:r>
    </w:p>
    <w:p>
      <w:pPr>
        <w:pStyle w:val="Indenta"/>
      </w:pPr>
      <w:r>
        <w:tab/>
        <w:t>(a)</w:t>
      </w:r>
      <w:r>
        <w:tab/>
        <w:t>the programme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77" w:name="_Toc106891069"/>
      <w:bookmarkStart w:id="78" w:name="_Toc104969522"/>
      <w:r>
        <w:rPr>
          <w:rStyle w:val="CharSectno"/>
        </w:rPr>
        <w:t>17</w:t>
      </w:r>
      <w:r>
        <w:t>.</w:t>
      </w:r>
      <w:r>
        <w:tab/>
        <w:t>Cancellation of accreditation at education provider’s request</w:t>
      </w:r>
      <w:bookmarkEnd w:id="77"/>
      <w:bookmarkEnd w:id="78"/>
    </w:p>
    <w:p>
      <w:pPr>
        <w:pStyle w:val="Subsection"/>
      </w:pPr>
      <w:r>
        <w:tab/>
        <w:t>(1)</w:t>
      </w:r>
      <w:r>
        <w:tab/>
        <w:t>The Board is to cancel the accreditation of a programme under this Part at the written request of the education provider that holds the accreditation.</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79" w:name="_Toc106891070"/>
      <w:bookmarkStart w:id="80" w:name="_Toc104969523"/>
      <w:r>
        <w:rPr>
          <w:rStyle w:val="CharSectno"/>
        </w:rPr>
        <w:t>18</w:t>
      </w:r>
      <w:r>
        <w:t>.</w:t>
      </w:r>
      <w:r>
        <w:tab/>
        <w:t>Cancellation of accreditation if programme is no longer an accredited or authorised higher education course</w:t>
      </w:r>
      <w:bookmarkEnd w:id="79"/>
      <w:bookmarkEnd w:id="80"/>
    </w:p>
    <w:p>
      <w:pPr>
        <w:pStyle w:val="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81" w:name="_Toc106891071"/>
      <w:bookmarkStart w:id="82" w:name="_Toc104969524"/>
      <w:r>
        <w:rPr>
          <w:rStyle w:val="CharSectno"/>
        </w:rPr>
        <w:t>19</w:t>
      </w:r>
      <w:r>
        <w:t>.</w:t>
      </w:r>
      <w:r>
        <w:tab/>
        <w:t>Board to take into account submissions and interests of students before making decisions</w:t>
      </w:r>
      <w:bookmarkEnd w:id="81"/>
      <w:bookmarkEnd w:id="82"/>
    </w:p>
    <w:p>
      <w:pPr>
        <w:pStyle w:val="Subsection"/>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tab/>
        <w:t>(b)</w:t>
      </w:r>
      <w:r>
        <w:tab/>
        <w:t>where relevant, the interests of the students undertaking the programme.</w:t>
      </w:r>
    </w:p>
    <w:p>
      <w:pPr>
        <w:pStyle w:val="Heading2"/>
      </w:pPr>
      <w:bookmarkStart w:id="83" w:name="_Toc106885821"/>
      <w:bookmarkStart w:id="84" w:name="_Toc106885997"/>
      <w:bookmarkStart w:id="85" w:name="_Toc106891072"/>
      <w:bookmarkStart w:id="86" w:name="_Toc104904321"/>
      <w:bookmarkStart w:id="87" w:name="_Toc104904520"/>
      <w:bookmarkStart w:id="88" w:name="_Toc104969525"/>
      <w:r>
        <w:rPr>
          <w:rStyle w:val="CharPartNo"/>
        </w:rPr>
        <w:t>Part 3</w:t>
      </w:r>
      <w:r>
        <w:t> — </w:t>
      </w:r>
      <w:r>
        <w:rPr>
          <w:rStyle w:val="CharPartText"/>
        </w:rPr>
        <w:t>Notice of decisions, opportunity to show cause why some decisions should not be made and review of some decisions</w:t>
      </w:r>
      <w:bookmarkEnd w:id="83"/>
      <w:bookmarkEnd w:id="84"/>
      <w:bookmarkEnd w:id="85"/>
      <w:bookmarkEnd w:id="86"/>
      <w:bookmarkEnd w:id="87"/>
      <w:bookmarkEnd w:id="88"/>
    </w:p>
    <w:p>
      <w:pPr>
        <w:pStyle w:val="Heading3"/>
      </w:pPr>
      <w:bookmarkStart w:id="89" w:name="_Toc106885822"/>
      <w:bookmarkStart w:id="90" w:name="_Toc106885998"/>
      <w:bookmarkStart w:id="91" w:name="_Toc106891073"/>
      <w:bookmarkStart w:id="92" w:name="_Toc104904322"/>
      <w:bookmarkStart w:id="93" w:name="_Toc104904521"/>
      <w:bookmarkStart w:id="94" w:name="_Toc104969526"/>
      <w:r>
        <w:rPr>
          <w:rStyle w:val="CharDivNo"/>
        </w:rPr>
        <w:t>Division 1</w:t>
      </w:r>
      <w:r>
        <w:t> — </w:t>
      </w:r>
      <w:r>
        <w:rPr>
          <w:rStyle w:val="CharDivText"/>
        </w:rPr>
        <w:t>Notice of decisions</w:t>
      </w:r>
      <w:bookmarkEnd w:id="89"/>
      <w:bookmarkEnd w:id="90"/>
      <w:bookmarkEnd w:id="91"/>
      <w:bookmarkEnd w:id="92"/>
      <w:bookmarkEnd w:id="93"/>
      <w:bookmarkEnd w:id="94"/>
    </w:p>
    <w:p>
      <w:pPr>
        <w:pStyle w:val="Heading5"/>
      </w:pPr>
      <w:bookmarkStart w:id="95" w:name="_Toc106891074"/>
      <w:bookmarkStart w:id="96" w:name="_Toc104969527"/>
      <w:r>
        <w:rPr>
          <w:rStyle w:val="CharSectno"/>
        </w:rPr>
        <w:t>20</w:t>
      </w:r>
      <w:r>
        <w:t>.</w:t>
      </w:r>
      <w:r>
        <w:tab/>
        <w:t>Notice of decisions on accreditation</w:t>
      </w:r>
      <w:bookmarkEnd w:id="95"/>
      <w:bookmarkEnd w:id="96"/>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97" w:name="_Toc106891075"/>
      <w:bookmarkStart w:id="98" w:name="_Toc104969528"/>
      <w:r>
        <w:rPr>
          <w:rStyle w:val="CharSectno"/>
        </w:rPr>
        <w:t>21</w:t>
      </w:r>
      <w:r>
        <w:t>.</w:t>
      </w:r>
      <w:r>
        <w:tab/>
        <w:t>Notice of decisions to impose, modify or cancel conditions made during the currency of the accreditation</w:t>
      </w:r>
      <w:bookmarkEnd w:id="97"/>
      <w:bookmarkEnd w:id="98"/>
    </w:p>
    <w:p>
      <w:pPr>
        <w:pStyle w:val="Subsection"/>
      </w:pPr>
      <w:r>
        <w:tab/>
        <w:t>(1)</w:t>
      </w:r>
      <w:r>
        <w:tab/>
        <w:t>The Board is to give written notice to the education provider that holds the accreditation of a decision under regulation 15 to impose, modify or cancel a condition on the accreditation 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99" w:name="_Toc106891076"/>
      <w:bookmarkStart w:id="100" w:name="_Toc104969529"/>
      <w:r>
        <w:rPr>
          <w:rStyle w:val="CharSectno"/>
        </w:rPr>
        <w:t>22</w:t>
      </w:r>
      <w:r>
        <w:t>.</w:t>
      </w:r>
      <w:r>
        <w:tab/>
        <w:t>Notice of cancellation of accreditation</w:t>
      </w:r>
      <w:bookmarkEnd w:id="99"/>
      <w:bookmarkEnd w:id="100"/>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p>
    <w:p>
      <w:pPr>
        <w:pStyle w:val="Heading3"/>
        <w:pageBreakBefore/>
        <w:spacing w:before="0"/>
      </w:pPr>
      <w:bookmarkStart w:id="101" w:name="_Toc106885826"/>
      <w:bookmarkStart w:id="102" w:name="_Toc106886002"/>
      <w:bookmarkStart w:id="103" w:name="_Toc106891077"/>
      <w:bookmarkStart w:id="104" w:name="_Toc104904326"/>
      <w:bookmarkStart w:id="105" w:name="_Toc104904525"/>
      <w:bookmarkStart w:id="106" w:name="_Toc104969530"/>
      <w:r>
        <w:rPr>
          <w:rStyle w:val="CharDivNo"/>
        </w:rPr>
        <w:t>Division 2</w:t>
      </w:r>
      <w:r>
        <w:t> — </w:t>
      </w:r>
      <w:r>
        <w:rPr>
          <w:rStyle w:val="CharDivText"/>
        </w:rPr>
        <w:t>Opportunity to show cause why some decisions should not be made</w:t>
      </w:r>
      <w:bookmarkEnd w:id="101"/>
      <w:bookmarkEnd w:id="102"/>
      <w:bookmarkEnd w:id="103"/>
      <w:bookmarkEnd w:id="104"/>
      <w:bookmarkEnd w:id="105"/>
      <w:bookmarkEnd w:id="106"/>
    </w:p>
    <w:p>
      <w:pPr>
        <w:pStyle w:val="Heading5"/>
      </w:pPr>
      <w:bookmarkStart w:id="107" w:name="_Toc106891078"/>
      <w:bookmarkStart w:id="108" w:name="_Toc104969531"/>
      <w:r>
        <w:rPr>
          <w:rStyle w:val="CharSectno"/>
        </w:rPr>
        <w:t>23</w:t>
      </w:r>
      <w:r>
        <w:t>.</w:t>
      </w:r>
      <w:r>
        <w:tab/>
        <w:t>Board to give reasonable opportunity to show cause why some decisions should not be made</w:t>
      </w:r>
      <w:bookmarkEnd w:id="107"/>
      <w:bookmarkEnd w:id="108"/>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109" w:name="_Toc106885828"/>
      <w:bookmarkStart w:id="110" w:name="_Toc106886004"/>
      <w:bookmarkStart w:id="111" w:name="_Toc106891079"/>
      <w:bookmarkStart w:id="112" w:name="_Toc104904328"/>
      <w:bookmarkStart w:id="113" w:name="_Toc104904527"/>
      <w:bookmarkStart w:id="114" w:name="_Toc104969532"/>
      <w:r>
        <w:rPr>
          <w:rStyle w:val="CharDivNo"/>
        </w:rPr>
        <w:t>Division 3</w:t>
      </w:r>
      <w:r>
        <w:t> — </w:t>
      </w:r>
      <w:r>
        <w:rPr>
          <w:rStyle w:val="CharDivText"/>
        </w:rPr>
        <w:t>Review of accreditation decisions</w:t>
      </w:r>
      <w:bookmarkEnd w:id="109"/>
      <w:bookmarkEnd w:id="110"/>
      <w:bookmarkEnd w:id="111"/>
      <w:bookmarkEnd w:id="112"/>
      <w:bookmarkEnd w:id="113"/>
      <w:bookmarkEnd w:id="114"/>
    </w:p>
    <w:p>
      <w:pPr>
        <w:pStyle w:val="Heading5"/>
      </w:pPr>
      <w:bookmarkStart w:id="115" w:name="_Toc106891080"/>
      <w:bookmarkStart w:id="116" w:name="_Toc104969533"/>
      <w:r>
        <w:rPr>
          <w:rStyle w:val="CharSectno"/>
        </w:rPr>
        <w:t>24</w:t>
      </w:r>
      <w:r>
        <w:t>.</w:t>
      </w:r>
      <w:r>
        <w:tab/>
        <w:t>Review by Minister</w:t>
      </w:r>
      <w:bookmarkEnd w:id="115"/>
      <w:bookmarkEnd w:id="116"/>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tab/>
        <w:t>(2)</w:t>
      </w:r>
      <w:r>
        <w:tab/>
        <w:t>An applicant may request that the Minister review an accreditation decision.</w:t>
      </w:r>
    </w:p>
    <w:p>
      <w:pPr>
        <w:pStyle w:val="Subsection"/>
      </w:pPr>
      <w:r>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programme.</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tab/>
        <w:t>(8)</w:t>
      </w:r>
      <w:r>
        <w:tab/>
        <w:t>A decision made by the Minister under this regulation is final and not subject to appeal or further review.</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78"/>
        </w:sectPr>
      </w:pPr>
    </w:p>
    <w:p>
      <w:pPr>
        <w:pStyle w:val="Heading2"/>
      </w:pPr>
      <w:bookmarkStart w:id="117" w:name="_Toc106885830"/>
      <w:bookmarkStart w:id="118" w:name="_Toc106886006"/>
      <w:bookmarkStart w:id="119" w:name="_Toc106891081"/>
      <w:bookmarkStart w:id="120" w:name="_Toc104904330"/>
      <w:bookmarkStart w:id="121" w:name="_Toc104904529"/>
      <w:bookmarkStart w:id="122" w:name="_Toc104969534"/>
      <w:r>
        <w:rPr>
          <w:rStyle w:val="CharPartNo"/>
        </w:rPr>
        <w:t>Part 4</w:t>
      </w:r>
      <w:r>
        <w:rPr>
          <w:rStyle w:val="CharDivNo"/>
        </w:rPr>
        <w:t> </w:t>
      </w:r>
      <w:r>
        <w:t>—</w:t>
      </w:r>
      <w:r>
        <w:rPr>
          <w:rStyle w:val="CharDivText"/>
        </w:rPr>
        <w:t> </w:t>
      </w:r>
      <w:r>
        <w:rPr>
          <w:rStyle w:val="CharPartText"/>
        </w:rPr>
        <w:t>Register of accredited programmes</w:t>
      </w:r>
      <w:bookmarkEnd w:id="117"/>
      <w:bookmarkEnd w:id="118"/>
      <w:bookmarkEnd w:id="119"/>
      <w:bookmarkEnd w:id="120"/>
      <w:bookmarkEnd w:id="121"/>
      <w:bookmarkEnd w:id="122"/>
    </w:p>
    <w:p>
      <w:pPr>
        <w:pStyle w:val="Heading5"/>
        <w:rPr>
          <w:rStyle w:val="DraftersNotes"/>
          <w:i w:val="0"/>
        </w:rPr>
      </w:pPr>
      <w:bookmarkStart w:id="123" w:name="_Toc106891082"/>
      <w:bookmarkStart w:id="124" w:name="_Toc104969535"/>
      <w:r>
        <w:rPr>
          <w:rStyle w:val="CharSectno"/>
        </w:rPr>
        <w:t>25</w:t>
      </w:r>
      <w:r>
        <w:t>.</w:t>
      </w:r>
      <w:r>
        <w:tab/>
        <w:t>Register of accredited programmes to be kept</w:t>
      </w:r>
      <w:bookmarkEnd w:id="123"/>
      <w:bookmarkEnd w:id="124"/>
    </w:p>
    <w:p>
      <w:pPr>
        <w:pStyle w:val="Subsection"/>
        <w:rPr>
          <w:b/>
        </w:rPr>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Indenta"/>
      </w:pPr>
      <w:r>
        <w:tab/>
        <w:t>(a)</w:t>
      </w:r>
      <w:r>
        <w:tab/>
        <w:t>the name of the accredited programme;</w:t>
      </w:r>
    </w:p>
    <w:p>
      <w:pPr>
        <w:pStyle w:val="Indenta"/>
      </w:pPr>
      <w:r>
        <w:tab/>
        <w:t>(b)</w:t>
      </w:r>
      <w:r>
        <w:tab/>
        <w:t>the education provider that made the application to have the programme accredited;</w:t>
      </w:r>
    </w:p>
    <w:p>
      <w:pPr>
        <w:pStyle w:val="Indenta"/>
      </w:pPr>
      <w:r>
        <w:tab/>
        <w:t>(c)</w:t>
      </w:r>
      <w:r>
        <w:tab/>
        <w:t>the title of the teaching qualification conferred on the successful completion of the programme;</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The register may be kept in any way the Board thinks appropriate, including by electronic means, and may form part of a national register of accredited initial teacher education programmes kept by AITSL.</w:t>
      </w:r>
    </w:p>
    <w:p>
      <w:pPr>
        <w:pStyle w:val="Heading5"/>
      </w:pPr>
      <w:bookmarkStart w:id="125" w:name="_Toc106891083"/>
      <w:bookmarkStart w:id="126" w:name="_Toc104969536"/>
      <w:r>
        <w:rPr>
          <w:rStyle w:val="CharSectno"/>
        </w:rPr>
        <w:t>26</w:t>
      </w:r>
      <w:r>
        <w:t>.</w:t>
      </w:r>
      <w:r>
        <w:tab/>
        <w:t>Inspection of register</w:t>
      </w:r>
      <w:bookmarkEnd w:id="125"/>
      <w:bookmarkEnd w:id="126"/>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127" w:name="_Toc106885833"/>
      <w:bookmarkStart w:id="128" w:name="_Toc106886009"/>
      <w:bookmarkStart w:id="129" w:name="_Toc106891084"/>
      <w:bookmarkStart w:id="130" w:name="_Toc104904333"/>
      <w:bookmarkStart w:id="131" w:name="_Toc104904532"/>
      <w:bookmarkStart w:id="132" w:name="_Toc104969537"/>
      <w:r>
        <w:rPr>
          <w:rStyle w:val="CharPartNo"/>
        </w:rPr>
        <w:t>Part 5</w:t>
      </w:r>
      <w:r>
        <w:rPr>
          <w:rStyle w:val="CharDivNo"/>
        </w:rPr>
        <w:t> </w:t>
      </w:r>
      <w:r>
        <w:t>—</w:t>
      </w:r>
      <w:r>
        <w:rPr>
          <w:rStyle w:val="CharDivText"/>
        </w:rPr>
        <w:t> </w:t>
      </w:r>
      <w:r>
        <w:rPr>
          <w:rStyle w:val="CharPartText"/>
        </w:rPr>
        <w:t>Transitional regulations</w:t>
      </w:r>
      <w:bookmarkEnd w:id="127"/>
      <w:bookmarkEnd w:id="128"/>
      <w:bookmarkEnd w:id="129"/>
      <w:bookmarkEnd w:id="130"/>
      <w:bookmarkEnd w:id="131"/>
      <w:bookmarkEnd w:id="132"/>
    </w:p>
    <w:p>
      <w:pPr>
        <w:pStyle w:val="Heading5"/>
      </w:pPr>
      <w:bookmarkStart w:id="133" w:name="_Toc106891085"/>
      <w:bookmarkStart w:id="134" w:name="_Toc104969538"/>
      <w:r>
        <w:rPr>
          <w:rStyle w:val="CharSectno"/>
        </w:rPr>
        <w:t>27</w:t>
      </w:r>
      <w:r>
        <w:t>.</w:t>
      </w:r>
      <w:r>
        <w:tab/>
        <w:t>Terms used</w:t>
      </w:r>
      <w:bookmarkEnd w:id="133"/>
      <w:bookmarkEnd w:id="134"/>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r>
        <w:rPr>
          <w:i/>
        </w:rPr>
        <w:t>Western Australian College of Teaching Act 2004</w:t>
      </w:r>
      <w:r>
        <w:t>.</w:t>
      </w:r>
    </w:p>
    <w:p>
      <w:pPr>
        <w:pStyle w:val="Heading5"/>
      </w:pPr>
      <w:bookmarkStart w:id="135" w:name="_Toc106891086"/>
      <w:bookmarkStart w:id="136" w:name="_Toc104969539"/>
      <w:r>
        <w:rPr>
          <w:rStyle w:val="CharSectno"/>
        </w:rPr>
        <w:t>28</w:t>
      </w:r>
      <w:r>
        <w:t>.</w:t>
      </w:r>
      <w:r>
        <w:tab/>
        <w:t>Programmes taken to be accredited</w:t>
      </w:r>
      <w:bookmarkEnd w:id="135"/>
      <w:bookmarkEnd w:id="136"/>
    </w:p>
    <w:p>
      <w:pPr>
        <w:pStyle w:val="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Subsection"/>
      </w:pPr>
      <w:r>
        <w:tab/>
        <w:t>(3)</w:t>
      </w:r>
      <w:r>
        <w:tab/>
        <w:t xml:space="preserve">A programme taken to be an accredited initial teacher education programme under this regulation remains accredited, subject to the Act and these regulations, until — </w:t>
      </w:r>
    </w:p>
    <w:p>
      <w:pPr>
        <w:pStyle w:val="Indenta"/>
      </w:pPr>
      <w:r>
        <w:tab/>
        <w:t>(a)</w:t>
      </w:r>
      <w:r>
        <w:tab/>
        <w:t>the programme ceases to be accredited (however described) by the body that accredited it; or</w:t>
      </w:r>
    </w:p>
    <w:p>
      <w:pPr>
        <w:pStyle w:val="Indenta"/>
      </w:pPr>
      <w:r>
        <w:tab/>
        <w:t>(b)</w:t>
      </w:r>
      <w:r>
        <w:tab/>
        <w:t>the programme’s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CentredBaseLine"/>
        <w:jc w:val="center"/>
        <w:rPr>
          <w:ins w:id="137" w:author="Master Repository Process" w:date="2022-06-29T16:08:00Z"/>
        </w:rPr>
      </w:pPr>
      <w:ins w:id="138" w:author="Master Repository Process" w:date="2022-06-29T16:08: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ByCommand"/>
        <w:sectPr>
          <w:headerReference w:type="first" r:id="rId22"/>
          <w:endnotePr>
            <w:numFmt w:val="decimal"/>
          </w:endnotePr>
          <w:pgSz w:w="11907" w:h="16840" w:code="9"/>
          <w:pgMar w:top="2381" w:right="2410" w:bottom="3544" w:left="2410" w:header="720" w:footer="3380" w:gutter="0"/>
          <w:pgNumType w:start="1"/>
          <w:cols w:space="720"/>
          <w:noEndnote/>
          <w:titlePg/>
          <w:docGrid w:linePitch="78"/>
        </w:sectPr>
      </w:pPr>
    </w:p>
    <w:p>
      <w:pPr>
        <w:pStyle w:val="nHeading2"/>
      </w:pPr>
      <w:bookmarkStart w:id="139" w:name="_Toc106885836"/>
      <w:bookmarkStart w:id="140" w:name="_Toc106886012"/>
      <w:bookmarkStart w:id="141" w:name="_Toc106891087"/>
      <w:bookmarkStart w:id="142" w:name="_Toc104904535"/>
      <w:bookmarkStart w:id="143" w:name="_Toc104969540"/>
      <w:bookmarkStart w:id="144" w:name="_Toc104904338"/>
      <w:r>
        <w:t>Notes</w:t>
      </w:r>
      <w:bookmarkEnd w:id="139"/>
      <w:bookmarkEnd w:id="140"/>
      <w:bookmarkEnd w:id="141"/>
      <w:bookmarkEnd w:id="142"/>
      <w:bookmarkEnd w:id="143"/>
    </w:p>
    <w:p>
      <w:pPr>
        <w:pStyle w:val="nStatement"/>
      </w:pPr>
      <w:r>
        <w:t xml:space="preserve">This is a compilation of the </w:t>
      </w:r>
      <w:r>
        <w:rPr>
          <w:i/>
          <w:noProof/>
        </w:rPr>
        <w:t>Teacher Registration (Accreditation of Initial Teacher Education Programmes) Regulations 2012</w:t>
      </w:r>
      <w:r>
        <w:t xml:space="preserve"> and includes amendments made by other written laws. For provisions that have come into operation see the compilation table.</w:t>
      </w:r>
      <w:del w:id="145" w:author="Master Repository Process" w:date="2022-06-29T16:08:00Z">
        <w:r>
          <w:delText xml:space="preserve"> For provisions that have not yet come into operation see the uncommenced provisions table.</w:delText>
        </w:r>
      </w:del>
    </w:p>
    <w:p>
      <w:pPr>
        <w:pStyle w:val="nHeading3"/>
      </w:pPr>
      <w:bookmarkStart w:id="146" w:name="_Toc106891088"/>
      <w:bookmarkStart w:id="147" w:name="_Toc104969541"/>
      <w:r>
        <w:t>Compilation table</w:t>
      </w:r>
      <w:bookmarkEnd w:id="146"/>
      <w:bookmarkEnd w:id="147"/>
    </w:p>
    <w:tbl>
      <w:tblPr>
        <w:tblW w:w="7121"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1"/>
        <w:gridCol w:w="1275"/>
        <w:gridCol w:w="2691"/>
        <w:gridCol w:w="34"/>
      </w:tblGrid>
      <w:tr>
        <w:trPr>
          <w:gridAfter w:val="1"/>
          <w:wAfter w:w="34" w:type="dxa"/>
          <w:tblHeader/>
        </w:trPr>
        <w:tc>
          <w:tcPr>
            <w:tcW w:w="3121" w:type="dxa"/>
          </w:tcPr>
          <w:p>
            <w:pPr>
              <w:pStyle w:val="nTable"/>
              <w:spacing w:after="40"/>
              <w:rPr>
                <w:b/>
              </w:rPr>
            </w:pPr>
            <w:r>
              <w:rPr>
                <w:b/>
              </w:rPr>
              <w:t>Citation</w:t>
            </w:r>
          </w:p>
        </w:tc>
        <w:tc>
          <w:tcPr>
            <w:tcW w:w="1275" w:type="dxa"/>
          </w:tcPr>
          <w:p>
            <w:pPr>
              <w:pStyle w:val="nTable"/>
              <w:spacing w:after="40"/>
              <w:rPr>
                <w:b/>
              </w:rPr>
            </w:pPr>
            <w:r>
              <w:rPr>
                <w:b/>
              </w:rPr>
              <w:t>Published</w:t>
            </w:r>
          </w:p>
        </w:tc>
        <w:tc>
          <w:tcPr>
            <w:tcW w:w="2691" w:type="dxa"/>
          </w:tcPr>
          <w:p>
            <w:pPr>
              <w:pStyle w:val="nTable"/>
              <w:spacing w:after="40"/>
              <w:rPr>
                <w:b/>
              </w:rPr>
            </w:pPr>
            <w:r>
              <w:rPr>
                <w:b/>
              </w:rPr>
              <w:t>Commencement</w:t>
            </w:r>
          </w:p>
        </w:tc>
      </w:tr>
      <w:tr>
        <w:trPr>
          <w:gridAfter w:val="1"/>
          <w:wAfter w:w="34" w:type="dxa"/>
        </w:trPr>
        <w:tc>
          <w:tcPr>
            <w:tcW w:w="3121" w:type="dxa"/>
            <w:tcBorders>
              <w:bottom w:val="nil"/>
            </w:tcBorders>
          </w:tcPr>
          <w:p>
            <w:pPr>
              <w:pStyle w:val="nTable"/>
              <w:spacing w:after="40"/>
            </w:pPr>
            <w:r>
              <w:rPr>
                <w:i/>
              </w:rPr>
              <w:t>Teacher Registration (Accreditation of Initial Teacher Education Programmes) Regulations 2012</w:t>
            </w:r>
          </w:p>
        </w:tc>
        <w:tc>
          <w:tcPr>
            <w:tcW w:w="1275" w:type="dxa"/>
            <w:tcBorders>
              <w:bottom w:val="nil"/>
            </w:tcBorders>
          </w:tcPr>
          <w:p>
            <w:pPr>
              <w:pStyle w:val="nTable"/>
              <w:spacing w:after="40"/>
            </w:pPr>
            <w:r>
              <w:t>16 Nov 2012 p. 5611-33</w:t>
            </w:r>
          </w:p>
        </w:tc>
        <w:tc>
          <w:tcPr>
            <w:tcW w:w="2691" w:type="dxa"/>
            <w:tcBorders>
              <w:bottom w:val="nil"/>
            </w:tcBorders>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r>
        <w:trPr>
          <w:gridAfter w:val="1"/>
          <w:wAfter w:w="34" w:type="dxa"/>
        </w:trPr>
        <w:tc>
          <w:tcPr>
            <w:tcW w:w="3121" w:type="dxa"/>
            <w:tcBorders>
              <w:top w:val="nil"/>
              <w:bottom w:val="nil"/>
            </w:tcBorders>
          </w:tcPr>
          <w:p>
            <w:pPr>
              <w:pStyle w:val="nTable"/>
              <w:spacing w:after="40"/>
              <w:rPr>
                <w:i/>
              </w:rPr>
            </w:pPr>
            <w:r>
              <w:rPr>
                <w:i/>
              </w:rPr>
              <w:t>Teacher Registration (Accreditation of Initial Teacher Education Programmes) Amendment Regulations 2015</w:t>
            </w:r>
          </w:p>
        </w:tc>
        <w:tc>
          <w:tcPr>
            <w:tcW w:w="1275" w:type="dxa"/>
            <w:tcBorders>
              <w:top w:val="nil"/>
              <w:bottom w:val="nil"/>
            </w:tcBorders>
          </w:tcPr>
          <w:p>
            <w:pPr>
              <w:pStyle w:val="nTable"/>
              <w:spacing w:after="40"/>
            </w:pPr>
            <w:r>
              <w:t>12 Jun 2015 p. 2026</w:t>
            </w:r>
          </w:p>
        </w:tc>
        <w:tc>
          <w:tcPr>
            <w:tcW w:w="2691" w:type="dxa"/>
            <w:tcBorders>
              <w:top w:val="nil"/>
              <w:bottom w:val="nil"/>
            </w:tcBorders>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gridAfter w:val="1"/>
          <w:wAfter w:w="34" w:type="dxa"/>
        </w:trPr>
        <w:tc>
          <w:tcPr>
            <w:tcW w:w="3121" w:type="dxa"/>
            <w:tcBorders>
              <w:top w:val="nil"/>
              <w:bottom w:val="nil"/>
            </w:tcBorders>
          </w:tcPr>
          <w:p>
            <w:pPr>
              <w:pStyle w:val="nTable"/>
              <w:spacing w:after="40"/>
            </w:pPr>
            <w:r>
              <w:rPr>
                <w:i/>
              </w:rPr>
              <w:t>Teacher Registration Regulations (Fees) Amendment Regulations 2016</w:t>
            </w:r>
            <w:r>
              <w:t xml:space="preserve"> Pt. 3</w:t>
            </w:r>
          </w:p>
        </w:tc>
        <w:tc>
          <w:tcPr>
            <w:tcW w:w="1275" w:type="dxa"/>
            <w:tcBorders>
              <w:top w:val="nil"/>
              <w:bottom w:val="nil"/>
            </w:tcBorders>
          </w:tcPr>
          <w:p>
            <w:pPr>
              <w:pStyle w:val="nTable"/>
              <w:spacing w:after="40"/>
            </w:pPr>
            <w:r>
              <w:t>14 Jun 2016 p. 1823</w:t>
            </w:r>
            <w:r>
              <w:noBreakHyphen/>
              <w:t>5</w:t>
            </w:r>
          </w:p>
        </w:tc>
        <w:tc>
          <w:tcPr>
            <w:tcW w:w="2691" w:type="dxa"/>
            <w:tcBorders>
              <w:top w:val="nil"/>
              <w:bottom w:val="nil"/>
            </w:tcBorders>
          </w:tcPr>
          <w:p>
            <w:pPr>
              <w:pStyle w:val="nTable"/>
              <w:spacing w:after="40"/>
              <w:rPr>
                <w:snapToGrid w:val="0"/>
                <w:spacing w:val="-2"/>
              </w:rPr>
            </w:pPr>
            <w:r>
              <w:rPr>
                <w:snapToGrid w:val="0"/>
                <w:spacing w:val="-2"/>
              </w:rPr>
              <w:t>1 Jul 2016 (see r. 2(b))</w:t>
            </w:r>
          </w:p>
        </w:tc>
      </w:tr>
      <w:tr>
        <w:trPr>
          <w:gridAfter w:val="1"/>
          <w:wAfter w:w="34" w:type="dxa"/>
        </w:trPr>
        <w:tc>
          <w:tcPr>
            <w:tcW w:w="3121" w:type="dxa"/>
            <w:tcBorders>
              <w:top w:val="nil"/>
              <w:bottom w:val="nil"/>
            </w:tcBorders>
          </w:tcPr>
          <w:p>
            <w:pPr>
              <w:pStyle w:val="nTable"/>
              <w:spacing w:after="40"/>
              <w:rPr>
                <w:i/>
              </w:rPr>
            </w:pPr>
            <w:r>
              <w:rPr>
                <w:i/>
              </w:rPr>
              <w:t>Education and Training Regulations Amendment (Fees) Regulations 2017</w:t>
            </w:r>
            <w:r>
              <w:t xml:space="preserve"> Pt. 3</w:t>
            </w:r>
          </w:p>
        </w:tc>
        <w:tc>
          <w:tcPr>
            <w:tcW w:w="1275" w:type="dxa"/>
            <w:tcBorders>
              <w:top w:val="nil"/>
              <w:bottom w:val="nil"/>
            </w:tcBorders>
          </w:tcPr>
          <w:p>
            <w:pPr>
              <w:pStyle w:val="nTable"/>
              <w:spacing w:after="40"/>
            </w:pPr>
            <w:r>
              <w:t>27 Jun 2017 p. 3416</w:t>
            </w:r>
            <w:r>
              <w:noBreakHyphen/>
              <w:t>19</w:t>
            </w:r>
          </w:p>
        </w:tc>
        <w:tc>
          <w:tcPr>
            <w:tcW w:w="2691" w:type="dxa"/>
            <w:tcBorders>
              <w:top w:val="nil"/>
              <w:bottom w:val="nil"/>
            </w:tcBorders>
          </w:tcPr>
          <w:p>
            <w:pPr>
              <w:pStyle w:val="nTable"/>
              <w:spacing w:after="40"/>
              <w:rPr>
                <w:snapToGrid w:val="0"/>
                <w:spacing w:val="-2"/>
              </w:rPr>
            </w:pPr>
            <w:r>
              <w:rPr>
                <w:snapToGrid w:val="0"/>
              </w:rPr>
              <w:t>1 Jul 2017 (see r. 2(b))</w:t>
            </w:r>
          </w:p>
        </w:tc>
      </w:tr>
      <w:tr>
        <w:tc>
          <w:tcPr>
            <w:tcW w:w="3121" w:type="dxa"/>
            <w:tcBorders>
              <w:top w:val="nil"/>
              <w:bottom w:val="nil"/>
            </w:tcBorders>
            <w:shd w:val="clear" w:color="auto" w:fill="auto"/>
          </w:tcPr>
          <w:p>
            <w:pPr>
              <w:pStyle w:val="nTable"/>
              <w:keepNext/>
              <w:spacing w:after="40"/>
            </w:pPr>
            <w:r>
              <w:rPr>
                <w:i/>
              </w:rPr>
              <w:t>Education and Training Regulations Amendment (Fees and Charges) Regulations 2018</w:t>
            </w:r>
            <w:r>
              <w:t xml:space="preserve"> Pt. 3</w:t>
            </w:r>
          </w:p>
        </w:tc>
        <w:tc>
          <w:tcPr>
            <w:tcW w:w="1275" w:type="dxa"/>
            <w:tcBorders>
              <w:top w:val="nil"/>
              <w:bottom w:val="nil"/>
            </w:tcBorders>
            <w:shd w:val="clear" w:color="auto" w:fill="auto"/>
          </w:tcPr>
          <w:p>
            <w:pPr>
              <w:pStyle w:val="nTable"/>
              <w:keepNext/>
              <w:spacing w:after="40"/>
            </w:pPr>
            <w:r>
              <w:t>31 Jul 2018 p. 2711-15</w:t>
            </w:r>
          </w:p>
        </w:tc>
        <w:tc>
          <w:tcPr>
            <w:tcW w:w="2725" w:type="dxa"/>
            <w:gridSpan w:val="2"/>
            <w:tcBorders>
              <w:top w:val="nil"/>
              <w:bottom w:val="nil"/>
            </w:tcBorders>
            <w:shd w:val="clear" w:color="auto" w:fill="auto"/>
          </w:tcPr>
          <w:p>
            <w:pPr>
              <w:pStyle w:val="nTable"/>
              <w:keepNext/>
              <w:spacing w:after="40"/>
              <w:rPr>
                <w:snapToGrid w:val="0"/>
              </w:rPr>
            </w:pPr>
            <w:r>
              <w:rPr>
                <w:snapToGrid w:val="0"/>
              </w:rPr>
              <w:t>1 Aug 2018 (see r. 2(b)(ii))</w:t>
            </w:r>
          </w:p>
        </w:tc>
      </w:tr>
    </w:tbl>
    <w:p>
      <w:pPr>
        <w:pStyle w:val="nHeading3"/>
        <w:rPr>
          <w:del w:id="148" w:author="Master Repository Process" w:date="2022-06-29T16:08:00Z"/>
        </w:rPr>
      </w:pPr>
      <w:bookmarkStart w:id="149" w:name="_Toc104969542"/>
      <w:del w:id="150" w:author="Master Repository Process" w:date="2022-06-29T16:08:00Z">
        <w:r>
          <w:delText>Uncommenced provisions table</w:delText>
        </w:r>
        <w:bookmarkEnd w:id="149"/>
      </w:del>
    </w:p>
    <w:p>
      <w:pPr>
        <w:pStyle w:val="nStatement"/>
        <w:keepNext/>
        <w:spacing w:after="240"/>
        <w:rPr>
          <w:del w:id="151" w:author="Master Repository Process" w:date="2022-06-29T16:08:00Z"/>
        </w:rPr>
      </w:pPr>
      <w:del w:id="152" w:author="Master Repository Process" w:date="2022-06-29T16:0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3"/>
        <w:gridCol w:w="1273"/>
        <w:gridCol w:w="2"/>
        <w:gridCol w:w="2691"/>
        <w:gridCol w:w="34"/>
      </w:tblGrid>
      <w:tr>
        <w:trPr>
          <w:gridAfter w:val="1"/>
          <w:wAfter w:w="34" w:type="dxa"/>
          <w:tblHeader/>
          <w:del w:id="153" w:author="Master Repository Process" w:date="2022-06-29T16:08:00Z"/>
        </w:trPr>
        <w:tc>
          <w:tcPr>
            <w:tcW w:w="3118" w:type="dxa"/>
          </w:tcPr>
          <w:p>
            <w:pPr>
              <w:pStyle w:val="nTable"/>
              <w:spacing w:after="40"/>
              <w:rPr>
                <w:del w:id="154" w:author="Master Repository Process" w:date="2022-06-29T16:08:00Z"/>
                <w:b/>
              </w:rPr>
            </w:pPr>
            <w:del w:id="155" w:author="Master Repository Process" w:date="2022-06-29T16:08:00Z">
              <w:r>
                <w:rPr>
                  <w:b/>
                </w:rPr>
                <w:delText>Citation</w:delText>
              </w:r>
            </w:del>
          </w:p>
        </w:tc>
        <w:tc>
          <w:tcPr>
            <w:tcW w:w="1276" w:type="dxa"/>
            <w:gridSpan w:val="2"/>
          </w:tcPr>
          <w:p>
            <w:pPr>
              <w:pStyle w:val="nTable"/>
              <w:spacing w:after="40"/>
              <w:rPr>
                <w:del w:id="156" w:author="Master Repository Process" w:date="2022-06-29T16:08:00Z"/>
                <w:b/>
              </w:rPr>
            </w:pPr>
            <w:del w:id="157" w:author="Master Repository Process" w:date="2022-06-29T16:08:00Z">
              <w:r>
                <w:rPr>
                  <w:b/>
                </w:rPr>
                <w:delText>Published</w:delText>
              </w:r>
            </w:del>
          </w:p>
        </w:tc>
        <w:tc>
          <w:tcPr>
            <w:tcW w:w="2693" w:type="dxa"/>
            <w:gridSpan w:val="2"/>
          </w:tcPr>
          <w:p>
            <w:pPr>
              <w:pStyle w:val="nTable"/>
              <w:spacing w:after="40"/>
              <w:rPr>
                <w:del w:id="158" w:author="Master Repository Process" w:date="2022-06-29T16:08:00Z"/>
                <w:b/>
              </w:rPr>
            </w:pPr>
            <w:del w:id="159" w:author="Master Repository Process" w:date="2022-06-29T16:08:00Z">
              <w:r>
                <w:rPr>
                  <w:b/>
                </w:rPr>
                <w:delText>Commencement</w:delText>
              </w:r>
            </w:del>
          </w:p>
        </w:tc>
      </w:tr>
      <w:tr>
        <w:tc>
          <w:tcPr>
            <w:tcW w:w="3121" w:type="dxa"/>
            <w:gridSpan w:val="2"/>
            <w:tcBorders>
              <w:top w:val="nil"/>
              <w:bottom w:val="single" w:sz="4" w:space="0" w:color="auto"/>
            </w:tcBorders>
            <w:shd w:val="clear" w:color="auto" w:fill="auto"/>
          </w:tcPr>
          <w:p>
            <w:pPr>
              <w:pStyle w:val="nTable"/>
              <w:keepNext/>
              <w:spacing w:after="40"/>
              <w:rPr>
                <w:i/>
              </w:rPr>
            </w:pPr>
            <w:r>
              <w:rPr>
                <w:i/>
              </w:rPr>
              <w:t>Education and Training Regulations Amendment (Fees and Charges) Regulations 2022</w:t>
            </w:r>
            <w:r>
              <w:t xml:space="preserve"> Pt. 4</w:t>
            </w:r>
          </w:p>
        </w:tc>
        <w:tc>
          <w:tcPr>
            <w:tcW w:w="1275" w:type="dxa"/>
            <w:gridSpan w:val="2"/>
            <w:tcBorders>
              <w:top w:val="nil"/>
              <w:bottom w:val="single" w:sz="4" w:space="0" w:color="auto"/>
            </w:tcBorders>
            <w:shd w:val="clear" w:color="auto" w:fill="auto"/>
          </w:tcPr>
          <w:p>
            <w:pPr>
              <w:pStyle w:val="nTable"/>
              <w:keepNext/>
              <w:spacing w:after="40"/>
            </w:pPr>
            <w:r>
              <w:t>SL 2022/61 3 Jun 2022</w:t>
            </w:r>
          </w:p>
        </w:tc>
        <w:tc>
          <w:tcPr>
            <w:tcW w:w="2725" w:type="dxa"/>
            <w:gridSpan w:val="2"/>
            <w:tcBorders>
              <w:top w:val="nil"/>
              <w:bottom w:val="single" w:sz="4" w:space="0" w:color="auto"/>
            </w:tcBorders>
            <w:shd w:val="clear" w:color="auto" w:fill="auto"/>
          </w:tcPr>
          <w:p>
            <w:pPr>
              <w:pStyle w:val="nTable"/>
              <w:keepNext/>
              <w:spacing w:after="40"/>
              <w:rPr>
                <w:snapToGrid w:val="0"/>
              </w:rPr>
            </w:pPr>
            <w:r>
              <w:t>1 Jul 2022 (see r. 2(b))</w:t>
            </w:r>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144"/>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1" w:name="Coversheet"/>
    <w:bookmarkEnd w:id="1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Notice of decisions, opportunity to show cause why some decisions should not be made and review of some decisions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3</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separate"/>
          </w:r>
          <w:r>
            <w:t>Review of accreditation decisions</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3</w: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24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34925"/>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 w:name="WAFER_20151111120955" w:val="UpdateStyles,UsedStyles"/>
    <w:docVar w:name="WAFER_20151111120955_GUID" w:val="381a10c5-facb-4417-aedf-a138b08f035e"/>
    <w:docVar w:name="WAFER_20180727153549" w:val="RemoveTocBookmarks,RemoveUnusedBookmarks,RemoveLanguageTags,UsedStyles,ResetPageSize"/>
    <w:docVar w:name="WAFER_20180727153549_GUID" w:val="239b1288-a1b2-4357-9e7b-6283587171db"/>
    <w:docVar w:name="WAFER_202205311530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31153017_GUID" w:val="e8676b3c-f87e-4166-93a5-e63a6bc874e5"/>
    <w:docVar w:name="WAFER_202206231349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25_GUID" w:val="9b29dcbe-67e6-487e-82d7-d39e0a6ef0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7AE886-844F-4BA8-8293-55DFC7D2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57A0-88FF-4BEF-A7D4-D8BDFCB7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3431</Words>
  <Characters>17534</Characters>
  <Application>Microsoft Office Word</Application>
  <DocSecurity>0</DocSecurity>
  <Lines>487</Lines>
  <Paragraphs>287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00-i0-00 - 00-j0-00</dc:title>
  <dc:subject/>
  <dc:creator/>
  <cp:keywords/>
  <dc:description/>
  <cp:lastModifiedBy>Master Repository Process</cp:lastModifiedBy>
  <cp:revision>2</cp:revision>
  <cp:lastPrinted>2012-11-06T03:35:00Z</cp:lastPrinted>
  <dcterms:created xsi:type="dcterms:W3CDTF">2022-06-29T08:08:00Z</dcterms:created>
  <dcterms:modified xsi:type="dcterms:W3CDTF">2022-06-29T08:08:00Z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StationID">
    <vt:lpwstr>5</vt:lpwstr>
  </property>
  <property fmtid="{D5CDD505-2E9C-101B-9397-08002B2CF9AE}" pid="4" name="DocumentType">
    <vt:lpwstr>Reg</vt:lpwstr>
  </property>
  <property fmtid="{D5CDD505-2E9C-101B-9397-08002B2CF9AE}" pid="5" name="CommencementDate">
    <vt:lpwstr>20220701</vt:lpwstr>
  </property>
  <property fmtid="{D5CDD505-2E9C-101B-9397-08002B2CF9AE}" pid="6" name="FromSuffix">
    <vt:lpwstr>00-i0-00</vt:lpwstr>
  </property>
  <property fmtid="{D5CDD505-2E9C-101B-9397-08002B2CF9AE}" pid="7" name="FromAsAtDate">
    <vt:lpwstr>03 Jun 2022</vt:lpwstr>
  </property>
  <property fmtid="{D5CDD505-2E9C-101B-9397-08002B2CF9AE}" pid="8" name="ToSuffix">
    <vt:lpwstr>00-j0-00</vt:lpwstr>
  </property>
  <property fmtid="{D5CDD505-2E9C-101B-9397-08002B2CF9AE}" pid="9" name="ToAsAtDate">
    <vt:lpwstr>01 Jul 2022</vt:lpwstr>
  </property>
</Properties>
</file>