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08-t0-00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06879291"/>
      <w:bookmarkStart w:id="2" w:name="_Toc10377608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06879292"/>
      <w:bookmarkStart w:id="5" w:name="_Toc103776089"/>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6" w:name="_Toc106879293"/>
      <w:bookmarkStart w:id="7" w:name="_Toc103776090"/>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06879294"/>
      <w:bookmarkStart w:id="9" w:name="_Toc103776091"/>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06879295"/>
      <w:bookmarkStart w:id="11" w:name="_Toc103776092"/>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12" w:name="_Toc106879296"/>
      <w:bookmarkStart w:id="13" w:name="_Toc103776093"/>
      <w:r>
        <w:rPr>
          <w:rStyle w:val="CharSectno"/>
        </w:rPr>
        <w:t>4AA</w:t>
      </w:r>
      <w:r>
        <w:t>.</w:t>
      </w:r>
      <w:r>
        <w:tab/>
        <w:t>Educational requirements (Act s. 40B and 50C)</w:t>
      </w:r>
      <w:bookmarkEnd w:id="12"/>
      <w:bookmarkEnd w:id="13"/>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4" w:name="_Toc106879297"/>
      <w:bookmarkStart w:id="15" w:name="_Toc103776094"/>
      <w:r>
        <w:rPr>
          <w:rStyle w:val="CharSectno"/>
        </w:rPr>
        <w:t>4AB</w:t>
      </w:r>
      <w:r>
        <w:t>.</w:t>
      </w:r>
      <w:r>
        <w:tab/>
        <w:t>Exemption from educational requirements</w:t>
      </w:r>
      <w:bookmarkEnd w:id="14"/>
      <w:bookmarkEnd w:id="15"/>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6" w:name="_Toc106879298"/>
      <w:bookmarkStart w:id="17" w:name="_Toc103776095"/>
      <w:r>
        <w:rPr>
          <w:rStyle w:val="CharSectno"/>
        </w:rPr>
        <w:t>4AC</w:t>
      </w:r>
      <w:r>
        <w:t>.</w:t>
      </w:r>
      <w:r>
        <w:tab/>
        <w:t>Commissioner to approve continuing professional development activities</w:t>
      </w:r>
      <w:bookmarkEnd w:id="16"/>
      <w:bookmarkEnd w:id="17"/>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8" w:name="_Toc106879299"/>
      <w:bookmarkStart w:id="19" w:name="_Toc103776096"/>
      <w:r>
        <w:rPr>
          <w:rStyle w:val="CharSectno"/>
        </w:rPr>
        <w:t>4AD</w:t>
      </w:r>
      <w:r>
        <w:t>.</w:t>
      </w:r>
      <w:r>
        <w:tab/>
        <w:t>Commissioner to publish list of continuing professional development activities on website</w:t>
      </w:r>
      <w:bookmarkEnd w:id="18"/>
      <w:bookmarkEnd w:id="19"/>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0" w:name="_Toc106879300"/>
      <w:bookmarkStart w:id="21" w:name="_Toc103776097"/>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106879301"/>
      <w:bookmarkStart w:id="23" w:name="_Toc103776098"/>
      <w:r>
        <w:rPr>
          <w:rStyle w:val="CharSectno"/>
        </w:rPr>
        <w:t>6</w:t>
      </w:r>
      <w:r>
        <w:t>.</w:t>
      </w:r>
      <w:r>
        <w:tab/>
        <w:t>Prescribed examinations for licence applicants (Act Sch. 1 cl. 1(a))</w:t>
      </w:r>
      <w:bookmarkEnd w:id="22"/>
      <w:bookmarkEnd w:id="2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4" w:name="_Toc106879302"/>
      <w:bookmarkStart w:id="25" w:name="_Toc103776099"/>
      <w:r>
        <w:rPr>
          <w:rStyle w:val="CharSectno"/>
        </w:rPr>
        <w:t>6A</w:t>
      </w:r>
      <w:r>
        <w:t>.</w:t>
      </w:r>
      <w:r>
        <w:tab/>
        <w:t>Prescribed qualifications for certificate applicants (Act s. 47(2))</w:t>
      </w:r>
      <w:bookmarkEnd w:id="24"/>
      <w:bookmarkEnd w:id="25"/>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6" w:name="_Toc106879303"/>
      <w:bookmarkStart w:id="27" w:name="_Toc103776100"/>
      <w:r>
        <w:rPr>
          <w:rStyle w:val="CharSectno"/>
        </w:rPr>
        <w:t>6B</w:t>
      </w:r>
      <w:r>
        <w:t>.</w:t>
      </w:r>
      <w:r>
        <w:tab/>
        <w:t>Certificate of registration, grant of (Act s. 47)</w:t>
      </w:r>
      <w:bookmarkEnd w:id="26"/>
      <w:bookmarkEnd w:id="2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28" w:name="_Toc106879304"/>
      <w:bookmarkStart w:id="29" w:name="_Toc103776101"/>
      <w:r>
        <w:rPr>
          <w:rStyle w:val="CharSectno"/>
        </w:rPr>
        <w:t>6BA</w:t>
      </w:r>
      <w:r>
        <w:rPr>
          <w:snapToGrid w:val="0"/>
        </w:rPr>
        <w:t>.</w:t>
      </w:r>
      <w:r>
        <w:rPr>
          <w:snapToGrid w:val="0"/>
        </w:rPr>
        <w:tab/>
        <w:t>Appointment to act as agent, content of</w:t>
      </w:r>
      <w:bookmarkEnd w:id="28"/>
      <w:bookmarkEnd w:id="29"/>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0" w:name="_Toc106879305"/>
      <w:bookmarkStart w:id="31" w:name="_Toc103776102"/>
      <w:r>
        <w:rPr>
          <w:rStyle w:val="CharSectno"/>
        </w:rPr>
        <w:t>6BB</w:t>
      </w:r>
      <w:r>
        <w:t>.</w:t>
      </w:r>
      <w:r>
        <w:tab/>
        <w:t>Prescribed transaction</w:t>
      </w:r>
      <w:bookmarkEnd w:id="30"/>
      <w:bookmarkEnd w:id="31"/>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2" w:name="_Toc106879306"/>
      <w:bookmarkStart w:id="33" w:name="_Toc103776103"/>
      <w:r>
        <w:rPr>
          <w:rStyle w:val="CharSectno"/>
        </w:rPr>
        <w:t>6C</w:t>
      </w:r>
      <w:r>
        <w:t>.</w:t>
      </w:r>
      <w:r>
        <w:tab/>
        <w:t>Authorised financial institution (Act s. 67), classes of body prescribed</w:t>
      </w:r>
      <w:bookmarkEnd w:id="32"/>
      <w:bookmarkEnd w:id="3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4" w:name="_Toc106879307"/>
      <w:bookmarkStart w:id="35" w:name="_Toc103776104"/>
      <w:r>
        <w:rPr>
          <w:rStyle w:val="CharSectno"/>
        </w:rPr>
        <w:t>6D</w:t>
      </w:r>
      <w:r>
        <w:t>.</w:t>
      </w:r>
      <w:r>
        <w:tab/>
        <w:t>Trust accounts, designation of (Act s. 68(1))</w:t>
      </w:r>
      <w:bookmarkEnd w:id="34"/>
      <w:bookmarkEnd w:id="3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6" w:name="_Toc106879308"/>
      <w:bookmarkStart w:id="37" w:name="_Toc103776105"/>
      <w:r>
        <w:rPr>
          <w:rStyle w:val="CharSectno"/>
        </w:rPr>
        <w:t>6E</w:t>
      </w:r>
      <w:r>
        <w:t>.</w:t>
      </w:r>
      <w:r>
        <w:tab/>
        <w:t>Separate trust accounts, requests for, requirements prescribed (Act s. 68A(4))</w:t>
      </w:r>
      <w:bookmarkEnd w:id="36"/>
      <w:bookmarkEnd w:id="37"/>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8" w:name="_Toc106879309"/>
      <w:bookmarkStart w:id="39" w:name="_Toc103776106"/>
      <w:r>
        <w:rPr>
          <w:rStyle w:val="CharSectno"/>
        </w:rPr>
        <w:t>6F</w:t>
      </w:r>
      <w:r>
        <w:t>.</w:t>
      </w:r>
      <w:r>
        <w:tab/>
        <w:t>Trust accounts, interest on (Act s. 68B(1))</w:t>
      </w:r>
      <w:bookmarkEnd w:id="38"/>
      <w:bookmarkEnd w:id="3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0" w:name="_Toc106879310"/>
      <w:bookmarkStart w:id="41" w:name="_Toc103776107"/>
      <w:r>
        <w:rPr>
          <w:rStyle w:val="CharSectno"/>
        </w:rPr>
        <w:t>6G</w:t>
      </w:r>
      <w:r>
        <w:t>.</w:t>
      </w:r>
      <w:r>
        <w:tab/>
        <w:t>Receipts by agents, information in (Act s. 69(1)(a))</w:t>
      </w:r>
      <w:bookmarkEnd w:id="40"/>
      <w:bookmarkEnd w:id="4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2" w:name="_Toc106879311"/>
      <w:bookmarkStart w:id="43" w:name="_Toc103776108"/>
      <w:r>
        <w:rPr>
          <w:rStyle w:val="CharSectno"/>
        </w:rPr>
        <w:t>6H</w:t>
      </w:r>
      <w:r>
        <w:rPr>
          <w:snapToGrid w:val="0"/>
        </w:rPr>
        <w:t>.</w:t>
      </w:r>
      <w:r>
        <w:rPr>
          <w:snapToGrid w:val="0"/>
        </w:rPr>
        <w:tab/>
        <w:t>Record keeping requirements</w:t>
      </w:r>
      <w:bookmarkEnd w:id="42"/>
      <w:bookmarkEnd w:id="4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4" w:name="_Toc106879312"/>
      <w:bookmarkStart w:id="45" w:name="_Toc103776109"/>
      <w:r>
        <w:rPr>
          <w:rStyle w:val="CharSectno"/>
        </w:rPr>
        <w:t>7</w:t>
      </w:r>
      <w:r>
        <w:rPr>
          <w:snapToGrid w:val="0"/>
        </w:rPr>
        <w:t>.</w:t>
      </w:r>
      <w:r>
        <w:rPr>
          <w:snapToGrid w:val="0"/>
        </w:rPr>
        <w:tab/>
        <w:t>Registers (Act s. 133(2))</w:t>
      </w:r>
      <w:bookmarkEnd w:id="44"/>
      <w:bookmarkEnd w:id="45"/>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6" w:name="_Toc106879313"/>
      <w:bookmarkStart w:id="47" w:name="_Toc103776110"/>
      <w:r>
        <w:rPr>
          <w:rStyle w:val="CharSectno"/>
        </w:rPr>
        <w:t>7AA</w:t>
      </w:r>
      <w:r>
        <w:t>.</w:t>
      </w:r>
      <w:r>
        <w:tab/>
        <w:t>Lending institution (Act s. 131A), classes of body prescribed</w:t>
      </w:r>
      <w:bookmarkEnd w:id="46"/>
      <w:bookmarkEnd w:id="4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48" w:name="_Toc106879314"/>
      <w:bookmarkStart w:id="49" w:name="_Toc103776111"/>
      <w:r>
        <w:rPr>
          <w:rStyle w:val="CharSectno"/>
        </w:rPr>
        <w:t>7B</w:t>
      </w:r>
      <w:r>
        <w:rPr>
          <w:snapToGrid w:val="0"/>
        </w:rPr>
        <w:t>.</w:t>
      </w:r>
      <w:r>
        <w:rPr>
          <w:snapToGrid w:val="0"/>
        </w:rPr>
        <w:tab/>
        <w:t>Maximum amount prescribed (Act s. 131M(3))</w:t>
      </w:r>
      <w:bookmarkEnd w:id="48"/>
      <w:bookmarkEnd w:id="4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0" w:name="_Toc106879315"/>
      <w:bookmarkStart w:id="51" w:name="_Toc103776112"/>
      <w:r>
        <w:rPr>
          <w:rStyle w:val="CharSectno"/>
        </w:rPr>
        <w:t>8</w:t>
      </w:r>
      <w:r>
        <w:rPr>
          <w:snapToGrid w:val="0"/>
        </w:rPr>
        <w:t>.</w:t>
      </w:r>
      <w:r>
        <w:rPr>
          <w:snapToGrid w:val="0"/>
        </w:rPr>
        <w:tab/>
        <w:t>Changes in particulars, licensees to notify Commissioner of</w:t>
      </w:r>
      <w:bookmarkEnd w:id="50"/>
      <w:bookmarkEnd w:id="51"/>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2" w:name="_Toc106879316"/>
      <w:bookmarkStart w:id="53" w:name="_Toc103776113"/>
      <w:r>
        <w:rPr>
          <w:rStyle w:val="CharSectno"/>
        </w:rPr>
        <w:t>9</w:t>
      </w:r>
      <w:r>
        <w:rPr>
          <w:snapToGrid w:val="0"/>
        </w:rPr>
        <w:t>.</w:t>
      </w:r>
      <w:r>
        <w:rPr>
          <w:snapToGrid w:val="0"/>
        </w:rPr>
        <w:tab/>
        <w:t xml:space="preserve">Fees and costs, </w:t>
      </w:r>
      <w:r>
        <w:t>recovery</w:t>
      </w:r>
      <w:r>
        <w:rPr>
          <w:snapToGrid w:val="0"/>
        </w:rPr>
        <w:t xml:space="preserve"> of</w:t>
      </w:r>
      <w:bookmarkEnd w:id="52"/>
      <w:bookmarkEnd w:id="53"/>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4" w:name="_Toc106879317"/>
      <w:bookmarkStart w:id="55" w:name="_Toc103776114"/>
      <w:r>
        <w:rPr>
          <w:rStyle w:val="CharSectno"/>
        </w:rPr>
        <w:t>10</w:t>
      </w:r>
      <w:r>
        <w:rPr>
          <w:snapToGrid w:val="0"/>
        </w:rPr>
        <w:t>.</w:t>
      </w:r>
      <w:r>
        <w:rPr>
          <w:snapToGrid w:val="0"/>
        </w:rPr>
        <w:tab/>
      </w:r>
      <w:r>
        <w:t>Unsuccessful</w:t>
      </w:r>
      <w:r>
        <w:rPr>
          <w:snapToGrid w:val="0"/>
        </w:rPr>
        <w:t xml:space="preserve"> applicant for licence etc., refund to (Act s. 113)</w:t>
      </w:r>
      <w:bookmarkEnd w:id="54"/>
      <w:bookmarkEnd w:id="55"/>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6" w:name="_Toc106879318"/>
      <w:bookmarkStart w:id="57" w:name="_Toc10377611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6"/>
      <w:bookmarkEnd w:id="57"/>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58" w:name="_Toc106879319"/>
      <w:bookmarkStart w:id="59" w:name="_Toc103776116"/>
      <w:r>
        <w:rPr>
          <w:rStyle w:val="CharSectno"/>
        </w:rPr>
        <w:t>12</w:t>
      </w:r>
      <w:r>
        <w:rPr>
          <w:snapToGrid w:val="0"/>
        </w:rPr>
        <w:t>.</w:t>
      </w:r>
      <w:r>
        <w:rPr>
          <w:snapToGrid w:val="0"/>
        </w:rPr>
        <w:tab/>
        <w:t>Fidelity Guarantee Account, claims against</w:t>
      </w:r>
      <w:bookmarkEnd w:id="58"/>
      <w:bookmarkEnd w:id="5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0" w:name="_Toc106879320"/>
      <w:bookmarkStart w:id="61" w:name="_Toc103776117"/>
      <w:r>
        <w:rPr>
          <w:rStyle w:val="CharSectno"/>
        </w:rPr>
        <w:t>13</w:t>
      </w:r>
      <w:r>
        <w:rPr>
          <w:snapToGrid w:val="0"/>
        </w:rPr>
        <w:t>.</w:t>
      </w:r>
      <w:r>
        <w:rPr>
          <w:snapToGrid w:val="0"/>
        </w:rPr>
        <w:tab/>
        <w:t>Codes of conduct prescribed to be published (Act s. 101)</w:t>
      </w:r>
      <w:bookmarkEnd w:id="60"/>
      <w:bookmarkEnd w:id="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2" w:name="_Toc106879321"/>
      <w:bookmarkStart w:id="63" w:name="_Toc103776118"/>
      <w:r>
        <w:rPr>
          <w:rStyle w:val="CharSectno"/>
        </w:rPr>
        <w:t>14</w:t>
      </w:r>
      <w:r>
        <w:t>.</w:t>
      </w:r>
      <w:r>
        <w:tab/>
        <w:t>Infringement notices</w:t>
      </w:r>
      <w:bookmarkEnd w:id="62"/>
      <w:bookmarkEnd w:id="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4" w:name="_Toc106879322"/>
      <w:bookmarkStart w:id="65" w:name="_Toc103776119"/>
      <w:r>
        <w:rPr>
          <w:rStyle w:val="CharSectno"/>
        </w:rPr>
        <w:t>15</w:t>
      </w:r>
      <w:r>
        <w:t>.</w:t>
      </w:r>
      <w:r>
        <w:tab/>
        <w:t>Forms (Sch. 2)</w:t>
      </w:r>
      <w:bookmarkEnd w:id="64"/>
      <w:bookmarkEnd w:id="65"/>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6" w:name="_Toc106879323"/>
      <w:bookmarkStart w:id="67" w:name="_Toc103776120"/>
      <w:r>
        <w:rPr>
          <w:rStyle w:val="CharSectno"/>
        </w:rPr>
        <w:t>16</w:t>
      </w:r>
      <w:r>
        <w:t>.</w:t>
      </w:r>
      <w:r>
        <w:tab/>
        <w:t xml:space="preserve">Transitional regulation for </w:t>
      </w:r>
      <w:r>
        <w:rPr>
          <w:i/>
        </w:rPr>
        <w:t>Real Estate and Business Agents (General) Amendment Regulations (No. 2) 2020</w:t>
      </w:r>
      <w:bookmarkEnd w:id="66"/>
      <w:bookmarkEnd w:id="6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8" w:name="_Toc97303013"/>
      <w:bookmarkStart w:id="69" w:name="_Toc97728387"/>
      <w:bookmarkStart w:id="70" w:name="_Toc103680560"/>
      <w:bookmarkStart w:id="71" w:name="_Toc106807004"/>
      <w:bookmarkStart w:id="72" w:name="_Toc106879324"/>
      <w:bookmarkStart w:id="73" w:name="_Toc103755101"/>
      <w:bookmarkStart w:id="74" w:name="_Toc103755367"/>
      <w:bookmarkStart w:id="75" w:name="_Toc103776121"/>
      <w:bookmarkStart w:id="76" w:name="_Toc106806836"/>
      <w:r>
        <w:rPr>
          <w:rStyle w:val="CharSchNo"/>
        </w:rPr>
        <w:t>Schedule 1 </w:t>
      </w:r>
      <w:r>
        <w:t>— </w:t>
      </w:r>
      <w:r>
        <w:rPr>
          <w:rStyle w:val="CharSchText"/>
        </w:rPr>
        <w:t>Fees</w:t>
      </w:r>
      <w:bookmarkEnd w:id="68"/>
      <w:bookmarkEnd w:id="69"/>
      <w:bookmarkEnd w:id="70"/>
      <w:bookmarkEnd w:id="71"/>
      <w:bookmarkEnd w:id="72"/>
      <w:bookmarkEnd w:id="73"/>
      <w:bookmarkEnd w:id="74"/>
      <w:bookmarkEnd w:id="75"/>
    </w:p>
    <w:p>
      <w:pPr>
        <w:pStyle w:val="yShoulderClause"/>
      </w:pPr>
      <w:r>
        <w:t>[r. 4 and 4A]</w:t>
      </w:r>
    </w:p>
    <w:p>
      <w:pPr>
        <w:pStyle w:val="yFootnoteheading"/>
        <w:spacing w:after="60"/>
      </w:pPr>
      <w:r>
        <w:tab/>
        <w:t>[Heading inserted: SL </w:t>
      </w:r>
      <w:del w:id="77" w:author="Master Repository Process" w:date="2022-06-29T16:43:00Z">
        <w:r>
          <w:delText>2021/86</w:delText>
        </w:r>
      </w:del>
      <w:ins w:id="78" w:author="Master Repository Process" w:date="2022-06-29T16:43:00Z">
        <w:r>
          <w:t>2022/59</w:t>
        </w:r>
      </w:ins>
      <w:r>
        <w:t xml:space="preserve"> r. </w:t>
      </w:r>
      <w:del w:id="79" w:author="Master Repository Process" w:date="2022-06-29T16:43:00Z">
        <w:r>
          <w:delText>63</w:delText>
        </w:r>
      </w:del>
      <w:ins w:id="80" w:author="Master Repository Process" w:date="2022-06-29T16:43:00Z">
        <w:r>
          <w:t>38</w:t>
        </w:r>
      </w:ins>
      <w:r>
        <w:t>.]</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del w:id="81" w:author="Master Repository Process" w:date="2022-06-29T16:43:00Z">
              <w:r>
                <w:delText>85</w:delText>
              </w:r>
            </w:del>
            <w:ins w:id="82" w:author="Master Repository Process" w:date="2022-06-29T16:43:00Z">
              <w:r>
                <w:t>89</w:t>
              </w:r>
            </w:ins>
            <w:r>
              <w:t>.00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del w:id="83" w:author="Master Repository Process" w:date="2022-06-29T16:43:00Z">
              <w:r>
                <w:delText>903</w:delText>
              </w:r>
            </w:del>
            <w:ins w:id="84" w:author="Master Repository Process" w:date="2022-06-29T16:43:00Z">
              <w:r>
                <w:t>948</w:t>
              </w:r>
            </w:ins>
            <w:r>
              <w:t>.00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w:t>
            </w:r>
            <w:del w:id="85" w:author="Master Repository Process" w:date="2022-06-29T16:43:00Z">
              <w:r>
                <w:delText>180</w:delText>
              </w:r>
            </w:del>
            <w:ins w:id="86" w:author="Master Repository Process" w:date="2022-06-29T16:43:00Z">
              <w:r>
                <w:t>239</w:t>
              </w:r>
            </w:ins>
            <w:r>
              <w:t>.00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w:t>
            </w:r>
            <w:del w:id="87" w:author="Master Repository Process" w:date="2022-06-29T16:43:00Z">
              <w:r>
                <w:delText>180</w:delText>
              </w:r>
            </w:del>
            <w:ins w:id="88" w:author="Master Repository Process" w:date="2022-06-29T16:43:00Z">
              <w:r>
                <w:t>239</w:t>
              </w:r>
            </w:ins>
            <w:r>
              <w:t>.00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del w:id="89" w:author="Master Repository Process" w:date="2022-06-29T16:43:00Z">
              <w:r>
                <w:delText>747</w:delText>
              </w:r>
            </w:del>
            <w:ins w:id="90" w:author="Master Repository Process" w:date="2022-06-29T16:43:00Z">
              <w:r>
                <w:t>784</w:t>
              </w:r>
            </w:ins>
            <w:r>
              <w:t>.00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del w:id="91" w:author="Master Repository Process" w:date="2022-06-29T16:43:00Z">
              <w:r>
                <w:delText>229</w:delText>
              </w:r>
            </w:del>
            <w:ins w:id="92" w:author="Master Repository Process" w:date="2022-06-29T16:43:00Z">
              <w:r>
                <w:t>240</w:t>
              </w:r>
            </w:ins>
            <w:r>
              <w:t>.00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del w:id="93" w:author="Master Repository Process" w:date="2022-06-29T16:43:00Z">
              <w:r>
                <w:delText>189</w:delText>
              </w:r>
            </w:del>
            <w:ins w:id="94" w:author="Master Repository Process" w:date="2022-06-29T16:43:00Z">
              <w:r>
                <w:t>198</w:t>
              </w:r>
            </w:ins>
            <w:r>
              <w:t>.00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del w:id="95" w:author="Master Repository Process" w:date="2022-06-29T16:43:00Z">
              <w:r>
                <w:delText>29.50</w:delText>
              </w:r>
            </w:del>
            <w:ins w:id="96" w:author="Master Repository Process" w:date="2022-06-29T16:43:00Z">
              <w:r>
                <w:t>31.00</w:t>
              </w:r>
            </w:ins>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del w:id="97" w:author="Master Repository Process" w:date="2022-06-29T16:43:00Z">
              <w:r>
                <w:delText>12.20</w:delText>
              </w:r>
            </w:del>
            <w:ins w:id="98" w:author="Master Repository Process" w:date="2022-06-29T16:43:00Z">
              <w:r>
                <w:t>13.00</w:t>
              </w:r>
            </w:ins>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del w:id="99" w:author="Master Repository Process" w:date="2022-06-29T16:43:00Z">
              <w:r>
                <w:delText>121</w:delText>
              </w:r>
            </w:del>
            <w:ins w:id="100" w:author="Master Repository Process" w:date="2022-06-29T16:43:00Z">
              <w:r>
                <w:t>127</w:t>
              </w:r>
            </w:ins>
            <w:r>
              <w:t>.00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w:t>
      </w:r>
      <w:del w:id="101" w:author="Master Repository Process" w:date="2022-06-29T16:43:00Z">
        <w:r>
          <w:delText>2021/86</w:delText>
        </w:r>
      </w:del>
      <w:ins w:id="102" w:author="Master Repository Process" w:date="2022-06-29T16:43:00Z">
        <w:r>
          <w:t>2022/59</w:t>
        </w:r>
      </w:ins>
      <w:r>
        <w:t xml:space="preserve"> r. </w:t>
      </w:r>
      <w:del w:id="103" w:author="Master Repository Process" w:date="2022-06-29T16:43:00Z">
        <w:r>
          <w:delText>63</w:delText>
        </w:r>
      </w:del>
      <w:ins w:id="104" w:author="Master Repository Process" w:date="2022-06-29T16:43:00Z">
        <w:r>
          <w:t>38</w:t>
        </w:r>
      </w:ins>
      <w:r>
        <w:t>.]</w:t>
      </w:r>
    </w:p>
    <w:bookmarkEnd w:id="76"/>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06" w:name="_Toc106806837"/>
      <w:bookmarkStart w:id="107" w:name="_Toc106807005"/>
      <w:bookmarkStart w:id="108" w:name="_Toc106879325"/>
      <w:bookmarkStart w:id="109" w:name="_Toc103755102"/>
      <w:bookmarkStart w:id="110" w:name="_Toc103755368"/>
      <w:bookmarkStart w:id="111" w:name="_Toc103776122"/>
      <w:r>
        <w:rPr>
          <w:rStyle w:val="CharSchNo"/>
        </w:rPr>
        <w:t>Schedule 1A</w:t>
      </w:r>
      <w:r>
        <w:rPr>
          <w:rStyle w:val="CharSDivNo"/>
        </w:rPr>
        <w:t> </w:t>
      </w:r>
      <w:r>
        <w:t>—</w:t>
      </w:r>
      <w:r>
        <w:rPr>
          <w:rStyle w:val="CharSDivText"/>
        </w:rPr>
        <w:t> </w:t>
      </w:r>
      <w:r>
        <w:rPr>
          <w:rStyle w:val="CharSchText"/>
        </w:rPr>
        <w:t>Continuing professional development subjects</w:t>
      </w:r>
      <w:bookmarkEnd w:id="106"/>
      <w:bookmarkEnd w:id="107"/>
      <w:bookmarkEnd w:id="108"/>
      <w:bookmarkEnd w:id="109"/>
      <w:bookmarkEnd w:id="110"/>
      <w:bookmarkEnd w:id="111"/>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12" w:name="_Toc106806838"/>
      <w:bookmarkStart w:id="113" w:name="_Toc106807006"/>
      <w:bookmarkStart w:id="114" w:name="_Toc106879326"/>
      <w:bookmarkStart w:id="115" w:name="_Toc103755103"/>
      <w:bookmarkStart w:id="116" w:name="_Toc103755369"/>
      <w:bookmarkStart w:id="117" w:name="_Toc103776123"/>
      <w:r>
        <w:rPr>
          <w:rStyle w:val="CharSchNo"/>
        </w:rPr>
        <w:t>Schedule 2</w:t>
      </w:r>
      <w:r>
        <w:rPr>
          <w:rStyle w:val="CharSDivNo"/>
        </w:rPr>
        <w:t> </w:t>
      </w:r>
      <w:r>
        <w:t>—</w:t>
      </w:r>
      <w:r>
        <w:rPr>
          <w:rStyle w:val="CharSDivText"/>
        </w:rPr>
        <w:t> </w:t>
      </w:r>
      <w:r>
        <w:rPr>
          <w:rStyle w:val="CharSchText"/>
        </w:rPr>
        <w:t>Forms</w:t>
      </w:r>
      <w:bookmarkEnd w:id="112"/>
      <w:bookmarkEnd w:id="113"/>
      <w:bookmarkEnd w:id="114"/>
      <w:bookmarkEnd w:id="115"/>
      <w:bookmarkEnd w:id="116"/>
      <w:bookmarkEnd w:id="117"/>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18" w:name="_Toc106806839"/>
      <w:bookmarkStart w:id="119" w:name="_Toc106807007"/>
      <w:bookmarkStart w:id="120" w:name="_Toc106879327"/>
      <w:bookmarkStart w:id="121" w:name="_Toc103755104"/>
      <w:bookmarkStart w:id="122" w:name="_Toc103755370"/>
      <w:bookmarkStart w:id="123" w:name="_Toc103776124"/>
      <w:r>
        <w:rPr>
          <w:rStyle w:val="CharSchNo"/>
        </w:rPr>
        <w:t>Schedule 3</w:t>
      </w:r>
      <w:r>
        <w:rPr>
          <w:rStyle w:val="CharSDivNo"/>
        </w:rPr>
        <w:t> </w:t>
      </w:r>
      <w:r>
        <w:t>—</w:t>
      </w:r>
      <w:r>
        <w:rPr>
          <w:rStyle w:val="CharSDivText"/>
        </w:rPr>
        <w:t> </w:t>
      </w:r>
      <w:r>
        <w:rPr>
          <w:rStyle w:val="CharSchText"/>
        </w:rPr>
        <w:t>Prescribed offences and modified penalties</w:t>
      </w:r>
      <w:bookmarkEnd w:id="118"/>
      <w:bookmarkEnd w:id="119"/>
      <w:bookmarkEnd w:id="120"/>
      <w:bookmarkEnd w:id="121"/>
      <w:bookmarkEnd w:id="122"/>
      <w:bookmarkEnd w:id="123"/>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24" w:name="_Toc106806840"/>
      <w:bookmarkStart w:id="125" w:name="_Toc106807008"/>
      <w:bookmarkStart w:id="126" w:name="_Toc106879328"/>
      <w:bookmarkStart w:id="127" w:name="_Toc103755105"/>
      <w:bookmarkStart w:id="128" w:name="_Toc103755371"/>
      <w:bookmarkStart w:id="129" w:name="_Toc103776125"/>
      <w:r>
        <w:t>Notes</w:t>
      </w:r>
      <w:bookmarkEnd w:id="124"/>
      <w:bookmarkEnd w:id="125"/>
      <w:bookmarkEnd w:id="126"/>
      <w:bookmarkEnd w:id="127"/>
      <w:bookmarkEnd w:id="128"/>
      <w:bookmarkEnd w:id="129"/>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del w:id="130" w:author="Master Repository Process" w:date="2022-06-29T16:43:00Z">
        <w:r>
          <w:delText xml:space="preserve"> For provisions that have not yet come into operation see the uncommenced provisions table.</w:delText>
        </w:r>
      </w:del>
    </w:p>
    <w:p>
      <w:pPr>
        <w:pStyle w:val="nHeading3"/>
      </w:pPr>
      <w:bookmarkStart w:id="131" w:name="_Toc106879329"/>
      <w:bookmarkStart w:id="132" w:name="_Toc103776126"/>
      <w:r>
        <w:t>Compilation table</w:t>
      </w:r>
      <w:bookmarkEnd w:id="131"/>
      <w:bookmarkEnd w:id="13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bl>
    <w:p>
      <w:pPr>
        <w:pStyle w:val="nHeading3"/>
        <w:rPr>
          <w:del w:id="133" w:author="Master Repository Process" w:date="2022-06-29T16:43:00Z"/>
        </w:rPr>
      </w:pPr>
      <w:bookmarkStart w:id="134" w:name="_Toc103776127"/>
      <w:del w:id="135" w:author="Master Repository Process" w:date="2022-06-29T16:43:00Z">
        <w:r>
          <w:delText>Uncommenced provisions table</w:delText>
        </w:r>
        <w:bookmarkEnd w:id="134"/>
      </w:del>
    </w:p>
    <w:p>
      <w:pPr>
        <w:pStyle w:val="nStatement"/>
        <w:keepNext/>
        <w:spacing w:after="240"/>
        <w:rPr>
          <w:del w:id="136" w:author="Master Repository Process" w:date="2022-06-29T16:43:00Z"/>
        </w:rPr>
      </w:pPr>
      <w:del w:id="137" w:author="Master Repository Process" w:date="2022-06-29T16:4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38" w:author="Master Repository Process" w:date="2022-06-29T16:43:00Z"/>
        </w:trPr>
        <w:tc>
          <w:tcPr>
            <w:tcW w:w="3118" w:type="dxa"/>
            <w:gridSpan w:val="2"/>
          </w:tcPr>
          <w:p>
            <w:pPr>
              <w:pStyle w:val="nTable"/>
              <w:spacing w:after="40"/>
              <w:rPr>
                <w:del w:id="139" w:author="Master Repository Process" w:date="2022-06-29T16:43:00Z"/>
                <w:b/>
              </w:rPr>
            </w:pPr>
            <w:del w:id="140" w:author="Master Repository Process" w:date="2022-06-29T16:43:00Z">
              <w:r>
                <w:rPr>
                  <w:b/>
                </w:rPr>
                <w:delText>Citation</w:delText>
              </w:r>
            </w:del>
          </w:p>
        </w:tc>
        <w:tc>
          <w:tcPr>
            <w:tcW w:w="1276" w:type="dxa"/>
            <w:gridSpan w:val="2"/>
          </w:tcPr>
          <w:p>
            <w:pPr>
              <w:pStyle w:val="nTable"/>
              <w:spacing w:after="40"/>
              <w:rPr>
                <w:del w:id="141" w:author="Master Repository Process" w:date="2022-06-29T16:43:00Z"/>
                <w:b/>
              </w:rPr>
            </w:pPr>
            <w:del w:id="142" w:author="Master Repository Process" w:date="2022-06-29T16:43:00Z">
              <w:r>
                <w:rPr>
                  <w:b/>
                </w:rPr>
                <w:delText>Published</w:delText>
              </w:r>
            </w:del>
          </w:p>
        </w:tc>
        <w:tc>
          <w:tcPr>
            <w:tcW w:w="2693" w:type="dxa"/>
            <w:gridSpan w:val="2"/>
          </w:tcPr>
          <w:p>
            <w:pPr>
              <w:pStyle w:val="nTable"/>
              <w:spacing w:after="40"/>
              <w:rPr>
                <w:del w:id="143" w:author="Master Repository Process" w:date="2022-06-29T16:43:00Z"/>
                <w:b/>
              </w:rPr>
            </w:pPr>
            <w:del w:id="144" w:author="Master Repository Process" w:date="2022-06-29T16:43:00Z">
              <w:r>
                <w:rPr>
                  <w:b/>
                </w:rPr>
                <w:delText>Commencement</w:delText>
              </w:r>
            </w:del>
          </w:p>
        </w:tc>
      </w:tr>
      <w:tr>
        <w:trPr>
          <w:gridBefore w:val="1"/>
          <w:cantSplit/>
        </w:trPr>
        <w:tc>
          <w:tcPr>
            <w:tcW w:w="3119" w:type="dxa"/>
            <w:gridSpan w:val="2"/>
            <w:tcBorders>
              <w:top w:val="nil"/>
              <w:bottom w:val="single" w:sz="4" w:space="0" w:color="auto"/>
            </w:tcBorders>
          </w:tcPr>
          <w:p>
            <w:pPr>
              <w:pStyle w:val="nTable"/>
              <w:spacing w:after="40"/>
              <w:rPr>
                <w:i/>
              </w:rPr>
            </w:pPr>
            <w:r>
              <w:rPr>
                <w:i/>
              </w:rPr>
              <w:t>Commerce Regulations Amendment (Fees and Charges) Regulations 2022</w:t>
            </w:r>
            <w:r>
              <w:t xml:space="preserve"> Pt. 16</w:t>
            </w:r>
          </w:p>
        </w:tc>
        <w:tc>
          <w:tcPr>
            <w:tcW w:w="1276" w:type="dxa"/>
            <w:gridSpan w:val="2"/>
            <w:tcBorders>
              <w:top w:val="nil"/>
              <w:bottom w:val="single" w:sz="4" w:space="0" w:color="auto"/>
            </w:tcBorders>
          </w:tcPr>
          <w:p>
            <w:pPr>
              <w:pStyle w:val="nTable"/>
              <w:spacing w:after="40"/>
            </w:pPr>
            <w:r>
              <w:t>SL 2022/59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145" w:name="_Toc106879330"/>
      <w:bookmarkStart w:id="146" w:name="_Toc103776128"/>
      <w:r>
        <w:t>Other notes</w:t>
      </w:r>
      <w:bookmarkEnd w:id="145"/>
      <w:bookmarkEnd w:id="146"/>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35"/>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CE1B-DFEE-40AE-AE67-FD9E17FF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9668</Words>
  <Characters>47956</Characters>
  <Application>Microsoft Office Word</Application>
  <DocSecurity>0</DocSecurity>
  <Lines>1998</Lines>
  <Paragraphs>1226</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08-t0-00 - 08-u0-00</dc:title>
  <dc:subject/>
  <dc:creator/>
  <cp:keywords/>
  <dc:description/>
  <cp:lastModifiedBy>Master Repository Process</cp:lastModifiedBy>
  <cp:revision>2</cp:revision>
  <cp:lastPrinted>2014-10-02T03:16:00Z</cp:lastPrinted>
  <dcterms:created xsi:type="dcterms:W3CDTF">2022-06-29T08:43:00Z</dcterms:created>
  <dcterms:modified xsi:type="dcterms:W3CDTF">2022-06-29T08:43:00Z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20220701</vt:lpwstr>
  </property>
  <property fmtid="{D5CDD505-2E9C-101B-9397-08002B2CF9AE}" pid="8" name="FromSuffix">
    <vt:lpwstr>08-t0-00</vt:lpwstr>
  </property>
  <property fmtid="{D5CDD505-2E9C-101B-9397-08002B2CF9AE}" pid="9" name="FromAsAtDate">
    <vt:lpwstr>20 May 2022</vt:lpwstr>
  </property>
  <property fmtid="{D5CDD505-2E9C-101B-9397-08002B2CF9AE}" pid="10" name="ToSuffix">
    <vt:lpwstr>08-u0-00</vt:lpwstr>
  </property>
  <property fmtid="{D5CDD505-2E9C-101B-9397-08002B2CF9AE}" pid="11" name="ToAsAtDate">
    <vt:lpwstr>01 Jul 2022</vt:lpwstr>
  </property>
</Properties>
</file>