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May 2022</w:t>
      </w:r>
      <w:r>
        <w:fldChar w:fldCharType="end"/>
      </w:r>
      <w:r>
        <w:t xml:space="preserve">, </w:t>
      </w:r>
      <w:r>
        <w:fldChar w:fldCharType="begin"/>
      </w:r>
      <w:r>
        <w:instrText xml:space="preserve"> DocProperty FromSuffix </w:instrText>
      </w:r>
      <w:r>
        <w:fldChar w:fldCharType="separate"/>
      </w:r>
      <w:r>
        <w:t>03-m0-00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03-n0-00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120" w:after="600"/>
        <w:rPr>
          <w:snapToGrid w:val="0"/>
        </w:rPr>
      </w:pPr>
      <w:r>
        <w:lastRenderedPageBreak/>
        <w:t>Petroleum and Geothermal Energy Resources Act 1967</w:t>
      </w:r>
    </w:p>
    <w:p>
      <w:pPr>
        <w:pStyle w:val="NameofActReg"/>
        <w:spacing w:before="1000" w:after="840"/>
      </w:pPr>
      <w:r>
        <w:t>Petroleum</w:t>
      </w:r>
      <w:r>
        <w:rPr>
          <w:i/>
          <w:iCs/>
        </w:rPr>
        <w:t xml:space="preserve"> </w:t>
      </w:r>
      <w:r>
        <w:t>and Geothermal Energy Resources Regulations 1987</w:t>
      </w:r>
    </w:p>
    <w:p>
      <w:pPr>
        <w:pStyle w:val="Heading5"/>
        <w:rPr>
          <w:snapToGrid w:val="0"/>
        </w:rPr>
      </w:pPr>
      <w:bookmarkStart w:id="1" w:name="_Toc106951064"/>
      <w:bookmarkStart w:id="2" w:name="_Toc103757832"/>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Petroleum </w:t>
      </w:r>
      <w:r>
        <w:rPr>
          <w:i/>
          <w:iCs/>
        </w:rPr>
        <w:t>and Geothermal Energy Resources</w:t>
      </w:r>
      <w:r>
        <w:rPr>
          <w:i/>
          <w:snapToGrid w:val="0"/>
        </w:rPr>
        <w:t xml:space="preserve"> Regulations 1987</w:t>
      </w:r>
      <w:r>
        <w:rPr>
          <w:snapToGrid w:val="0"/>
        </w:rPr>
        <w:t>.</w:t>
      </w:r>
    </w:p>
    <w:p>
      <w:pPr>
        <w:pStyle w:val="Footnotesection"/>
        <w:rPr>
          <w:i w:val="0"/>
        </w:rPr>
      </w:pPr>
      <w:r>
        <w:tab/>
        <w:t>[Regulation 1 amended: Gazette 23 Jun 2009 p. 2471.]</w:t>
      </w:r>
    </w:p>
    <w:p>
      <w:pPr>
        <w:pStyle w:val="Heading5"/>
      </w:pPr>
      <w:bookmarkStart w:id="4" w:name="_Toc106951065"/>
      <w:bookmarkStart w:id="5" w:name="_Toc103757833"/>
      <w:r>
        <w:rPr>
          <w:rStyle w:val="CharSectno"/>
        </w:rPr>
        <w:t>1A</w:t>
      </w:r>
      <w:r>
        <w:t>.</w:t>
      </w:r>
      <w:r>
        <w:tab/>
        <w:t>Terms used</w:t>
      </w:r>
      <w:bookmarkEnd w:id="4"/>
      <w:bookmarkEnd w:id="5"/>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1A inserted: Gazette 15 Dec 2000 p. 7213.]</w:t>
      </w:r>
    </w:p>
    <w:p>
      <w:pPr>
        <w:pStyle w:val="Heading5"/>
        <w:rPr>
          <w:snapToGrid w:val="0"/>
        </w:rPr>
      </w:pPr>
      <w:bookmarkStart w:id="6" w:name="_Toc106951066"/>
      <w:bookmarkStart w:id="7" w:name="_Toc103757834"/>
      <w:r>
        <w:rPr>
          <w:rStyle w:val="CharSectno"/>
        </w:rPr>
        <w:t>2</w:t>
      </w:r>
      <w:r>
        <w:rPr>
          <w:snapToGrid w:val="0"/>
        </w:rPr>
        <w:t>.</w:t>
      </w:r>
      <w:r>
        <w:rPr>
          <w:snapToGrid w:val="0"/>
        </w:rPr>
        <w:tab/>
        <w:t>Time prescribed (Act s. 17(4))</w:t>
      </w:r>
      <w:bookmarkEnd w:id="6"/>
      <w:bookmarkEnd w:id="7"/>
    </w:p>
    <w:p>
      <w:pPr>
        <w:pStyle w:val="Subsection"/>
        <w:keepNext/>
        <w:rPr>
          <w:snapToGrid w:val="0"/>
        </w:rPr>
      </w:pPr>
      <w:r>
        <w:rPr>
          <w:snapToGrid w:val="0"/>
        </w:rPr>
        <w:tab/>
      </w:r>
      <w:r>
        <w:rPr>
          <w:snapToGrid w:val="0"/>
        </w:rPr>
        <w:tab/>
        <w:t>The prescribed time for the purposes of section 17(4) of the Act is — </w:t>
      </w:r>
    </w:p>
    <w:p>
      <w:pPr>
        <w:pStyle w:val="Indenta"/>
        <w:keepNext/>
        <w:rPr>
          <w:snapToGrid w:val="0"/>
        </w:rPr>
      </w:pPr>
      <w:r>
        <w:rPr>
          <w:snapToGrid w:val="0"/>
        </w:rPr>
        <w:tab/>
        <w:t>(a)</w:t>
      </w:r>
      <w:r>
        <w:rPr>
          <w:snapToGrid w:val="0"/>
        </w:rPr>
        <w:tab/>
        <w:t>under section 17, 3 months from the day that the permittee,</w:t>
      </w:r>
      <w:r>
        <w:t xml:space="preserve"> holder of the drilling reservation,</w:t>
      </w:r>
      <w:r>
        <w:rPr>
          <w:snapToGrid w:val="0"/>
        </w:rPr>
        <w:t xml:space="preserve"> lessee or licensee gives notice to the owner or occupier that the permittee,</w:t>
      </w:r>
      <w:r>
        <w:t xml:space="preserve"> holder of the drilling reservation,</w:t>
      </w:r>
      <w:r>
        <w:rPr>
          <w:snapToGrid w:val="0"/>
        </w:rPr>
        <w:t xml:space="preserve"> lessee or licensee intends to commence operations on the private land; and</w:t>
      </w:r>
    </w:p>
    <w:p>
      <w:pPr>
        <w:pStyle w:val="Indenta"/>
        <w:rPr>
          <w:snapToGrid w:val="0"/>
        </w:rPr>
      </w:pPr>
      <w:r>
        <w:rPr>
          <w:snapToGrid w:val="0"/>
        </w:rPr>
        <w:tab/>
        <w:t>(b)</w:t>
      </w:r>
      <w:r>
        <w:rPr>
          <w:snapToGrid w:val="0"/>
        </w:rPr>
        <w:tab/>
        <w:t>under section 18, 3 months from the day that the owner or occupier of the private land adjoining or in the vicinity of the land comprised in any permit,</w:t>
      </w:r>
      <w:r>
        <w:t xml:space="preserve"> drilling reservation,</w:t>
      </w:r>
      <w:r>
        <w:rPr>
          <w:snapToGrid w:val="0"/>
        </w:rPr>
        <w:t xml:space="preserve"> lease or licence affected by the operations gives notice to the permittee,</w:t>
      </w:r>
      <w:r>
        <w:t xml:space="preserve"> holder of the drilling reservation,</w:t>
      </w:r>
      <w:r>
        <w:rPr>
          <w:snapToGrid w:val="0"/>
        </w:rPr>
        <w:t xml:space="preserve"> lessee or licensee that the private land or improvements thereon has or have been injured or depreciated in value by the operations; and</w:t>
      </w:r>
    </w:p>
    <w:p>
      <w:pPr>
        <w:pStyle w:val="Indenta"/>
        <w:rPr>
          <w:snapToGrid w:val="0"/>
        </w:rPr>
      </w:pPr>
      <w:r>
        <w:rPr>
          <w:snapToGrid w:val="0"/>
        </w:rPr>
        <w:tab/>
        <w:t>(c)</w:t>
      </w:r>
      <w:r>
        <w:rPr>
          <w:snapToGrid w:val="0"/>
        </w:rPr>
        <w:tab/>
        <w:t>under section 19, 3 months from the day that the owner or occupier of the private land gives notice to the permittee,</w:t>
      </w:r>
      <w:r>
        <w:t xml:space="preserve"> holder of the drilling reservation,</w:t>
      </w:r>
      <w:r>
        <w:rPr>
          <w:snapToGrid w:val="0"/>
        </w:rPr>
        <w:t xml:space="preserve"> lessee or licensee that operations have caused further damage to the surface or to any improvements on the private land.</w:t>
      </w:r>
    </w:p>
    <w:p>
      <w:pPr>
        <w:pStyle w:val="Footnotesection"/>
      </w:pPr>
      <w:r>
        <w:tab/>
        <w:t>[Regulation 2 amended: Gazette 28 Sep 1990 p. 5100; 23 Jun 2009 p. 2471</w:t>
      </w:r>
      <w:r>
        <w:noBreakHyphen/>
        <w:t xml:space="preserve">2.] </w:t>
      </w:r>
    </w:p>
    <w:p>
      <w:pPr>
        <w:pStyle w:val="Heading5"/>
        <w:rPr>
          <w:snapToGrid w:val="0"/>
        </w:rPr>
      </w:pPr>
      <w:bookmarkStart w:id="8" w:name="_Toc106951067"/>
      <w:bookmarkStart w:id="9" w:name="_Toc103757835"/>
      <w:r>
        <w:rPr>
          <w:rStyle w:val="CharSectno"/>
        </w:rPr>
        <w:t>3</w:t>
      </w:r>
      <w:r>
        <w:rPr>
          <w:snapToGrid w:val="0"/>
        </w:rPr>
        <w:t>.</w:t>
      </w:r>
      <w:r>
        <w:rPr>
          <w:snapToGrid w:val="0"/>
        </w:rPr>
        <w:tab/>
        <w:t>Fees and rates prescribed</w:t>
      </w:r>
      <w:bookmarkEnd w:id="8"/>
      <w:bookmarkEnd w:id="9"/>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 xml:space="preserve">For the purposes of section 81(2) of the Act, the prescribed rate is a rate of </w:t>
      </w:r>
      <w:r>
        <w:t xml:space="preserve">$149.00 </w:t>
      </w:r>
      <w:r>
        <w:rPr>
          <w:snapToGrid w:val="0"/>
        </w:rPr>
        <w:t>per page.</w:t>
      </w:r>
    </w:p>
    <w:p>
      <w:pPr>
        <w:pStyle w:val="Ednotesubsection"/>
      </w:pPr>
      <w:r>
        <w:tab/>
        <w:t>[(3)</w:t>
      </w:r>
      <w:r>
        <w:noBreakHyphen/>
        <w:t>(5)</w:t>
      </w:r>
      <w:r>
        <w:tab/>
        <w:t>deleted]</w:t>
      </w:r>
    </w:p>
    <w:p>
      <w:pPr>
        <w:pStyle w:val="Subsection"/>
        <w:rPr>
          <w:snapToGrid w:val="0"/>
        </w:rPr>
      </w:pPr>
      <w:r>
        <w:rPr>
          <w:snapToGrid w:val="0"/>
        </w:rPr>
        <w:tab/>
        <w:t>(6)</w:t>
      </w:r>
      <w:r>
        <w:rPr>
          <w:snapToGrid w:val="0"/>
        </w:rPr>
        <w:tab/>
        <w:t xml:space="preserve">For the purposes of section 137(b) of the Act, the prescribed rate is a rate of </w:t>
      </w:r>
      <w:r>
        <w:t>$919.00.</w:t>
      </w:r>
    </w:p>
    <w:p>
      <w:pPr>
        <w:pStyle w:val="Subsection"/>
        <w:rPr>
          <w:snapToGrid w:val="0"/>
        </w:rPr>
      </w:pPr>
      <w:r>
        <w:rPr>
          <w:snapToGrid w:val="0"/>
        </w:rPr>
        <w:tab/>
        <w:t>(7)</w:t>
      </w:r>
      <w:r>
        <w:rPr>
          <w:snapToGrid w:val="0"/>
        </w:rPr>
        <w:tab/>
        <w:t>For the purposes of section 137A of the Act, the prescribed rate is a rate of</w:t>
      </w:r>
      <w:r>
        <w:t xml:space="preserve"> $20 000.00.</w:t>
      </w:r>
    </w:p>
    <w:p>
      <w:pPr>
        <w:pStyle w:val="Subsection"/>
        <w:keepNext/>
        <w:keepLines/>
        <w:rPr>
          <w:snapToGrid w:val="0"/>
        </w:rPr>
      </w:pPr>
      <w:r>
        <w:rPr>
          <w:snapToGrid w:val="0"/>
        </w:rPr>
        <w:tab/>
        <w:t>(8)</w:t>
      </w:r>
      <w:r>
        <w:rPr>
          <w:snapToGrid w:val="0"/>
        </w:rPr>
        <w:tab/>
        <w:t>For the purposes of section 138 of the Act, the prescribed rate is a rate of</w:t>
      </w:r>
      <w:r>
        <w:t xml:space="preserve"> $17 400.00.</w:t>
      </w:r>
    </w:p>
    <w:p>
      <w:pPr>
        <w:pStyle w:val="Footnotesection"/>
      </w:pPr>
      <w:r>
        <w:tab/>
        <w:t>[Regulation 3 inserted: Gazette 28 Sep 1990 p. 5100</w:t>
      </w:r>
      <w:r>
        <w:noBreakHyphen/>
        <w:t>1; amended: Gazette 22 Jul 1994 p. 3780; 27 Jun 2000 p. 3252; 28 Jun 2002 p.  3090-1; 28 Feb 2003 p. 669-70; 23 Jun 2009 p. 2472; 9 Feb 2010 p. 271; 11 May 2010 p. 1817; 16 Jul 2010 p. 3358; 1 Jul 2011 p. 2734</w:t>
      </w:r>
      <w:r>
        <w:noBreakHyphen/>
        <w:t xml:space="preserve">5; 12 Jun 2012 p. 2463; 25 Feb 2014 p. 499; </w:t>
      </w:r>
      <w:r>
        <w:rPr>
          <w:spacing w:val="-4"/>
        </w:rPr>
        <w:t>17 Jun 2014 p. 1</w:t>
      </w:r>
      <w:r>
        <w:t xml:space="preserve">982; 30 Jun 2015 p. 2344 and 2347; 24 Jun 2016 p. 2332; 23 Jun 2017 p. 3305; 25 Jun 2018 p. 2320; 18 Jun 2019 p. 2053; SL 2020/93 r. 14; SL 2021/85 r. 27.] </w:t>
      </w:r>
    </w:p>
    <w:p>
      <w:pPr>
        <w:pStyle w:val="Ednotesection"/>
      </w:pPr>
      <w:r>
        <w:t>[</w:t>
      </w:r>
      <w:r>
        <w:rPr>
          <w:b/>
          <w:bCs/>
        </w:rPr>
        <w:t>3A.</w:t>
      </w:r>
      <w:r>
        <w:tab/>
        <w:t>Deleted: Gazette 23 Jun 2009 p. 2472.]</w:t>
      </w:r>
    </w:p>
    <w:p>
      <w:pPr>
        <w:pStyle w:val="Heading5"/>
        <w:rPr>
          <w:snapToGrid w:val="0"/>
        </w:rPr>
      </w:pPr>
      <w:bookmarkStart w:id="10" w:name="_Toc106951068"/>
      <w:bookmarkStart w:id="11" w:name="_Toc103757836"/>
      <w:r>
        <w:rPr>
          <w:rStyle w:val="CharSectno"/>
        </w:rPr>
        <w:t>4</w:t>
      </w:r>
      <w:r>
        <w:rPr>
          <w:snapToGrid w:val="0"/>
        </w:rPr>
        <w:t>.</w:t>
      </w:r>
      <w:r>
        <w:rPr>
          <w:snapToGrid w:val="0"/>
        </w:rPr>
        <w:tab/>
        <w:t>Form of instrument of transfer prescribed (Act s. 72(3)(a))</w:t>
      </w:r>
      <w:bookmarkEnd w:id="10"/>
      <w:bookmarkEnd w:id="11"/>
    </w:p>
    <w:p>
      <w:pPr>
        <w:pStyle w:val="Subsection"/>
      </w:pPr>
      <w:r>
        <w:rPr>
          <w:snapToGrid w:val="0"/>
        </w:rPr>
        <w:tab/>
      </w:r>
      <w:r>
        <w:rPr>
          <w:snapToGrid w:val="0"/>
        </w:rPr>
        <w:tab/>
      </w:r>
      <w:r>
        <w:t>For the purposes of section 72(3)(a) of the Act, the prescribed form of an instrument of transfer is the form set out in Schedule 2.</w:t>
      </w:r>
    </w:p>
    <w:p>
      <w:pPr>
        <w:pStyle w:val="Footnotesection"/>
      </w:pPr>
      <w:r>
        <w:tab/>
        <w:t xml:space="preserve">[Regulation 4 inserted: Gazette 28 Sep 1990 p. 5101.] </w:t>
      </w:r>
    </w:p>
    <w:p>
      <w:pPr>
        <w:pStyle w:val="Heading5"/>
        <w:rPr>
          <w:snapToGrid w:val="0"/>
        </w:rPr>
      </w:pPr>
      <w:bookmarkStart w:id="12" w:name="_Toc106951069"/>
      <w:bookmarkStart w:id="13" w:name="_Toc103757837"/>
      <w:r>
        <w:rPr>
          <w:rStyle w:val="CharSectno"/>
        </w:rPr>
        <w:t>5</w:t>
      </w:r>
      <w:r>
        <w:rPr>
          <w:snapToGrid w:val="0"/>
        </w:rPr>
        <w:t>.</w:t>
      </w:r>
      <w:r>
        <w:rPr>
          <w:snapToGrid w:val="0"/>
        </w:rPr>
        <w:tab/>
        <w:t>Particulars prescribed (Act s. 75(4)(b))</w:t>
      </w:r>
      <w:bookmarkEnd w:id="12"/>
      <w:bookmarkEnd w:id="13"/>
    </w:p>
    <w:p>
      <w:pPr>
        <w:pStyle w:val="Subsection"/>
        <w:rPr>
          <w:snapToGrid w:val="0"/>
        </w:rPr>
      </w:pPr>
      <w:r>
        <w:rPr>
          <w:snapToGrid w:val="0"/>
        </w:rPr>
        <w:tab/>
        <w:t>(1)</w:t>
      </w:r>
      <w:r>
        <w:rPr>
          <w:snapToGrid w:val="0"/>
        </w:rPr>
        <w:tab/>
        <w:t>For the purposes of section 75(4)(b) of the Act, the following particulars are prescribed — </w:t>
      </w:r>
    </w:p>
    <w:p>
      <w:pPr>
        <w:pStyle w:val="Indenta"/>
        <w:rPr>
          <w:snapToGrid w:val="0"/>
        </w:rPr>
      </w:pPr>
      <w:r>
        <w:rPr>
          <w:snapToGrid w:val="0"/>
        </w:rPr>
        <w:tab/>
        <w:t>(a)</w:t>
      </w:r>
      <w:r>
        <w:rPr>
          <w:snapToGrid w:val="0"/>
          <w:spacing w:val="-4"/>
        </w:rPr>
        <w:tab/>
      </w:r>
      <w:r>
        <w:rPr>
          <w:snapToGrid w:val="0"/>
        </w:rPr>
        <w:t xml:space="preserve">description and date of execution of the instrument evidencing the dealing referred to in section 75(4)(a) of the Act (in this subregulation referred to as </w:t>
      </w:r>
      <w:r>
        <w:t xml:space="preserve">the </w:t>
      </w:r>
      <w:r>
        <w:rPr>
          <w:rStyle w:val="CharDefText"/>
        </w:rPr>
        <w:t>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75(1) of the Act;</w:t>
      </w:r>
    </w:p>
    <w:p>
      <w:pPr>
        <w:pStyle w:val="Indenta"/>
        <w:keepNext/>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to which section 4(5)(b)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 xml:space="preserve">Petroleum </w:t>
      </w:r>
      <w:r>
        <w:rPr>
          <w:i/>
          <w:iCs/>
        </w:rPr>
        <w:t>and Geothermal Energy Resources</w:t>
      </w:r>
      <w:r>
        <w:rPr>
          <w:i/>
          <w:snapToGrid w:val="0"/>
        </w:rPr>
        <w:t xml:space="preserve"> (Registration Fees) Act 1967</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1</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keepNext/>
        <w:keepLines/>
        <w:rPr>
          <w:snapToGrid w:val="0"/>
        </w:rPr>
      </w:pPr>
      <w:r>
        <w:rPr>
          <w:snapToGrid w:val="0"/>
        </w:rPr>
        <w:tab/>
        <w:t>(2)</w:t>
      </w:r>
      <w:r>
        <w:rPr>
          <w:snapToGrid w:val="0"/>
        </w:rPr>
        <w:tab/>
        <w:t>In subregulation (1) — </w:t>
      </w:r>
    </w:p>
    <w:p>
      <w:pPr>
        <w:pStyle w:val="Defstart"/>
        <w:keepNex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 or</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keepNext/>
      </w:pPr>
      <w:r>
        <w:tab/>
        <w:t xml:space="preserve">and includes any transaction in respect of which an instrument was registered under section 75 of the Act before the day fixed under section 2(1) of the </w:t>
      </w:r>
      <w:r>
        <w:rPr>
          <w:i/>
        </w:rPr>
        <w:t>Acts Amendment (Petroleum) Act 1990</w:t>
      </w:r>
      <w:r>
        <w:rPr>
          <w:vertAlign w:val="superscript"/>
        </w:rPr>
        <w:t> 1</w:t>
      </w:r>
      <w:r>
        <w:t>.</w:t>
      </w:r>
    </w:p>
    <w:p>
      <w:pPr>
        <w:pStyle w:val="Footnotesection"/>
      </w:pPr>
      <w:r>
        <w:tab/>
        <w:t>[Regulation 5 inserted: Gazette 28 Sep 1990 p. 5101</w:t>
      </w:r>
      <w:r>
        <w:noBreakHyphen/>
        <w:t xml:space="preserve">2; amended: Gazette 23 Jun 2009 p. 2472.] </w:t>
      </w:r>
    </w:p>
    <w:p>
      <w:pPr>
        <w:pStyle w:val="Ednotesection"/>
      </w:pPr>
      <w:r>
        <w:t>[</w:t>
      </w:r>
      <w:r>
        <w:rPr>
          <w:b/>
          <w:bCs/>
        </w:rPr>
        <w:t>6, 7.</w:t>
      </w:r>
      <w:r>
        <w:tab/>
        <w:t>Deleted: Gazette 23 Jun 2009 p. 2472.]</w:t>
      </w:r>
    </w:p>
    <w:p>
      <w:pPr>
        <w:pStyle w:val="Heading5"/>
        <w:rPr>
          <w:snapToGrid w:val="0"/>
        </w:rPr>
      </w:pPr>
      <w:bookmarkStart w:id="14" w:name="_Toc106951070"/>
      <w:bookmarkStart w:id="15" w:name="_Toc103757838"/>
      <w:r>
        <w:rPr>
          <w:rStyle w:val="CharSectno"/>
        </w:rPr>
        <w:t>8</w:t>
      </w:r>
      <w:r>
        <w:rPr>
          <w:snapToGrid w:val="0"/>
        </w:rPr>
        <w:t>.</w:t>
      </w:r>
      <w:r>
        <w:rPr>
          <w:snapToGrid w:val="0"/>
        </w:rPr>
        <w:tab/>
        <w:t xml:space="preserve">Taxes etc. prescribed (Act s. 144A </w:t>
      </w:r>
      <w:r>
        <w:rPr>
          <w:i/>
          <w:snapToGrid w:val="0"/>
        </w:rPr>
        <w:t>federal duty</w:t>
      </w:r>
      <w:r>
        <w:rPr>
          <w:snapToGrid w:val="0"/>
        </w:rPr>
        <w:t>)</w:t>
      </w:r>
      <w:bookmarkEnd w:id="14"/>
      <w:bookmarkEnd w:id="15"/>
    </w:p>
    <w:p>
      <w:pPr>
        <w:pStyle w:val="Subsection"/>
        <w:rPr>
          <w:snapToGrid w:val="0"/>
        </w:rPr>
      </w:pPr>
      <w:r>
        <w:rPr>
          <w:snapToGrid w:val="0"/>
        </w:rPr>
        <w:tab/>
      </w:r>
      <w:r>
        <w:rPr>
          <w:snapToGrid w:val="0"/>
        </w:rPr>
        <w:tab/>
        <w:t xml:space="preserve">The following imposts are excluded from the definition of </w:t>
      </w:r>
      <w:r>
        <w:rPr>
          <w:b/>
          <w:bCs/>
          <w:i/>
          <w:iCs/>
          <w:snapToGrid w:val="0"/>
        </w:rPr>
        <w:t>federal duty</w:t>
      </w:r>
      <w:r>
        <w:rPr>
          <w:snapToGrid w:val="0"/>
        </w:rPr>
        <w:t xml:space="preserve"> in section 144A(3) of the Act — </w:t>
      </w:r>
    </w:p>
    <w:p>
      <w:pPr>
        <w:pStyle w:val="Indenta"/>
        <w:spacing w:before="60"/>
        <w:rPr>
          <w:snapToGrid w:val="0"/>
        </w:rPr>
      </w:pPr>
      <w:r>
        <w:rPr>
          <w:snapToGrid w:val="0"/>
        </w:rPr>
        <w:tab/>
        <w:t>(a)</w:t>
      </w:r>
      <w:r>
        <w:rPr>
          <w:snapToGrid w:val="0"/>
        </w:rPr>
        <w:tab/>
        <w:t>all taxes, duties, fees, levies and charges already included in the purchase price of goods or services purchased by the permittee, holder of a drilling reservation, lessee or licensee;</w:t>
      </w:r>
    </w:p>
    <w:p>
      <w:pPr>
        <w:pStyle w:val="Indenta"/>
        <w:spacing w:before="60"/>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spacing w:before="60"/>
        <w:rPr>
          <w:snapToGrid w:val="0"/>
        </w:rPr>
      </w:pPr>
      <w:r>
        <w:rPr>
          <w:snapToGrid w:val="0"/>
        </w:rPr>
        <w:tab/>
        <w:t>(d)</w:t>
      </w:r>
      <w:r>
        <w:rPr>
          <w:snapToGrid w:val="0"/>
        </w:rPr>
        <w:tab/>
        <w:t xml:space="preserve">deduction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spacing w:before="60"/>
        <w:rPr>
          <w:snapToGrid w:val="0"/>
        </w:rPr>
      </w:pPr>
      <w:r>
        <w:rPr>
          <w:snapToGrid w:val="0"/>
        </w:rPr>
        <w:tab/>
        <w:t>(e)</w:t>
      </w:r>
      <w:r>
        <w:rPr>
          <w:snapToGrid w:val="0"/>
        </w:rPr>
        <w:tab/>
        <w:t xml:space="preserve">deduction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spacing w:before="60"/>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ind w:left="890" w:hanging="890"/>
      </w:pPr>
      <w:r>
        <w:tab/>
        <w:t>[Regulation 8 inserted: Gazette 20 May 1994 p. 2124</w:t>
      </w:r>
      <w:r>
        <w:noBreakHyphen/>
        <w:t xml:space="preserve">5.] </w:t>
      </w:r>
    </w:p>
    <w:p>
      <w:pPr>
        <w:pStyle w:val="Heading5"/>
        <w:spacing w:before="180"/>
      </w:pPr>
      <w:bookmarkStart w:id="16" w:name="_Toc106951071"/>
      <w:bookmarkStart w:id="17" w:name="_Toc103757839"/>
      <w:r>
        <w:rPr>
          <w:rStyle w:val="CharSectno"/>
        </w:rPr>
        <w:t>9</w:t>
      </w:r>
      <w:r>
        <w:t>.</w:t>
      </w:r>
      <w:r>
        <w:tab/>
        <w:t>Australian datum prescribed etc. (Act s. 8(1))</w:t>
      </w:r>
      <w:bookmarkEnd w:id="16"/>
      <w:bookmarkEnd w:id="17"/>
    </w:p>
    <w:p>
      <w:pPr>
        <w:pStyle w:val="Subsection"/>
      </w:pPr>
      <w:r>
        <w:tab/>
        <w:t>(1)</w:t>
      </w:r>
      <w:r>
        <w:tab/>
        <w:t>Subject to regulation 11, the GDA is the prescribed Australian datum for the purposes referred to in section 8(1)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right"/>
        <w:tblLayout w:type="fixed"/>
        <w:tblLook w:val="0000" w:firstRow="0" w:lastRow="0" w:firstColumn="0" w:lastColumn="0" w:noHBand="0" w:noVBand="0"/>
      </w:tblPr>
      <w:tblGrid>
        <w:gridCol w:w="876"/>
        <w:gridCol w:w="1134"/>
        <w:gridCol w:w="1701"/>
        <w:gridCol w:w="1843"/>
        <w:gridCol w:w="1134"/>
      </w:tblGrid>
      <w:tr>
        <w:trPr>
          <w:tblHeader/>
          <w:jc w:val="right"/>
        </w:trPr>
        <w:tc>
          <w:tcPr>
            <w:tcW w:w="876" w:type="dxa"/>
          </w:tcPr>
          <w:p>
            <w:pPr>
              <w:pStyle w:val="TableNAm"/>
              <w:rPr>
                <w:b/>
                <w:bCs/>
                <w:sz w:val="20"/>
              </w:rPr>
            </w:pPr>
            <w:r>
              <w:rPr>
                <w:b/>
                <w:bCs/>
                <w:sz w:val="20"/>
              </w:rPr>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rPr>
          <w:jc w:val="right"/>
        </w:trPr>
        <w:tc>
          <w:tcPr>
            <w:tcW w:w="876" w:type="dxa"/>
          </w:tcPr>
          <w:p>
            <w:pPr>
              <w:pStyle w:val="TableNAm"/>
              <w:rPr>
                <w:sz w:val="20"/>
              </w:rPr>
            </w:pPr>
            <w:r>
              <w:rPr>
                <w:sz w:val="20"/>
              </w:rPr>
              <w:t>AU 012</w:t>
            </w:r>
          </w:p>
        </w:tc>
        <w:tc>
          <w:tcPr>
            <w:tcW w:w="1134" w:type="dxa"/>
          </w:tcPr>
          <w:p>
            <w:pPr>
              <w:pStyle w:val="TableNAm"/>
              <w:rPr>
                <w:sz w:val="20"/>
              </w:rPr>
            </w:pPr>
            <w:r>
              <w:rPr>
                <w:sz w:val="20"/>
              </w:rPr>
              <w:t>Alice Springs</w:t>
            </w:r>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rPr>
          <w:jc w:val="right"/>
        </w:trPr>
        <w:tc>
          <w:tcPr>
            <w:tcW w:w="876"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rPr>
          <w:jc w:val="right"/>
        </w:trPr>
        <w:tc>
          <w:tcPr>
            <w:tcW w:w="876" w:type="dxa"/>
          </w:tcPr>
          <w:p>
            <w:pPr>
              <w:pStyle w:val="TableNAm"/>
              <w:rPr>
                <w:sz w:val="20"/>
              </w:rPr>
            </w:pPr>
            <w:r>
              <w:rPr>
                <w:sz w:val="20"/>
              </w:rPr>
              <w:t>AU 014</w:t>
            </w:r>
          </w:p>
        </w:tc>
        <w:tc>
          <w:tcPr>
            <w:tcW w:w="1134" w:type="dxa"/>
          </w:tcPr>
          <w:p>
            <w:pPr>
              <w:pStyle w:val="TableNAm"/>
              <w:rPr>
                <w:sz w:val="20"/>
              </w:rPr>
            </w:pPr>
            <w:r>
              <w:rPr>
                <w:sz w:val="20"/>
              </w:rPr>
              <w:t>Darwin</w:t>
            </w:r>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rPr>
          <w:jc w:val="right"/>
        </w:trPr>
        <w:tc>
          <w:tcPr>
            <w:tcW w:w="876"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rPr>
          <w:jc w:val="right"/>
        </w:trPr>
        <w:tc>
          <w:tcPr>
            <w:tcW w:w="876" w:type="dxa"/>
          </w:tcPr>
          <w:p>
            <w:pPr>
              <w:pStyle w:val="TableNAm"/>
              <w:rPr>
                <w:sz w:val="20"/>
              </w:rPr>
            </w:pPr>
            <w:r>
              <w:rPr>
                <w:sz w:val="20"/>
              </w:rPr>
              <w:t>AU 016</w:t>
            </w:r>
          </w:p>
        </w:tc>
        <w:tc>
          <w:tcPr>
            <w:tcW w:w="1134" w:type="dxa"/>
          </w:tcPr>
          <w:p>
            <w:pPr>
              <w:pStyle w:val="TableNAm"/>
              <w:rPr>
                <w:sz w:val="20"/>
              </w:rPr>
            </w:pPr>
            <w:r>
              <w:rPr>
                <w:sz w:val="20"/>
              </w:rPr>
              <w:t>Hobart</w:t>
            </w:r>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 xml:space="preserve">  41.126 m</w:t>
            </w:r>
          </w:p>
        </w:tc>
      </w:tr>
      <w:tr>
        <w:trPr>
          <w:jc w:val="right"/>
        </w:trPr>
        <w:tc>
          <w:tcPr>
            <w:tcW w:w="876" w:type="dxa"/>
          </w:tcPr>
          <w:p>
            <w:pPr>
              <w:pStyle w:val="TableNAm"/>
              <w:keepNext/>
              <w:rPr>
                <w:sz w:val="20"/>
              </w:rPr>
            </w:pPr>
            <w:r>
              <w:rPr>
                <w:sz w:val="20"/>
              </w:rPr>
              <w:t>AU 017</w:t>
            </w:r>
          </w:p>
        </w:tc>
        <w:tc>
          <w:tcPr>
            <w:tcW w:w="1134" w:type="dxa"/>
          </w:tcPr>
          <w:p>
            <w:pPr>
              <w:pStyle w:val="TableNAm"/>
              <w:keepNext/>
              <w:rPr>
                <w:sz w:val="20"/>
              </w:rPr>
            </w:pPr>
            <w:r>
              <w:rPr>
                <w:sz w:val="20"/>
              </w:rPr>
              <w:t>Tidbinbilla</w:t>
            </w:r>
          </w:p>
        </w:tc>
        <w:tc>
          <w:tcPr>
            <w:tcW w:w="1701" w:type="dxa"/>
          </w:tcPr>
          <w:p>
            <w:pPr>
              <w:pStyle w:val="TableNAm"/>
              <w:keepNext/>
              <w:rPr>
                <w:sz w:val="20"/>
              </w:rPr>
            </w:pPr>
            <w:r>
              <w:rPr>
                <w:snapToGrid w:val="0"/>
                <w:sz w:val="20"/>
              </w:rPr>
              <w:t>35° 23′ 57.15627″</w:t>
            </w:r>
          </w:p>
        </w:tc>
        <w:tc>
          <w:tcPr>
            <w:tcW w:w="1843" w:type="dxa"/>
          </w:tcPr>
          <w:p>
            <w:pPr>
              <w:pStyle w:val="TableNAm"/>
              <w:keepNext/>
              <w:rPr>
                <w:sz w:val="20"/>
              </w:rPr>
            </w:pPr>
            <w:r>
              <w:rPr>
                <w:snapToGrid w:val="0"/>
                <w:sz w:val="20"/>
              </w:rPr>
              <w:t>148° 58′ 47.98425″</w:t>
            </w:r>
          </w:p>
        </w:tc>
        <w:tc>
          <w:tcPr>
            <w:tcW w:w="1134" w:type="dxa"/>
          </w:tcPr>
          <w:p>
            <w:pPr>
              <w:pStyle w:val="TableNAm"/>
              <w:keepNext/>
              <w:rPr>
                <w:sz w:val="20"/>
              </w:rPr>
            </w:pPr>
            <w:r>
              <w:rPr>
                <w:sz w:val="20"/>
              </w:rPr>
              <w:t>665.440 m</w:t>
            </w:r>
          </w:p>
        </w:tc>
      </w:tr>
      <w:tr>
        <w:trPr>
          <w:jc w:val="right"/>
        </w:trPr>
        <w:tc>
          <w:tcPr>
            <w:tcW w:w="876"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rPr>
          <w:jc w:val="right"/>
        </w:trPr>
        <w:tc>
          <w:tcPr>
            <w:tcW w:w="876"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keepLines w:val="0"/>
        <w:ind w:left="890" w:hanging="890"/>
      </w:pPr>
      <w:r>
        <w:tab/>
        <w:t>[Regulation 9 inserted: Gazette 15 Dec 2000 p. 7213</w:t>
      </w:r>
      <w:r>
        <w:noBreakHyphen/>
        <w:t>14.]</w:t>
      </w:r>
    </w:p>
    <w:p>
      <w:pPr>
        <w:pStyle w:val="Heading5"/>
      </w:pPr>
      <w:bookmarkStart w:id="18" w:name="_Toc106951072"/>
      <w:bookmarkStart w:id="19" w:name="_Toc103757840"/>
      <w:r>
        <w:rPr>
          <w:rStyle w:val="CharSectno"/>
        </w:rPr>
        <w:t>10</w:t>
      </w:r>
      <w:r>
        <w:t>.</w:t>
      </w:r>
      <w:r>
        <w:tab/>
        <w:t>Position on Earth, reference to in instruments operating on or after 16 Dec 2000</w:t>
      </w:r>
      <w:bookmarkEnd w:id="18"/>
      <w:bookmarkEnd w:id="19"/>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(including a block constituted as provided by section 135 of the Act)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pPr>
      <w:r>
        <w:tab/>
        <w:t>(3)</w:t>
      </w:r>
      <w:r>
        <w:tab/>
        <w:t xml:space="preserve">Despite section 27 of the Act, for the purposes of subregulation (1) — </w:t>
      </w:r>
    </w:p>
    <w:p>
      <w:pPr>
        <w:pStyle w:val="Indenta"/>
      </w:pPr>
      <w:r>
        <w:tab/>
        <w:t>(a)</w:t>
      </w:r>
      <w:r>
        <w:tab/>
        <w:t>the meridians of longitude defining the eastern and western boundaries of a graticular section; and</w:t>
      </w:r>
    </w:p>
    <w:p>
      <w:pPr>
        <w:pStyle w:val="Indenta"/>
        <w:keepNext/>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keepNext/>
        <w:keepLines/>
      </w:pPr>
      <w:r>
        <w:tab/>
        <w:t>(4)</w:t>
      </w:r>
      <w:r>
        <w:tab/>
        <w:t xml:space="preserve">In subregulation (1) — </w:t>
      </w:r>
    </w:p>
    <w:p>
      <w:pPr>
        <w:pStyle w:val="Defstart"/>
      </w:pPr>
      <w:r>
        <w:tab/>
      </w:r>
      <w:r>
        <w:rPr>
          <w:rStyle w:val="CharDefText"/>
        </w:rPr>
        <w:t>commencement day</w:t>
      </w:r>
      <w:r>
        <w:t xml:space="preserve"> means the day on which section 7 of the </w:t>
      </w:r>
      <w:r>
        <w:rPr>
          <w:i/>
        </w:rPr>
        <w:t>Acts Amendment (Australian Datum) Act 2000</w:t>
      </w:r>
      <w:r>
        <w:t xml:space="preserve"> comes into operation</w:t>
      </w:r>
      <w:r>
        <w:rPr>
          <w:vertAlign w:val="superscript"/>
        </w:rPr>
        <w:t> 2</w:t>
      </w:r>
      <w:r>
        <w:t>.</w:t>
      </w:r>
    </w:p>
    <w:p>
      <w:pPr>
        <w:pStyle w:val="Footnotesection"/>
      </w:pPr>
      <w:r>
        <w:tab/>
        <w:t>[Regulation 10 inserted: Gazette 15 Dec 2000 p. 7214.]</w:t>
      </w:r>
    </w:p>
    <w:p>
      <w:pPr>
        <w:pStyle w:val="Heading5"/>
      </w:pPr>
      <w:bookmarkStart w:id="20" w:name="_Toc106951073"/>
      <w:bookmarkStart w:id="21" w:name="_Toc103757841"/>
      <w:r>
        <w:rPr>
          <w:rStyle w:val="CharSectno"/>
        </w:rPr>
        <w:t>11</w:t>
      </w:r>
      <w:r>
        <w:t>.</w:t>
      </w:r>
      <w:r>
        <w:tab/>
        <w:t>Datum prescribed (Act s. 27(4))</w:t>
      </w:r>
      <w:bookmarkEnd w:id="20"/>
      <w:bookmarkEnd w:id="21"/>
    </w:p>
    <w:p>
      <w:pPr>
        <w:pStyle w:val="Subsection"/>
      </w:pPr>
      <w:r>
        <w:tab/>
        <w:t>(1)</w:t>
      </w:r>
      <w:r>
        <w:tab/>
        <w:t>Subject to regulation 10, the AGD is the prescribed datum for the purposes referred to in section 27(4) of the Act.</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keepNext/>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Gazette 15 Dec 2000 p. 7215.]</w:t>
      </w:r>
    </w:p>
    <w:p>
      <w:pPr>
        <w:pStyle w:val="Heading5"/>
      </w:pPr>
      <w:bookmarkStart w:id="22" w:name="_Toc106951074"/>
      <w:bookmarkStart w:id="23" w:name="_Toc103757842"/>
      <w:r>
        <w:rPr>
          <w:rStyle w:val="CharSectno"/>
        </w:rPr>
        <w:t>12</w:t>
      </w:r>
      <w:r>
        <w:t>.</w:t>
      </w:r>
      <w:r>
        <w:tab/>
        <w:t>Transitional provision: operation of r. 3</w:t>
      </w:r>
      <w:bookmarkEnd w:id="22"/>
      <w:bookmarkEnd w:id="23"/>
    </w:p>
    <w:p>
      <w:pPr>
        <w:pStyle w:val="Subsection"/>
        <w:keepNext/>
      </w:pPr>
      <w:r>
        <w:tab/>
        <w:t>(1)</w:t>
      </w:r>
      <w:r>
        <w:tab/>
        <w:t xml:space="preserve">In this regulation — </w:t>
      </w:r>
    </w:p>
    <w:p>
      <w:pPr>
        <w:pStyle w:val="Defstart"/>
      </w:pPr>
      <w:r>
        <w:tab/>
      </w:r>
      <w:r>
        <w:rPr>
          <w:rStyle w:val="CharDefText"/>
        </w:rPr>
        <w:t>regulation 3</w:t>
      </w:r>
      <w:r>
        <w:t xml:space="preserve"> has the meaning given in Schedule 2 clause 1 of the Act.</w:t>
      </w:r>
    </w:p>
    <w:p>
      <w:pPr>
        <w:pStyle w:val="Subsection"/>
      </w:pPr>
      <w:r>
        <w:tab/>
        <w:t>(2)</w:t>
      </w:r>
      <w:r>
        <w:tab/>
        <w:t>This regulation is made for the purposes of Schedule 2 clause 3(4) of the Act.</w:t>
      </w:r>
    </w:p>
    <w:p>
      <w:pPr>
        <w:pStyle w:val="Subsection"/>
      </w:pPr>
      <w:r>
        <w:tab/>
        <w:t>(3)</w:t>
      </w:r>
      <w:r>
        <w:tab/>
        <w:t>Regulation 3 as continued in force under Schedule 2 clause 3(3)(b) of the Act is, for the purposes of its application under that paragraph, deleted.</w:t>
      </w:r>
    </w:p>
    <w:p>
      <w:pPr>
        <w:pStyle w:val="Footnotesection"/>
      </w:pPr>
      <w:r>
        <w:tab/>
        <w:t>[Regulation 12 inserted: Gazette 30 Jun 2015 p. 2344.]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24" w:name="_Toc102117054"/>
      <w:bookmarkStart w:id="25" w:name="_Toc102119734"/>
      <w:bookmarkStart w:id="26" w:name="_Toc102119980"/>
      <w:bookmarkStart w:id="27" w:name="_Toc102120053"/>
      <w:bookmarkStart w:id="28" w:name="_Toc103680120"/>
      <w:bookmarkStart w:id="29" w:name="_Toc106874023"/>
      <w:bookmarkStart w:id="30" w:name="_Toc106951075"/>
      <w:bookmarkStart w:id="31" w:name="_Toc103696080"/>
      <w:bookmarkStart w:id="32" w:name="_Toc103696357"/>
      <w:bookmarkStart w:id="33" w:name="_Toc103757843"/>
      <w:bookmarkStart w:id="34" w:name="_Toc106873218"/>
      <w:r>
        <w:rPr>
          <w:rStyle w:val="CharSchNo"/>
        </w:rPr>
        <w:t>Schedule 1</w:t>
      </w:r>
      <w:r>
        <w:t> — </w:t>
      </w:r>
      <w:r>
        <w:rPr>
          <w:rStyle w:val="CharSchText"/>
        </w:rPr>
        <w:t>Prescribed fees</w:t>
      </w:r>
      <w:bookmarkEnd w:id="24"/>
      <w:bookmarkEnd w:id="25"/>
      <w:bookmarkEnd w:id="26"/>
      <w:bookmarkEnd w:id="27"/>
      <w:bookmarkEnd w:id="28"/>
      <w:bookmarkEnd w:id="29"/>
      <w:bookmarkEnd w:id="30"/>
      <w:bookmarkEnd w:id="31"/>
      <w:bookmarkEnd w:id="32"/>
      <w:bookmarkEnd w:id="33"/>
    </w:p>
    <w:p>
      <w:pPr>
        <w:pStyle w:val="yShoulderClause"/>
      </w:pPr>
      <w:r>
        <w:t>[r. 3(1)]</w:t>
      </w:r>
    </w:p>
    <w:p>
      <w:pPr>
        <w:pStyle w:val="yFootnoteheading"/>
        <w:spacing w:after="60"/>
      </w:pPr>
      <w:r>
        <w:tab/>
        <w:t>[Heading inserted: SL </w:t>
      </w:r>
      <w:del w:id="35" w:author="Master Repository Process" w:date="2022-06-30T09:04:00Z">
        <w:r>
          <w:delText>2021/85</w:delText>
        </w:r>
      </w:del>
      <w:ins w:id="36" w:author="Master Repository Process" w:date="2022-06-30T09:04:00Z">
        <w:r>
          <w:t>2022/58</w:t>
        </w:r>
      </w:ins>
      <w:r>
        <w:t xml:space="preserve"> r. </w:t>
      </w:r>
      <w:del w:id="37" w:author="Master Repository Process" w:date="2022-06-30T09:04:00Z">
        <w:r>
          <w:delText>28</w:delText>
        </w:r>
      </w:del>
      <w:ins w:id="38" w:author="Master Repository Process" w:date="2022-06-30T09:04:00Z">
        <w:r>
          <w:t>22</w:t>
        </w:r>
      </w:ins>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2126"/>
        <w:gridCol w:w="2978"/>
      </w:tblGrid>
      <w:tr>
        <w:trPr>
          <w:cantSplit/>
          <w:tblHeader/>
          <w:jc w:val="center"/>
        </w:trPr>
        <w:tc>
          <w:tcPr>
            <w:tcW w:w="1559" w:type="dxa"/>
            <w:noWrap/>
          </w:tcPr>
          <w:p>
            <w:pPr>
              <w:pStyle w:val="yTableNAm"/>
              <w:keepNext/>
              <w:jc w:val="center"/>
              <w:rPr>
                <w:b/>
              </w:rPr>
            </w:pPr>
            <w:r>
              <w:rPr>
                <w:b/>
              </w:rPr>
              <w:t>Column 1</w:t>
            </w:r>
            <w:r>
              <w:rPr>
                <w:b/>
              </w:rPr>
              <w:br/>
              <w:t>Item</w:t>
            </w:r>
          </w:p>
        </w:tc>
        <w:tc>
          <w:tcPr>
            <w:tcW w:w="2126" w:type="dxa"/>
            <w:noWrap/>
          </w:tcPr>
          <w:p>
            <w:pPr>
              <w:pStyle w:val="yTableNAm"/>
              <w:keepNext/>
              <w:jc w:val="center"/>
              <w:rPr>
                <w:b/>
              </w:rPr>
            </w:pPr>
            <w:r>
              <w:rPr>
                <w:b/>
              </w:rPr>
              <w:t>Column 2</w:t>
            </w:r>
            <w:r>
              <w:rPr>
                <w:b/>
              </w:rPr>
              <w:br/>
              <w:t>Provision of Act</w:t>
            </w:r>
          </w:p>
        </w:tc>
        <w:tc>
          <w:tcPr>
            <w:tcW w:w="2978" w:type="dxa"/>
            <w:noWrap/>
          </w:tcPr>
          <w:p>
            <w:pPr>
              <w:pStyle w:val="yTableNAm"/>
              <w:keepNext/>
              <w:jc w:val="center"/>
              <w:rPr>
                <w:b/>
              </w:rPr>
            </w:pPr>
            <w:r>
              <w:rPr>
                <w:b/>
              </w:rPr>
              <w:t>Column 3</w:t>
            </w:r>
            <w:r>
              <w:rPr>
                <w:b/>
              </w:rPr>
              <w:br/>
              <w:t>Amount of prescribed fee</w:t>
            </w:r>
            <w:r>
              <w:rPr>
                <w:b/>
              </w:rPr>
              <w:br/>
              <w:t>($)</w:t>
            </w:r>
          </w:p>
        </w:tc>
      </w:tr>
      <w:tr>
        <w:trPr>
          <w:cantSplit/>
          <w:jc w:val="center"/>
        </w:trPr>
        <w:tc>
          <w:tcPr>
            <w:tcW w:w="1559" w:type="dxa"/>
            <w:noWrap/>
            <w:vAlign w:val="center"/>
          </w:tcPr>
          <w:p>
            <w:pPr>
              <w:pStyle w:val="yTableNAm"/>
            </w:pPr>
            <w:r>
              <w:t>1.</w:t>
            </w:r>
          </w:p>
        </w:tc>
        <w:tc>
          <w:tcPr>
            <w:tcW w:w="2126" w:type="dxa"/>
            <w:noWrap/>
            <w:vAlign w:val="center"/>
          </w:tcPr>
          <w:p>
            <w:pPr>
              <w:pStyle w:val="yTableNAm"/>
            </w:pPr>
            <w:r>
              <w:t>s. 31(1)(f)</w:t>
            </w:r>
          </w:p>
        </w:tc>
        <w:tc>
          <w:tcPr>
            <w:tcW w:w="2978" w:type="dxa"/>
            <w:noWrap/>
            <w:vAlign w:val="bottom"/>
          </w:tcPr>
          <w:p>
            <w:pPr>
              <w:pStyle w:val="yTableNAm"/>
              <w:ind w:right="1033"/>
              <w:jc w:val="right"/>
            </w:pPr>
            <w:r>
              <w:t>7 </w:t>
            </w:r>
            <w:del w:id="39" w:author="Master Repository Process" w:date="2022-06-30T09:04:00Z">
              <w:r>
                <w:delText>550</w:delText>
              </w:r>
            </w:del>
            <w:ins w:id="40" w:author="Master Repository Process" w:date="2022-06-30T09:04:00Z">
              <w:r>
                <w:t>928</w:t>
              </w:r>
            </w:ins>
            <w:r>
              <w:t>.00</w:t>
            </w:r>
          </w:p>
        </w:tc>
      </w:tr>
      <w:tr>
        <w:trPr>
          <w:cantSplit/>
          <w:jc w:val="center"/>
        </w:trPr>
        <w:tc>
          <w:tcPr>
            <w:tcW w:w="1559" w:type="dxa"/>
            <w:noWrap/>
            <w:vAlign w:val="center"/>
          </w:tcPr>
          <w:p>
            <w:pPr>
              <w:pStyle w:val="yTableNAm"/>
            </w:pPr>
            <w:r>
              <w:t>2.</w:t>
            </w:r>
          </w:p>
        </w:tc>
        <w:tc>
          <w:tcPr>
            <w:tcW w:w="2126" w:type="dxa"/>
            <w:noWrap/>
            <w:vAlign w:val="center"/>
          </w:tcPr>
          <w:p>
            <w:pPr>
              <w:pStyle w:val="yTableNAm"/>
            </w:pPr>
            <w:r>
              <w:t>s. 34(1)(a)</w:t>
            </w:r>
          </w:p>
        </w:tc>
        <w:tc>
          <w:tcPr>
            <w:tcW w:w="2978" w:type="dxa"/>
            <w:noWrap/>
            <w:vAlign w:val="bottom"/>
          </w:tcPr>
          <w:p>
            <w:pPr>
              <w:pStyle w:val="yTableNAm"/>
              <w:ind w:right="1033"/>
              <w:jc w:val="right"/>
              <w:rPr>
                <w:rStyle w:val="DraftersNotes"/>
              </w:rPr>
            </w:pPr>
            <w:r>
              <w:t>7 </w:t>
            </w:r>
            <w:del w:id="41" w:author="Master Repository Process" w:date="2022-06-30T09:04:00Z">
              <w:r>
                <w:delText>190</w:delText>
              </w:r>
            </w:del>
            <w:ins w:id="42" w:author="Master Repository Process" w:date="2022-06-30T09:04:00Z">
              <w:r>
                <w:t>550</w:t>
              </w:r>
            </w:ins>
            <w:r>
              <w:t>.00</w:t>
            </w:r>
          </w:p>
        </w:tc>
      </w:tr>
      <w:tr>
        <w:trPr>
          <w:cantSplit/>
          <w:jc w:val="center"/>
        </w:trPr>
        <w:tc>
          <w:tcPr>
            <w:tcW w:w="1559" w:type="dxa"/>
            <w:noWrap/>
            <w:vAlign w:val="center"/>
          </w:tcPr>
          <w:p>
            <w:pPr>
              <w:pStyle w:val="yTableNAm"/>
            </w:pPr>
            <w:r>
              <w:t>3.</w:t>
            </w:r>
          </w:p>
        </w:tc>
        <w:tc>
          <w:tcPr>
            <w:tcW w:w="2126" w:type="dxa"/>
            <w:noWrap/>
            <w:vAlign w:val="center"/>
          </w:tcPr>
          <w:p>
            <w:pPr>
              <w:pStyle w:val="yTableNAm"/>
            </w:pPr>
            <w:r>
              <w:t>s. 37A(2)(e)</w:t>
            </w:r>
          </w:p>
        </w:tc>
        <w:tc>
          <w:tcPr>
            <w:tcW w:w="2978" w:type="dxa"/>
            <w:noWrap/>
            <w:vAlign w:val="bottom"/>
          </w:tcPr>
          <w:p>
            <w:pPr>
              <w:pStyle w:val="yTableNAm"/>
              <w:ind w:right="1033"/>
              <w:jc w:val="right"/>
            </w:pPr>
            <w:r>
              <w:t>7 </w:t>
            </w:r>
            <w:del w:id="43" w:author="Master Repository Process" w:date="2022-06-30T09:04:00Z">
              <w:r>
                <w:delText>190</w:delText>
              </w:r>
            </w:del>
            <w:ins w:id="44" w:author="Master Repository Process" w:date="2022-06-30T09:04:00Z">
              <w:r>
                <w:t>550</w:t>
              </w:r>
            </w:ins>
            <w:r>
              <w:t>.00</w:t>
            </w:r>
          </w:p>
        </w:tc>
      </w:tr>
      <w:tr>
        <w:trPr>
          <w:cantSplit/>
          <w:jc w:val="center"/>
        </w:trPr>
        <w:tc>
          <w:tcPr>
            <w:tcW w:w="1559" w:type="dxa"/>
            <w:noWrap/>
            <w:vAlign w:val="center"/>
          </w:tcPr>
          <w:p>
            <w:pPr>
              <w:pStyle w:val="yTableNAm"/>
            </w:pPr>
            <w:r>
              <w:t>4.</w:t>
            </w:r>
          </w:p>
        </w:tc>
        <w:tc>
          <w:tcPr>
            <w:tcW w:w="2126" w:type="dxa"/>
            <w:noWrap/>
            <w:vAlign w:val="center"/>
          </w:tcPr>
          <w:p>
            <w:pPr>
              <w:pStyle w:val="yTableNAm"/>
            </w:pPr>
            <w:r>
              <w:t>s. 40(2)(c)</w:t>
            </w:r>
          </w:p>
        </w:tc>
        <w:tc>
          <w:tcPr>
            <w:tcW w:w="2978" w:type="dxa"/>
            <w:noWrap/>
            <w:vAlign w:val="bottom"/>
          </w:tcPr>
          <w:p>
            <w:pPr>
              <w:pStyle w:val="yTableNAm"/>
              <w:ind w:right="1033"/>
              <w:jc w:val="right"/>
            </w:pPr>
            <w:r>
              <w:t>7 </w:t>
            </w:r>
            <w:del w:id="45" w:author="Master Repository Process" w:date="2022-06-30T09:04:00Z">
              <w:r>
                <w:delText>550</w:delText>
              </w:r>
            </w:del>
            <w:ins w:id="46" w:author="Master Repository Process" w:date="2022-06-30T09:04:00Z">
              <w:r>
                <w:t>928</w:t>
              </w:r>
            </w:ins>
            <w:r>
              <w:t>.00</w:t>
            </w:r>
          </w:p>
        </w:tc>
      </w:tr>
      <w:tr>
        <w:trPr>
          <w:cantSplit/>
          <w:jc w:val="center"/>
        </w:trPr>
        <w:tc>
          <w:tcPr>
            <w:tcW w:w="1559" w:type="dxa"/>
            <w:noWrap/>
            <w:vAlign w:val="center"/>
          </w:tcPr>
          <w:p>
            <w:pPr>
              <w:pStyle w:val="yTableNAm"/>
            </w:pPr>
            <w:r>
              <w:t>5.</w:t>
            </w:r>
          </w:p>
        </w:tc>
        <w:tc>
          <w:tcPr>
            <w:tcW w:w="2126" w:type="dxa"/>
            <w:noWrap/>
            <w:vAlign w:val="center"/>
          </w:tcPr>
          <w:p>
            <w:pPr>
              <w:pStyle w:val="yTableNAm"/>
            </w:pPr>
            <w:r>
              <w:t>s. 43B(1)(f)</w:t>
            </w:r>
          </w:p>
        </w:tc>
        <w:tc>
          <w:tcPr>
            <w:tcW w:w="2978" w:type="dxa"/>
            <w:noWrap/>
            <w:vAlign w:val="bottom"/>
          </w:tcPr>
          <w:p>
            <w:pPr>
              <w:pStyle w:val="yTableNAm"/>
              <w:ind w:right="1033"/>
              <w:jc w:val="right"/>
            </w:pPr>
            <w:r>
              <w:t>7 </w:t>
            </w:r>
            <w:del w:id="47" w:author="Master Repository Process" w:date="2022-06-30T09:04:00Z">
              <w:r>
                <w:delText>190</w:delText>
              </w:r>
            </w:del>
            <w:ins w:id="48" w:author="Master Repository Process" w:date="2022-06-30T09:04:00Z">
              <w:r>
                <w:t>550</w:t>
              </w:r>
            </w:ins>
            <w:r>
              <w:t>.00</w:t>
            </w:r>
          </w:p>
        </w:tc>
      </w:tr>
      <w:tr>
        <w:trPr>
          <w:cantSplit/>
          <w:jc w:val="center"/>
        </w:trPr>
        <w:tc>
          <w:tcPr>
            <w:tcW w:w="1559" w:type="dxa"/>
            <w:noWrap/>
            <w:vAlign w:val="center"/>
          </w:tcPr>
          <w:p>
            <w:pPr>
              <w:pStyle w:val="yTableNAm"/>
            </w:pPr>
            <w:r>
              <w:t>6.</w:t>
            </w:r>
          </w:p>
        </w:tc>
        <w:tc>
          <w:tcPr>
            <w:tcW w:w="2126" w:type="dxa"/>
            <w:noWrap/>
            <w:vAlign w:val="center"/>
          </w:tcPr>
          <w:p>
            <w:pPr>
              <w:pStyle w:val="yTableNAm"/>
            </w:pPr>
            <w:r>
              <w:t>s. 43F(3)(d)</w:t>
            </w:r>
          </w:p>
        </w:tc>
        <w:tc>
          <w:tcPr>
            <w:tcW w:w="2978" w:type="dxa"/>
            <w:noWrap/>
            <w:vAlign w:val="bottom"/>
          </w:tcPr>
          <w:p>
            <w:pPr>
              <w:pStyle w:val="yTableNAm"/>
              <w:ind w:right="1033"/>
              <w:jc w:val="right"/>
            </w:pPr>
            <w:r>
              <w:t>7 190.00</w:t>
            </w:r>
          </w:p>
        </w:tc>
      </w:tr>
      <w:tr>
        <w:trPr>
          <w:cantSplit/>
          <w:jc w:val="center"/>
        </w:trPr>
        <w:tc>
          <w:tcPr>
            <w:tcW w:w="1559" w:type="dxa"/>
            <w:noWrap/>
            <w:vAlign w:val="center"/>
          </w:tcPr>
          <w:p>
            <w:pPr>
              <w:pStyle w:val="yTableNAm"/>
            </w:pPr>
            <w:r>
              <w:t>7.</w:t>
            </w:r>
          </w:p>
        </w:tc>
        <w:tc>
          <w:tcPr>
            <w:tcW w:w="2126" w:type="dxa"/>
            <w:noWrap/>
            <w:vAlign w:val="center"/>
          </w:tcPr>
          <w:p>
            <w:pPr>
              <w:pStyle w:val="yTableNAm"/>
            </w:pPr>
            <w:r>
              <w:t>s. 48A(2)(e)</w:t>
            </w:r>
          </w:p>
        </w:tc>
        <w:tc>
          <w:tcPr>
            <w:tcW w:w="2978" w:type="dxa"/>
            <w:noWrap/>
            <w:vAlign w:val="bottom"/>
          </w:tcPr>
          <w:p>
            <w:pPr>
              <w:pStyle w:val="yTableNAm"/>
              <w:ind w:right="1033"/>
              <w:jc w:val="right"/>
            </w:pPr>
            <w:r>
              <w:t>7 </w:t>
            </w:r>
            <w:del w:id="49" w:author="Master Repository Process" w:date="2022-06-30T09:04:00Z">
              <w:r>
                <w:delText>190</w:delText>
              </w:r>
            </w:del>
            <w:ins w:id="50" w:author="Master Repository Process" w:date="2022-06-30T09:04:00Z">
              <w:r>
                <w:t>550</w:t>
              </w:r>
            </w:ins>
            <w:r>
              <w:t>.00</w:t>
            </w:r>
          </w:p>
        </w:tc>
      </w:tr>
      <w:tr>
        <w:trPr>
          <w:cantSplit/>
          <w:jc w:val="center"/>
        </w:trPr>
        <w:tc>
          <w:tcPr>
            <w:tcW w:w="1559" w:type="dxa"/>
            <w:noWrap/>
            <w:vAlign w:val="center"/>
          </w:tcPr>
          <w:p>
            <w:pPr>
              <w:pStyle w:val="yTableNAm"/>
            </w:pPr>
            <w:r>
              <w:t>8.</w:t>
            </w:r>
          </w:p>
        </w:tc>
        <w:tc>
          <w:tcPr>
            <w:tcW w:w="2126" w:type="dxa"/>
            <w:noWrap/>
            <w:vAlign w:val="center"/>
          </w:tcPr>
          <w:p>
            <w:pPr>
              <w:pStyle w:val="yTableNAm"/>
            </w:pPr>
            <w:r>
              <w:t>s. 48CA(3)(d)</w:t>
            </w:r>
          </w:p>
        </w:tc>
        <w:tc>
          <w:tcPr>
            <w:tcW w:w="2978" w:type="dxa"/>
            <w:noWrap/>
            <w:vAlign w:val="bottom"/>
          </w:tcPr>
          <w:p>
            <w:pPr>
              <w:pStyle w:val="yTableNAm"/>
              <w:ind w:right="1033"/>
              <w:jc w:val="right"/>
            </w:pPr>
            <w:r>
              <w:t>7 </w:t>
            </w:r>
            <w:del w:id="51" w:author="Master Repository Process" w:date="2022-06-30T09:04:00Z">
              <w:r>
                <w:delText>190</w:delText>
              </w:r>
            </w:del>
            <w:ins w:id="52" w:author="Master Repository Process" w:date="2022-06-30T09:04:00Z">
              <w:r>
                <w:t>550</w:t>
              </w:r>
            </w:ins>
            <w:r>
              <w:t>.00</w:t>
            </w:r>
          </w:p>
        </w:tc>
      </w:tr>
      <w:tr>
        <w:trPr>
          <w:cantSplit/>
          <w:jc w:val="center"/>
        </w:trPr>
        <w:tc>
          <w:tcPr>
            <w:tcW w:w="1559" w:type="dxa"/>
            <w:noWrap/>
            <w:vAlign w:val="center"/>
          </w:tcPr>
          <w:p>
            <w:pPr>
              <w:pStyle w:val="yTableNAm"/>
            </w:pPr>
            <w:r>
              <w:t>9.</w:t>
            </w:r>
          </w:p>
        </w:tc>
        <w:tc>
          <w:tcPr>
            <w:tcW w:w="2126" w:type="dxa"/>
            <w:noWrap/>
            <w:vAlign w:val="center"/>
          </w:tcPr>
          <w:p>
            <w:pPr>
              <w:pStyle w:val="yTableNAm"/>
            </w:pPr>
            <w:r>
              <w:t>s. 48F(2)(d)</w:t>
            </w:r>
          </w:p>
        </w:tc>
        <w:tc>
          <w:tcPr>
            <w:tcW w:w="2978" w:type="dxa"/>
            <w:noWrap/>
            <w:vAlign w:val="bottom"/>
          </w:tcPr>
          <w:p>
            <w:pPr>
              <w:pStyle w:val="yTableNAm"/>
              <w:ind w:right="1033"/>
              <w:jc w:val="right"/>
            </w:pPr>
            <w:r>
              <w:t>7 </w:t>
            </w:r>
            <w:del w:id="53" w:author="Master Repository Process" w:date="2022-06-30T09:04:00Z">
              <w:r>
                <w:delText>190</w:delText>
              </w:r>
            </w:del>
            <w:ins w:id="54" w:author="Master Repository Process" w:date="2022-06-30T09:04:00Z">
              <w:r>
                <w:t>550</w:t>
              </w:r>
            </w:ins>
            <w:r>
              <w:t>.00</w:t>
            </w:r>
          </w:p>
        </w:tc>
      </w:tr>
      <w:tr>
        <w:trPr>
          <w:cantSplit/>
          <w:jc w:val="center"/>
        </w:trPr>
        <w:tc>
          <w:tcPr>
            <w:tcW w:w="1559" w:type="dxa"/>
            <w:noWrap/>
            <w:vAlign w:val="center"/>
          </w:tcPr>
          <w:p>
            <w:pPr>
              <w:pStyle w:val="yTableNAm"/>
            </w:pPr>
            <w:r>
              <w:t>10.</w:t>
            </w:r>
          </w:p>
        </w:tc>
        <w:tc>
          <w:tcPr>
            <w:tcW w:w="2126" w:type="dxa"/>
            <w:noWrap/>
            <w:vAlign w:val="center"/>
          </w:tcPr>
          <w:p>
            <w:pPr>
              <w:pStyle w:val="yTableNAm"/>
            </w:pPr>
            <w:r>
              <w:t>s. 51(1)(e)</w:t>
            </w:r>
          </w:p>
        </w:tc>
        <w:tc>
          <w:tcPr>
            <w:tcW w:w="2978" w:type="dxa"/>
            <w:noWrap/>
            <w:vAlign w:val="bottom"/>
          </w:tcPr>
          <w:p>
            <w:pPr>
              <w:pStyle w:val="yTableNAm"/>
              <w:ind w:right="1033"/>
              <w:jc w:val="right"/>
            </w:pPr>
            <w:r>
              <w:t>7 </w:t>
            </w:r>
            <w:del w:id="55" w:author="Master Repository Process" w:date="2022-06-30T09:04:00Z">
              <w:r>
                <w:delText>550</w:delText>
              </w:r>
            </w:del>
            <w:ins w:id="56" w:author="Master Repository Process" w:date="2022-06-30T09:04:00Z">
              <w:r>
                <w:t>928</w:t>
              </w:r>
            </w:ins>
            <w:r>
              <w:t>.00</w:t>
            </w:r>
          </w:p>
        </w:tc>
      </w:tr>
      <w:tr>
        <w:trPr>
          <w:cantSplit/>
          <w:jc w:val="center"/>
        </w:trPr>
        <w:tc>
          <w:tcPr>
            <w:tcW w:w="1559" w:type="dxa"/>
            <w:noWrap/>
            <w:vAlign w:val="center"/>
          </w:tcPr>
          <w:p>
            <w:pPr>
              <w:pStyle w:val="yTableNAm"/>
            </w:pPr>
            <w:r>
              <w:t>11.</w:t>
            </w:r>
          </w:p>
        </w:tc>
        <w:tc>
          <w:tcPr>
            <w:tcW w:w="2126" w:type="dxa"/>
            <w:noWrap/>
            <w:vAlign w:val="center"/>
          </w:tcPr>
          <w:p>
            <w:pPr>
              <w:pStyle w:val="yTableNAm"/>
            </w:pPr>
            <w:r>
              <w:t>s. 58(1)(a)</w:t>
            </w:r>
          </w:p>
        </w:tc>
        <w:tc>
          <w:tcPr>
            <w:tcW w:w="2978" w:type="dxa"/>
            <w:noWrap/>
            <w:vAlign w:val="bottom"/>
          </w:tcPr>
          <w:p>
            <w:pPr>
              <w:pStyle w:val="yTableNAm"/>
              <w:ind w:right="1033"/>
              <w:jc w:val="right"/>
            </w:pPr>
            <w:r>
              <w:t>7 </w:t>
            </w:r>
            <w:del w:id="57" w:author="Master Repository Process" w:date="2022-06-30T09:04:00Z">
              <w:r>
                <w:delText>550</w:delText>
              </w:r>
            </w:del>
            <w:ins w:id="58" w:author="Master Repository Process" w:date="2022-06-30T09:04:00Z">
              <w:r>
                <w:t>928</w:t>
              </w:r>
            </w:ins>
            <w:r>
              <w:t>.00</w:t>
            </w:r>
          </w:p>
        </w:tc>
      </w:tr>
      <w:tr>
        <w:trPr>
          <w:cantSplit/>
          <w:jc w:val="center"/>
        </w:trPr>
        <w:tc>
          <w:tcPr>
            <w:tcW w:w="1559" w:type="dxa"/>
            <w:noWrap/>
            <w:vAlign w:val="center"/>
          </w:tcPr>
          <w:p>
            <w:pPr>
              <w:pStyle w:val="yTableNAm"/>
            </w:pPr>
            <w:r>
              <w:t>12.</w:t>
            </w:r>
          </w:p>
        </w:tc>
        <w:tc>
          <w:tcPr>
            <w:tcW w:w="2126" w:type="dxa"/>
            <w:noWrap/>
            <w:vAlign w:val="center"/>
          </w:tcPr>
          <w:p>
            <w:pPr>
              <w:pStyle w:val="yTableNAm"/>
            </w:pPr>
            <w:r>
              <w:t>s. 61(2)(e)</w:t>
            </w:r>
          </w:p>
        </w:tc>
        <w:tc>
          <w:tcPr>
            <w:tcW w:w="2978" w:type="dxa"/>
            <w:noWrap/>
            <w:vAlign w:val="bottom"/>
          </w:tcPr>
          <w:p>
            <w:pPr>
              <w:pStyle w:val="yTableNAm"/>
              <w:ind w:right="1033"/>
              <w:jc w:val="right"/>
            </w:pPr>
            <w:r>
              <w:t>7 </w:t>
            </w:r>
            <w:del w:id="59" w:author="Master Repository Process" w:date="2022-06-30T09:04:00Z">
              <w:r>
                <w:delText>550</w:delText>
              </w:r>
            </w:del>
            <w:ins w:id="60" w:author="Master Repository Process" w:date="2022-06-30T09:04:00Z">
              <w:r>
                <w:t>928</w:t>
              </w:r>
            </w:ins>
            <w:r>
              <w:t>.00</w:t>
            </w:r>
          </w:p>
        </w:tc>
      </w:tr>
      <w:tr>
        <w:trPr>
          <w:cantSplit/>
          <w:jc w:val="center"/>
        </w:trPr>
        <w:tc>
          <w:tcPr>
            <w:tcW w:w="1559" w:type="dxa"/>
            <w:noWrap/>
            <w:vAlign w:val="center"/>
          </w:tcPr>
          <w:p>
            <w:pPr>
              <w:pStyle w:val="yTableNAm"/>
            </w:pPr>
            <w:r>
              <w:t>13.</w:t>
            </w:r>
          </w:p>
        </w:tc>
        <w:tc>
          <w:tcPr>
            <w:tcW w:w="2126" w:type="dxa"/>
            <w:noWrap/>
            <w:vAlign w:val="center"/>
          </w:tcPr>
          <w:p>
            <w:pPr>
              <w:pStyle w:val="yTableNAm"/>
            </w:pPr>
            <w:r>
              <w:t>s. 64(2)(d)</w:t>
            </w:r>
          </w:p>
        </w:tc>
        <w:tc>
          <w:tcPr>
            <w:tcW w:w="2978" w:type="dxa"/>
            <w:noWrap/>
            <w:vAlign w:val="bottom"/>
          </w:tcPr>
          <w:p>
            <w:pPr>
              <w:pStyle w:val="yTableNAm"/>
              <w:ind w:right="1033"/>
              <w:jc w:val="right"/>
            </w:pPr>
            <w:r>
              <w:t>7 </w:t>
            </w:r>
            <w:del w:id="61" w:author="Master Repository Process" w:date="2022-06-30T09:04:00Z">
              <w:r>
                <w:delText>190</w:delText>
              </w:r>
            </w:del>
            <w:ins w:id="62" w:author="Master Repository Process" w:date="2022-06-30T09:04:00Z">
              <w:r>
                <w:t>550</w:t>
              </w:r>
            </w:ins>
            <w:r>
              <w:t>.00</w:t>
            </w:r>
          </w:p>
        </w:tc>
      </w:tr>
      <w:tr>
        <w:trPr>
          <w:cantSplit/>
          <w:jc w:val="center"/>
        </w:trPr>
        <w:tc>
          <w:tcPr>
            <w:tcW w:w="1559" w:type="dxa"/>
            <w:noWrap/>
            <w:vAlign w:val="center"/>
          </w:tcPr>
          <w:p>
            <w:pPr>
              <w:pStyle w:val="yTableNAm"/>
            </w:pPr>
            <w:r>
              <w:t>14.</w:t>
            </w:r>
          </w:p>
        </w:tc>
        <w:tc>
          <w:tcPr>
            <w:tcW w:w="2126" w:type="dxa"/>
            <w:noWrap/>
            <w:vAlign w:val="center"/>
          </w:tcPr>
          <w:p>
            <w:pPr>
              <w:pStyle w:val="yTableNAm"/>
            </w:pPr>
            <w:r>
              <w:t>s. 73(2)</w:t>
            </w:r>
          </w:p>
        </w:tc>
        <w:tc>
          <w:tcPr>
            <w:tcW w:w="2978" w:type="dxa"/>
            <w:noWrap/>
            <w:vAlign w:val="bottom"/>
          </w:tcPr>
          <w:p>
            <w:pPr>
              <w:pStyle w:val="yTableNAm"/>
              <w:ind w:right="1033"/>
              <w:jc w:val="right"/>
            </w:pPr>
            <w:del w:id="63" w:author="Master Repository Process" w:date="2022-06-30T09:04:00Z">
              <w:r>
                <w:delText>142</w:delText>
              </w:r>
            </w:del>
            <w:ins w:id="64" w:author="Master Repository Process" w:date="2022-06-30T09:04:00Z">
              <w:r>
                <w:t>149</w:t>
              </w:r>
            </w:ins>
            <w:r>
              <w:t>.00</w:t>
            </w:r>
          </w:p>
        </w:tc>
      </w:tr>
      <w:tr>
        <w:trPr>
          <w:cantSplit/>
          <w:jc w:val="center"/>
        </w:trPr>
        <w:tc>
          <w:tcPr>
            <w:tcW w:w="1559" w:type="dxa"/>
            <w:noWrap/>
            <w:vAlign w:val="center"/>
          </w:tcPr>
          <w:p>
            <w:pPr>
              <w:pStyle w:val="yTableNAm"/>
            </w:pPr>
            <w:r>
              <w:t>15.</w:t>
            </w:r>
          </w:p>
        </w:tc>
        <w:tc>
          <w:tcPr>
            <w:tcW w:w="2126" w:type="dxa"/>
            <w:noWrap/>
            <w:vAlign w:val="center"/>
          </w:tcPr>
          <w:p>
            <w:pPr>
              <w:pStyle w:val="yTableNAm"/>
            </w:pPr>
            <w:r>
              <w:t>s. 73(3)(b)</w:t>
            </w:r>
          </w:p>
        </w:tc>
        <w:tc>
          <w:tcPr>
            <w:tcW w:w="2978" w:type="dxa"/>
            <w:noWrap/>
            <w:vAlign w:val="bottom"/>
          </w:tcPr>
          <w:p>
            <w:pPr>
              <w:pStyle w:val="yTableNAm"/>
              <w:ind w:right="1033"/>
              <w:jc w:val="right"/>
            </w:pPr>
            <w:r>
              <w:t>142.00</w:t>
            </w:r>
          </w:p>
        </w:tc>
      </w:tr>
      <w:tr>
        <w:trPr>
          <w:cantSplit/>
          <w:jc w:val="center"/>
        </w:trPr>
        <w:tc>
          <w:tcPr>
            <w:tcW w:w="1559" w:type="dxa"/>
            <w:noWrap/>
            <w:vAlign w:val="center"/>
          </w:tcPr>
          <w:p>
            <w:pPr>
              <w:pStyle w:val="yTableNAm"/>
            </w:pPr>
            <w:r>
              <w:t>16.</w:t>
            </w:r>
          </w:p>
        </w:tc>
        <w:tc>
          <w:tcPr>
            <w:tcW w:w="2126" w:type="dxa"/>
            <w:noWrap/>
            <w:vAlign w:val="center"/>
          </w:tcPr>
          <w:p>
            <w:pPr>
              <w:pStyle w:val="yTableNAm"/>
            </w:pPr>
            <w:r>
              <w:t>s. 80(1)</w:t>
            </w:r>
          </w:p>
        </w:tc>
        <w:tc>
          <w:tcPr>
            <w:tcW w:w="2978" w:type="dxa"/>
            <w:noWrap/>
            <w:vAlign w:val="bottom"/>
          </w:tcPr>
          <w:p>
            <w:pPr>
              <w:pStyle w:val="yTableNAm"/>
              <w:ind w:right="1033"/>
              <w:jc w:val="right"/>
            </w:pPr>
            <w:r>
              <w:t>142.00</w:t>
            </w:r>
          </w:p>
        </w:tc>
      </w:tr>
      <w:tr>
        <w:trPr>
          <w:cantSplit/>
          <w:jc w:val="center"/>
        </w:trPr>
        <w:tc>
          <w:tcPr>
            <w:tcW w:w="1559" w:type="dxa"/>
            <w:noWrap/>
            <w:vAlign w:val="center"/>
          </w:tcPr>
          <w:p>
            <w:pPr>
              <w:pStyle w:val="yTableNAm"/>
            </w:pPr>
            <w:r>
              <w:t>17.</w:t>
            </w:r>
          </w:p>
        </w:tc>
        <w:tc>
          <w:tcPr>
            <w:tcW w:w="2126" w:type="dxa"/>
            <w:noWrap/>
            <w:vAlign w:val="center"/>
          </w:tcPr>
          <w:p>
            <w:pPr>
              <w:pStyle w:val="yTableNAm"/>
            </w:pPr>
            <w:r>
              <w:t>s. 81(3)</w:t>
            </w:r>
          </w:p>
        </w:tc>
        <w:tc>
          <w:tcPr>
            <w:tcW w:w="2978" w:type="dxa"/>
            <w:noWrap/>
            <w:vAlign w:val="bottom"/>
          </w:tcPr>
          <w:p>
            <w:pPr>
              <w:pStyle w:val="yTableNAm"/>
              <w:ind w:right="1033"/>
              <w:jc w:val="right"/>
            </w:pPr>
            <w:r>
              <w:t>142.00</w:t>
            </w:r>
          </w:p>
        </w:tc>
      </w:tr>
      <w:tr>
        <w:trPr>
          <w:cantSplit/>
          <w:jc w:val="center"/>
        </w:trPr>
        <w:tc>
          <w:tcPr>
            <w:tcW w:w="1559" w:type="dxa"/>
            <w:noWrap/>
            <w:vAlign w:val="center"/>
          </w:tcPr>
          <w:p>
            <w:pPr>
              <w:pStyle w:val="yTableNAm"/>
              <w:keepNext/>
            </w:pPr>
            <w:r>
              <w:t>18.</w:t>
            </w:r>
          </w:p>
        </w:tc>
        <w:tc>
          <w:tcPr>
            <w:tcW w:w="2126" w:type="dxa"/>
            <w:noWrap/>
            <w:vAlign w:val="center"/>
          </w:tcPr>
          <w:p>
            <w:pPr>
              <w:pStyle w:val="yTableNAm"/>
              <w:keepNext/>
            </w:pPr>
            <w:r>
              <w:t>s. 105(2)(d)</w:t>
            </w:r>
          </w:p>
        </w:tc>
        <w:tc>
          <w:tcPr>
            <w:tcW w:w="2978" w:type="dxa"/>
            <w:noWrap/>
            <w:vAlign w:val="bottom"/>
          </w:tcPr>
          <w:p>
            <w:pPr>
              <w:pStyle w:val="yTableNAm"/>
              <w:keepNext/>
              <w:ind w:right="1033"/>
              <w:jc w:val="right"/>
            </w:pPr>
            <w:r>
              <w:t>7 </w:t>
            </w:r>
            <w:del w:id="65" w:author="Master Repository Process" w:date="2022-06-30T09:04:00Z">
              <w:r>
                <w:delText>550</w:delText>
              </w:r>
            </w:del>
            <w:ins w:id="66" w:author="Master Repository Process" w:date="2022-06-30T09:04:00Z">
              <w:r>
                <w:t>928</w:t>
              </w:r>
            </w:ins>
            <w:r>
              <w:t>.00</w:t>
            </w:r>
          </w:p>
        </w:tc>
      </w:tr>
      <w:tr>
        <w:trPr>
          <w:cantSplit/>
          <w:jc w:val="center"/>
        </w:trPr>
        <w:tc>
          <w:tcPr>
            <w:tcW w:w="1559" w:type="dxa"/>
            <w:noWrap/>
            <w:vAlign w:val="center"/>
          </w:tcPr>
          <w:p>
            <w:pPr>
              <w:pStyle w:val="yTableNAm"/>
            </w:pPr>
            <w:r>
              <w:t>19.</w:t>
            </w:r>
          </w:p>
        </w:tc>
        <w:tc>
          <w:tcPr>
            <w:tcW w:w="2126" w:type="dxa"/>
            <w:noWrap/>
            <w:vAlign w:val="center"/>
          </w:tcPr>
          <w:p>
            <w:pPr>
              <w:pStyle w:val="yTableNAm"/>
            </w:pPr>
            <w:r>
              <w:t>s. 137(a)</w:t>
            </w:r>
          </w:p>
        </w:tc>
        <w:tc>
          <w:tcPr>
            <w:tcW w:w="2978" w:type="dxa"/>
            <w:noWrap/>
            <w:vAlign w:val="bottom"/>
          </w:tcPr>
          <w:p>
            <w:pPr>
              <w:pStyle w:val="yTableNAm"/>
              <w:ind w:right="1033"/>
              <w:jc w:val="right"/>
            </w:pPr>
            <w:r>
              <w:t>2 400.00</w:t>
            </w:r>
          </w:p>
        </w:tc>
      </w:tr>
    </w:tbl>
    <w:p>
      <w:pPr>
        <w:pStyle w:val="yFootnotesection"/>
      </w:pPr>
      <w:r>
        <w:tab/>
        <w:t>[Schedule 1 inserted: SL </w:t>
      </w:r>
      <w:del w:id="67" w:author="Master Repository Process" w:date="2022-06-30T09:04:00Z">
        <w:r>
          <w:delText>2021/85</w:delText>
        </w:r>
      </w:del>
      <w:ins w:id="68" w:author="Master Repository Process" w:date="2022-06-30T09:04:00Z">
        <w:r>
          <w:t>2022/58</w:t>
        </w:r>
      </w:ins>
      <w:r>
        <w:t xml:space="preserve"> r. </w:t>
      </w:r>
      <w:del w:id="69" w:author="Master Repository Process" w:date="2022-06-30T09:04:00Z">
        <w:r>
          <w:delText>28</w:delText>
        </w:r>
      </w:del>
      <w:ins w:id="70" w:author="Master Repository Process" w:date="2022-06-30T09:04:00Z">
        <w:r>
          <w:t>22</w:t>
        </w:r>
      </w:ins>
      <w:r>
        <w:t>.]</w:t>
      </w:r>
    </w:p>
    <w:p>
      <w:pPr>
        <w:pStyle w:val="yScheduleHeading"/>
      </w:pPr>
      <w:bookmarkStart w:id="71" w:name="_Toc106873219"/>
      <w:bookmarkStart w:id="72" w:name="_Toc106874024"/>
      <w:bookmarkStart w:id="73" w:name="_Toc106951076"/>
      <w:bookmarkStart w:id="74" w:name="_Toc103696081"/>
      <w:bookmarkStart w:id="75" w:name="_Toc103696358"/>
      <w:bookmarkStart w:id="76" w:name="_Toc103757844"/>
      <w:bookmarkEnd w:id="34"/>
      <w:r>
        <w:rPr>
          <w:rStyle w:val="CharSchNo"/>
        </w:rPr>
        <w:t>Schedule 2</w:t>
      </w:r>
      <w:bookmarkEnd w:id="71"/>
      <w:bookmarkEnd w:id="72"/>
      <w:bookmarkEnd w:id="73"/>
      <w:bookmarkEnd w:id="74"/>
      <w:bookmarkEnd w:id="75"/>
      <w:bookmarkEnd w:id="76"/>
      <w:r>
        <w:rPr>
          <w:rStyle w:val="CharSchText"/>
        </w:rPr>
        <w:t xml:space="preserve"> </w:t>
      </w:r>
    </w:p>
    <w:p>
      <w:pPr>
        <w:pStyle w:val="yShoulderClause"/>
        <w:spacing w:before="60"/>
        <w:rPr>
          <w:snapToGrid w:val="0"/>
        </w:rPr>
      </w:pPr>
      <w:r>
        <w:rPr>
          <w:snapToGrid w:val="0"/>
        </w:rPr>
        <w:t>[Regulation 4]</w:t>
      </w:r>
    </w:p>
    <w:p>
      <w:pPr>
        <w:pStyle w:val="yMiscellaneousHeading"/>
        <w:rPr>
          <w:i/>
          <w:iCs/>
          <w:snapToGrid w:val="0"/>
        </w:rPr>
      </w:pPr>
      <w:r>
        <w:rPr>
          <w:i/>
          <w:iCs/>
          <w:snapToGrid w:val="0"/>
        </w:rPr>
        <w:t>Petroleum and Geothermal Energy Resources Act 1967</w:t>
      </w:r>
    </w:p>
    <w:p>
      <w:pPr>
        <w:pStyle w:val="yMiscellaneousHeading"/>
        <w:rPr>
          <w:i/>
          <w:iCs/>
        </w:rPr>
      </w:pPr>
      <w:r>
        <w:rPr>
          <w:i/>
          <w:iCs/>
          <w:snapToGrid w:val="0"/>
        </w:rPr>
        <w:t>Petroleum and Geothermal Energy Resources Regulations 1987</w:t>
      </w:r>
    </w:p>
    <w:p>
      <w:pPr>
        <w:pStyle w:val="yMiscellaneousHeading"/>
        <w:rPr>
          <w:bCs/>
          <w:iCs/>
          <w:snapToGrid w:val="0"/>
          <w:vertAlign w:val="superscript"/>
        </w:rPr>
      </w:pPr>
      <w:r>
        <w:rPr>
          <w:b/>
          <w:snapToGrid w:val="0"/>
        </w:rPr>
        <w:t>Form of instrument of transfer of title under section 72</w:t>
      </w:r>
      <w:r>
        <w:rPr>
          <w:b/>
          <w:snapToGrid w:val="0"/>
        </w:rPr>
        <w:br/>
        <w:t xml:space="preserve">of </w:t>
      </w:r>
      <w:r>
        <w:rPr>
          <w:b/>
          <w:i/>
          <w:snapToGrid w:val="0"/>
        </w:rPr>
        <w:t xml:space="preserve">Petroleum </w:t>
      </w:r>
      <w:r>
        <w:rPr>
          <w:b/>
          <w:i/>
          <w:iCs/>
          <w:snapToGrid w:val="0"/>
        </w:rPr>
        <w:t>and Geothermal Energy Resources</w:t>
      </w:r>
      <w:r>
        <w:rPr>
          <w:b/>
          <w:i/>
          <w:snapToGrid w:val="0"/>
        </w:rPr>
        <w:t xml:space="preserve"> Act 1967</w:t>
      </w:r>
      <w:r>
        <w:rPr>
          <w:b/>
          <w:snapToGrid w:val="0"/>
          <w:vertAlign w:val="superscript"/>
        </w:rPr>
        <w:t> 3</w:t>
      </w:r>
    </w:p>
    <w:p>
      <w:pPr>
        <w:pStyle w:val="yMiscellaneousBody"/>
        <w:rPr>
          <w:snapToGrid w:val="0"/>
        </w:rPr>
      </w:pPr>
      <w:r>
        <w:rPr>
          <w:snapToGrid w:val="0"/>
        </w:rPr>
        <w:t xml:space="preserve">I/We </w:t>
      </w:r>
      <w:r>
        <w:rPr>
          <w:snapToGrid w:val="0"/>
          <w:vertAlign w:val="superscript"/>
        </w:rPr>
        <w:t>(1)(2)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MiscellaneousBody"/>
        <w:spacing w:before="120"/>
        <w:rPr>
          <w:snapToGrid w:val="0"/>
        </w:rPr>
      </w:pPr>
      <w:r>
        <w:rPr>
          <w:snapToGrid w:val="0"/>
        </w:rPr>
        <w:t>In witness of this transfer the parties to the transfer have affixed their respective common seals or signatures below on this ............................................................ day of ................................................... 20 ..........</w:t>
      </w:r>
    </w:p>
    <w:p>
      <w:pPr>
        <w:pStyle w:val="yMiscellaneousBody"/>
        <w:tabs>
          <w:tab w:val="left" w:pos="1680"/>
          <w:tab w:val="left" w:pos="5040"/>
        </w:tabs>
        <w:spacing w:before="120"/>
        <w:rPr>
          <w:snapToGrid w:val="0"/>
        </w:rPr>
      </w:pPr>
      <w:r>
        <w:rPr>
          <w:snapToGrid w:val="0"/>
          <w:vertAlign w:val="superscript"/>
        </w:rPr>
        <w:tab/>
        <w:t>(6) </w:t>
      </w:r>
      <w:r>
        <w:rPr>
          <w:snapToGrid w:val="0"/>
          <w:vertAlign w:val="superscript"/>
        </w:rPr>
        <w:tab/>
        <w:t>(7)</w:t>
      </w:r>
      <w:r>
        <w:rPr>
          <w:snapToGrid w:val="0"/>
        </w:rPr>
        <w:t xml:space="preserve"> </w:t>
      </w:r>
    </w:p>
    <w:p>
      <w:pPr>
        <w:pStyle w:val="yMiscellaneousBody"/>
        <w:tabs>
          <w:tab w:val="left" w:pos="480"/>
        </w:tabs>
        <w:spacing w:before="60"/>
        <w:ind w:left="482" w:hanging="482"/>
        <w:rPr>
          <w:snapToGrid w:val="0"/>
        </w:rPr>
      </w:pPr>
      <w:r>
        <w:rPr>
          <w:snapToGrid w:val="0"/>
          <w:vertAlign w:val="superscript"/>
        </w:rPr>
        <w:t>(1)</w:t>
      </w:r>
      <w:r>
        <w:rPr>
          <w:snapToGrid w:val="0"/>
        </w:rPr>
        <w:t xml:space="preserve"> </w:t>
      </w:r>
      <w:r>
        <w:rPr>
          <w:snapToGrid w:val="0"/>
        </w:rPr>
        <w:tab/>
        <w:t>Delete whichever is inapplicable.</w:t>
      </w:r>
    </w:p>
    <w:p>
      <w:pPr>
        <w:pStyle w:val="yMiscellaneousBody"/>
        <w:tabs>
          <w:tab w:val="left" w:pos="480"/>
        </w:tabs>
        <w:spacing w:before="60"/>
        <w:ind w:left="482" w:hanging="482"/>
        <w:rPr>
          <w:snapToGrid w:val="0"/>
        </w:rPr>
      </w:pPr>
      <w:r>
        <w:rPr>
          <w:snapToGrid w:val="0"/>
          <w:vertAlign w:val="superscript"/>
        </w:rPr>
        <w:t>(2)</w:t>
      </w:r>
      <w:r>
        <w:rPr>
          <w:snapToGrid w:val="0"/>
        </w:rPr>
        <w:t xml:space="preserve"> </w:t>
      </w:r>
      <w:r>
        <w:rPr>
          <w:snapToGrid w:val="0"/>
        </w:rPr>
        <w:tab/>
        <w:t>Here insert the name of the transferor, or, if there are 2 or more transferors, the name of each transferor.</w:t>
      </w:r>
    </w:p>
    <w:p>
      <w:pPr>
        <w:pStyle w:val="yMiscellaneousBody"/>
        <w:tabs>
          <w:tab w:val="left" w:pos="480"/>
        </w:tabs>
        <w:spacing w:before="60"/>
        <w:ind w:left="482" w:hanging="482"/>
        <w:rPr>
          <w:snapToGrid w:val="0"/>
        </w:rPr>
      </w:pPr>
      <w:r>
        <w:rPr>
          <w:snapToGrid w:val="0"/>
          <w:vertAlign w:val="superscript"/>
        </w:rPr>
        <w:t>(3)</w:t>
      </w:r>
      <w:r>
        <w:rPr>
          <w:snapToGrid w:val="0"/>
        </w:rPr>
        <w:t xml:space="preserve"> </w:t>
      </w:r>
      <w:r>
        <w:rPr>
          <w:snapToGrid w:val="0"/>
        </w:rPr>
        <w:tab/>
        <w:t xml:space="preserve">Here insert the type (e.g. exploration permit, production licence), and number, of the property transferred that is a title </w:t>
      </w:r>
      <w:r>
        <w:t>as defined in section 69J</w:t>
      </w:r>
      <w:r>
        <w:rPr>
          <w:snapToGrid w:val="0"/>
        </w:rPr>
        <w:t xml:space="preserve"> of the Act.</w:t>
      </w:r>
    </w:p>
    <w:p>
      <w:pPr>
        <w:pStyle w:val="yMiscellaneousBody"/>
        <w:tabs>
          <w:tab w:val="left" w:pos="480"/>
        </w:tabs>
        <w:spacing w:before="60"/>
        <w:ind w:left="482" w:hanging="482"/>
        <w:rPr>
          <w:snapToGrid w:val="0"/>
        </w:rPr>
      </w:pPr>
      <w:r>
        <w:rPr>
          <w:snapToGrid w:val="0"/>
          <w:vertAlign w:val="superscript"/>
        </w:rPr>
        <w:t>(4)</w:t>
      </w:r>
      <w:r>
        <w:rPr>
          <w:snapToGrid w:val="0"/>
        </w:rPr>
        <w:t xml:space="preserve"> </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MiscellaneousBody"/>
        <w:tabs>
          <w:tab w:val="left" w:pos="480"/>
        </w:tabs>
        <w:spacing w:before="60"/>
        <w:ind w:left="482" w:hanging="482"/>
        <w:rPr>
          <w:snapToGrid w:val="0"/>
        </w:rPr>
      </w:pPr>
      <w:r>
        <w:rPr>
          <w:snapToGrid w:val="0"/>
          <w:vertAlign w:val="superscript"/>
        </w:rPr>
        <w:t>(5)</w:t>
      </w:r>
      <w:r>
        <w:rPr>
          <w:snapToGrid w:val="0"/>
        </w:rPr>
        <w:t xml:space="preserve"> </w:t>
      </w:r>
      <w:r>
        <w:rPr>
          <w:snapToGrid w:val="0"/>
        </w:rPr>
        <w:tab/>
        <w:t>Here insert the name and address of the transferee, or, if there are 2 or more transferees, the name and address of each transferee.</w:t>
      </w:r>
    </w:p>
    <w:p>
      <w:pPr>
        <w:pStyle w:val="yMiscellaneousBody"/>
        <w:tabs>
          <w:tab w:val="left" w:pos="480"/>
        </w:tabs>
        <w:spacing w:before="60"/>
        <w:ind w:left="482" w:hanging="482"/>
        <w:rPr>
          <w:snapToGrid w:val="0"/>
        </w:rPr>
      </w:pPr>
      <w:r>
        <w:rPr>
          <w:snapToGrid w:val="0"/>
          <w:vertAlign w:val="superscript"/>
        </w:rPr>
        <w:t>(6)</w:t>
      </w:r>
      <w:r>
        <w:rPr>
          <w:snapToGrid w:val="0"/>
        </w:rPr>
        <w:t xml:space="preserve"> </w:t>
      </w:r>
      <w:r>
        <w:rPr>
          <w:snapToGrid w:val="0"/>
        </w:rPr>
        <w:tab/>
        <w:t>Here affix the common seal or signature of the transferor or of each transferor, as the case may be.</w:t>
      </w:r>
    </w:p>
    <w:p>
      <w:pPr>
        <w:pStyle w:val="yMiscellaneousBody"/>
        <w:tabs>
          <w:tab w:val="left" w:pos="480"/>
        </w:tabs>
        <w:spacing w:before="60"/>
        <w:ind w:left="482" w:hanging="482"/>
        <w:rPr>
          <w:snapToGrid w:val="0"/>
        </w:rPr>
      </w:pPr>
      <w:r>
        <w:rPr>
          <w:snapToGrid w:val="0"/>
          <w:vertAlign w:val="superscript"/>
        </w:rPr>
        <w:t>(7)</w:t>
      </w:r>
      <w:r>
        <w:rPr>
          <w:snapToGrid w:val="0"/>
        </w:rPr>
        <w:t xml:space="preserve"> </w:t>
      </w:r>
      <w:r>
        <w:rPr>
          <w:snapToGrid w:val="0"/>
        </w:rPr>
        <w:tab/>
        <w:t>Here affix the common seal or signature of the transferee or of each transferee, as the case may be.</w:t>
      </w:r>
    </w:p>
    <w:p>
      <w:pPr>
        <w:pStyle w:val="yFootnotesection"/>
        <w:spacing w:before="60"/>
      </w:pPr>
      <w:r>
        <w:tab/>
        <w:t>[Schedule 2 inserted: Gazette 28 Sep 1990 p. 5102; amended: Gazette 23 Jun 2009 p. 2474.]</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tabs>
          <w:tab w:val="decimal" w:pos="1450"/>
        </w:tabs>
        <w:ind w:right="958"/>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78" w:name="_Toc106873220"/>
      <w:bookmarkStart w:id="79" w:name="_Toc106874025"/>
      <w:bookmarkStart w:id="80" w:name="_Toc106951077"/>
      <w:bookmarkStart w:id="81" w:name="_Toc103696082"/>
      <w:bookmarkStart w:id="82" w:name="_Toc103696359"/>
      <w:bookmarkStart w:id="83" w:name="_Toc103757845"/>
      <w:r>
        <w:t>Notes</w:t>
      </w:r>
      <w:bookmarkEnd w:id="78"/>
      <w:bookmarkEnd w:id="79"/>
      <w:bookmarkEnd w:id="80"/>
      <w:bookmarkEnd w:id="81"/>
      <w:bookmarkEnd w:id="82"/>
      <w:bookmarkEnd w:id="83"/>
    </w:p>
    <w:p>
      <w:pPr>
        <w:pStyle w:val="nStatement"/>
      </w:pPr>
      <w:r>
        <w:t xml:space="preserve">This is a compilation of the </w:t>
      </w:r>
      <w:r>
        <w:rPr>
          <w:i/>
          <w:noProof/>
        </w:rPr>
        <w:t>Petroleum and Geothermal Energy Resources Regulations 1987</w:t>
      </w:r>
      <w:r>
        <w:t xml:space="preserve"> and includes amendments made by other written laws. For provisions that have come into operation, and for information about any reprints, see the compilation table.</w:t>
      </w:r>
      <w:del w:id="84" w:author="Master Repository Process" w:date="2022-06-30T09:04:00Z">
        <w:r>
          <w:delText xml:space="preserve"> For provisions that have not yet come into operation see the uncommenced provisions table.</w:delText>
        </w:r>
      </w:del>
    </w:p>
    <w:p>
      <w:pPr>
        <w:pStyle w:val="nHeading3"/>
      </w:pPr>
      <w:bookmarkStart w:id="85" w:name="_Toc106951078"/>
      <w:bookmarkStart w:id="86" w:name="_Toc103757846"/>
      <w:r>
        <w:t>Compilation table</w:t>
      </w:r>
      <w:bookmarkEnd w:id="85"/>
      <w:bookmarkEnd w:id="86"/>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vertAlign w:val="superscript"/>
              </w:rPr>
            </w:pPr>
            <w:r>
              <w:rPr>
                <w:i/>
              </w:rPr>
              <w:t>Petroleum Regulations 1987</w:t>
            </w:r>
            <w:r>
              <w:rPr>
                <w:iCs/>
                <w:vertAlign w:val="superscript"/>
              </w:rPr>
              <w:t> 4</w:t>
            </w:r>
          </w:p>
        </w:tc>
        <w:tc>
          <w:tcPr>
            <w:tcW w:w="1276" w:type="dxa"/>
          </w:tcPr>
          <w:p>
            <w:pPr>
              <w:pStyle w:val="nTable"/>
              <w:spacing w:after="40"/>
              <w:ind w:left="57"/>
            </w:pPr>
            <w:r>
              <w:t>23 Oct 1987 p. 3971</w:t>
            </w:r>
            <w:r>
              <w:noBreakHyphen/>
              <w:t>2</w:t>
            </w:r>
          </w:p>
        </w:tc>
        <w:tc>
          <w:tcPr>
            <w:tcW w:w="2693" w:type="dxa"/>
          </w:tcPr>
          <w:p>
            <w:pPr>
              <w:pStyle w:val="nTable"/>
              <w:spacing w:after="40"/>
            </w:pPr>
            <w:r>
              <w:t>23 Oct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Amendment Regulations 1990</w:t>
            </w:r>
          </w:p>
        </w:tc>
        <w:tc>
          <w:tcPr>
            <w:tcW w:w="1276" w:type="dxa"/>
          </w:tcPr>
          <w:p>
            <w:pPr>
              <w:pStyle w:val="nTable"/>
              <w:spacing w:after="40"/>
              <w:ind w:left="57"/>
            </w:pPr>
            <w:r>
              <w:t>28 Sep 1990 p. 5100</w:t>
            </w:r>
            <w:r>
              <w:noBreakHyphen/>
              <w:t>2</w:t>
            </w:r>
          </w:p>
        </w:tc>
        <w:tc>
          <w:tcPr>
            <w:tcW w:w="2693" w:type="dxa"/>
          </w:tcPr>
          <w:p>
            <w:pPr>
              <w:pStyle w:val="nTable"/>
              <w:spacing w:after="40"/>
            </w:pPr>
            <w:r>
              <w:t xml:space="preserve">1 Oct 1990 (see r. 2 and </w:t>
            </w:r>
            <w:r>
              <w:rPr>
                <w:i/>
              </w:rPr>
              <w:t>Gazette</w:t>
            </w:r>
            <w:r>
              <w:t xml:space="preserve"> 28 Sep 1990 p. 5099)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Amendment Regulations 1991</w:t>
            </w:r>
          </w:p>
        </w:tc>
        <w:tc>
          <w:tcPr>
            <w:tcW w:w="1276" w:type="dxa"/>
          </w:tcPr>
          <w:p>
            <w:pPr>
              <w:pStyle w:val="nTable"/>
              <w:spacing w:after="40"/>
              <w:ind w:left="57"/>
            </w:pPr>
            <w:r>
              <w:t xml:space="preserve">28 Jun 1991 </w:t>
            </w:r>
            <w:r>
              <w:br/>
              <w:t>p. 3228</w:t>
            </w:r>
          </w:p>
        </w:tc>
        <w:tc>
          <w:tcPr>
            <w:tcW w:w="2693" w:type="dxa"/>
          </w:tcPr>
          <w:p>
            <w:pPr>
              <w:pStyle w:val="nTable"/>
              <w:spacing w:after="40"/>
            </w:pPr>
            <w:r>
              <w:t>28 Jun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Amendment Regulations 1993</w:t>
            </w:r>
          </w:p>
        </w:tc>
        <w:tc>
          <w:tcPr>
            <w:tcW w:w="1276" w:type="dxa"/>
          </w:tcPr>
          <w:p>
            <w:pPr>
              <w:pStyle w:val="nTable"/>
              <w:spacing w:after="40"/>
              <w:ind w:left="57"/>
            </w:pPr>
            <w:r>
              <w:t>24 Dec 1993 p. 6831</w:t>
            </w:r>
          </w:p>
        </w:tc>
        <w:tc>
          <w:tcPr>
            <w:tcW w:w="2693" w:type="dxa"/>
          </w:tcPr>
          <w:p>
            <w:pPr>
              <w:pStyle w:val="nTable"/>
              <w:spacing w:after="40"/>
            </w:pPr>
            <w:r>
              <w:t>24 Dec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Amendment Regulations 1994</w:t>
            </w:r>
          </w:p>
        </w:tc>
        <w:tc>
          <w:tcPr>
            <w:tcW w:w="1276" w:type="dxa"/>
          </w:tcPr>
          <w:p>
            <w:pPr>
              <w:pStyle w:val="nTable"/>
              <w:spacing w:after="40"/>
              <w:ind w:left="57"/>
            </w:pPr>
            <w:r>
              <w:t>20 May 1994 p. 2124</w:t>
            </w:r>
            <w:r>
              <w:noBreakHyphen/>
              <w:t>5</w:t>
            </w:r>
          </w:p>
        </w:tc>
        <w:tc>
          <w:tcPr>
            <w:tcW w:w="2693" w:type="dxa"/>
          </w:tcPr>
          <w:p>
            <w:pPr>
              <w:pStyle w:val="nTable"/>
              <w:spacing w:after="40"/>
            </w:pPr>
            <w:r>
              <w:t>20 May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Amendment Regulations (No. 2) 1994</w:t>
            </w:r>
          </w:p>
        </w:tc>
        <w:tc>
          <w:tcPr>
            <w:tcW w:w="1276" w:type="dxa"/>
          </w:tcPr>
          <w:p>
            <w:pPr>
              <w:pStyle w:val="nTable"/>
              <w:spacing w:after="40"/>
              <w:ind w:left="57"/>
            </w:pPr>
            <w:r>
              <w:t>22 Jul 1994 p. 3779</w:t>
            </w:r>
            <w:r>
              <w:noBreakHyphen/>
              <w:t>80</w:t>
            </w:r>
          </w:p>
        </w:tc>
        <w:tc>
          <w:tcPr>
            <w:tcW w:w="2693" w:type="dxa"/>
          </w:tcPr>
          <w:p>
            <w:pPr>
              <w:pStyle w:val="nTable"/>
              <w:spacing w:after="40"/>
            </w:pPr>
            <w:r>
              <w:t xml:space="preserve">22 Jul 1994 (see r. 2 and </w:t>
            </w:r>
            <w:r>
              <w:rPr>
                <w:i/>
              </w:rPr>
              <w:t>Gazette</w:t>
            </w:r>
            <w:r>
              <w:t xml:space="preserve"> 22 Jul 1994 p. 3728)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2000</w:t>
            </w:r>
          </w:p>
        </w:tc>
        <w:tc>
          <w:tcPr>
            <w:tcW w:w="1276" w:type="dxa"/>
          </w:tcPr>
          <w:p>
            <w:pPr>
              <w:pStyle w:val="nTable"/>
              <w:spacing w:after="40"/>
              <w:ind w:left="57"/>
            </w:pPr>
            <w:r>
              <w:t>8 Feb 2000 p. 454-5</w:t>
            </w:r>
          </w:p>
        </w:tc>
        <w:tc>
          <w:tcPr>
            <w:tcW w:w="2693" w:type="dxa"/>
          </w:tcPr>
          <w:p>
            <w:pPr>
              <w:pStyle w:val="nTable"/>
              <w:spacing w:after="40"/>
            </w:pPr>
            <w:r>
              <w:t>8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(No. 2) 2000</w:t>
            </w:r>
          </w:p>
        </w:tc>
        <w:tc>
          <w:tcPr>
            <w:tcW w:w="1276" w:type="dxa"/>
          </w:tcPr>
          <w:p>
            <w:pPr>
              <w:pStyle w:val="nTable"/>
              <w:spacing w:after="40"/>
              <w:ind w:left="57"/>
            </w:pPr>
            <w:r>
              <w:t xml:space="preserve">27 Jun 2000 </w:t>
            </w:r>
            <w:r>
              <w:br/>
              <w:t>p. 3252</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(No. 3) 2000</w:t>
            </w:r>
          </w:p>
        </w:tc>
        <w:tc>
          <w:tcPr>
            <w:tcW w:w="1276" w:type="dxa"/>
          </w:tcPr>
          <w:p>
            <w:pPr>
              <w:pStyle w:val="nTable"/>
              <w:spacing w:after="40"/>
              <w:ind w:left="57"/>
            </w:pPr>
            <w:r>
              <w:t>15 Dec 2000 p. 7212-15</w:t>
            </w:r>
          </w:p>
        </w:tc>
        <w:tc>
          <w:tcPr>
            <w:tcW w:w="2693" w:type="dxa"/>
          </w:tcPr>
          <w:p>
            <w:pPr>
              <w:pStyle w:val="nTable"/>
              <w:spacing w:after="40"/>
            </w:pPr>
            <w:r>
              <w:t xml:space="preserve">16 Dec 2000 (see r. 2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right="113"/>
            </w:pPr>
            <w:r>
              <w:rPr>
                <w:b/>
              </w:rPr>
              <w:t xml:space="preserve">Reprint of the </w:t>
            </w:r>
            <w:r>
              <w:rPr>
                <w:b/>
                <w:i/>
              </w:rPr>
              <w:t>Petroleum Regulations 1987</w:t>
            </w:r>
            <w:r>
              <w:rPr>
                <w:b/>
              </w:rPr>
              <w:t xml:space="preserve"> as at 4 May 2001</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2002</w:t>
            </w:r>
          </w:p>
        </w:tc>
        <w:tc>
          <w:tcPr>
            <w:tcW w:w="1276" w:type="dxa"/>
          </w:tcPr>
          <w:p>
            <w:pPr>
              <w:pStyle w:val="nTable"/>
              <w:spacing w:after="40"/>
              <w:ind w:left="57"/>
            </w:pPr>
            <w:r>
              <w:t>28 Jun 2002 p. 3090-1</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2003</w:t>
            </w:r>
          </w:p>
        </w:tc>
        <w:tc>
          <w:tcPr>
            <w:tcW w:w="1276" w:type="dxa"/>
          </w:tcPr>
          <w:p>
            <w:pPr>
              <w:pStyle w:val="nTable"/>
              <w:spacing w:after="40"/>
              <w:ind w:left="57"/>
            </w:pPr>
            <w:r>
              <w:t>28 Feb 2003 p. 669-70</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2009</w:t>
            </w:r>
          </w:p>
        </w:tc>
        <w:tc>
          <w:tcPr>
            <w:tcW w:w="1276" w:type="dxa"/>
          </w:tcPr>
          <w:p>
            <w:pPr>
              <w:pStyle w:val="nTable"/>
              <w:spacing w:after="40"/>
              <w:ind w:left="57"/>
            </w:pPr>
            <w:r>
              <w:t>23 Jun 2009 p. 2471</w:t>
            </w:r>
            <w:r>
              <w:noBreakHyphen/>
              <w:t>4</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2: The </w:t>
            </w:r>
            <w:r>
              <w:rPr>
                <w:b/>
                <w:i/>
                <w:iCs/>
              </w:rPr>
              <w:t xml:space="preserve">Petroleum </w:t>
            </w:r>
            <w:r>
              <w:rPr>
                <w:b/>
                <w:i/>
              </w:rPr>
              <w:t>and Geothermal Energy</w:t>
            </w:r>
            <w:r>
              <w:rPr>
                <w:b/>
                <w:i/>
                <w:iCs/>
                <w:snapToGrid w:val="0"/>
              </w:rPr>
              <w:t xml:space="preserve"> Resources</w:t>
            </w:r>
            <w:r>
              <w:rPr>
                <w:i/>
                <w:iCs/>
                <w:snapToGrid w:val="0"/>
              </w:rPr>
              <w:t xml:space="preserve"> </w:t>
            </w:r>
            <w:r>
              <w:rPr>
                <w:b/>
                <w:i/>
              </w:rPr>
              <w:t>Regulations 1987</w:t>
            </w:r>
            <w:r>
              <w:rPr>
                <w:b/>
              </w:rPr>
              <w:t xml:space="preserve"> as at 21 Aug 2009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and Geothermal Energy Resources Amendment Regulations 2010</w:t>
            </w:r>
          </w:p>
        </w:tc>
        <w:tc>
          <w:tcPr>
            <w:tcW w:w="1276" w:type="dxa"/>
          </w:tcPr>
          <w:p>
            <w:pPr>
              <w:pStyle w:val="nTable"/>
              <w:spacing w:after="40"/>
              <w:ind w:left="57"/>
            </w:pPr>
            <w:r>
              <w:t>9 Feb 2010 p. 271</w:t>
            </w:r>
          </w:p>
        </w:tc>
        <w:tc>
          <w:tcPr>
            <w:tcW w:w="2693" w:type="dxa"/>
          </w:tcPr>
          <w:p>
            <w:pPr>
              <w:pStyle w:val="nTable"/>
              <w:spacing w:after="40"/>
            </w:pPr>
            <w:r>
              <w:rPr>
                <w:snapToGrid w:val="0"/>
              </w:rPr>
              <w:t>r. 1 and 2: 9 Feb 2010 (see r. 2(a));</w:t>
            </w:r>
            <w:r>
              <w:rPr>
                <w:snapToGrid w:val="0"/>
              </w:rPr>
              <w:br/>
              <w:t>Regulations other than r. 1 and 2: 10 Feb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and Geothermal Energy Resources Amendment Regulations (No. 2) 2010</w:t>
            </w:r>
          </w:p>
        </w:tc>
        <w:tc>
          <w:tcPr>
            <w:tcW w:w="1276" w:type="dxa"/>
          </w:tcPr>
          <w:p>
            <w:pPr>
              <w:pStyle w:val="nTable"/>
              <w:spacing w:after="40"/>
              <w:ind w:left="57"/>
            </w:pPr>
            <w:r>
              <w:t>11 May 2010 p. 1816-18</w:t>
            </w:r>
          </w:p>
        </w:tc>
        <w:tc>
          <w:tcPr>
            <w:tcW w:w="2693" w:type="dxa"/>
          </w:tcPr>
          <w:p>
            <w:pPr>
              <w:pStyle w:val="nTable"/>
              <w:spacing w:after="40"/>
              <w:rPr>
                <w:snapToGrid w:val="0"/>
              </w:rPr>
            </w:pPr>
            <w:r>
              <w:rPr>
                <w:snapToGrid w:val="0"/>
              </w:rPr>
              <w:t>r. 1 and 2: 11 May 2010 (see r. 2(a));</w:t>
            </w:r>
            <w:r>
              <w:rPr>
                <w:snapToGrid w:val="0"/>
              </w:rPr>
              <w:br/>
              <w:t>Regulations other than r. 1 and 2: 12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and Geothermal Energy Resources Amendment Regulations (No. 3) 2010</w:t>
            </w:r>
          </w:p>
        </w:tc>
        <w:tc>
          <w:tcPr>
            <w:tcW w:w="1276" w:type="dxa"/>
          </w:tcPr>
          <w:p>
            <w:pPr>
              <w:pStyle w:val="nTable"/>
              <w:spacing w:after="40"/>
              <w:ind w:left="57"/>
            </w:pPr>
            <w:r>
              <w:t>16 Jul 2010 p. 3357-9</w:t>
            </w:r>
          </w:p>
        </w:tc>
        <w:tc>
          <w:tcPr>
            <w:tcW w:w="2693" w:type="dxa"/>
          </w:tcPr>
          <w:p>
            <w:pPr>
              <w:pStyle w:val="nTable"/>
              <w:spacing w:after="40"/>
              <w:rPr>
                <w:snapToGrid w:val="0"/>
              </w:rPr>
            </w:pPr>
            <w:r>
              <w:rPr>
                <w:snapToGrid w:val="0"/>
              </w:rPr>
              <w:t>r. 1 and 2: 16 Jul 2010 (see r. 2(a));</w:t>
            </w:r>
            <w:r>
              <w:rPr>
                <w:snapToGrid w:val="0"/>
              </w:rPr>
              <w:br/>
              <w:t>Regulations other than r. 1 and 2: 17 Jul 2010 (see r. 2(b)(ii))</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and Geothermal Energy Resources Amendment Regulations 2011</w:t>
            </w:r>
          </w:p>
        </w:tc>
        <w:tc>
          <w:tcPr>
            <w:tcW w:w="1276" w:type="dxa"/>
          </w:tcPr>
          <w:p>
            <w:pPr>
              <w:pStyle w:val="nTable"/>
              <w:spacing w:after="40"/>
              <w:ind w:left="57"/>
            </w:pPr>
            <w:r>
              <w:t>24 May 2011 p. 1898-9</w:t>
            </w:r>
          </w:p>
        </w:tc>
        <w:tc>
          <w:tcPr>
            <w:tcW w:w="2693" w:type="dxa"/>
          </w:tcPr>
          <w:p>
            <w:pPr>
              <w:pStyle w:val="nTable"/>
              <w:spacing w:after="40"/>
              <w:rPr>
                <w:snapToGrid w:val="0"/>
              </w:rPr>
            </w:pPr>
            <w:r>
              <w:rPr>
                <w:snapToGrid w:val="0"/>
              </w:rPr>
              <w:t>r. 1 and 2: 24 May 2011 (see r. 2(a));</w:t>
            </w:r>
            <w:r>
              <w:rPr>
                <w:snapToGrid w:val="0"/>
              </w:rPr>
              <w:br/>
              <w:t xml:space="preserve">Regulations other than r. 1 and 2: 25 May 2011 (see r. 2(b) and </w:t>
            </w:r>
            <w:r>
              <w:rPr>
                <w:i/>
                <w:snapToGrid w:val="0"/>
              </w:rPr>
              <w:t>Gazette</w:t>
            </w:r>
            <w:r>
              <w:rPr>
                <w:snapToGrid w:val="0"/>
              </w:rPr>
              <w:t xml:space="preserve"> 24 May 2011 p. 1892)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and Geothermal Energy Resources Amendment Regulations (No. 2) 2011</w:t>
            </w:r>
          </w:p>
        </w:tc>
        <w:tc>
          <w:tcPr>
            <w:tcW w:w="1276" w:type="dxa"/>
          </w:tcPr>
          <w:p>
            <w:pPr>
              <w:pStyle w:val="nTable"/>
              <w:spacing w:after="40"/>
              <w:ind w:left="57"/>
            </w:pPr>
            <w:r>
              <w:t>1 Jul 2011 p. 2734</w:t>
            </w:r>
            <w:r>
              <w:noBreakHyphen/>
              <w:t>6</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Petroleum and Geothermal Energy Resources Amendment Regulations 2012</w:t>
            </w:r>
          </w:p>
        </w:tc>
        <w:tc>
          <w:tcPr>
            <w:tcW w:w="1276" w:type="dxa"/>
            <w:shd w:val="clear" w:color="auto" w:fill="auto"/>
          </w:tcPr>
          <w:p>
            <w:pPr>
              <w:pStyle w:val="nTable"/>
              <w:spacing w:after="40"/>
              <w:ind w:left="57"/>
            </w:pPr>
            <w:r>
              <w:t>12 Jun 2012 p. 2463</w:t>
            </w:r>
            <w:r>
              <w:noBreakHyphen/>
              <w:t>4</w:t>
            </w:r>
          </w:p>
        </w:tc>
        <w:tc>
          <w:tcPr>
            <w:tcW w:w="2693" w:type="dxa"/>
            <w:shd w:val="clear" w:color="auto" w:fill="auto"/>
          </w:tcPr>
          <w:p>
            <w:pPr>
              <w:pStyle w:val="nTable"/>
              <w:spacing w:after="40"/>
              <w:rPr>
                <w:snapToGrid w:val="0"/>
              </w:rPr>
            </w:pPr>
            <w:r>
              <w:rPr>
                <w:snapToGrid w:val="0"/>
              </w:rPr>
              <w:t>r. 1 and 2: 12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rPr>
              <w:t xml:space="preserve">Reprint 3: The </w:t>
            </w:r>
            <w:r>
              <w:rPr>
                <w:b/>
                <w:i/>
                <w:iCs/>
              </w:rPr>
              <w:t xml:space="preserve">Petroleum </w:t>
            </w:r>
            <w:r>
              <w:rPr>
                <w:b/>
                <w:i/>
              </w:rPr>
              <w:t>and Geothermal Energy</w:t>
            </w:r>
            <w:r>
              <w:rPr>
                <w:b/>
                <w:i/>
                <w:iCs/>
                <w:snapToGrid w:val="0"/>
              </w:rPr>
              <w:t xml:space="preserve"> Resources</w:t>
            </w:r>
            <w:r>
              <w:rPr>
                <w:i/>
                <w:iCs/>
                <w:snapToGrid w:val="0"/>
              </w:rPr>
              <w:t xml:space="preserve"> </w:t>
            </w:r>
            <w:r>
              <w:rPr>
                <w:b/>
                <w:i/>
              </w:rPr>
              <w:t>Regulations 1987</w:t>
            </w:r>
            <w:r>
              <w:rPr>
                <w:b/>
              </w:rPr>
              <w:t xml:space="preserve"> as at 1 Feb 2013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Petroleum and Geothermal Energy Resources Amendment Regulations 2014</w:t>
            </w:r>
          </w:p>
        </w:tc>
        <w:tc>
          <w:tcPr>
            <w:tcW w:w="1276" w:type="dxa"/>
            <w:shd w:val="clear" w:color="auto" w:fill="auto"/>
          </w:tcPr>
          <w:p>
            <w:pPr>
              <w:pStyle w:val="nTable"/>
              <w:spacing w:after="40"/>
              <w:ind w:left="57"/>
              <w:rPr>
                <w:i/>
              </w:rPr>
            </w:pPr>
            <w:r>
              <w:t>25 Feb 2014 p. 498</w:t>
            </w:r>
            <w:r>
              <w:noBreakHyphen/>
              <w:t>500</w:t>
            </w:r>
          </w:p>
        </w:tc>
        <w:tc>
          <w:tcPr>
            <w:tcW w:w="2693" w:type="dxa"/>
            <w:shd w:val="clear" w:color="auto" w:fill="auto"/>
          </w:tcPr>
          <w:p>
            <w:pPr>
              <w:pStyle w:val="nTable"/>
              <w:spacing w:after="40"/>
              <w:rPr>
                <w:snapToGrid w:val="0"/>
              </w:rPr>
            </w:pPr>
            <w:r>
              <w:rPr>
                <w:snapToGrid w:val="0"/>
              </w:rPr>
              <w:t>r. 1 and 2: 25 Feb 2014 (see r. 2(a));</w:t>
            </w:r>
            <w:r>
              <w:rPr>
                <w:snapToGrid w:val="0"/>
              </w:rPr>
              <w:br/>
              <w:t>Regulations other than r. 1 and 2: 26 Feb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Petroleum and Geothermal Energy Resources Amendment Regulations (No. 2) 2014</w:t>
            </w:r>
          </w:p>
        </w:tc>
        <w:tc>
          <w:tcPr>
            <w:tcW w:w="1276" w:type="dxa"/>
            <w:shd w:val="clear" w:color="auto" w:fill="auto"/>
          </w:tcPr>
          <w:p>
            <w:pPr>
              <w:pStyle w:val="nTable"/>
              <w:spacing w:after="40"/>
              <w:ind w:left="57"/>
            </w:pPr>
            <w:r>
              <w:rPr>
                <w:spacing w:val="-4"/>
              </w:rPr>
              <w:t>17 Jun 2014 p. 1</w:t>
            </w:r>
            <w:r>
              <w:t>982</w:t>
            </w:r>
            <w:r>
              <w:noBreakHyphen/>
              <w:t>3</w:t>
            </w:r>
          </w:p>
        </w:tc>
        <w:tc>
          <w:tcPr>
            <w:tcW w:w="2693" w:type="dxa"/>
            <w:shd w:val="clear" w:color="auto" w:fill="auto"/>
          </w:tcPr>
          <w:p>
            <w:pPr>
              <w:pStyle w:val="nTable"/>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Petroleum and Geothermal Energy Resources Amendment Regulations 2015</w:t>
            </w:r>
          </w:p>
        </w:tc>
        <w:tc>
          <w:tcPr>
            <w:tcW w:w="1276" w:type="dxa"/>
            <w:shd w:val="clear" w:color="auto" w:fill="auto"/>
          </w:tcPr>
          <w:p>
            <w:pPr>
              <w:pStyle w:val="nTable"/>
              <w:spacing w:after="40"/>
              <w:ind w:left="57"/>
              <w:rPr>
                <w:spacing w:val="-4"/>
              </w:rPr>
            </w:pPr>
            <w:r>
              <w:rPr>
                <w:spacing w:val="-4"/>
              </w:rPr>
              <w:t>30 Jun 2015 p. 2344</w:t>
            </w:r>
          </w:p>
        </w:tc>
        <w:tc>
          <w:tcPr>
            <w:tcW w:w="2693" w:type="dxa"/>
            <w:shd w:val="clear" w:color="auto" w:fill="auto"/>
          </w:tcPr>
          <w:p>
            <w:pPr>
              <w:pStyle w:val="nTable"/>
              <w:spacing w:after="40"/>
              <w:rPr>
                <w:bCs/>
                <w:snapToGrid w:val="0"/>
                <w:spacing w:val="-2"/>
              </w:rPr>
            </w:pPr>
            <w:r>
              <w:rPr>
                <w:bCs/>
                <w:snapToGrid w:val="0"/>
                <w:spacing w:val="-2"/>
              </w:rPr>
              <w:t>r. 1 and 2: 30 Jun 2015 (see r. 2(a));</w:t>
            </w:r>
            <w:r>
              <w:rPr>
                <w:bCs/>
                <w:snapToGrid w:val="0"/>
                <w:spacing w:val="-2"/>
              </w:rPr>
              <w:br/>
              <w:t xml:space="preserve">Regulations other than r. 1 and 2: 1 Jul 2015 (see r. 2(b) and </w:t>
            </w:r>
            <w:r>
              <w:rPr>
                <w:bCs/>
                <w:i/>
                <w:snapToGrid w:val="0"/>
                <w:spacing w:val="-2"/>
              </w:rPr>
              <w:t>Gazette</w:t>
            </w:r>
            <w:r>
              <w:rPr>
                <w:bCs/>
                <w:snapToGrid w:val="0"/>
                <w:spacing w:val="-2"/>
              </w:rPr>
              <w:t xml:space="preserve"> 30 Jun 2015 p. 2321)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Petroleum and Geothermal Energy Resources Amendment Regulations (No. 2) 2015</w:t>
            </w:r>
          </w:p>
        </w:tc>
        <w:tc>
          <w:tcPr>
            <w:tcW w:w="1276" w:type="dxa"/>
            <w:shd w:val="clear" w:color="auto" w:fill="auto"/>
          </w:tcPr>
          <w:p>
            <w:pPr>
              <w:pStyle w:val="nTable"/>
              <w:spacing w:after="40"/>
              <w:ind w:left="57"/>
              <w:rPr>
                <w:spacing w:val="-4"/>
              </w:rPr>
            </w:pPr>
            <w:r>
              <w:rPr>
                <w:spacing w:val="-4"/>
              </w:rPr>
              <w:t>30 Jun 2015 p. 2346-7</w:t>
            </w:r>
          </w:p>
        </w:tc>
        <w:tc>
          <w:tcPr>
            <w:tcW w:w="2693" w:type="dxa"/>
            <w:shd w:val="clear" w:color="auto" w:fill="auto"/>
          </w:tcPr>
          <w:p>
            <w:pPr>
              <w:pStyle w:val="nTable"/>
              <w:spacing w:after="40"/>
              <w:rPr>
                <w:bCs/>
                <w:snapToGrid w:val="0"/>
                <w:spacing w:val="-2"/>
              </w:rPr>
            </w:pPr>
            <w:r>
              <w:rPr>
                <w:bCs/>
                <w:snapToGrid w:val="0"/>
                <w:spacing w:val="-2"/>
              </w:rPr>
              <w:t>r. 1 and 2: 30 Jun 2015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Mines and Petroleum Regulations Amendment (Fees and Levies) Regulations 2016</w:t>
            </w:r>
            <w:r>
              <w:t xml:space="preserve"> Pt. 11</w:t>
            </w:r>
          </w:p>
        </w:tc>
        <w:tc>
          <w:tcPr>
            <w:tcW w:w="1276" w:type="dxa"/>
            <w:shd w:val="clear" w:color="auto" w:fill="auto"/>
          </w:tcPr>
          <w:p>
            <w:pPr>
              <w:pStyle w:val="nTable"/>
              <w:spacing w:after="40"/>
              <w:ind w:left="57"/>
              <w:rPr>
                <w:spacing w:val="-4"/>
              </w:rPr>
            </w:pPr>
            <w:r>
              <w:rPr>
                <w:spacing w:val="-4"/>
              </w:rPr>
              <w:t>24 Jun 2016 p. 2325</w:t>
            </w:r>
            <w:r>
              <w:rPr>
                <w:spacing w:val="-4"/>
              </w:rPr>
              <w:noBreakHyphen/>
              <w:t>34</w:t>
            </w:r>
          </w:p>
        </w:tc>
        <w:tc>
          <w:tcPr>
            <w:tcW w:w="2693" w:type="dxa"/>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15</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15</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14</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2020</w:t>
            </w:r>
            <w:r>
              <w:t xml:space="preserve"> Pt. 7</w:t>
            </w:r>
          </w:p>
        </w:tc>
        <w:tc>
          <w:tcPr>
            <w:tcW w:w="1276" w:type="dxa"/>
            <w:tcBorders>
              <w:top w:val="nil"/>
              <w:bottom w:val="nil"/>
            </w:tcBorders>
          </w:tcPr>
          <w:p>
            <w:pPr>
              <w:pStyle w:val="nTable"/>
              <w:spacing w:after="40"/>
            </w:pPr>
            <w:r>
              <w:t>SL 2020/93 26 Jun 2020</w:t>
            </w:r>
          </w:p>
        </w:tc>
        <w:tc>
          <w:tcPr>
            <w:tcW w:w="2693" w:type="dxa"/>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2021</w:t>
            </w:r>
            <w:r>
              <w:t xml:space="preserve"> Pt. 11</w:t>
            </w:r>
          </w:p>
        </w:tc>
        <w:tc>
          <w:tcPr>
            <w:tcW w:w="1276" w:type="dxa"/>
            <w:tcBorders>
              <w:top w:val="nil"/>
              <w:bottom w:val="nil"/>
            </w:tcBorders>
          </w:tcPr>
          <w:p>
            <w:pPr>
              <w:pStyle w:val="nTable"/>
              <w:spacing w:after="40"/>
            </w:pPr>
            <w:r>
              <w:t>SL 2021/85 21 Jun 2021</w:t>
            </w:r>
          </w:p>
        </w:tc>
        <w:tc>
          <w:tcPr>
            <w:tcW w:w="2693" w:type="dxa"/>
            <w:tcBorders>
              <w:top w:val="nil"/>
              <w:bottom w:val="nil"/>
            </w:tcBorders>
          </w:tcPr>
          <w:p>
            <w:pPr>
              <w:pStyle w:val="nTable"/>
              <w:spacing w:after="40"/>
            </w:pPr>
            <w:r>
              <w:t>1 Jul 2021 (see r. 2(b))</w:t>
            </w:r>
          </w:p>
        </w:tc>
      </w:tr>
    </w:tbl>
    <w:p>
      <w:pPr>
        <w:pStyle w:val="nHeading3"/>
        <w:rPr>
          <w:del w:id="87" w:author="Master Repository Process" w:date="2022-06-30T09:04:00Z"/>
        </w:rPr>
      </w:pPr>
      <w:bookmarkStart w:id="88" w:name="_Toc103757847"/>
      <w:del w:id="89" w:author="Master Repository Process" w:date="2022-06-30T09:04:00Z">
        <w:r>
          <w:delText>Uncommenced provisions table</w:delText>
        </w:r>
        <w:bookmarkEnd w:id="88"/>
      </w:del>
    </w:p>
    <w:p>
      <w:pPr>
        <w:pStyle w:val="nStatement"/>
        <w:keepNext/>
        <w:spacing w:after="240"/>
        <w:rPr>
          <w:del w:id="90" w:author="Master Repository Process" w:date="2022-06-30T09:04:00Z"/>
        </w:rPr>
      </w:pPr>
      <w:del w:id="91" w:author="Master Repository Process" w:date="2022-06-30T09:04: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9"/>
        <w:gridCol w:w="1247"/>
        <w:gridCol w:w="29"/>
        <w:gridCol w:w="2664"/>
        <w:gridCol w:w="29"/>
      </w:tblGrid>
      <w:tr>
        <w:trPr>
          <w:gridAfter w:val="1"/>
          <w:wAfter w:w="29" w:type="dxa"/>
          <w:tblHeader/>
          <w:del w:id="92" w:author="Master Repository Process" w:date="2022-06-30T09:04:00Z"/>
        </w:trPr>
        <w:tc>
          <w:tcPr>
            <w:tcW w:w="3118" w:type="dxa"/>
            <w:gridSpan w:val="2"/>
          </w:tcPr>
          <w:p>
            <w:pPr>
              <w:pStyle w:val="nTable"/>
              <w:spacing w:after="40"/>
              <w:rPr>
                <w:del w:id="93" w:author="Master Repository Process" w:date="2022-06-30T09:04:00Z"/>
                <w:b/>
              </w:rPr>
            </w:pPr>
            <w:del w:id="94" w:author="Master Repository Process" w:date="2022-06-30T09:04:00Z">
              <w:r>
                <w:rPr>
                  <w:b/>
                </w:rPr>
                <w:delText>Citation</w:delText>
              </w:r>
            </w:del>
          </w:p>
        </w:tc>
        <w:tc>
          <w:tcPr>
            <w:tcW w:w="1276" w:type="dxa"/>
            <w:gridSpan w:val="2"/>
          </w:tcPr>
          <w:p>
            <w:pPr>
              <w:pStyle w:val="nTable"/>
              <w:spacing w:after="40"/>
              <w:rPr>
                <w:del w:id="95" w:author="Master Repository Process" w:date="2022-06-30T09:04:00Z"/>
                <w:b/>
              </w:rPr>
            </w:pPr>
            <w:del w:id="96" w:author="Master Repository Process" w:date="2022-06-30T09:04:00Z">
              <w:r>
                <w:rPr>
                  <w:b/>
                </w:rPr>
                <w:delText>Published</w:delText>
              </w:r>
            </w:del>
          </w:p>
        </w:tc>
        <w:tc>
          <w:tcPr>
            <w:tcW w:w="2693" w:type="dxa"/>
            <w:gridSpan w:val="2"/>
          </w:tcPr>
          <w:p>
            <w:pPr>
              <w:pStyle w:val="nTable"/>
              <w:spacing w:after="40"/>
              <w:rPr>
                <w:del w:id="97" w:author="Master Repository Process" w:date="2022-06-30T09:04:00Z"/>
                <w:b/>
              </w:rPr>
            </w:pPr>
            <w:del w:id="98" w:author="Master Repository Process" w:date="2022-06-30T09:04:00Z">
              <w:r>
                <w:rPr>
                  <w:b/>
                </w:rPr>
                <w:delText>Commencement</w:delText>
              </w:r>
            </w:del>
          </w:p>
        </w:tc>
      </w:tr>
      <w:tr>
        <w:tblPrEx>
          <w:tblBorders>
            <w:top w:val="single" w:sz="4" w:space="0" w:color="auto"/>
            <w:insideH w:val="single" w:sz="4" w:space="0" w:color="auto"/>
          </w:tblBorders>
        </w:tblPrEx>
        <w:trPr>
          <w:gridBefore w:val="1"/>
        </w:trPr>
        <w:tc>
          <w:tcPr>
            <w:tcW w:w="3119" w:type="dxa"/>
            <w:gridSpan w:val="2"/>
            <w:tcBorders>
              <w:top w:val="nil"/>
              <w:bottom w:val="single" w:sz="4" w:space="0" w:color="auto"/>
            </w:tcBorders>
          </w:tcPr>
          <w:p>
            <w:pPr>
              <w:pStyle w:val="nTable"/>
              <w:spacing w:after="40"/>
              <w:rPr>
                <w:i/>
              </w:rPr>
            </w:pPr>
            <w:r>
              <w:rPr>
                <w:i/>
              </w:rPr>
              <w:t>Mines and Petroleum Regulations Amendment (Fees and Charges) Regulations 2022</w:t>
            </w:r>
            <w:r>
              <w:t xml:space="preserve"> Pt. 9</w:t>
            </w:r>
          </w:p>
        </w:tc>
        <w:tc>
          <w:tcPr>
            <w:tcW w:w="1276" w:type="dxa"/>
            <w:gridSpan w:val="2"/>
            <w:tcBorders>
              <w:top w:val="nil"/>
              <w:bottom w:val="single" w:sz="4" w:space="0" w:color="auto"/>
            </w:tcBorders>
          </w:tcPr>
          <w:p>
            <w:pPr>
              <w:pStyle w:val="nTable"/>
              <w:spacing w:after="40"/>
            </w:pPr>
            <w:r>
              <w:t>SL 2022/58 20 May 2022</w:t>
            </w:r>
          </w:p>
        </w:tc>
        <w:tc>
          <w:tcPr>
            <w:tcW w:w="2693" w:type="dxa"/>
            <w:gridSpan w:val="2"/>
            <w:tcBorders>
              <w:top w:val="nil"/>
              <w:bottom w:val="single" w:sz="4" w:space="0" w:color="auto"/>
            </w:tcBorders>
          </w:tcPr>
          <w:p>
            <w:pPr>
              <w:pStyle w:val="nTable"/>
              <w:spacing w:after="40"/>
            </w:pPr>
            <w:r>
              <w:t>1 Jul 2022 (see r. 2(b))</w:t>
            </w:r>
          </w:p>
        </w:tc>
      </w:tr>
    </w:tbl>
    <w:p>
      <w:pPr>
        <w:pStyle w:val="nHeading3"/>
      </w:pPr>
      <w:bookmarkStart w:id="99" w:name="_Toc106951079"/>
      <w:bookmarkStart w:id="100" w:name="_Toc103757848"/>
      <w:r>
        <w:t>Other notes</w:t>
      </w:r>
      <w:bookmarkEnd w:id="99"/>
      <w:bookmarkEnd w:id="100"/>
    </w:p>
    <w:p>
      <w:pPr>
        <w:pStyle w:val="nNote"/>
      </w:pPr>
      <w:r>
        <w:rPr>
          <w:snapToGrid w:val="0"/>
          <w:vertAlign w:val="superscript"/>
        </w:rPr>
        <w:t>1</w:t>
      </w:r>
      <w:r>
        <w:rPr>
          <w:snapToGrid w:val="0"/>
        </w:rPr>
        <w:tab/>
        <w:t xml:space="preserve">The </w:t>
      </w:r>
      <w:r>
        <w:rPr>
          <w:i/>
          <w:snapToGrid w:val="0"/>
        </w:rPr>
        <w:t xml:space="preserve">Acts Amendment (Petroleum) Act 1990 </w:t>
      </w:r>
      <w:r>
        <w:rPr>
          <w:iCs/>
          <w:snapToGrid w:val="0"/>
        </w:rPr>
        <w:t>(other than s. 32)</w:t>
      </w:r>
      <w:r>
        <w:rPr>
          <w:i/>
          <w:snapToGrid w:val="0"/>
        </w:rPr>
        <w:t xml:space="preserve"> </w:t>
      </w:r>
      <w:r>
        <w:rPr>
          <w:iCs/>
          <w:snapToGrid w:val="0"/>
        </w:rPr>
        <w:t xml:space="preserve">came into operation 1 Oct 1990 (see </w:t>
      </w:r>
      <w:r>
        <w:rPr>
          <w:i/>
          <w:snapToGrid w:val="0"/>
        </w:rPr>
        <w:t xml:space="preserve">Gazette </w:t>
      </w:r>
      <w:r>
        <w:rPr>
          <w:iCs/>
          <w:snapToGrid w:val="0"/>
        </w:rPr>
        <w:t>28 Sep 1990 p. 5099</w:t>
      </w:r>
      <w:r>
        <w:t>).</w:t>
      </w:r>
    </w:p>
    <w:p>
      <w:pPr>
        <w:pStyle w:val="nNote"/>
      </w:pPr>
      <w:r>
        <w:rPr>
          <w:vertAlign w:val="superscript"/>
        </w:rPr>
        <w:t>2</w:t>
      </w:r>
      <w:r>
        <w:tab/>
        <w:t xml:space="preserve">Commencement day was 16 Dec 2000 (see </w:t>
      </w:r>
      <w:r>
        <w:rPr>
          <w:i/>
        </w:rPr>
        <w:t>Gazette</w:t>
      </w:r>
      <w:r>
        <w:t xml:space="preserve"> 15 Dec 2000 p. 7201).</w:t>
      </w:r>
    </w:p>
    <w:p>
      <w:pPr>
        <w:pStyle w:val="nNote"/>
      </w:pPr>
      <w:r>
        <w:rPr>
          <w:snapToGrid w:val="0"/>
          <w:vertAlign w:val="superscript"/>
        </w:rPr>
        <w:t>3</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Note"/>
      </w:pPr>
      <w:r>
        <w:rPr>
          <w:vertAlign w:val="superscript"/>
        </w:rPr>
        <w:t>4</w:t>
      </w:r>
      <w:r>
        <w:tab/>
        <w:t xml:space="preserve">Now known as the </w:t>
      </w:r>
      <w:r>
        <w:rPr>
          <w:i/>
          <w:iCs/>
        </w:rPr>
        <w:t>Petroleum and Geothermal Energy Resources Regulations 1987</w:t>
      </w:r>
      <w:r>
        <w:t>; citation changed (see note under r. 1).</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1" w:name="Compilation"/>
    <w:bookmarkEnd w:id="10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2" w:name="Coversheet"/>
    <w:bookmarkEnd w:id="1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7" w:name="Schedule"/>
    <w:bookmarkEnd w:id="7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88E6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549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CED7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07C00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BE60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A41C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86D5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2E21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188A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EC63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F3673A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10"/>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34"/>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3092856"/>
    <w:docVar w:name="WAFER_20140123102910" w:val="RemoveTocBookmarks,RemoveUnusedBookmarks,RemoveLanguageTags,UsedStyles,ResetPageSize,UpdateArrangement"/>
    <w:docVar w:name="WAFER_20140123102910_GUID" w:val="e5c70c4f-33ba-4893-b30a-8be5d228ae2a"/>
    <w:docVar w:name="WAFER_20140123110805" w:val="RemoveTocBookmarks,RunningHeaders"/>
    <w:docVar w:name="WAFER_20140123110805_GUID" w:val="980cb52a-13f2-4aae-866e-6c057a70f369"/>
    <w:docVar w:name="WAFER_20140214163719" w:val="ResetStyles"/>
    <w:docVar w:name="WAFER_20140214163719_GUID" w:val="7d008432-5308-444c-bcd9-72d145a0df07"/>
    <w:docVar w:name="WAFER_20140220161133" w:val="RemoveTocBookmarks,RemoveUnusedBookmarks,RemoveLanguageTags,UsedStyles,ResetPageSize,UpdateArrangement"/>
    <w:docVar w:name="WAFER_20140220161133_GUID" w:val="9ac89546-e15d-4563-abc1-33c3c807b9ee"/>
    <w:docVar w:name="WAFER_20140630162449" w:val="RemoveTocBookmarks,RunningHeaders"/>
    <w:docVar w:name="WAFER_20140630162449_GUID" w:val="c8a5eb10-c290-4690-974a-6f232407b12c"/>
    <w:docVar w:name="WAFER_20150630075830" w:val="ResetPageSize,UpdateArrangement,UpdateNTable"/>
    <w:docVar w:name="WAFER_20150630075830_GUID" w:val="b202349f-5207-4e29-b864-6183786abb67"/>
    <w:docVar w:name="WAFER_20151109113910" w:val="UpdateStyles,UsedStyles"/>
    <w:docVar w:name="WAFER_20151109113910_GUID" w:val="2ab6f106-363d-47b6-bf36-648e3288ed9f"/>
    <w:docVar w:name="WAFER_202006260911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91101_GUID" w:val="f50ff727-405d-4fee-bde4-6353bfe68065"/>
    <w:docVar w:name="WAFER_202106181507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50758_GUID" w:val="2557c342-949f-4121-9432-8a86b22c9a4e"/>
    <w:docVar w:name="WAFER_202106181510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51009_GUID" w:val="60cfaa65-862a-4757-b8c0-a4deba7f3588"/>
    <w:docVar w:name="WAFER_202106241339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33925_GUID" w:val="c4b96230-4a01-4a03-8d74-88f65ffc9954"/>
    <w:docVar w:name="WAFER_202205171520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52012_GUID" w:val="ba80d716-c1e3-44d7-9f59-a9a4e26b5c0f"/>
    <w:docVar w:name="WAFER_202206230928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092856_GUID" w:val="ac466d8b-7948-44e9-8ff2-82df2dca22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0A5C171-8DF4-44F6-AE78-78902825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B3D32-EB9D-41DD-8D99-D4F8DB687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3498</Words>
  <Characters>17006</Characters>
  <Application>Microsoft Office Word</Application>
  <DocSecurity>0</DocSecurity>
  <Lines>654</Lines>
  <Paragraphs>402</Paragraphs>
  <ScaleCrop>false</ScaleCrop>
  <HeadingPairs>
    <vt:vector size="2" baseType="variant">
      <vt:variant>
        <vt:lpstr>Title</vt:lpstr>
      </vt:variant>
      <vt:variant>
        <vt:i4>1</vt:i4>
      </vt:variant>
    </vt:vector>
  </HeadingPairs>
  <TitlesOfParts>
    <vt:vector size="1" baseType="lpstr">
      <vt:lpstr>Petroleum and Geothermal Energy Resources Regulations 1987</vt:lpstr>
    </vt:vector>
  </TitlesOfParts>
  <Manager/>
  <Company/>
  <LinksUpToDate>false</LinksUpToDate>
  <CharactersWithSpaces>20102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Regulations 1987 03-m0-00 - 03-n0-00</dc:title>
  <dc:subject/>
  <dc:creator/>
  <cp:keywords/>
  <dc:description/>
  <cp:lastModifiedBy>Master Repository Process</cp:lastModifiedBy>
  <cp:revision>2</cp:revision>
  <cp:lastPrinted>2013-01-31T01:18:00Z</cp:lastPrinted>
  <dcterms:created xsi:type="dcterms:W3CDTF">2022-06-30T01:04:00Z</dcterms:created>
  <dcterms:modified xsi:type="dcterms:W3CDTF">2022-06-30T01:04:00Z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1987 pp.3971-2</vt:lpwstr>
  </property>
  <property fmtid="{D5CDD505-2E9C-101B-9397-08002B2CF9AE}" pid="3" name="DocumentType">
    <vt:lpwstr>Reg</vt:lpwstr>
  </property>
  <property fmtid="{D5CDD505-2E9C-101B-9397-08002B2CF9AE}" pid="4" name="OwlsUID">
    <vt:i4>4690</vt:i4>
  </property>
  <property fmtid="{D5CDD505-2E9C-101B-9397-08002B2CF9AE}" pid="5" name="ReprintNo">
    <vt:lpwstr>3</vt:lpwstr>
  </property>
  <property fmtid="{D5CDD505-2E9C-101B-9397-08002B2CF9AE}" pid="6" name="ReprintedAsAt">
    <vt:filetime>2013-01-31T16:00:00Z</vt:filetime>
  </property>
  <property fmtid="{D5CDD505-2E9C-101B-9397-08002B2CF9AE}" pid="7" name="CommencementDate">
    <vt:lpwstr>20220701</vt:lpwstr>
  </property>
  <property fmtid="{D5CDD505-2E9C-101B-9397-08002B2CF9AE}" pid="8" name="FromSuffix">
    <vt:lpwstr>03-m0-00</vt:lpwstr>
  </property>
  <property fmtid="{D5CDD505-2E9C-101B-9397-08002B2CF9AE}" pid="9" name="FromAsAtDate">
    <vt:lpwstr>20 May 2022</vt:lpwstr>
  </property>
  <property fmtid="{D5CDD505-2E9C-101B-9397-08002B2CF9AE}" pid="10" name="ToSuffix">
    <vt:lpwstr>03-n0-00</vt:lpwstr>
  </property>
  <property fmtid="{D5CDD505-2E9C-101B-9397-08002B2CF9AE}" pid="11" name="ToAsAtDate">
    <vt:lpwstr>01 Jul 2022</vt:lpwstr>
  </property>
</Properties>
</file>