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106957299"/>
      <w:bookmarkStart w:id="2" w:name="_Toc106957739"/>
      <w:bookmarkStart w:id="3" w:name="_Toc107220929"/>
      <w:bookmarkStart w:id="4" w:name="_Toc107475174"/>
      <w:bookmarkStart w:id="5" w:name="_Toc104902318"/>
      <w:bookmarkStart w:id="6" w:name="_Toc104902583"/>
      <w:bookmarkStart w:id="7" w:name="_Toc10496948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7475175"/>
      <w:bookmarkStart w:id="10" w:name="_Toc104969489"/>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Strata Titles (General) Regulations 2019</w:t>
      </w:r>
      <w:r>
        <w:t>.</w:t>
      </w:r>
    </w:p>
    <w:p>
      <w:pPr>
        <w:pStyle w:val="Heading5"/>
        <w:rPr>
          <w:spacing w:val="-2"/>
        </w:rPr>
      </w:pPr>
      <w:bookmarkStart w:id="12" w:name="_Toc107475176"/>
      <w:bookmarkStart w:id="13" w:name="_Toc10496949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4" w:name="_Toc107475177"/>
      <w:bookmarkStart w:id="15" w:name="_Toc104969491"/>
      <w:r>
        <w:rPr>
          <w:rStyle w:val="CharSectno"/>
        </w:rPr>
        <w:t>3</w:t>
      </w:r>
      <w:r>
        <w:t>.</w:t>
      </w:r>
      <w:r>
        <w:tab/>
      </w:r>
      <w:r>
        <w:rPr>
          <w:snapToGrid w:val="0"/>
        </w:rPr>
        <w:t>Terms used</w:t>
      </w:r>
      <w:bookmarkEnd w:id="14"/>
      <w:bookmarkEnd w:id="15"/>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 xml:space="preserve">Legal Profession </w:t>
      </w:r>
      <w:ins w:id="16" w:author="Master Repository Process" w:date="2022-06-30T13:08:00Z">
        <w:r>
          <w:rPr>
            <w:i/>
          </w:rPr>
          <w:t xml:space="preserve">Uniform Law Application </w:t>
        </w:r>
      </w:ins>
      <w:r>
        <w:rPr>
          <w:i/>
        </w:rPr>
        <w:t>Act </w:t>
      </w:r>
      <w:del w:id="17" w:author="Master Repository Process" w:date="2022-06-30T13:08:00Z">
        <w:r>
          <w:rPr>
            <w:i/>
          </w:rPr>
          <w:delText>2008</w:delText>
        </w:r>
      </w:del>
      <w:ins w:id="18" w:author="Master Repository Process" w:date="2022-06-30T13:08:00Z">
        <w:r>
          <w:rPr>
            <w:i/>
          </w:rPr>
          <w:t>2022</w:t>
        </w:r>
      </w:ins>
      <w:r>
        <w:rPr>
          <w:i/>
        </w:rPr>
        <w:t xml:space="preserve"> </w:t>
      </w:r>
      <w:r>
        <w:t>section 3</w:t>
      </w:r>
      <w:del w:id="19" w:author="Master Repository Process" w:date="2022-06-30T13:08:00Z">
        <w:r>
          <w:delText>;</w:delText>
        </w:r>
      </w:del>
      <w:ins w:id="20" w:author="Master Repository Process" w:date="2022-06-30T13:08:00Z">
        <w:r>
          <w:t>(1);</w:t>
        </w:r>
      </w:ins>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rPr>
          <w:ins w:id="21" w:author="Master Repository Process" w:date="2022-06-30T13:08:00Z"/>
        </w:rPr>
      </w:pPr>
      <w:ins w:id="22" w:author="Master Repository Process" w:date="2022-06-30T13:08:00Z">
        <w:r>
          <w:tab/>
          <w:t>[Regulation 3 amended: SL 2022/116 r. 8.]</w:t>
        </w:r>
      </w:ins>
    </w:p>
    <w:p>
      <w:pPr>
        <w:pStyle w:val="Heading5"/>
        <w:keepNext w:val="0"/>
        <w:keepLines w:val="0"/>
      </w:pPr>
      <w:bookmarkStart w:id="23" w:name="_Toc107475178"/>
      <w:bookmarkStart w:id="24" w:name="_Toc104969492"/>
      <w:r>
        <w:rPr>
          <w:rStyle w:val="CharSectno"/>
        </w:rPr>
        <w:t>4</w:t>
      </w:r>
      <w:r>
        <w:t>.</w:t>
      </w:r>
      <w:r>
        <w:tab/>
        <w:t>Notes and examples not part of regulations</w:t>
      </w:r>
      <w:bookmarkEnd w:id="23"/>
      <w:bookmarkEnd w:id="24"/>
    </w:p>
    <w:p>
      <w:pPr>
        <w:pStyle w:val="Subsection"/>
      </w:pPr>
      <w:r>
        <w:tab/>
      </w:r>
      <w:r>
        <w:tab/>
        <w:t>A note or example set out at the foot of a provision of these regulations is provided to assist understanding and does not form part of these regulations.</w:t>
      </w:r>
    </w:p>
    <w:p>
      <w:pPr>
        <w:pStyle w:val="Heading2"/>
      </w:pPr>
      <w:bookmarkStart w:id="25" w:name="_Toc106957304"/>
      <w:bookmarkStart w:id="26" w:name="_Toc106957744"/>
      <w:bookmarkStart w:id="27" w:name="_Toc107220934"/>
      <w:bookmarkStart w:id="28" w:name="_Toc107475179"/>
      <w:bookmarkStart w:id="29" w:name="_Toc104902323"/>
      <w:bookmarkStart w:id="30" w:name="_Toc104902588"/>
      <w:bookmarkStart w:id="31" w:name="_Toc104969493"/>
      <w:r>
        <w:rPr>
          <w:rStyle w:val="CharPartNo"/>
        </w:rPr>
        <w:t>Part 2</w:t>
      </w:r>
      <w:r>
        <w:rPr>
          <w:rStyle w:val="CharDivNo"/>
        </w:rPr>
        <w:t> </w:t>
      </w:r>
      <w:r>
        <w:t>—</w:t>
      </w:r>
      <w:r>
        <w:rPr>
          <w:rStyle w:val="CharDivText"/>
        </w:rPr>
        <w:t> </w:t>
      </w:r>
      <w:r>
        <w:rPr>
          <w:rStyle w:val="CharPartText"/>
        </w:rPr>
        <w:t>Further provisions relating to terms used in the Act</w:t>
      </w:r>
      <w:bookmarkEnd w:id="25"/>
      <w:bookmarkEnd w:id="26"/>
      <w:bookmarkEnd w:id="27"/>
      <w:bookmarkEnd w:id="28"/>
      <w:bookmarkEnd w:id="29"/>
      <w:bookmarkEnd w:id="30"/>
      <w:bookmarkEnd w:id="31"/>
    </w:p>
    <w:p>
      <w:pPr>
        <w:pStyle w:val="Heading5"/>
        <w:rPr>
          <w:snapToGrid w:val="0"/>
        </w:rPr>
      </w:pPr>
      <w:bookmarkStart w:id="32" w:name="_Toc107475180"/>
      <w:bookmarkStart w:id="33" w:name="_Toc104969494"/>
      <w:r>
        <w:rPr>
          <w:rStyle w:val="CharSectno"/>
        </w:rPr>
        <w:t>5</w:t>
      </w:r>
      <w:r>
        <w:t>.</w:t>
      </w:r>
      <w:r>
        <w:tab/>
      </w:r>
      <w:r>
        <w:rPr>
          <w:snapToGrid w:val="0"/>
        </w:rPr>
        <w:t>Requirements for approved form</w:t>
      </w:r>
      <w:bookmarkEnd w:id="32"/>
      <w:bookmarkEnd w:id="33"/>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34" w:name="_Toc107475181"/>
      <w:bookmarkStart w:id="35" w:name="_Toc104969495"/>
      <w:r>
        <w:rPr>
          <w:rStyle w:val="CharSectno"/>
        </w:rPr>
        <w:t>6</w:t>
      </w:r>
      <w:r>
        <w:t>.</w:t>
      </w:r>
      <w:r>
        <w:tab/>
        <w:t>Boundaries of cubic space</w:t>
      </w:r>
      <w:bookmarkEnd w:id="34"/>
      <w:bookmarkEnd w:id="35"/>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36" w:name="_Toc107475182"/>
      <w:bookmarkStart w:id="37" w:name="_Toc104969496"/>
      <w:r>
        <w:rPr>
          <w:rStyle w:val="CharSectno"/>
        </w:rPr>
        <w:t>7</w:t>
      </w:r>
      <w:r>
        <w:t>.</w:t>
      </w:r>
      <w:r>
        <w:tab/>
        <w:t>Calculation of open space</w:t>
      </w:r>
      <w:bookmarkEnd w:id="36"/>
      <w:bookmarkEnd w:id="37"/>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38" w:name="_Toc107475183"/>
      <w:bookmarkStart w:id="39" w:name="_Toc104969497"/>
      <w:r>
        <w:rPr>
          <w:rStyle w:val="CharSectno"/>
        </w:rPr>
        <w:t>8</w:t>
      </w:r>
      <w:r>
        <w:t>.</w:t>
      </w:r>
      <w:r>
        <w:tab/>
        <w:t>Calculation of plot ratio</w:t>
      </w:r>
      <w:bookmarkEnd w:id="38"/>
      <w:bookmarkEnd w:id="39"/>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40" w:name="_Toc107475184"/>
      <w:bookmarkStart w:id="41" w:name="_Toc104969498"/>
      <w:r>
        <w:rPr>
          <w:rStyle w:val="CharSectno"/>
        </w:rPr>
        <w:t>9</w:t>
      </w:r>
      <w:r>
        <w:t>.</w:t>
      </w:r>
      <w:r>
        <w:tab/>
        <w:t>Insurable asset</w:t>
      </w:r>
      <w:bookmarkEnd w:id="40"/>
      <w:bookmarkEnd w:id="41"/>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42" w:name="_Toc107475185"/>
      <w:bookmarkStart w:id="43" w:name="_Toc104969499"/>
      <w:r>
        <w:rPr>
          <w:rStyle w:val="CharSectno"/>
        </w:rPr>
        <w:t>10</w:t>
      </w:r>
      <w:r>
        <w:t>.</w:t>
      </w:r>
      <w:r>
        <w:tab/>
        <w:t>Key documents</w:t>
      </w:r>
      <w:bookmarkEnd w:id="42"/>
      <w:bookmarkEnd w:id="43"/>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44" w:name="_Toc107475186"/>
      <w:bookmarkStart w:id="45" w:name="_Toc104969500"/>
      <w:r>
        <w:rPr>
          <w:rStyle w:val="CharSectno"/>
        </w:rPr>
        <w:t>11</w:t>
      </w:r>
      <w:r>
        <w:t>.</w:t>
      </w:r>
      <w:r>
        <w:tab/>
        <w:t>Volunteer strata managers</w:t>
      </w:r>
      <w:bookmarkEnd w:id="44"/>
      <w:bookmarkEnd w:id="45"/>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46" w:name="_Toc106957312"/>
      <w:bookmarkStart w:id="47" w:name="_Toc106957752"/>
      <w:bookmarkStart w:id="48" w:name="_Toc107220942"/>
      <w:bookmarkStart w:id="49" w:name="_Toc107475187"/>
      <w:bookmarkStart w:id="50" w:name="_Toc104902331"/>
      <w:bookmarkStart w:id="51" w:name="_Toc104902596"/>
      <w:bookmarkStart w:id="52" w:name="_Toc104969501"/>
      <w:r>
        <w:rPr>
          <w:rStyle w:val="CharPartNo"/>
        </w:rPr>
        <w:t>Part 3</w:t>
      </w:r>
      <w:r>
        <w:rPr>
          <w:rStyle w:val="CharDivNo"/>
        </w:rPr>
        <w:t> </w:t>
      </w:r>
      <w:r>
        <w:t>—</w:t>
      </w:r>
      <w:r>
        <w:rPr>
          <w:rStyle w:val="CharDivText"/>
        </w:rPr>
        <w:t> </w:t>
      </w:r>
      <w:r>
        <w:rPr>
          <w:rStyle w:val="CharPartText"/>
        </w:rPr>
        <w:t>Scheme plans</w:t>
      </w:r>
      <w:bookmarkEnd w:id="46"/>
      <w:bookmarkEnd w:id="47"/>
      <w:bookmarkEnd w:id="48"/>
      <w:bookmarkEnd w:id="49"/>
      <w:bookmarkEnd w:id="50"/>
      <w:bookmarkEnd w:id="51"/>
      <w:bookmarkEnd w:id="52"/>
    </w:p>
    <w:p>
      <w:pPr>
        <w:pStyle w:val="Heading5"/>
      </w:pPr>
      <w:bookmarkStart w:id="53" w:name="_Toc107475188"/>
      <w:bookmarkStart w:id="54" w:name="_Toc104969502"/>
      <w:r>
        <w:rPr>
          <w:rStyle w:val="CharSectno"/>
        </w:rPr>
        <w:t>12</w:t>
      </w:r>
      <w:r>
        <w:t>.</w:t>
      </w:r>
      <w:r>
        <w:tab/>
        <w:t>Additional requirements for lodgement and registration</w:t>
      </w:r>
      <w:bookmarkEnd w:id="53"/>
      <w:bookmarkEnd w:id="54"/>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55" w:name="_Toc107475189"/>
      <w:bookmarkStart w:id="56" w:name="_Toc104969503"/>
      <w:r>
        <w:rPr>
          <w:rStyle w:val="CharSectno"/>
        </w:rPr>
        <w:t>13</w:t>
      </w:r>
      <w:r>
        <w:t>.</w:t>
      </w:r>
      <w:r>
        <w:tab/>
        <w:t>Application of Survey Regulations to scheme plans</w:t>
      </w:r>
      <w:bookmarkEnd w:id="55"/>
      <w:bookmarkEnd w:id="56"/>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57" w:name="_Toc107475190"/>
      <w:bookmarkStart w:id="58" w:name="_Toc104969504"/>
      <w:r>
        <w:rPr>
          <w:rStyle w:val="CharSectno"/>
        </w:rPr>
        <w:t>14</w:t>
      </w:r>
      <w:r>
        <w:t>.</w:t>
      </w:r>
      <w:r>
        <w:tab/>
        <w:t>Surveyor’s certificate</w:t>
      </w:r>
      <w:bookmarkEnd w:id="57"/>
      <w:bookmarkEnd w:id="58"/>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59" w:name="_Toc107475191"/>
      <w:bookmarkStart w:id="60" w:name="_Toc104969505"/>
      <w:r>
        <w:rPr>
          <w:rStyle w:val="CharSectno"/>
        </w:rPr>
        <w:t>15</w:t>
      </w:r>
      <w:r>
        <w:t>.</w:t>
      </w:r>
      <w:r>
        <w:tab/>
        <w:t>Preparation and certification of scheme plans and amendments</w:t>
      </w:r>
      <w:bookmarkEnd w:id="59"/>
      <w:bookmarkEnd w:id="60"/>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61" w:name="_Toc107475192"/>
      <w:bookmarkStart w:id="62" w:name="_Toc104969506"/>
      <w:r>
        <w:rPr>
          <w:rStyle w:val="CharSectno"/>
        </w:rPr>
        <w:t>16</w:t>
      </w:r>
      <w:r>
        <w:t>.</w:t>
      </w:r>
      <w:r>
        <w:tab/>
        <w:t>Numbering of lots and common property</w:t>
      </w:r>
      <w:bookmarkEnd w:id="61"/>
      <w:bookmarkEnd w:id="62"/>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63" w:name="_Toc106957318"/>
      <w:bookmarkStart w:id="64" w:name="_Toc106957758"/>
      <w:bookmarkStart w:id="65" w:name="_Toc107220948"/>
      <w:bookmarkStart w:id="66" w:name="_Toc107475193"/>
      <w:bookmarkStart w:id="67" w:name="_Toc104902337"/>
      <w:bookmarkStart w:id="68" w:name="_Toc104902602"/>
      <w:bookmarkStart w:id="69" w:name="_Toc104969507"/>
      <w:r>
        <w:rPr>
          <w:rStyle w:val="CharPartNo"/>
        </w:rPr>
        <w:t>Part 4</w:t>
      </w:r>
      <w:r>
        <w:rPr>
          <w:rStyle w:val="CharDivNo"/>
        </w:rPr>
        <w:t> </w:t>
      </w:r>
      <w:r>
        <w:t>—</w:t>
      </w:r>
      <w:r>
        <w:rPr>
          <w:rStyle w:val="CharDivText"/>
        </w:rPr>
        <w:t> </w:t>
      </w:r>
      <w:r>
        <w:rPr>
          <w:rStyle w:val="CharPartText"/>
        </w:rPr>
        <w:t>Planning and development</w:t>
      </w:r>
      <w:bookmarkEnd w:id="63"/>
      <w:bookmarkEnd w:id="64"/>
      <w:bookmarkEnd w:id="65"/>
      <w:bookmarkEnd w:id="66"/>
      <w:bookmarkEnd w:id="67"/>
      <w:bookmarkEnd w:id="68"/>
      <w:bookmarkEnd w:id="69"/>
    </w:p>
    <w:p>
      <w:pPr>
        <w:pStyle w:val="Heading5"/>
      </w:pPr>
      <w:bookmarkStart w:id="70" w:name="_Toc107475194"/>
      <w:bookmarkStart w:id="71" w:name="_Toc104969508"/>
      <w:r>
        <w:rPr>
          <w:rStyle w:val="CharSectno"/>
        </w:rPr>
        <w:t>17</w:t>
      </w:r>
      <w:r>
        <w:t>.</w:t>
      </w:r>
      <w:r>
        <w:tab/>
        <w:t>Matters to be considered on application for subdivision approval</w:t>
      </w:r>
      <w:bookmarkEnd w:id="70"/>
      <w:bookmarkEnd w:id="71"/>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72" w:name="_Toc107475195"/>
      <w:bookmarkStart w:id="73" w:name="_Toc104969509"/>
      <w:r>
        <w:rPr>
          <w:rStyle w:val="CharSectno"/>
        </w:rPr>
        <w:t>18</w:t>
      </w:r>
      <w:r>
        <w:t>.</w:t>
      </w:r>
      <w:r>
        <w:tab/>
        <w:t>Duration of subdivision approval</w:t>
      </w:r>
      <w:bookmarkEnd w:id="72"/>
      <w:bookmarkEnd w:id="73"/>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74" w:name="_Toc107475196"/>
      <w:bookmarkStart w:id="75" w:name="_Toc104969510"/>
      <w:r>
        <w:rPr>
          <w:rStyle w:val="CharSectno"/>
        </w:rPr>
        <w:t>19</w:t>
      </w:r>
      <w:r>
        <w:t>.</w:t>
      </w:r>
      <w:r>
        <w:tab/>
        <w:t>Exemptions from planning approval</w:t>
      </w:r>
      <w:bookmarkEnd w:id="74"/>
      <w:bookmarkEnd w:id="75"/>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76" w:name="_Toc107475197"/>
      <w:bookmarkStart w:id="77" w:name="_Toc104969511"/>
      <w:r>
        <w:rPr>
          <w:rStyle w:val="CharSectno"/>
        </w:rPr>
        <w:t>20</w:t>
      </w:r>
      <w:r>
        <w:t>.</w:t>
      </w:r>
      <w:r>
        <w:tab/>
        <w:t>Review of Planning Commission decision</w:t>
      </w:r>
      <w:bookmarkEnd w:id="76"/>
      <w:bookmarkEnd w:id="77"/>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78" w:name="_Toc107475198"/>
      <w:bookmarkStart w:id="79" w:name="_Toc104969512"/>
      <w:r>
        <w:rPr>
          <w:rStyle w:val="CharSectno"/>
        </w:rPr>
        <w:t>21</w:t>
      </w:r>
      <w:r>
        <w:t>.</w:t>
      </w:r>
      <w:r>
        <w:tab/>
        <w:t>Review of local government decision</w:t>
      </w:r>
      <w:bookmarkEnd w:id="78"/>
      <w:bookmarkEnd w:id="79"/>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80" w:name="_Toc106957324"/>
      <w:bookmarkStart w:id="81" w:name="_Toc106957764"/>
      <w:bookmarkStart w:id="82" w:name="_Toc107220954"/>
      <w:bookmarkStart w:id="83" w:name="_Toc107475199"/>
      <w:bookmarkStart w:id="84" w:name="_Toc104902343"/>
      <w:bookmarkStart w:id="85" w:name="_Toc104902608"/>
      <w:bookmarkStart w:id="86" w:name="_Toc104969513"/>
      <w:r>
        <w:rPr>
          <w:rStyle w:val="CharPartNo"/>
        </w:rPr>
        <w:t>Part 5</w:t>
      </w:r>
      <w:r>
        <w:t> — </w:t>
      </w:r>
      <w:r>
        <w:rPr>
          <w:rStyle w:val="CharPartText"/>
        </w:rPr>
        <w:t>Short form easements and restrictive covenants</w:t>
      </w:r>
      <w:bookmarkEnd w:id="80"/>
      <w:bookmarkEnd w:id="81"/>
      <w:bookmarkEnd w:id="82"/>
      <w:bookmarkEnd w:id="83"/>
      <w:bookmarkEnd w:id="84"/>
      <w:bookmarkEnd w:id="85"/>
      <w:bookmarkEnd w:id="86"/>
    </w:p>
    <w:p>
      <w:pPr>
        <w:pStyle w:val="Heading3"/>
      </w:pPr>
      <w:bookmarkStart w:id="87" w:name="_Toc106957325"/>
      <w:bookmarkStart w:id="88" w:name="_Toc106957765"/>
      <w:bookmarkStart w:id="89" w:name="_Toc107220955"/>
      <w:bookmarkStart w:id="90" w:name="_Toc107475200"/>
      <w:bookmarkStart w:id="91" w:name="_Toc104902344"/>
      <w:bookmarkStart w:id="92" w:name="_Toc104902609"/>
      <w:bookmarkStart w:id="93" w:name="_Toc104969514"/>
      <w:r>
        <w:rPr>
          <w:rStyle w:val="CharDivNo"/>
        </w:rPr>
        <w:t>Division 1</w:t>
      </w:r>
      <w:r>
        <w:t> — </w:t>
      </w:r>
      <w:r>
        <w:rPr>
          <w:rStyle w:val="CharDivText"/>
        </w:rPr>
        <w:t>Preliminary</w:t>
      </w:r>
      <w:bookmarkEnd w:id="87"/>
      <w:bookmarkEnd w:id="88"/>
      <w:bookmarkEnd w:id="89"/>
      <w:bookmarkEnd w:id="90"/>
      <w:bookmarkEnd w:id="91"/>
      <w:bookmarkEnd w:id="92"/>
      <w:bookmarkEnd w:id="93"/>
    </w:p>
    <w:p>
      <w:pPr>
        <w:pStyle w:val="Heading5"/>
      </w:pPr>
      <w:bookmarkStart w:id="94" w:name="_Toc107475201"/>
      <w:bookmarkStart w:id="95" w:name="_Toc104969515"/>
      <w:r>
        <w:rPr>
          <w:rStyle w:val="CharSectno"/>
        </w:rPr>
        <w:t>22</w:t>
      </w:r>
      <w:r>
        <w:t>.</w:t>
      </w:r>
      <w:r>
        <w:tab/>
        <w:t>Terms used</w:t>
      </w:r>
      <w:bookmarkEnd w:id="94"/>
      <w:bookmarkEnd w:id="95"/>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96" w:name="_Toc106957327"/>
      <w:bookmarkStart w:id="97" w:name="_Toc106957767"/>
      <w:bookmarkStart w:id="98" w:name="_Toc107220957"/>
      <w:bookmarkStart w:id="99" w:name="_Toc107475202"/>
      <w:bookmarkStart w:id="100" w:name="_Toc104902346"/>
      <w:bookmarkStart w:id="101" w:name="_Toc104902611"/>
      <w:bookmarkStart w:id="102" w:name="_Toc104969516"/>
      <w:r>
        <w:rPr>
          <w:rStyle w:val="CharDivNo"/>
        </w:rPr>
        <w:t>Division 2</w:t>
      </w:r>
      <w:r>
        <w:t> — </w:t>
      </w:r>
      <w:r>
        <w:rPr>
          <w:rStyle w:val="CharDivText"/>
        </w:rPr>
        <w:t>Identification, location and nature</w:t>
      </w:r>
      <w:bookmarkEnd w:id="96"/>
      <w:bookmarkEnd w:id="97"/>
      <w:bookmarkEnd w:id="98"/>
      <w:bookmarkEnd w:id="99"/>
      <w:bookmarkEnd w:id="100"/>
      <w:bookmarkEnd w:id="101"/>
      <w:bookmarkEnd w:id="102"/>
    </w:p>
    <w:p>
      <w:pPr>
        <w:pStyle w:val="Heading5"/>
      </w:pPr>
      <w:bookmarkStart w:id="103" w:name="_Toc107475203"/>
      <w:bookmarkStart w:id="104" w:name="_Toc104969517"/>
      <w:r>
        <w:rPr>
          <w:rStyle w:val="CharSectno"/>
        </w:rPr>
        <w:t>23</w:t>
      </w:r>
      <w:r>
        <w:t>.</w:t>
      </w:r>
      <w:r>
        <w:tab/>
        <w:t>Permitted easements and short form descriptions</w:t>
      </w:r>
      <w:bookmarkEnd w:id="103"/>
      <w:bookmarkEnd w:id="104"/>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105" w:name="_Toc107475204"/>
      <w:bookmarkStart w:id="106" w:name="_Toc104969518"/>
      <w:r>
        <w:rPr>
          <w:rStyle w:val="CharSectno"/>
        </w:rPr>
        <w:t>24</w:t>
      </w:r>
      <w:r>
        <w:t>.</w:t>
      </w:r>
      <w:r>
        <w:tab/>
        <w:t>Location of easement area and identification of property affected</w:t>
      </w:r>
      <w:bookmarkEnd w:id="105"/>
      <w:bookmarkEnd w:id="106"/>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107" w:name="_Toc107475205"/>
      <w:bookmarkStart w:id="108" w:name="_Toc104969519"/>
      <w:r>
        <w:rPr>
          <w:rStyle w:val="CharSectno"/>
        </w:rPr>
        <w:t>25</w:t>
      </w:r>
      <w:r>
        <w:t>.</w:t>
      </w:r>
      <w:r>
        <w:tab/>
        <w:t>Permitted restrictive covenants and short form descriptions</w:t>
      </w:r>
      <w:bookmarkEnd w:id="107"/>
      <w:bookmarkEnd w:id="108"/>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109" w:name="_Toc107475206"/>
      <w:bookmarkStart w:id="110" w:name="_Toc104969520"/>
      <w:r>
        <w:rPr>
          <w:rStyle w:val="CharSectno"/>
        </w:rPr>
        <w:t>26</w:t>
      </w:r>
      <w:r>
        <w:t>.</w:t>
      </w:r>
      <w:r>
        <w:tab/>
        <w:t>Location of covenant area and identification of property affected</w:t>
      </w:r>
      <w:bookmarkEnd w:id="109"/>
      <w:bookmarkEnd w:id="110"/>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111" w:name="_Toc107475207"/>
      <w:bookmarkStart w:id="112" w:name="_Toc104969521"/>
      <w:r>
        <w:rPr>
          <w:rStyle w:val="CharSectno"/>
        </w:rPr>
        <w:t>27</w:t>
      </w:r>
      <w:r>
        <w:t>.</w:t>
      </w:r>
      <w:r>
        <w:tab/>
        <w:t>Benefit of short form easement or restrictive covenant need not attach to land</w:t>
      </w:r>
      <w:bookmarkEnd w:id="111"/>
      <w:bookmarkEnd w:id="112"/>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113" w:name="_Toc107475208"/>
      <w:bookmarkStart w:id="114" w:name="_Toc104969522"/>
      <w:r>
        <w:rPr>
          <w:rStyle w:val="CharSectno"/>
        </w:rPr>
        <w:t>28</w:t>
      </w:r>
      <w:r>
        <w:t>.</w:t>
      </w:r>
      <w:r>
        <w:tab/>
        <w:t>Short form easement or restrictive covenant binds strata company</w:t>
      </w:r>
      <w:bookmarkEnd w:id="113"/>
      <w:bookmarkEnd w:id="114"/>
    </w:p>
    <w:p>
      <w:pPr>
        <w:pStyle w:val="Subsection"/>
      </w:pPr>
      <w:r>
        <w:tab/>
      </w:r>
      <w:r>
        <w:tab/>
        <w:t>A short form easement or restrictive covenant that benefits or burdens common property is binding on the strata company.</w:t>
      </w:r>
    </w:p>
    <w:p>
      <w:pPr>
        <w:pStyle w:val="Heading5"/>
      </w:pPr>
      <w:bookmarkStart w:id="115" w:name="_Toc107475209"/>
      <w:bookmarkStart w:id="116" w:name="_Toc104969523"/>
      <w:r>
        <w:rPr>
          <w:rStyle w:val="CharSectno"/>
        </w:rPr>
        <w:t>29</w:t>
      </w:r>
      <w:r>
        <w:t>.</w:t>
      </w:r>
      <w:r>
        <w:tab/>
        <w:t>Short form documents</w:t>
      </w:r>
      <w:bookmarkEnd w:id="115"/>
      <w:bookmarkEnd w:id="116"/>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17" w:name="_Toc106957335"/>
      <w:bookmarkStart w:id="118" w:name="_Toc106957775"/>
      <w:bookmarkStart w:id="119" w:name="_Toc107220965"/>
      <w:bookmarkStart w:id="120" w:name="_Toc107475210"/>
      <w:bookmarkStart w:id="121" w:name="_Toc104902354"/>
      <w:bookmarkStart w:id="122" w:name="_Toc104902619"/>
      <w:bookmarkStart w:id="123" w:name="_Toc104969524"/>
      <w:r>
        <w:rPr>
          <w:rStyle w:val="CharDivNo"/>
        </w:rPr>
        <w:t>Division 3</w:t>
      </w:r>
      <w:r>
        <w:t> — </w:t>
      </w:r>
      <w:r>
        <w:rPr>
          <w:rStyle w:val="CharDivText"/>
        </w:rPr>
        <w:t>Rights and liabilities under short form easements</w:t>
      </w:r>
      <w:bookmarkEnd w:id="117"/>
      <w:bookmarkEnd w:id="118"/>
      <w:bookmarkEnd w:id="119"/>
      <w:bookmarkEnd w:id="120"/>
      <w:bookmarkEnd w:id="121"/>
      <w:bookmarkEnd w:id="122"/>
      <w:bookmarkEnd w:id="123"/>
    </w:p>
    <w:p>
      <w:pPr>
        <w:pStyle w:val="Heading5"/>
      </w:pPr>
      <w:bookmarkStart w:id="124" w:name="_Toc107475211"/>
      <w:bookmarkStart w:id="125" w:name="_Toc104969525"/>
      <w:r>
        <w:rPr>
          <w:rStyle w:val="CharSectno"/>
        </w:rPr>
        <w:t>30</w:t>
      </w:r>
      <w:r>
        <w:t>.</w:t>
      </w:r>
      <w:r>
        <w:tab/>
        <w:t>General</w:t>
      </w:r>
      <w:bookmarkEnd w:id="124"/>
      <w:bookmarkEnd w:id="125"/>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26" w:name="_Toc107475212"/>
      <w:bookmarkStart w:id="127" w:name="_Toc104969526"/>
      <w:r>
        <w:rPr>
          <w:rStyle w:val="CharSectno"/>
        </w:rPr>
        <w:t>31</w:t>
      </w:r>
      <w:r>
        <w:t>.</w:t>
      </w:r>
      <w:r>
        <w:tab/>
        <w:t>Vehicle access easement</w:t>
      </w:r>
      <w:bookmarkEnd w:id="126"/>
      <w:bookmarkEnd w:id="127"/>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28" w:name="_Toc107475213"/>
      <w:bookmarkStart w:id="129" w:name="_Toc104969527"/>
      <w:r>
        <w:rPr>
          <w:rStyle w:val="CharSectno"/>
        </w:rPr>
        <w:t>32</w:t>
      </w:r>
      <w:r>
        <w:t>.</w:t>
      </w:r>
      <w:r>
        <w:tab/>
        <w:t>Light and air easement</w:t>
      </w:r>
      <w:bookmarkEnd w:id="128"/>
      <w:bookmarkEnd w:id="129"/>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30" w:name="_Toc107475214"/>
      <w:bookmarkStart w:id="131" w:name="_Toc104969528"/>
      <w:r>
        <w:rPr>
          <w:rStyle w:val="CharSectno"/>
        </w:rPr>
        <w:t>33</w:t>
      </w:r>
      <w:r>
        <w:t>.</w:t>
      </w:r>
      <w:r>
        <w:tab/>
        <w:t>Party wall easement</w:t>
      </w:r>
      <w:bookmarkEnd w:id="130"/>
      <w:bookmarkEnd w:id="131"/>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32" w:name="_Toc107475215"/>
      <w:bookmarkStart w:id="133" w:name="_Toc104969529"/>
      <w:r>
        <w:rPr>
          <w:rStyle w:val="CharSectno"/>
        </w:rPr>
        <w:t>34</w:t>
      </w:r>
      <w:r>
        <w:t>.</w:t>
      </w:r>
      <w:r>
        <w:tab/>
        <w:t>Intrusion easement</w:t>
      </w:r>
      <w:bookmarkEnd w:id="132"/>
      <w:bookmarkEnd w:id="133"/>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34" w:name="_Toc107475216"/>
      <w:bookmarkStart w:id="135" w:name="_Toc104969530"/>
      <w:r>
        <w:rPr>
          <w:rStyle w:val="CharSectno"/>
        </w:rPr>
        <w:t>35</w:t>
      </w:r>
      <w:r>
        <w:t>.</w:t>
      </w:r>
      <w:r>
        <w:tab/>
        <w:t>Pedestrian access easement</w:t>
      </w:r>
      <w:bookmarkEnd w:id="134"/>
      <w:bookmarkEnd w:id="135"/>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36" w:name="_Toc107475217"/>
      <w:bookmarkStart w:id="137" w:name="_Toc104969531"/>
      <w:r>
        <w:rPr>
          <w:rStyle w:val="CharSectno"/>
        </w:rPr>
        <w:t>36</w:t>
      </w:r>
      <w:r>
        <w:t>.</w:t>
      </w:r>
      <w:r>
        <w:tab/>
        <w:t>Easement in gross</w:t>
      </w:r>
      <w:bookmarkEnd w:id="136"/>
      <w:bookmarkEnd w:id="137"/>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38" w:name="_Toc107475218"/>
      <w:bookmarkStart w:id="139" w:name="_Toc104969532"/>
      <w:r>
        <w:rPr>
          <w:rStyle w:val="CharSectno"/>
        </w:rPr>
        <w:t>37</w:t>
      </w:r>
      <w:r>
        <w:t>.</w:t>
      </w:r>
      <w:r>
        <w:tab/>
        <w:t>Easement for utility services</w:t>
      </w:r>
      <w:bookmarkEnd w:id="138"/>
      <w:bookmarkEnd w:id="139"/>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40" w:name="_Toc107475219"/>
      <w:bookmarkStart w:id="141" w:name="_Toc104969533"/>
      <w:r>
        <w:rPr>
          <w:rStyle w:val="CharSectno"/>
        </w:rPr>
        <w:t>38</w:t>
      </w:r>
      <w:r>
        <w:t>.</w:t>
      </w:r>
      <w:r>
        <w:tab/>
        <w:t>Entry under easement</w:t>
      </w:r>
      <w:bookmarkEnd w:id="140"/>
      <w:bookmarkEnd w:id="141"/>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42" w:name="_Toc107475220"/>
      <w:bookmarkStart w:id="143" w:name="_Toc104969534"/>
      <w:r>
        <w:rPr>
          <w:rStyle w:val="CharSectno"/>
        </w:rPr>
        <w:t>39</w:t>
      </w:r>
      <w:r>
        <w:t>.</w:t>
      </w:r>
      <w:r>
        <w:tab/>
        <w:t>Rectification of damage</w:t>
      </w:r>
      <w:bookmarkEnd w:id="142"/>
      <w:bookmarkEnd w:id="143"/>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44" w:name="_Toc107475221"/>
      <w:bookmarkStart w:id="145" w:name="_Toc104969535"/>
      <w:r>
        <w:rPr>
          <w:rStyle w:val="CharSectno"/>
        </w:rPr>
        <w:t>40</w:t>
      </w:r>
      <w:r>
        <w:t>.</w:t>
      </w:r>
      <w:r>
        <w:tab/>
        <w:t>Indemnity payable by grantee</w:t>
      </w:r>
      <w:bookmarkEnd w:id="144"/>
      <w:bookmarkEnd w:id="145"/>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46" w:name="_Toc107475222"/>
      <w:bookmarkStart w:id="147" w:name="_Toc104969536"/>
      <w:r>
        <w:rPr>
          <w:rStyle w:val="CharSectno"/>
        </w:rPr>
        <w:t>41</w:t>
      </w:r>
      <w:r>
        <w:t>.</w:t>
      </w:r>
      <w:r>
        <w:tab/>
        <w:t>Payment of consideration</w:t>
      </w:r>
      <w:bookmarkEnd w:id="146"/>
      <w:bookmarkEnd w:id="147"/>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48" w:name="_Toc106957348"/>
      <w:bookmarkStart w:id="149" w:name="_Toc106957788"/>
      <w:bookmarkStart w:id="150" w:name="_Toc107220978"/>
      <w:bookmarkStart w:id="151" w:name="_Toc107475223"/>
      <w:bookmarkStart w:id="152" w:name="_Toc104902367"/>
      <w:bookmarkStart w:id="153" w:name="_Toc104902632"/>
      <w:bookmarkStart w:id="154" w:name="_Toc104969537"/>
      <w:r>
        <w:rPr>
          <w:rStyle w:val="CharDivNo"/>
        </w:rPr>
        <w:t>Division 4</w:t>
      </w:r>
      <w:r>
        <w:t> — </w:t>
      </w:r>
      <w:r>
        <w:rPr>
          <w:rStyle w:val="CharDivText"/>
        </w:rPr>
        <w:t>Rights and liabilities under short form restrictive covenants</w:t>
      </w:r>
      <w:bookmarkEnd w:id="148"/>
      <w:bookmarkEnd w:id="149"/>
      <w:bookmarkEnd w:id="150"/>
      <w:bookmarkEnd w:id="151"/>
      <w:bookmarkEnd w:id="152"/>
      <w:bookmarkEnd w:id="153"/>
      <w:bookmarkEnd w:id="154"/>
    </w:p>
    <w:p>
      <w:pPr>
        <w:pStyle w:val="Heading5"/>
      </w:pPr>
      <w:bookmarkStart w:id="155" w:name="_Toc107475224"/>
      <w:bookmarkStart w:id="156" w:name="_Toc104969538"/>
      <w:r>
        <w:rPr>
          <w:rStyle w:val="CharSectno"/>
        </w:rPr>
        <w:t>42</w:t>
      </w:r>
      <w:r>
        <w:t>.</w:t>
      </w:r>
      <w:r>
        <w:tab/>
        <w:t>General</w:t>
      </w:r>
      <w:bookmarkEnd w:id="155"/>
      <w:bookmarkEnd w:id="156"/>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57" w:name="_Toc107475225"/>
      <w:bookmarkStart w:id="158" w:name="_Toc104969539"/>
      <w:r>
        <w:rPr>
          <w:rStyle w:val="CharSectno"/>
        </w:rPr>
        <w:t>43</w:t>
      </w:r>
      <w:r>
        <w:t>.</w:t>
      </w:r>
      <w:r>
        <w:tab/>
        <w:t>Right of way restrictive covenant</w:t>
      </w:r>
      <w:bookmarkEnd w:id="157"/>
      <w:bookmarkEnd w:id="158"/>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59" w:name="_Toc107475226"/>
      <w:bookmarkStart w:id="160" w:name="_Toc104969540"/>
      <w:r>
        <w:rPr>
          <w:rStyle w:val="CharSectno"/>
        </w:rPr>
        <w:t>44</w:t>
      </w:r>
      <w:r>
        <w:t>.</w:t>
      </w:r>
      <w:r>
        <w:tab/>
        <w:t>Land use restrictive covenant</w:t>
      </w:r>
      <w:bookmarkEnd w:id="159"/>
      <w:bookmarkEnd w:id="160"/>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61" w:name="_Toc107475227"/>
      <w:bookmarkStart w:id="162" w:name="_Toc104969541"/>
      <w:r>
        <w:rPr>
          <w:rStyle w:val="CharSectno"/>
        </w:rPr>
        <w:t>45</w:t>
      </w:r>
      <w:r>
        <w:t>.</w:t>
      </w:r>
      <w:r>
        <w:tab/>
        <w:t>Conservation restrictive covenant</w:t>
      </w:r>
      <w:bookmarkEnd w:id="161"/>
      <w:bookmarkEnd w:id="162"/>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63" w:name="_Toc107475228"/>
      <w:bookmarkStart w:id="164" w:name="_Toc104969542"/>
      <w:r>
        <w:rPr>
          <w:rStyle w:val="CharSectno"/>
        </w:rPr>
        <w:t>46</w:t>
      </w:r>
      <w:r>
        <w:t>.</w:t>
      </w:r>
      <w:r>
        <w:tab/>
        <w:t>Building envelope restrictive covenant</w:t>
      </w:r>
      <w:bookmarkEnd w:id="163"/>
      <w:bookmarkEnd w:id="164"/>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65" w:name="_Toc107475229"/>
      <w:bookmarkStart w:id="166" w:name="_Toc104969543"/>
      <w:r>
        <w:rPr>
          <w:rStyle w:val="CharSectno"/>
        </w:rPr>
        <w:t>47</w:t>
      </w:r>
      <w:r>
        <w:t>.</w:t>
      </w:r>
      <w:r>
        <w:tab/>
        <w:t>Fire restrictive covenant</w:t>
      </w:r>
      <w:bookmarkEnd w:id="165"/>
      <w:bookmarkEnd w:id="166"/>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67" w:name="_Toc106957355"/>
      <w:bookmarkStart w:id="168" w:name="_Toc106957795"/>
      <w:bookmarkStart w:id="169" w:name="_Toc107220985"/>
      <w:bookmarkStart w:id="170" w:name="_Toc107475230"/>
      <w:bookmarkStart w:id="171" w:name="_Toc104902374"/>
      <w:bookmarkStart w:id="172" w:name="_Toc104902639"/>
      <w:bookmarkStart w:id="173" w:name="_Toc104969544"/>
      <w:r>
        <w:rPr>
          <w:rStyle w:val="CharPartNo"/>
        </w:rPr>
        <w:t>Part 6</w:t>
      </w:r>
      <w:r>
        <w:rPr>
          <w:rStyle w:val="CharDivNo"/>
        </w:rPr>
        <w:t> </w:t>
      </w:r>
      <w:r>
        <w:t>—</w:t>
      </w:r>
      <w:r>
        <w:rPr>
          <w:rStyle w:val="CharDivText"/>
        </w:rPr>
        <w:t> </w:t>
      </w:r>
      <w:r>
        <w:rPr>
          <w:rStyle w:val="CharPartText"/>
        </w:rPr>
        <w:t>Staged subdivision</w:t>
      </w:r>
      <w:bookmarkEnd w:id="167"/>
      <w:bookmarkEnd w:id="168"/>
      <w:bookmarkEnd w:id="169"/>
      <w:bookmarkEnd w:id="170"/>
      <w:bookmarkEnd w:id="171"/>
      <w:bookmarkEnd w:id="172"/>
      <w:bookmarkEnd w:id="173"/>
    </w:p>
    <w:p>
      <w:pPr>
        <w:pStyle w:val="Heading5"/>
      </w:pPr>
      <w:bookmarkStart w:id="174" w:name="_Toc107475231"/>
      <w:bookmarkStart w:id="175" w:name="_Toc104969545"/>
      <w:r>
        <w:rPr>
          <w:rStyle w:val="CharSectno"/>
        </w:rPr>
        <w:t>48</w:t>
      </w:r>
      <w:r>
        <w:t>.</w:t>
      </w:r>
      <w:r>
        <w:tab/>
        <w:t>Terms used</w:t>
      </w:r>
      <w:bookmarkEnd w:id="174"/>
      <w:bookmarkEnd w:id="175"/>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76" w:name="_Toc107475232"/>
      <w:bookmarkStart w:id="177" w:name="_Toc104969546"/>
      <w:r>
        <w:rPr>
          <w:rStyle w:val="CharSectno"/>
        </w:rPr>
        <w:t>49</w:t>
      </w:r>
      <w:r>
        <w:t>.</w:t>
      </w:r>
      <w:r>
        <w:tab/>
        <w:t>Significant variations</w:t>
      </w:r>
      <w:bookmarkEnd w:id="176"/>
      <w:bookmarkEnd w:id="177"/>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78" w:name="_Toc107475233"/>
      <w:bookmarkStart w:id="179" w:name="_Toc104969547"/>
      <w:r>
        <w:rPr>
          <w:rStyle w:val="CharSectno"/>
        </w:rPr>
        <w:t>50</w:t>
      </w:r>
      <w:r>
        <w:t>.</w:t>
      </w:r>
      <w:r>
        <w:tab/>
        <w:t>Exemption for stage of subdivision with no significant variations</w:t>
      </w:r>
      <w:bookmarkEnd w:id="178"/>
      <w:bookmarkEnd w:id="179"/>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80" w:name="_Toc107475234"/>
      <w:bookmarkStart w:id="181" w:name="_Toc104969548"/>
      <w:r>
        <w:rPr>
          <w:rStyle w:val="CharSectno"/>
        </w:rPr>
        <w:t>51</w:t>
      </w:r>
      <w:r>
        <w:t>.</w:t>
      </w:r>
      <w:r>
        <w:tab/>
        <w:t>Persons entitled to dispute determination</w:t>
      </w:r>
      <w:bookmarkEnd w:id="180"/>
      <w:bookmarkEnd w:id="181"/>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82" w:name="_Toc107475235"/>
      <w:bookmarkStart w:id="183" w:name="_Toc104969549"/>
      <w:r>
        <w:rPr>
          <w:rStyle w:val="CharSectno"/>
        </w:rPr>
        <w:t>52</w:t>
      </w:r>
      <w:r>
        <w:t>.</w:t>
      </w:r>
      <w:r>
        <w:tab/>
        <w:t>Disputes about certified variations</w:t>
      </w:r>
      <w:bookmarkEnd w:id="182"/>
      <w:bookmarkEnd w:id="183"/>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84" w:name="_Toc107475236"/>
      <w:bookmarkStart w:id="185" w:name="_Toc104969550"/>
      <w:r>
        <w:rPr>
          <w:rStyle w:val="CharSectno"/>
        </w:rPr>
        <w:t>53</w:t>
      </w:r>
      <w:r>
        <w:t>.</w:t>
      </w:r>
      <w:r>
        <w:tab/>
        <w:t>Requirements relating to staged subdivision by</w:t>
      </w:r>
      <w:r>
        <w:noBreakHyphen/>
        <w:t>laws</w:t>
      </w:r>
      <w:bookmarkEnd w:id="184"/>
      <w:bookmarkEnd w:id="185"/>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86" w:name="_Toc106957362"/>
      <w:bookmarkStart w:id="187" w:name="_Toc106957802"/>
      <w:bookmarkStart w:id="188" w:name="_Toc107220992"/>
      <w:bookmarkStart w:id="189" w:name="_Toc107475237"/>
      <w:bookmarkStart w:id="190" w:name="_Toc104902381"/>
      <w:bookmarkStart w:id="191" w:name="_Toc104902646"/>
      <w:bookmarkStart w:id="192" w:name="_Toc104969551"/>
      <w:r>
        <w:rPr>
          <w:rStyle w:val="CharPartNo"/>
        </w:rPr>
        <w:t>Part 7</w:t>
      </w:r>
      <w:r>
        <w:rPr>
          <w:rStyle w:val="CharDivNo"/>
        </w:rPr>
        <w:t> </w:t>
      </w:r>
      <w:r>
        <w:t>—</w:t>
      </w:r>
      <w:r>
        <w:rPr>
          <w:rStyle w:val="CharDivText"/>
        </w:rPr>
        <w:t> </w:t>
      </w:r>
      <w:r>
        <w:rPr>
          <w:rStyle w:val="CharPartText"/>
        </w:rPr>
        <w:t>Schedule of unit entitlements</w:t>
      </w:r>
      <w:bookmarkEnd w:id="186"/>
      <w:bookmarkEnd w:id="187"/>
      <w:bookmarkEnd w:id="188"/>
      <w:bookmarkEnd w:id="189"/>
      <w:bookmarkEnd w:id="190"/>
      <w:bookmarkEnd w:id="191"/>
      <w:bookmarkEnd w:id="192"/>
    </w:p>
    <w:p>
      <w:pPr>
        <w:pStyle w:val="Heading5"/>
      </w:pPr>
      <w:bookmarkStart w:id="193" w:name="_Toc107475238"/>
      <w:bookmarkStart w:id="194" w:name="_Toc104969552"/>
      <w:r>
        <w:rPr>
          <w:rStyle w:val="CharSectno"/>
        </w:rPr>
        <w:t>54</w:t>
      </w:r>
      <w:r>
        <w:t>.</w:t>
      </w:r>
      <w:r>
        <w:tab/>
        <w:t>Determining capital value of a lot</w:t>
      </w:r>
      <w:bookmarkEnd w:id="193"/>
      <w:bookmarkEnd w:id="194"/>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95" w:name="_Toc107475239"/>
      <w:bookmarkStart w:id="196" w:name="_Toc104969553"/>
      <w:r>
        <w:rPr>
          <w:rStyle w:val="CharSectno"/>
        </w:rPr>
        <w:t>55</w:t>
      </w:r>
      <w:r>
        <w:t>.</w:t>
      </w:r>
      <w:r>
        <w:tab/>
        <w:t>Certificate by licensed valuer</w:t>
      </w:r>
      <w:bookmarkEnd w:id="195"/>
      <w:bookmarkEnd w:id="196"/>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97" w:name="_Toc106957365"/>
      <w:bookmarkStart w:id="198" w:name="_Toc106957805"/>
      <w:bookmarkStart w:id="199" w:name="_Toc107220995"/>
      <w:bookmarkStart w:id="200" w:name="_Toc107475240"/>
      <w:bookmarkStart w:id="201" w:name="_Toc104902384"/>
      <w:bookmarkStart w:id="202" w:name="_Toc104902649"/>
      <w:bookmarkStart w:id="203" w:name="_Toc104969554"/>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97"/>
      <w:bookmarkEnd w:id="198"/>
      <w:bookmarkEnd w:id="199"/>
      <w:bookmarkEnd w:id="200"/>
      <w:bookmarkEnd w:id="201"/>
      <w:bookmarkEnd w:id="202"/>
      <w:bookmarkEnd w:id="203"/>
    </w:p>
    <w:p>
      <w:pPr>
        <w:pStyle w:val="Heading5"/>
      </w:pPr>
      <w:bookmarkStart w:id="204" w:name="_Toc107475241"/>
      <w:bookmarkStart w:id="205" w:name="_Toc104969555"/>
      <w:r>
        <w:rPr>
          <w:rStyle w:val="CharSectno"/>
        </w:rPr>
        <w:t>56</w:t>
      </w:r>
      <w:r>
        <w:t>.</w:t>
      </w:r>
      <w:r>
        <w:tab/>
        <w:t>Application for registration of scheme by</w:t>
      </w:r>
      <w:r>
        <w:noBreakHyphen/>
        <w:t>laws</w:t>
      </w:r>
      <w:bookmarkEnd w:id="204"/>
      <w:bookmarkEnd w:id="205"/>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206" w:name="_Toc107475242"/>
      <w:bookmarkStart w:id="207" w:name="_Toc104969556"/>
      <w:r>
        <w:rPr>
          <w:rStyle w:val="CharSectno"/>
        </w:rPr>
        <w:t>57</w:t>
      </w:r>
      <w:r>
        <w:t>.</w:t>
      </w:r>
      <w:r>
        <w:tab/>
        <w:t>Enforcement of scheme by</w:t>
      </w:r>
      <w:r>
        <w:noBreakHyphen/>
        <w:t>laws</w:t>
      </w:r>
      <w:bookmarkEnd w:id="206"/>
      <w:bookmarkEnd w:id="207"/>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208" w:name="_Toc107475243"/>
      <w:bookmarkStart w:id="209" w:name="_Toc104969557"/>
      <w:r>
        <w:rPr>
          <w:rStyle w:val="CharSectno"/>
        </w:rPr>
        <w:t>58</w:t>
      </w:r>
      <w:r>
        <w:t>.</w:t>
      </w:r>
      <w:r>
        <w:tab/>
        <w:t>Maximum penalty for contravention of scheme by</w:t>
      </w:r>
      <w:r>
        <w:noBreakHyphen/>
        <w:t>laws</w:t>
      </w:r>
      <w:bookmarkEnd w:id="208"/>
      <w:bookmarkEnd w:id="209"/>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210" w:name="_Toc106957369"/>
      <w:bookmarkStart w:id="211" w:name="_Toc106957809"/>
      <w:bookmarkStart w:id="212" w:name="_Toc107220999"/>
      <w:bookmarkStart w:id="213" w:name="_Toc107475244"/>
      <w:bookmarkStart w:id="214" w:name="_Toc104902388"/>
      <w:bookmarkStart w:id="215" w:name="_Toc104902653"/>
      <w:bookmarkStart w:id="216" w:name="_Toc104969558"/>
      <w:r>
        <w:rPr>
          <w:rStyle w:val="CharPartNo"/>
        </w:rPr>
        <w:t>Part 9</w:t>
      </w:r>
      <w:r>
        <w:rPr>
          <w:rStyle w:val="CharDivNo"/>
        </w:rPr>
        <w:t> </w:t>
      </w:r>
      <w:r>
        <w:t>—</w:t>
      </w:r>
      <w:r>
        <w:rPr>
          <w:rStyle w:val="CharDivText"/>
        </w:rPr>
        <w:t> </w:t>
      </w:r>
      <w:r>
        <w:rPr>
          <w:rStyle w:val="CharPartText"/>
        </w:rPr>
        <w:t>Strata leases</w:t>
      </w:r>
      <w:bookmarkEnd w:id="210"/>
      <w:bookmarkEnd w:id="211"/>
      <w:bookmarkEnd w:id="212"/>
      <w:bookmarkEnd w:id="213"/>
      <w:bookmarkEnd w:id="214"/>
      <w:bookmarkEnd w:id="215"/>
      <w:bookmarkEnd w:id="216"/>
    </w:p>
    <w:p>
      <w:pPr>
        <w:pStyle w:val="Heading5"/>
      </w:pPr>
      <w:bookmarkStart w:id="217" w:name="_Toc107475245"/>
      <w:bookmarkStart w:id="218" w:name="_Toc104969559"/>
      <w:r>
        <w:rPr>
          <w:rStyle w:val="CharSectno"/>
        </w:rPr>
        <w:t>59</w:t>
      </w:r>
      <w:r>
        <w:t>.</w:t>
      </w:r>
      <w:r>
        <w:tab/>
        <w:t>Relationship with other laws</w:t>
      </w:r>
      <w:bookmarkEnd w:id="217"/>
      <w:bookmarkEnd w:id="218"/>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219" w:name="_Toc107475246"/>
      <w:bookmarkStart w:id="220" w:name="_Toc104969560"/>
      <w:r>
        <w:rPr>
          <w:rStyle w:val="CharSectno"/>
        </w:rPr>
        <w:t>60</w:t>
      </w:r>
      <w:r>
        <w:t>.</w:t>
      </w:r>
      <w:r>
        <w:tab/>
        <w:t>Consent of owner to deal with or dispose of strata title</w:t>
      </w:r>
      <w:bookmarkEnd w:id="219"/>
      <w:bookmarkEnd w:id="220"/>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221" w:name="_Toc107475247"/>
      <w:bookmarkStart w:id="222" w:name="_Toc104969561"/>
      <w:r>
        <w:rPr>
          <w:rStyle w:val="CharSectno"/>
        </w:rPr>
        <w:t>61</w:t>
      </w:r>
      <w:r>
        <w:t>.</w:t>
      </w:r>
      <w:r>
        <w:tab/>
        <w:t>Requirements for strata lease</w:t>
      </w:r>
      <w:bookmarkEnd w:id="221"/>
      <w:bookmarkEnd w:id="222"/>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223" w:name="_Toc107475248"/>
      <w:bookmarkStart w:id="224" w:name="_Toc104969562"/>
      <w:r>
        <w:rPr>
          <w:rStyle w:val="CharSectno"/>
        </w:rPr>
        <w:t>62</w:t>
      </w:r>
      <w:r>
        <w:t>.</w:t>
      </w:r>
      <w:r>
        <w:tab/>
        <w:t>Covenants or conditions of strata lease that are allowed</w:t>
      </w:r>
      <w:bookmarkEnd w:id="223"/>
      <w:bookmarkEnd w:id="224"/>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225" w:name="_Toc107475249"/>
      <w:bookmarkStart w:id="226" w:name="_Toc104969563"/>
      <w:r>
        <w:rPr>
          <w:rStyle w:val="CharSectno"/>
        </w:rPr>
        <w:t>63</w:t>
      </w:r>
      <w:r>
        <w:t>.</w:t>
      </w:r>
      <w:r>
        <w:tab/>
        <w:t>Amendment of strata lease</w:t>
      </w:r>
      <w:bookmarkEnd w:id="225"/>
      <w:bookmarkEnd w:id="226"/>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227" w:name="_Toc106957375"/>
      <w:bookmarkStart w:id="228" w:name="_Toc106957815"/>
      <w:bookmarkStart w:id="229" w:name="_Toc107221005"/>
      <w:bookmarkStart w:id="230" w:name="_Toc107475250"/>
      <w:bookmarkStart w:id="231" w:name="_Toc104902394"/>
      <w:bookmarkStart w:id="232" w:name="_Toc104902659"/>
      <w:bookmarkStart w:id="233" w:name="_Toc104969564"/>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227"/>
      <w:bookmarkEnd w:id="228"/>
      <w:bookmarkEnd w:id="229"/>
      <w:bookmarkEnd w:id="230"/>
      <w:bookmarkEnd w:id="231"/>
      <w:bookmarkEnd w:id="232"/>
      <w:bookmarkEnd w:id="233"/>
    </w:p>
    <w:p>
      <w:pPr>
        <w:pStyle w:val="Heading5"/>
      </w:pPr>
      <w:bookmarkStart w:id="234" w:name="_Toc107475251"/>
      <w:bookmarkStart w:id="235" w:name="_Toc104969565"/>
      <w:r>
        <w:rPr>
          <w:rStyle w:val="CharSectno"/>
        </w:rPr>
        <w:t>64</w:t>
      </w:r>
      <w:r>
        <w:t>.</w:t>
      </w:r>
      <w:r>
        <w:tab/>
        <w:t>Special procedures for notice under s. 64</w:t>
      </w:r>
      <w:bookmarkEnd w:id="234"/>
      <w:bookmarkEnd w:id="235"/>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236" w:name="_Toc107475252"/>
      <w:bookmarkStart w:id="237" w:name="_Toc104969566"/>
      <w:r>
        <w:rPr>
          <w:rStyle w:val="CharSectno"/>
        </w:rPr>
        <w:t>65</w:t>
      </w:r>
      <w:r>
        <w:t>.</w:t>
      </w:r>
      <w:r>
        <w:tab/>
        <w:t>Consent of strata company to development</w:t>
      </w:r>
      <w:bookmarkEnd w:id="236"/>
      <w:bookmarkEnd w:id="237"/>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238" w:name="_Toc107475253"/>
      <w:bookmarkStart w:id="239" w:name="_Toc104969567"/>
      <w:r>
        <w:rPr>
          <w:rStyle w:val="CharSectno"/>
        </w:rPr>
        <w:t>66</w:t>
      </w:r>
      <w:r>
        <w:t>.</w:t>
      </w:r>
      <w:r>
        <w:tab/>
        <w:t>Obligations of infrastructure owner</w:t>
      </w:r>
      <w:bookmarkEnd w:id="238"/>
      <w:bookmarkEnd w:id="239"/>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240" w:name="_Toc107475254"/>
      <w:bookmarkStart w:id="241" w:name="_Toc104969568"/>
      <w:r>
        <w:rPr>
          <w:rStyle w:val="CharSectno"/>
        </w:rPr>
        <w:t>67</w:t>
      </w:r>
      <w:r>
        <w:t>.</w:t>
      </w:r>
      <w:r>
        <w:tab/>
        <w:t>Rights of infrastructure owner</w:t>
      </w:r>
      <w:bookmarkEnd w:id="240"/>
      <w:bookmarkEnd w:id="241"/>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242" w:name="_Toc107475255"/>
      <w:bookmarkStart w:id="243" w:name="_Toc104969569"/>
      <w:r>
        <w:rPr>
          <w:rStyle w:val="CharSectno"/>
        </w:rPr>
        <w:t>68</w:t>
      </w:r>
      <w:r>
        <w:t>.</w:t>
      </w:r>
      <w:r>
        <w:tab/>
        <w:t>Disposal of lot by infrastructure owner</w:t>
      </w:r>
      <w:bookmarkEnd w:id="242"/>
      <w:bookmarkEnd w:id="243"/>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244" w:name="_Toc107475256"/>
      <w:bookmarkStart w:id="245" w:name="_Toc104969570"/>
      <w:r>
        <w:rPr>
          <w:rStyle w:val="CharSectno"/>
        </w:rPr>
        <w:t>69</w:t>
      </w:r>
      <w:r>
        <w:t>.</w:t>
      </w:r>
      <w:r>
        <w:tab/>
        <w:t>Strata company to be notified of certain actions</w:t>
      </w:r>
      <w:bookmarkEnd w:id="244"/>
      <w:bookmarkEnd w:id="245"/>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246" w:name="_Toc107475257"/>
      <w:bookmarkStart w:id="247" w:name="_Toc104969571"/>
      <w:r>
        <w:rPr>
          <w:rStyle w:val="CharSectno"/>
        </w:rPr>
        <w:t>70</w:t>
      </w:r>
      <w:r>
        <w:t>.</w:t>
      </w:r>
      <w:r>
        <w:tab/>
        <w:t>Insurance</w:t>
      </w:r>
      <w:bookmarkEnd w:id="246"/>
      <w:bookmarkEnd w:id="247"/>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248" w:name="_Toc107475258"/>
      <w:bookmarkStart w:id="249" w:name="_Toc104969572"/>
      <w:r>
        <w:rPr>
          <w:rStyle w:val="CharSectno"/>
        </w:rPr>
        <w:t>71</w:t>
      </w:r>
      <w:r>
        <w:t>.</w:t>
      </w:r>
      <w:r>
        <w:tab/>
        <w:t>Damage to common property</w:t>
      </w:r>
      <w:bookmarkEnd w:id="248"/>
      <w:bookmarkEnd w:id="249"/>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50" w:name="_Toc107475259"/>
      <w:bookmarkStart w:id="251" w:name="_Toc104969573"/>
      <w:r>
        <w:rPr>
          <w:rStyle w:val="CharSectno"/>
        </w:rPr>
        <w:t>72</w:t>
      </w:r>
      <w:r>
        <w:t>.</w:t>
      </w:r>
      <w:r>
        <w:tab/>
        <w:t>Removal of infrastructure after termination of contract</w:t>
      </w:r>
      <w:bookmarkEnd w:id="250"/>
      <w:bookmarkEnd w:id="251"/>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52" w:name="_Toc106957385"/>
      <w:bookmarkStart w:id="253" w:name="_Toc106957825"/>
      <w:bookmarkStart w:id="254" w:name="_Toc107221015"/>
      <w:bookmarkStart w:id="255" w:name="_Toc107475260"/>
      <w:bookmarkStart w:id="256" w:name="_Toc104902404"/>
      <w:bookmarkStart w:id="257" w:name="_Toc104902669"/>
      <w:bookmarkStart w:id="258" w:name="_Toc104969574"/>
      <w:r>
        <w:rPr>
          <w:rStyle w:val="CharPartNo"/>
        </w:rPr>
        <w:t>Part 11</w:t>
      </w:r>
      <w:r>
        <w:rPr>
          <w:rStyle w:val="CharDivNo"/>
        </w:rPr>
        <w:t> </w:t>
      </w:r>
      <w:r>
        <w:t>—</w:t>
      </w:r>
      <w:r>
        <w:rPr>
          <w:rStyle w:val="CharDivText"/>
        </w:rPr>
        <w:t> </w:t>
      </w:r>
      <w:r>
        <w:rPr>
          <w:rStyle w:val="CharPartText"/>
        </w:rPr>
        <w:t>Lot owners and occupiers</w:t>
      </w:r>
      <w:bookmarkEnd w:id="252"/>
      <w:bookmarkEnd w:id="253"/>
      <w:bookmarkEnd w:id="254"/>
      <w:bookmarkEnd w:id="255"/>
      <w:bookmarkEnd w:id="256"/>
      <w:bookmarkEnd w:id="257"/>
      <w:bookmarkEnd w:id="258"/>
    </w:p>
    <w:p>
      <w:pPr>
        <w:pStyle w:val="Heading5"/>
      </w:pPr>
      <w:bookmarkStart w:id="259" w:name="_Toc107475261"/>
      <w:bookmarkStart w:id="260" w:name="_Toc104969575"/>
      <w:r>
        <w:rPr>
          <w:rStyle w:val="CharSectno"/>
        </w:rPr>
        <w:t>73</w:t>
      </w:r>
      <w:r>
        <w:t>.</w:t>
      </w:r>
      <w:r>
        <w:tab/>
        <w:t>Term used: structure</w:t>
      </w:r>
      <w:bookmarkEnd w:id="259"/>
      <w:bookmarkEnd w:id="260"/>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61" w:name="_Toc107475262"/>
      <w:bookmarkStart w:id="262" w:name="_Toc104969576"/>
      <w:r>
        <w:rPr>
          <w:rStyle w:val="CharSectno"/>
        </w:rPr>
        <w:t>74</w:t>
      </w:r>
      <w:r>
        <w:t>.</w:t>
      </w:r>
      <w:r>
        <w:tab/>
        <w:t>Grounds for refusal of structural alteration</w:t>
      </w:r>
      <w:bookmarkEnd w:id="261"/>
      <w:bookmarkEnd w:id="262"/>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63" w:name="_Toc107475263"/>
      <w:bookmarkStart w:id="264" w:name="_Toc104969577"/>
      <w:r>
        <w:rPr>
          <w:rStyle w:val="CharSectno"/>
        </w:rPr>
        <w:t>75</w:t>
      </w:r>
      <w:r>
        <w:t>.</w:t>
      </w:r>
      <w:r>
        <w:tab/>
        <w:t>Application for approval of structural alteration</w:t>
      </w:r>
      <w:bookmarkEnd w:id="263"/>
      <w:bookmarkEnd w:id="264"/>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65" w:name="_Toc106957389"/>
      <w:bookmarkStart w:id="266" w:name="_Toc106957829"/>
      <w:bookmarkStart w:id="267" w:name="_Toc107221019"/>
      <w:bookmarkStart w:id="268" w:name="_Toc107475264"/>
      <w:bookmarkStart w:id="269" w:name="_Toc104902408"/>
      <w:bookmarkStart w:id="270" w:name="_Toc104902673"/>
      <w:bookmarkStart w:id="271" w:name="_Toc104969578"/>
      <w:r>
        <w:rPr>
          <w:rStyle w:val="CharPartNo"/>
        </w:rPr>
        <w:t>Part 12</w:t>
      </w:r>
      <w:r>
        <w:rPr>
          <w:rStyle w:val="CharDivNo"/>
        </w:rPr>
        <w:t> </w:t>
      </w:r>
      <w:r>
        <w:t>—</w:t>
      </w:r>
      <w:r>
        <w:rPr>
          <w:rStyle w:val="CharDivText"/>
        </w:rPr>
        <w:t> </w:t>
      </w:r>
      <w:r>
        <w:rPr>
          <w:rStyle w:val="CharPartText"/>
        </w:rPr>
        <w:t>Strata companies</w:t>
      </w:r>
      <w:bookmarkEnd w:id="265"/>
      <w:bookmarkEnd w:id="266"/>
      <w:bookmarkEnd w:id="267"/>
      <w:bookmarkEnd w:id="268"/>
      <w:bookmarkEnd w:id="269"/>
      <w:bookmarkEnd w:id="270"/>
      <w:bookmarkEnd w:id="271"/>
    </w:p>
    <w:p>
      <w:pPr>
        <w:pStyle w:val="Heading5"/>
      </w:pPr>
      <w:bookmarkStart w:id="272" w:name="_Toc107475265"/>
      <w:bookmarkStart w:id="273" w:name="_Toc104969579"/>
      <w:r>
        <w:rPr>
          <w:rStyle w:val="CharSectno"/>
        </w:rPr>
        <w:t>76</w:t>
      </w:r>
      <w:r>
        <w:t>.</w:t>
      </w:r>
      <w:r>
        <w:tab/>
        <w:t>Temporary common property</w:t>
      </w:r>
      <w:bookmarkEnd w:id="272"/>
      <w:bookmarkEnd w:id="273"/>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74" w:name="_Toc107475266"/>
      <w:bookmarkStart w:id="275" w:name="_Toc104969580"/>
      <w:r>
        <w:rPr>
          <w:rStyle w:val="CharSectno"/>
        </w:rPr>
        <w:t>77</w:t>
      </w:r>
      <w:r>
        <w:t>.</w:t>
      </w:r>
      <w:r>
        <w:tab/>
        <w:t>Requirement to have 10 year plan</w:t>
      </w:r>
      <w:bookmarkEnd w:id="274"/>
      <w:bookmarkEnd w:id="275"/>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76" w:name="_Toc107475267"/>
      <w:bookmarkStart w:id="277" w:name="_Toc104969581"/>
      <w:r>
        <w:rPr>
          <w:rStyle w:val="CharSectno"/>
        </w:rPr>
        <w:t>78</w:t>
      </w:r>
      <w:r>
        <w:t>.</w:t>
      </w:r>
      <w:r>
        <w:tab/>
        <w:t>Rate of interest on unpaid contributions</w:t>
      </w:r>
      <w:bookmarkEnd w:id="276"/>
      <w:bookmarkEnd w:id="277"/>
    </w:p>
    <w:p>
      <w:pPr>
        <w:pStyle w:val="Subsection"/>
        <w:rPr>
          <w:rStyle w:val="DraftersNotes"/>
        </w:rPr>
      </w:pPr>
      <w:r>
        <w:tab/>
      </w:r>
      <w:r>
        <w:tab/>
        <w:t>For the purposes of section 100(4)(b), the rate of simple interest specified is 11% per annum.</w:t>
      </w:r>
    </w:p>
    <w:p>
      <w:pPr>
        <w:pStyle w:val="Heading5"/>
      </w:pPr>
      <w:bookmarkStart w:id="278" w:name="_Toc107475268"/>
      <w:bookmarkStart w:id="279" w:name="_Toc104969582"/>
      <w:r>
        <w:rPr>
          <w:rStyle w:val="CharSectno"/>
        </w:rPr>
        <w:t>79</w:t>
      </w:r>
      <w:r>
        <w:t>.</w:t>
      </w:r>
      <w:r>
        <w:tab/>
        <w:t>Designated strata company — extended meaning</w:t>
      </w:r>
      <w:bookmarkEnd w:id="278"/>
      <w:bookmarkEnd w:id="279"/>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80" w:name="_Toc107475269"/>
      <w:bookmarkStart w:id="281" w:name="_Toc104969583"/>
      <w:r>
        <w:rPr>
          <w:rStyle w:val="CharSectno"/>
        </w:rPr>
        <w:t>80</w:t>
      </w:r>
      <w:r>
        <w:t>.</w:t>
      </w:r>
      <w:r>
        <w:tab/>
        <w:t>Expenditure on common property requiring special resolution</w:t>
      </w:r>
      <w:bookmarkEnd w:id="280"/>
      <w:bookmarkEnd w:id="281"/>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82" w:name="_Toc107475270"/>
      <w:bookmarkStart w:id="283" w:name="_Toc104969584"/>
      <w:r>
        <w:rPr>
          <w:rStyle w:val="CharSectno"/>
        </w:rPr>
        <w:t>81</w:t>
      </w:r>
      <w:r>
        <w:t>.</w:t>
      </w:r>
      <w:r>
        <w:tab/>
        <w:t>Budget variations that are authorised</w:t>
      </w:r>
      <w:bookmarkEnd w:id="282"/>
      <w:bookmarkEnd w:id="283"/>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84" w:name="_Toc107475271"/>
      <w:bookmarkStart w:id="285" w:name="_Toc104969585"/>
      <w:r>
        <w:rPr>
          <w:rStyle w:val="CharSectno"/>
        </w:rPr>
        <w:t>82</w:t>
      </w:r>
      <w:r>
        <w:t>.</w:t>
      </w:r>
      <w:r>
        <w:tab/>
        <w:t>Expenditure subject to objection procedure</w:t>
      </w:r>
      <w:bookmarkEnd w:id="284"/>
      <w:bookmarkEnd w:id="285"/>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86" w:name="_Toc107475272"/>
      <w:bookmarkStart w:id="287" w:name="_Toc104969586"/>
      <w:r>
        <w:rPr>
          <w:rStyle w:val="CharSectno"/>
        </w:rPr>
        <w:t>83</w:t>
      </w:r>
      <w:r>
        <w:t>.</w:t>
      </w:r>
      <w:r>
        <w:tab/>
        <w:t>Period in which records must be retained</w:t>
      </w:r>
      <w:bookmarkEnd w:id="286"/>
      <w:bookmarkEnd w:id="287"/>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88" w:name="_Toc107475273"/>
      <w:bookmarkStart w:id="289" w:name="_Toc104969587"/>
      <w:r>
        <w:rPr>
          <w:rStyle w:val="CharSectno"/>
        </w:rPr>
        <w:t>84</w:t>
      </w:r>
      <w:r>
        <w:t>.</w:t>
      </w:r>
      <w:r>
        <w:tab/>
        <w:t>Form of records</w:t>
      </w:r>
      <w:bookmarkEnd w:id="288"/>
      <w:bookmarkEnd w:id="289"/>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90" w:name="_Toc107475274"/>
      <w:bookmarkStart w:id="291" w:name="_Toc104969588"/>
      <w:r>
        <w:rPr>
          <w:rStyle w:val="CharSectno"/>
        </w:rPr>
        <w:t>85</w:t>
      </w:r>
      <w:r>
        <w:t>.</w:t>
      </w:r>
      <w:r>
        <w:tab/>
        <w:t>Person with proper interest in information</w:t>
      </w:r>
      <w:bookmarkEnd w:id="290"/>
      <w:bookmarkEnd w:id="291"/>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92" w:name="_Toc107475275"/>
      <w:bookmarkStart w:id="293" w:name="_Toc104969589"/>
      <w:r>
        <w:rPr>
          <w:rStyle w:val="CharSectno"/>
        </w:rPr>
        <w:t>86</w:t>
      </w:r>
      <w:r>
        <w:t>.</w:t>
      </w:r>
      <w:r>
        <w:tab/>
        <w:t>Fees for applications under s. 107</w:t>
      </w:r>
      <w:bookmarkEnd w:id="292"/>
      <w:bookmarkEnd w:id="293"/>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94" w:name="_Toc107475276"/>
      <w:bookmarkStart w:id="295" w:name="_Toc104969590"/>
      <w:r>
        <w:rPr>
          <w:rStyle w:val="CharSectno"/>
        </w:rPr>
        <w:t>87</w:t>
      </w:r>
      <w:r>
        <w:t>.</w:t>
      </w:r>
      <w:r>
        <w:tab/>
        <w:t>Inspection of material</w:t>
      </w:r>
      <w:bookmarkEnd w:id="294"/>
      <w:bookmarkEnd w:id="295"/>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296" w:name="_Toc107475277"/>
      <w:bookmarkStart w:id="297" w:name="_Toc104969591"/>
      <w:r>
        <w:rPr>
          <w:rStyle w:val="CharSectno"/>
        </w:rPr>
        <w:t>88</w:t>
      </w:r>
      <w:r>
        <w:t>.</w:t>
      </w:r>
      <w:r>
        <w:tab/>
        <w:t>Maximum charge for copies of material</w:t>
      </w:r>
      <w:bookmarkEnd w:id="296"/>
      <w:bookmarkEnd w:id="297"/>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298" w:name="_Toc107475278"/>
      <w:bookmarkStart w:id="299" w:name="_Toc104969592"/>
      <w:r>
        <w:rPr>
          <w:rStyle w:val="CharSectno"/>
        </w:rPr>
        <w:t>89</w:t>
      </w:r>
      <w:r>
        <w:t>.</w:t>
      </w:r>
      <w:r>
        <w:tab/>
        <w:t>Voting</w:t>
      </w:r>
      <w:bookmarkEnd w:id="298"/>
      <w:bookmarkEnd w:id="299"/>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300" w:name="_Toc106957404"/>
      <w:bookmarkStart w:id="301" w:name="_Toc106957844"/>
      <w:bookmarkStart w:id="302" w:name="_Toc107221034"/>
      <w:bookmarkStart w:id="303" w:name="_Toc107475279"/>
      <w:bookmarkStart w:id="304" w:name="_Toc104902423"/>
      <w:bookmarkStart w:id="305" w:name="_Toc104902688"/>
      <w:bookmarkStart w:id="306" w:name="_Toc104969593"/>
      <w:r>
        <w:rPr>
          <w:rStyle w:val="CharPartNo"/>
        </w:rPr>
        <w:t>Part 13</w:t>
      </w:r>
      <w:r>
        <w:rPr>
          <w:rStyle w:val="CharDivNo"/>
        </w:rPr>
        <w:t> </w:t>
      </w:r>
      <w:r>
        <w:t>—</w:t>
      </w:r>
      <w:r>
        <w:rPr>
          <w:rStyle w:val="CharDivText"/>
        </w:rPr>
        <w:t> </w:t>
      </w:r>
      <w:r>
        <w:rPr>
          <w:rStyle w:val="CharPartText"/>
        </w:rPr>
        <w:t>Strata managers</w:t>
      </w:r>
      <w:bookmarkEnd w:id="300"/>
      <w:bookmarkEnd w:id="301"/>
      <w:bookmarkEnd w:id="302"/>
      <w:bookmarkEnd w:id="303"/>
      <w:bookmarkEnd w:id="304"/>
      <w:bookmarkEnd w:id="305"/>
      <w:bookmarkEnd w:id="306"/>
    </w:p>
    <w:p>
      <w:pPr>
        <w:pStyle w:val="Heading5"/>
      </w:pPr>
      <w:bookmarkStart w:id="307" w:name="_Toc107475280"/>
      <w:bookmarkStart w:id="308" w:name="_Toc104969594"/>
      <w:r>
        <w:rPr>
          <w:rStyle w:val="CharSectno"/>
        </w:rPr>
        <w:t>90</w:t>
      </w:r>
      <w:r>
        <w:t>.</w:t>
      </w:r>
      <w:r>
        <w:tab/>
        <w:t>Terms used</w:t>
      </w:r>
      <w:bookmarkEnd w:id="307"/>
      <w:bookmarkEnd w:id="308"/>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309" w:name="_Toc107475281"/>
      <w:bookmarkStart w:id="310" w:name="_Toc104969595"/>
      <w:r>
        <w:rPr>
          <w:rStyle w:val="CharSectno"/>
        </w:rPr>
        <w:t>91</w:t>
      </w:r>
      <w:r>
        <w:t>.</w:t>
      </w:r>
      <w:r>
        <w:tab/>
        <w:t>Repair or maintenance work and specialist work excluded</w:t>
      </w:r>
      <w:bookmarkEnd w:id="309"/>
      <w:bookmarkEnd w:id="310"/>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311" w:name="_Toc107475282"/>
      <w:bookmarkStart w:id="312" w:name="_Toc104969596"/>
      <w:r>
        <w:rPr>
          <w:rStyle w:val="CharSectno"/>
        </w:rPr>
        <w:t>92</w:t>
      </w:r>
      <w:r>
        <w:t>.</w:t>
      </w:r>
      <w:r>
        <w:tab/>
        <w:t>Strata manager must obtain national criminal record checks</w:t>
      </w:r>
      <w:bookmarkEnd w:id="311"/>
      <w:bookmarkEnd w:id="312"/>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313" w:name="_Toc107475283"/>
      <w:bookmarkStart w:id="314" w:name="_Toc104969597"/>
      <w:r>
        <w:rPr>
          <w:rStyle w:val="CharSectno"/>
        </w:rPr>
        <w:t>93</w:t>
      </w:r>
      <w:r>
        <w:t>.</w:t>
      </w:r>
      <w:r>
        <w:tab/>
        <w:t>Strata manager must provide criminal record statement to strata company</w:t>
      </w:r>
      <w:bookmarkEnd w:id="313"/>
      <w:bookmarkEnd w:id="314"/>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315" w:name="_Toc107475284"/>
      <w:bookmarkStart w:id="316" w:name="_Toc104969598"/>
      <w:r>
        <w:rPr>
          <w:rStyle w:val="CharSectno"/>
        </w:rPr>
        <w:t>94</w:t>
      </w:r>
      <w:r>
        <w:t>.</w:t>
      </w:r>
      <w:r>
        <w:tab/>
        <w:t>Volunteer strata manager to table criminal record check</w:t>
      </w:r>
      <w:bookmarkEnd w:id="315"/>
      <w:bookmarkEnd w:id="316"/>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317" w:name="_Toc107475285"/>
      <w:bookmarkStart w:id="318" w:name="_Toc104969599"/>
      <w:r>
        <w:rPr>
          <w:rStyle w:val="CharSectno"/>
        </w:rPr>
        <w:t>95</w:t>
      </w:r>
      <w:r>
        <w:t>.</w:t>
      </w:r>
      <w:r>
        <w:tab/>
        <w:t>Strata manager to ensure prescribed educational qualifications are completed</w:t>
      </w:r>
      <w:bookmarkEnd w:id="317"/>
      <w:bookmarkEnd w:id="318"/>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319" w:name="_Toc107475286"/>
      <w:bookmarkStart w:id="320" w:name="_Toc104969600"/>
      <w:r>
        <w:rPr>
          <w:rStyle w:val="CharSectno"/>
        </w:rPr>
        <w:t>96</w:t>
      </w:r>
      <w:r>
        <w:t>.</w:t>
      </w:r>
      <w:r>
        <w:tab/>
        <w:t>Key role</w:t>
      </w:r>
      <w:bookmarkEnd w:id="319"/>
      <w:bookmarkEnd w:id="320"/>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321" w:name="_Toc107475287"/>
      <w:bookmarkStart w:id="322" w:name="_Toc104969601"/>
      <w:r>
        <w:rPr>
          <w:rStyle w:val="CharSectno"/>
        </w:rPr>
        <w:t>97</w:t>
      </w:r>
      <w:r>
        <w:t>.</w:t>
      </w:r>
      <w:r>
        <w:tab/>
        <w:t>Strata manager must warrant prescribed educational qualifications are held</w:t>
      </w:r>
      <w:bookmarkEnd w:id="321"/>
      <w:bookmarkEnd w:id="322"/>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323" w:name="_Toc107475288"/>
      <w:bookmarkStart w:id="324" w:name="_Toc104969602"/>
      <w:r>
        <w:rPr>
          <w:rStyle w:val="CharSectno"/>
        </w:rPr>
        <w:t>98</w:t>
      </w:r>
      <w:r>
        <w:t>.</w:t>
      </w:r>
      <w:r>
        <w:tab/>
        <w:t>Strata manager must obtain professional indemnity insurance</w:t>
      </w:r>
      <w:bookmarkEnd w:id="323"/>
      <w:bookmarkEnd w:id="324"/>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325" w:name="_Toc107475289"/>
      <w:bookmarkStart w:id="326" w:name="_Toc104969603"/>
      <w:r>
        <w:rPr>
          <w:rStyle w:val="CharSectno"/>
        </w:rPr>
        <w:t>99</w:t>
      </w:r>
      <w:r>
        <w:t>.</w:t>
      </w:r>
      <w:r>
        <w:tab/>
        <w:t>Strata manager must warrant professional indemnity insurance in contract</w:t>
      </w:r>
      <w:bookmarkEnd w:id="325"/>
      <w:bookmarkEnd w:id="326"/>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327" w:name="_Toc107475290"/>
      <w:bookmarkStart w:id="328" w:name="_Toc104969604"/>
      <w:r>
        <w:rPr>
          <w:rStyle w:val="CharSectno"/>
        </w:rPr>
        <w:t>100</w:t>
      </w:r>
      <w:r>
        <w:t>.</w:t>
      </w:r>
      <w:r>
        <w:tab/>
        <w:t>Disclosure of remuneration and other benefits</w:t>
      </w:r>
      <w:bookmarkEnd w:id="327"/>
      <w:bookmarkEnd w:id="328"/>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329" w:name="_Toc107475291"/>
      <w:bookmarkStart w:id="330" w:name="_Toc104969605"/>
      <w:r>
        <w:rPr>
          <w:rStyle w:val="CharSectno"/>
        </w:rPr>
        <w:t>101</w:t>
      </w:r>
      <w:r>
        <w:t>.</w:t>
      </w:r>
      <w:r>
        <w:tab/>
        <w:t>Operation of trust accounts</w:t>
      </w:r>
      <w:bookmarkEnd w:id="329"/>
      <w:bookmarkEnd w:id="330"/>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331" w:name="_Toc107475292"/>
      <w:bookmarkStart w:id="332" w:name="_Toc104969606"/>
      <w:r>
        <w:rPr>
          <w:rStyle w:val="CharSectno"/>
        </w:rPr>
        <w:t>102</w:t>
      </w:r>
      <w:r>
        <w:t>.</w:t>
      </w:r>
      <w:r>
        <w:tab/>
        <w:t>Strata manager to provide annual return</w:t>
      </w:r>
      <w:bookmarkEnd w:id="331"/>
      <w:bookmarkEnd w:id="332"/>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333" w:name="_Toc106957418"/>
      <w:bookmarkStart w:id="334" w:name="_Toc106957858"/>
      <w:bookmarkStart w:id="335" w:name="_Toc107221048"/>
      <w:bookmarkStart w:id="336" w:name="_Toc107475293"/>
      <w:bookmarkStart w:id="337" w:name="_Toc104902437"/>
      <w:bookmarkStart w:id="338" w:name="_Toc104902702"/>
      <w:bookmarkStart w:id="339" w:name="_Toc104969607"/>
      <w:r>
        <w:rPr>
          <w:rStyle w:val="CharPartNo"/>
        </w:rPr>
        <w:t>Part 14</w:t>
      </w:r>
      <w:r>
        <w:rPr>
          <w:rStyle w:val="CharDivNo"/>
        </w:rPr>
        <w:t> </w:t>
      </w:r>
      <w:r>
        <w:t>—</w:t>
      </w:r>
      <w:r>
        <w:rPr>
          <w:rStyle w:val="CharDivText"/>
        </w:rPr>
        <w:t> </w:t>
      </w:r>
      <w:r>
        <w:rPr>
          <w:rStyle w:val="CharPartText"/>
        </w:rPr>
        <w:t>Protection of buyers</w:t>
      </w:r>
      <w:bookmarkEnd w:id="333"/>
      <w:bookmarkEnd w:id="334"/>
      <w:bookmarkEnd w:id="335"/>
      <w:bookmarkEnd w:id="336"/>
      <w:bookmarkEnd w:id="337"/>
      <w:bookmarkEnd w:id="338"/>
      <w:bookmarkEnd w:id="339"/>
    </w:p>
    <w:p>
      <w:pPr>
        <w:pStyle w:val="Heading5"/>
      </w:pPr>
      <w:bookmarkStart w:id="340" w:name="_Toc107475294"/>
      <w:bookmarkStart w:id="341" w:name="_Toc104969608"/>
      <w:r>
        <w:rPr>
          <w:rStyle w:val="CharSectno"/>
        </w:rPr>
        <w:t>103</w:t>
      </w:r>
      <w:r>
        <w:t>.</w:t>
      </w:r>
      <w:r>
        <w:tab/>
        <w:t>Further information to be provided</w:t>
      </w:r>
      <w:bookmarkEnd w:id="340"/>
      <w:bookmarkEnd w:id="341"/>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342" w:name="_Toc107475295"/>
      <w:bookmarkStart w:id="343" w:name="_Toc104969609"/>
      <w:r>
        <w:rPr>
          <w:rStyle w:val="CharSectno"/>
        </w:rPr>
        <w:t>104</w:t>
      </w:r>
      <w:r>
        <w:t>.</w:t>
      </w:r>
      <w:r>
        <w:tab/>
        <w:t>Information to be given before contract</w:t>
      </w:r>
      <w:bookmarkEnd w:id="342"/>
      <w:bookmarkEnd w:id="343"/>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344" w:name="_Toc107475296"/>
      <w:bookmarkStart w:id="345" w:name="_Toc104969610"/>
      <w:r>
        <w:rPr>
          <w:rStyle w:val="CharSectno"/>
        </w:rPr>
        <w:t>105</w:t>
      </w:r>
      <w:r>
        <w:t>.</w:t>
      </w:r>
      <w:r>
        <w:tab/>
        <w:t>Particulars of notifiable variation to be provided to buyer</w:t>
      </w:r>
      <w:bookmarkEnd w:id="344"/>
      <w:bookmarkEnd w:id="345"/>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346" w:name="_Toc107475297"/>
      <w:bookmarkStart w:id="347" w:name="_Toc104969611"/>
      <w:r>
        <w:rPr>
          <w:rStyle w:val="CharSectno"/>
        </w:rPr>
        <w:t>106</w:t>
      </w:r>
      <w:r>
        <w:t>.</w:t>
      </w:r>
      <w:r>
        <w:tab/>
        <w:t>Occurrence of notifiable variation</w:t>
      </w:r>
      <w:bookmarkEnd w:id="346"/>
      <w:bookmarkEnd w:id="347"/>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348" w:name="_Toc106957423"/>
      <w:bookmarkStart w:id="349" w:name="_Toc106957863"/>
      <w:bookmarkStart w:id="350" w:name="_Toc107221053"/>
      <w:bookmarkStart w:id="351" w:name="_Toc107475298"/>
      <w:bookmarkStart w:id="352" w:name="_Toc104902442"/>
      <w:bookmarkStart w:id="353" w:name="_Toc104902707"/>
      <w:bookmarkStart w:id="354" w:name="_Toc104969612"/>
      <w:r>
        <w:rPr>
          <w:rStyle w:val="CharPartNo"/>
        </w:rPr>
        <w:t>Part 15</w:t>
      </w:r>
      <w:r>
        <w:t> — </w:t>
      </w:r>
      <w:r>
        <w:rPr>
          <w:rStyle w:val="CharPartText"/>
        </w:rPr>
        <w:t>Termination proposals</w:t>
      </w:r>
      <w:bookmarkEnd w:id="348"/>
      <w:bookmarkEnd w:id="349"/>
      <w:bookmarkEnd w:id="350"/>
      <w:bookmarkEnd w:id="351"/>
      <w:bookmarkEnd w:id="352"/>
      <w:bookmarkEnd w:id="353"/>
      <w:bookmarkEnd w:id="354"/>
    </w:p>
    <w:p>
      <w:pPr>
        <w:pStyle w:val="Heading3"/>
      </w:pPr>
      <w:bookmarkStart w:id="355" w:name="_Toc106957424"/>
      <w:bookmarkStart w:id="356" w:name="_Toc106957864"/>
      <w:bookmarkStart w:id="357" w:name="_Toc107221054"/>
      <w:bookmarkStart w:id="358" w:name="_Toc107475299"/>
      <w:bookmarkStart w:id="359" w:name="_Toc104902443"/>
      <w:bookmarkStart w:id="360" w:name="_Toc104902708"/>
      <w:bookmarkStart w:id="361" w:name="_Toc104969613"/>
      <w:r>
        <w:rPr>
          <w:rStyle w:val="CharDivNo"/>
        </w:rPr>
        <w:t>Division 1</w:t>
      </w:r>
      <w:r>
        <w:t> — </w:t>
      </w:r>
      <w:r>
        <w:rPr>
          <w:rStyle w:val="CharDivText"/>
        </w:rPr>
        <w:t>Preliminary</w:t>
      </w:r>
      <w:bookmarkEnd w:id="355"/>
      <w:bookmarkEnd w:id="356"/>
      <w:bookmarkEnd w:id="357"/>
      <w:bookmarkEnd w:id="358"/>
      <w:bookmarkEnd w:id="359"/>
      <w:bookmarkEnd w:id="360"/>
      <w:bookmarkEnd w:id="361"/>
    </w:p>
    <w:p>
      <w:pPr>
        <w:pStyle w:val="Heading5"/>
      </w:pPr>
      <w:bookmarkStart w:id="362" w:name="_Toc107475300"/>
      <w:bookmarkStart w:id="363" w:name="_Toc104969614"/>
      <w:r>
        <w:rPr>
          <w:rStyle w:val="CharSectno"/>
        </w:rPr>
        <w:t>107</w:t>
      </w:r>
      <w:r>
        <w:t>.</w:t>
      </w:r>
      <w:r>
        <w:tab/>
        <w:t>Terms used</w:t>
      </w:r>
      <w:bookmarkEnd w:id="362"/>
      <w:bookmarkEnd w:id="363"/>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364" w:name="_Toc106957426"/>
      <w:bookmarkStart w:id="365" w:name="_Toc106957866"/>
      <w:bookmarkStart w:id="366" w:name="_Toc107221056"/>
      <w:bookmarkStart w:id="367" w:name="_Toc107475301"/>
      <w:bookmarkStart w:id="368" w:name="_Toc104902445"/>
      <w:bookmarkStart w:id="369" w:name="_Toc104902710"/>
      <w:bookmarkStart w:id="370" w:name="_Toc104969615"/>
      <w:r>
        <w:rPr>
          <w:rStyle w:val="CharDivNo"/>
        </w:rPr>
        <w:t>Division 2</w:t>
      </w:r>
      <w:r>
        <w:t> — </w:t>
      </w:r>
      <w:r>
        <w:rPr>
          <w:rStyle w:val="CharDivText"/>
        </w:rPr>
        <w:t>Outline proposal</w:t>
      </w:r>
      <w:bookmarkEnd w:id="364"/>
      <w:bookmarkEnd w:id="365"/>
      <w:bookmarkEnd w:id="366"/>
      <w:bookmarkEnd w:id="367"/>
      <w:bookmarkEnd w:id="368"/>
      <w:bookmarkEnd w:id="369"/>
      <w:bookmarkEnd w:id="370"/>
    </w:p>
    <w:p>
      <w:pPr>
        <w:pStyle w:val="Heading5"/>
      </w:pPr>
      <w:bookmarkStart w:id="371" w:name="_Toc107475302"/>
      <w:bookmarkStart w:id="372" w:name="_Toc104969616"/>
      <w:r>
        <w:rPr>
          <w:rStyle w:val="CharSectno"/>
        </w:rPr>
        <w:t>108</w:t>
      </w:r>
      <w:r>
        <w:t>.</w:t>
      </w:r>
      <w:r>
        <w:tab/>
        <w:t>Details of arrangements for independent advice or representation</w:t>
      </w:r>
      <w:bookmarkEnd w:id="371"/>
      <w:bookmarkEnd w:id="372"/>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73" w:name="_Toc107475303"/>
      <w:bookmarkStart w:id="374" w:name="_Toc104969617"/>
      <w:r>
        <w:rPr>
          <w:rStyle w:val="CharSectno"/>
        </w:rPr>
        <w:t>109</w:t>
      </w:r>
      <w:r>
        <w:t>.</w:t>
      </w:r>
      <w:r>
        <w:tab/>
        <w:t>Additional information for outline proposal</w:t>
      </w:r>
      <w:bookmarkEnd w:id="373"/>
      <w:bookmarkEnd w:id="374"/>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75" w:name="_Toc106957429"/>
      <w:bookmarkStart w:id="376" w:name="_Toc106957869"/>
      <w:bookmarkStart w:id="377" w:name="_Toc107221059"/>
      <w:bookmarkStart w:id="378" w:name="_Toc107475304"/>
      <w:bookmarkStart w:id="379" w:name="_Toc104902448"/>
      <w:bookmarkStart w:id="380" w:name="_Toc104902713"/>
      <w:bookmarkStart w:id="381" w:name="_Toc104969618"/>
      <w:r>
        <w:rPr>
          <w:rStyle w:val="CharDivNo"/>
        </w:rPr>
        <w:t>Division 3</w:t>
      </w:r>
      <w:r>
        <w:t> — </w:t>
      </w:r>
      <w:r>
        <w:rPr>
          <w:rStyle w:val="CharDivText"/>
        </w:rPr>
        <w:t>Independent advocate</w:t>
      </w:r>
      <w:bookmarkEnd w:id="375"/>
      <w:bookmarkEnd w:id="376"/>
      <w:bookmarkEnd w:id="377"/>
      <w:bookmarkEnd w:id="378"/>
      <w:bookmarkEnd w:id="379"/>
      <w:bookmarkEnd w:id="380"/>
      <w:bookmarkEnd w:id="381"/>
    </w:p>
    <w:p>
      <w:pPr>
        <w:pStyle w:val="Heading5"/>
      </w:pPr>
      <w:bookmarkStart w:id="382" w:name="_Toc107475305"/>
      <w:bookmarkStart w:id="383" w:name="_Toc104969619"/>
      <w:r>
        <w:rPr>
          <w:rStyle w:val="CharSectno"/>
        </w:rPr>
        <w:t>110</w:t>
      </w:r>
      <w:r>
        <w:t>.</w:t>
      </w:r>
      <w:r>
        <w:tab/>
        <w:t>Level of independence of independent advocate</w:t>
      </w:r>
      <w:bookmarkEnd w:id="382"/>
      <w:bookmarkEnd w:id="383"/>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384" w:name="_Toc107475306"/>
      <w:bookmarkStart w:id="385" w:name="_Toc104969620"/>
      <w:r>
        <w:rPr>
          <w:rStyle w:val="CharSectno"/>
        </w:rPr>
        <w:t>111</w:t>
      </w:r>
      <w:r>
        <w:t>.</w:t>
      </w:r>
      <w:r>
        <w:tab/>
        <w:t>Qualifications of independent advocate</w:t>
      </w:r>
      <w:bookmarkEnd w:id="384"/>
      <w:bookmarkEnd w:id="385"/>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386" w:name="_Toc107475307"/>
      <w:bookmarkStart w:id="387" w:name="_Toc104969621"/>
      <w:r>
        <w:rPr>
          <w:rStyle w:val="CharSectno"/>
        </w:rPr>
        <w:t>112</w:t>
      </w:r>
      <w:r>
        <w:t>.</w:t>
      </w:r>
      <w:r>
        <w:tab/>
        <w:t>Assessment of proposal by independent advocate</w:t>
      </w:r>
      <w:bookmarkEnd w:id="386"/>
      <w:bookmarkEnd w:id="387"/>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388" w:name="_Toc107475308"/>
      <w:bookmarkStart w:id="389" w:name="_Toc104969622"/>
      <w:r>
        <w:rPr>
          <w:rStyle w:val="CharSectno"/>
        </w:rPr>
        <w:t>113</w:t>
      </w:r>
      <w:r>
        <w:t>.</w:t>
      </w:r>
      <w:r>
        <w:tab/>
        <w:t>Presentation by independent advocate</w:t>
      </w:r>
      <w:bookmarkEnd w:id="388"/>
      <w:bookmarkEnd w:id="389"/>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390" w:name="_Toc107475309"/>
      <w:bookmarkStart w:id="391" w:name="_Toc104969623"/>
      <w:r>
        <w:rPr>
          <w:rStyle w:val="CharSectno"/>
        </w:rPr>
        <w:t>114</w:t>
      </w:r>
      <w:r>
        <w:t>.</w:t>
      </w:r>
      <w:r>
        <w:tab/>
        <w:t>Maximum charge for exercise of primary functions</w:t>
      </w:r>
      <w:bookmarkEnd w:id="390"/>
      <w:bookmarkEnd w:id="391"/>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392" w:name="_Toc106957435"/>
      <w:bookmarkStart w:id="393" w:name="_Toc106957875"/>
      <w:bookmarkStart w:id="394" w:name="_Toc107221065"/>
      <w:bookmarkStart w:id="395" w:name="_Toc107475310"/>
      <w:bookmarkStart w:id="396" w:name="_Toc104902454"/>
      <w:bookmarkStart w:id="397" w:name="_Toc104902719"/>
      <w:bookmarkStart w:id="398" w:name="_Toc104969624"/>
      <w:r>
        <w:rPr>
          <w:rStyle w:val="CharDivNo"/>
        </w:rPr>
        <w:t>Division 4</w:t>
      </w:r>
      <w:r>
        <w:t> — </w:t>
      </w:r>
      <w:r>
        <w:rPr>
          <w:rStyle w:val="CharDivText"/>
        </w:rPr>
        <w:t>Full proposal</w:t>
      </w:r>
      <w:bookmarkEnd w:id="392"/>
      <w:bookmarkEnd w:id="393"/>
      <w:bookmarkEnd w:id="394"/>
      <w:bookmarkEnd w:id="395"/>
      <w:bookmarkEnd w:id="396"/>
      <w:bookmarkEnd w:id="397"/>
      <w:bookmarkEnd w:id="398"/>
    </w:p>
    <w:p>
      <w:pPr>
        <w:pStyle w:val="Heading5"/>
      </w:pPr>
      <w:bookmarkStart w:id="399" w:name="_Toc107475311"/>
      <w:bookmarkStart w:id="400" w:name="_Toc104969625"/>
      <w:r>
        <w:rPr>
          <w:rStyle w:val="CharSectno"/>
        </w:rPr>
        <w:t>115</w:t>
      </w:r>
      <w:r>
        <w:t>.</w:t>
      </w:r>
      <w:r>
        <w:tab/>
        <w:t>Tenants entitled to 5 year term</w:t>
      </w:r>
      <w:bookmarkEnd w:id="399"/>
      <w:bookmarkEnd w:id="400"/>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401" w:name="_Toc107475312"/>
      <w:bookmarkStart w:id="402" w:name="_Toc104969626"/>
      <w:r>
        <w:rPr>
          <w:rStyle w:val="CharSectno"/>
        </w:rPr>
        <w:t>116</w:t>
      </w:r>
      <w:r>
        <w:t>.</w:t>
      </w:r>
      <w:r>
        <w:tab/>
        <w:t>Person who can provide report of required works</w:t>
      </w:r>
      <w:bookmarkEnd w:id="401"/>
      <w:bookmarkEnd w:id="402"/>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403" w:name="_Toc107475313"/>
      <w:bookmarkStart w:id="404" w:name="_Toc104969627"/>
      <w:r>
        <w:rPr>
          <w:rStyle w:val="CharSectno"/>
        </w:rPr>
        <w:t>117</w:t>
      </w:r>
      <w:r>
        <w:t>.</w:t>
      </w:r>
      <w:r>
        <w:tab/>
        <w:t>Valuation methodology</w:t>
      </w:r>
      <w:bookmarkEnd w:id="403"/>
      <w:bookmarkEnd w:id="404"/>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405" w:name="_Toc107475314"/>
      <w:bookmarkStart w:id="406" w:name="_Toc104969628"/>
      <w:r>
        <w:rPr>
          <w:rStyle w:val="CharSectno"/>
        </w:rPr>
        <w:t>118</w:t>
      </w:r>
      <w:r>
        <w:t>.</w:t>
      </w:r>
      <w:r>
        <w:tab/>
        <w:t>Validity period of valuation</w:t>
      </w:r>
      <w:bookmarkEnd w:id="405"/>
      <w:bookmarkEnd w:id="406"/>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407" w:name="_Toc107475315"/>
      <w:bookmarkStart w:id="408" w:name="_Toc104969629"/>
      <w:r>
        <w:rPr>
          <w:rStyle w:val="CharSectno"/>
        </w:rPr>
        <w:t>119</w:t>
      </w:r>
      <w:r>
        <w:t>.</w:t>
      </w:r>
      <w:r>
        <w:tab/>
        <w:t>Preparation and certification of reports</w:t>
      </w:r>
      <w:bookmarkEnd w:id="407"/>
      <w:bookmarkEnd w:id="408"/>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409" w:name="_Toc107475316"/>
      <w:bookmarkStart w:id="410" w:name="_Toc104969630"/>
      <w:r>
        <w:rPr>
          <w:rStyle w:val="CharSectno"/>
        </w:rPr>
        <w:t>120</w:t>
      </w:r>
      <w:r>
        <w:t>.</w:t>
      </w:r>
      <w:r>
        <w:tab/>
        <w:t>Termination valuation report to be provided to Valuer</w:t>
      </w:r>
      <w:r>
        <w:noBreakHyphen/>
        <w:t>General</w:t>
      </w:r>
      <w:bookmarkEnd w:id="409"/>
      <w:bookmarkEnd w:id="410"/>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411" w:name="_Toc106957442"/>
      <w:bookmarkStart w:id="412" w:name="_Toc106957882"/>
      <w:bookmarkStart w:id="413" w:name="_Toc107221072"/>
      <w:bookmarkStart w:id="414" w:name="_Toc107475317"/>
      <w:bookmarkStart w:id="415" w:name="_Toc104902461"/>
      <w:bookmarkStart w:id="416" w:name="_Toc104902726"/>
      <w:bookmarkStart w:id="417" w:name="_Toc104969631"/>
      <w:r>
        <w:rPr>
          <w:rStyle w:val="CharDivNo"/>
        </w:rPr>
        <w:t>Division 5</w:t>
      </w:r>
      <w:r>
        <w:t> — </w:t>
      </w:r>
      <w:r>
        <w:rPr>
          <w:rStyle w:val="CharDivText"/>
        </w:rPr>
        <w:t>Voting, confirmation and withdrawal</w:t>
      </w:r>
      <w:bookmarkEnd w:id="411"/>
      <w:bookmarkEnd w:id="412"/>
      <w:bookmarkEnd w:id="413"/>
      <w:bookmarkEnd w:id="414"/>
      <w:bookmarkEnd w:id="415"/>
      <w:bookmarkEnd w:id="416"/>
      <w:bookmarkEnd w:id="417"/>
    </w:p>
    <w:p>
      <w:pPr>
        <w:pStyle w:val="Heading5"/>
      </w:pPr>
      <w:bookmarkStart w:id="418" w:name="_Toc107475318"/>
      <w:bookmarkStart w:id="419" w:name="_Toc104969632"/>
      <w:r>
        <w:rPr>
          <w:rStyle w:val="CharSectno"/>
        </w:rPr>
        <w:t>121</w:t>
      </w:r>
      <w:r>
        <w:t>.</w:t>
      </w:r>
      <w:r>
        <w:tab/>
        <w:t>Notice of proposal to vote under s. 182</w:t>
      </w:r>
      <w:bookmarkEnd w:id="418"/>
      <w:bookmarkEnd w:id="419"/>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420" w:name="_Toc107475319"/>
      <w:bookmarkStart w:id="421" w:name="_Toc104969633"/>
      <w:r>
        <w:rPr>
          <w:rStyle w:val="CharSectno"/>
        </w:rPr>
        <w:t>122</w:t>
      </w:r>
      <w:r>
        <w:t>.</w:t>
      </w:r>
      <w:r>
        <w:tab/>
        <w:t>Independent vote counter</w:t>
      </w:r>
      <w:bookmarkEnd w:id="420"/>
      <w:bookmarkEnd w:id="421"/>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422" w:name="_Toc107475320"/>
      <w:bookmarkStart w:id="423" w:name="_Toc104969634"/>
      <w:r>
        <w:rPr>
          <w:rStyle w:val="CharSectno"/>
        </w:rPr>
        <w:t>123</w:t>
      </w:r>
      <w:r>
        <w:t>.</w:t>
      </w:r>
      <w:r>
        <w:tab/>
        <w:t>Provision of record of votes</w:t>
      </w:r>
      <w:bookmarkEnd w:id="422"/>
      <w:bookmarkEnd w:id="423"/>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424" w:name="_Toc107475321"/>
      <w:bookmarkStart w:id="425" w:name="_Toc104969635"/>
      <w:r>
        <w:rPr>
          <w:rStyle w:val="CharSectno"/>
        </w:rPr>
        <w:t>124</w:t>
      </w:r>
      <w:r>
        <w:t>.</w:t>
      </w:r>
      <w:r>
        <w:tab/>
        <w:t>Protection of record of votes (resolution subject to confirmation)</w:t>
      </w:r>
      <w:bookmarkEnd w:id="424"/>
      <w:bookmarkEnd w:id="425"/>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426" w:name="_Toc107475322"/>
      <w:bookmarkStart w:id="427" w:name="_Toc104969636"/>
      <w:r>
        <w:rPr>
          <w:rStyle w:val="CharSectno"/>
        </w:rPr>
        <w:t>125</w:t>
      </w:r>
      <w:r>
        <w:t>.</w:t>
      </w:r>
      <w:r>
        <w:tab/>
        <w:t>Material to accompany application by proponent for confirmation of termination resolution</w:t>
      </w:r>
      <w:bookmarkEnd w:id="426"/>
      <w:bookmarkEnd w:id="427"/>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428" w:name="_Toc107475323"/>
      <w:bookmarkStart w:id="429" w:name="_Toc104969637"/>
      <w:r>
        <w:rPr>
          <w:rStyle w:val="CharSectno"/>
        </w:rPr>
        <w:t>126</w:t>
      </w:r>
      <w:r>
        <w:t>.</w:t>
      </w:r>
      <w:r>
        <w:tab/>
        <w:t>Things strata company must provide to Tribunal</w:t>
      </w:r>
      <w:bookmarkEnd w:id="428"/>
      <w:bookmarkEnd w:id="429"/>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430" w:name="_Toc107475324"/>
      <w:bookmarkStart w:id="431" w:name="_Toc104969638"/>
      <w:r>
        <w:rPr>
          <w:rStyle w:val="CharSectno"/>
        </w:rPr>
        <w:t>127</w:t>
      </w:r>
      <w:r>
        <w:t>.</w:t>
      </w:r>
      <w:r>
        <w:tab/>
        <w:t>Notice of termination proposal not proceeding</w:t>
      </w:r>
      <w:bookmarkEnd w:id="430"/>
      <w:bookmarkEnd w:id="431"/>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432" w:name="_Toc106957450"/>
      <w:bookmarkStart w:id="433" w:name="_Toc106957890"/>
      <w:bookmarkStart w:id="434" w:name="_Toc107221080"/>
      <w:bookmarkStart w:id="435" w:name="_Toc107475325"/>
      <w:bookmarkStart w:id="436" w:name="_Toc104902469"/>
      <w:bookmarkStart w:id="437" w:name="_Toc104902734"/>
      <w:bookmarkStart w:id="438" w:name="_Toc104969639"/>
      <w:r>
        <w:rPr>
          <w:rStyle w:val="CharDivNo"/>
        </w:rPr>
        <w:t>Division 6</w:t>
      </w:r>
      <w:r>
        <w:t> — </w:t>
      </w:r>
      <w:r>
        <w:rPr>
          <w:rStyle w:val="CharDivText"/>
        </w:rPr>
        <w:t>Arrangements for independent advice or representation for owners</w:t>
      </w:r>
      <w:bookmarkEnd w:id="432"/>
      <w:bookmarkEnd w:id="433"/>
      <w:bookmarkEnd w:id="434"/>
      <w:bookmarkEnd w:id="435"/>
      <w:bookmarkEnd w:id="436"/>
      <w:bookmarkEnd w:id="437"/>
      <w:bookmarkEnd w:id="438"/>
    </w:p>
    <w:p>
      <w:pPr>
        <w:pStyle w:val="Heading5"/>
      </w:pPr>
      <w:bookmarkStart w:id="439" w:name="_Toc107475326"/>
      <w:bookmarkStart w:id="440" w:name="_Toc104969640"/>
      <w:r>
        <w:rPr>
          <w:rStyle w:val="CharSectno"/>
        </w:rPr>
        <w:t>128</w:t>
      </w:r>
      <w:r>
        <w:t>.</w:t>
      </w:r>
      <w:r>
        <w:tab/>
        <w:t>Proponent to establish trust</w:t>
      </w:r>
      <w:bookmarkEnd w:id="439"/>
      <w:bookmarkEnd w:id="440"/>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441" w:name="_Toc107475327"/>
      <w:bookmarkStart w:id="442" w:name="_Toc104969641"/>
      <w:r>
        <w:rPr>
          <w:rStyle w:val="CharSectno"/>
        </w:rPr>
        <w:t>129</w:t>
      </w:r>
      <w:r>
        <w:t>.</w:t>
      </w:r>
      <w:r>
        <w:tab/>
        <w:t>Stages of termination proposal process for funding purposes</w:t>
      </w:r>
      <w:bookmarkEnd w:id="441"/>
      <w:bookmarkEnd w:id="442"/>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443" w:name="_Toc107475328"/>
      <w:bookmarkStart w:id="444" w:name="_Toc104969642"/>
      <w:r>
        <w:rPr>
          <w:rStyle w:val="CharSectno"/>
        </w:rPr>
        <w:t>130</w:t>
      </w:r>
      <w:r>
        <w:t>.</w:t>
      </w:r>
      <w:r>
        <w:tab/>
        <w:t>Services for which funding is to be provided</w:t>
      </w:r>
      <w:bookmarkEnd w:id="443"/>
      <w:bookmarkEnd w:id="444"/>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445" w:name="_Toc107475329"/>
      <w:bookmarkStart w:id="446" w:name="_Toc104969643"/>
      <w:r>
        <w:rPr>
          <w:rStyle w:val="CharSectno"/>
        </w:rPr>
        <w:t>131</w:t>
      </w:r>
      <w:r>
        <w:t>.</w:t>
      </w:r>
      <w:r>
        <w:tab/>
        <w:t>Advisory services</w:t>
      </w:r>
      <w:bookmarkEnd w:id="445"/>
      <w:bookmarkEnd w:id="446"/>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Taxation advice must be obtained from an accountant (</w:t>
      </w:r>
      <w:del w:id="447" w:author="Master Repository Process" w:date="2022-06-30T13:08:00Z">
        <w:r>
          <w:delText>within the meaning given</w:delText>
        </w:r>
      </w:del>
      <w:ins w:id="448" w:author="Master Repository Process" w:date="2022-06-30T13:08:00Z">
        <w:r>
          <w:t>as defined</w:t>
        </w:r>
      </w:ins>
      <w:r>
        <w:t xml:space="preserve"> in the </w:t>
      </w:r>
      <w:r>
        <w:rPr>
          <w:i/>
        </w:rPr>
        <w:t xml:space="preserve">Legal Profession </w:t>
      </w:r>
      <w:ins w:id="449" w:author="Master Repository Process" w:date="2022-06-30T13:08:00Z">
        <w:r>
          <w:rPr>
            <w:i/>
          </w:rPr>
          <w:t xml:space="preserve">Uniform Law Application </w:t>
        </w:r>
      </w:ins>
      <w:r>
        <w:rPr>
          <w:i/>
        </w:rPr>
        <w:t>Act </w:t>
      </w:r>
      <w:del w:id="450" w:author="Master Repository Process" w:date="2022-06-30T13:08:00Z">
        <w:r>
          <w:rPr>
            <w:i/>
            <w:iCs/>
          </w:rPr>
          <w:delText>2008</w:delText>
        </w:r>
      </w:del>
      <w:ins w:id="451" w:author="Master Repository Process" w:date="2022-06-30T13:08:00Z">
        <w:r>
          <w:rPr>
            <w:i/>
          </w:rPr>
          <w:t>2022</w:t>
        </w:r>
      </w:ins>
      <w:r>
        <w:rPr>
          <w:i/>
        </w:rPr>
        <w:t xml:space="preserve"> </w:t>
      </w:r>
      <w:r>
        <w:t>section 3</w:t>
      </w:r>
      <w:del w:id="452" w:author="Master Repository Process" w:date="2022-06-30T13:08:00Z">
        <w:r>
          <w:delText>).</w:delText>
        </w:r>
      </w:del>
      <w:ins w:id="453" w:author="Master Repository Process" w:date="2022-06-30T13:08:00Z">
        <w:r>
          <w:t>(1)).</w:t>
        </w:r>
      </w:ins>
    </w:p>
    <w:p>
      <w:pPr>
        <w:pStyle w:val="Subsection"/>
      </w:pPr>
      <w:r>
        <w:tab/>
        <w:t>(4)</w:t>
      </w:r>
      <w:r>
        <w:tab/>
        <w:t>Valuation advice must be obtained from a licensed valuer.</w:t>
      </w:r>
    </w:p>
    <w:p>
      <w:pPr>
        <w:pStyle w:val="Footnotesection"/>
        <w:rPr>
          <w:ins w:id="454" w:author="Master Repository Process" w:date="2022-06-30T13:08:00Z"/>
        </w:rPr>
      </w:pPr>
      <w:ins w:id="455" w:author="Master Repository Process" w:date="2022-06-30T13:08:00Z">
        <w:r>
          <w:tab/>
          <w:t>[Regulation 131 amended: SL 2022/116 r. 9.]</w:t>
        </w:r>
      </w:ins>
    </w:p>
    <w:p>
      <w:pPr>
        <w:pStyle w:val="Heading5"/>
      </w:pPr>
      <w:bookmarkStart w:id="456" w:name="_Toc107475330"/>
      <w:bookmarkStart w:id="457" w:name="_Toc104969644"/>
      <w:r>
        <w:rPr>
          <w:rStyle w:val="CharSectno"/>
        </w:rPr>
        <w:t>132</w:t>
      </w:r>
      <w:r>
        <w:t>.</w:t>
      </w:r>
      <w:r>
        <w:tab/>
        <w:t>Representation services</w:t>
      </w:r>
      <w:bookmarkEnd w:id="456"/>
      <w:bookmarkEnd w:id="457"/>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458" w:name="_Toc107475331"/>
      <w:bookmarkStart w:id="459" w:name="_Toc104969645"/>
      <w:r>
        <w:rPr>
          <w:rStyle w:val="CharSectno"/>
        </w:rPr>
        <w:t>133</w:t>
      </w:r>
      <w:r>
        <w:t>.</w:t>
      </w:r>
      <w:r>
        <w:tab/>
        <w:t>Ancillary services</w:t>
      </w:r>
      <w:bookmarkEnd w:id="458"/>
      <w:bookmarkEnd w:id="459"/>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460" w:name="_Toc107475332"/>
      <w:bookmarkStart w:id="461" w:name="_Toc104969646"/>
      <w:r>
        <w:rPr>
          <w:rStyle w:val="CharSectno"/>
        </w:rPr>
        <w:t>134</w:t>
      </w:r>
      <w:r>
        <w:t>.</w:t>
      </w:r>
      <w:r>
        <w:tab/>
        <w:t>Method of funding under trust</w:t>
      </w:r>
      <w:bookmarkEnd w:id="460"/>
      <w:bookmarkEnd w:id="461"/>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462" w:name="_Toc107475333"/>
      <w:bookmarkStart w:id="463" w:name="_Toc104969647"/>
      <w:r>
        <w:rPr>
          <w:rStyle w:val="CharSectno"/>
        </w:rPr>
        <w:t>135</w:t>
      </w:r>
      <w:r>
        <w:t>.</w:t>
      </w:r>
      <w:r>
        <w:tab/>
        <w:t>Amount of funding</w:t>
      </w:r>
      <w:bookmarkEnd w:id="462"/>
      <w:bookmarkEnd w:id="463"/>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464" w:name="_Toc107475334"/>
      <w:bookmarkStart w:id="465" w:name="_Toc104969648"/>
      <w:r>
        <w:rPr>
          <w:rStyle w:val="CharSectno"/>
        </w:rPr>
        <w:t>136</w:t>
      </w:r>
      <w:r>
        <w:t>.</w:t>
      </w:r>
      <w:r>
        <w:tab/>
        <w:t>Other rules about funding</w:t>
      </w:r>
      <w:bookmarkEnd w:id="464"/>
      <w:bookmarkEnd w:id="465"/>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466" w:name="_Toc107475335"/>
      <w:bookmarkStart w:id="467" w:name="_Toc104969649"/>
      <w:r>
        <w:rPr>
          <w:rStyle w:val="CharSectno"/>
        </w:rPr>
        <w:t>137</w:t>
      </w:r>
      <w:r>
        <w:t>.</w:t>
      </w:r>
      <w:r>
        <w:tab/>
        <w:t>Trustee of trust</w:t>
      </w:r>
      <w:bookmarkEnd w:id="466"/>
      <w:bookmarkEnd w:id="467"/>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468" w:name="_Toc107475336"/>
      <w:bookmarkStart w:id="469" w:name="_Toc104969650"/>
      <w:r>
        <w:rPr>
          <w:rStyle w:val="CharSectno"/>
        </w:rPr>
        <w:t>138</w:t>
      </w:r>
      <w:r>
        <w:t>.</w:t>
      </w:r>
      <w:r>
        <w:tab/>
        <w:t>Disputes about trustee’s performance</w:t>
      </w:r>
      <w:bookmarkEnd w:id="468"/>
      <w:bookmarkEnd w:id="469"/>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470" w:name="_Toc107475337"/>
      <w:bookmarkStart w:id="471" w:name="_Toc104969651"/>
      <w:r>
        <w:rPr>
          <w:rStyle w:val="CharSectno"/>
        </w:rPr>
        <w:t>139</w:t>
      </w:r>
      <w:r>
        <w:t>.</w:t>
      </w:r>
      <w:r>
        <w:tab/>
        <w:t>Trust account</w:t>
      </w:r>
      <w:bookmarkEnd w:id="470"/>
      <w:bookmarkEnd w:id="471"/>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472" w:name="_Toc107475338"/>
      <w:bookmarkStart w:id="473" w:name="_Toc104969652"/>
      <w:r>
        <w:rPr>
          <w:rStyle w:val="CharSectno"/>
        </w:rPr>
        <w:t>140</w:t>
      </w:r>
      <w:r>
        <w:t>.</w:t>
      </w:r>
      <w:r>
        <w:tab/>
        <w:t>Records</w:t>
      </w:r>
      <w:bookmarkEnd w:id="472"/>
      <w:bookmarkEnd w:id="473"/>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474" w:name="_Toc107475339"/>
      <w:bookmarkStart w:id="475" w:name="_Toc104969653"/>
      <w:r>
        <w:rPr>
          <w:rStyle w:val="CharSectno"/>
        </w:rPr>
        <w:t>141</w:t>
      </w:r>
      <w:r>
        <w:t>.</w:t>
      </w:r>
      <w:r>
        <w:tab/>
        <w:t>Privacy of information</w:t>
      </w:r>
      <w:bookmarkEnd w:id="474"/>
      <w:bookmarkEnd w:id="475"/>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476" w:name="_Toc107475340"/>
      <w:bookmarkStart w:id="477" w:name="_Toc104969654"/>
      <w:r>
        <w:rPr>
          <w:rStyle w:val="CharSectno"/>
        </w:rPr>
        <w:t>142</w:t>
      </w:r>
      <w:r>
        <w:t>.</w:t>
      </w:r>
      <w:r>
        <w:tab/>
        <w:t>Winding up of trust</w:t>
      </w:r>
      <w:bookmarkEnd w:id="476"/>
      <w:bookmarkEnd w:id="477"/>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478" w:name="_Toc106957466"/>
      <w:bookmarkStart w:id="479" w:name="_Toc106957906"/>
      <w:bookmarkStart w:id="480" w:name="_Toc107221096"/>
      <w:bookmarkStart w:id="481" w:name="_Toc107475341"/>
      <w:bookmarkStart w:id="482" w:name="_Toc104902485"/>
      <w:bookmarkStart w:id="483" w:name="_Toc104902750"/>
      <w:bookmarkStart w:id="484" w:name="_Toc104969655"/>
      <w:r>
        <w:rPr>
          <w:rStyle w:val="CharDivNo"/>
        </w:rPr>
        <w:t>Division 7</w:t>
      </w:r>
      <w:r>
        <w:t> — </w:t>
      </w:r>
      <w:r>
        <w:rPr>
          <w:rStyle w:val="CharDivText"/>
        </w:rPr>
        <w:t>Vulnerable persons</w:t>
      </w:r>
      <w:bookmarkEnd w:id="478"/>
      <w:bookmarkEnd w:id="479"/>
      <w:bookmarkEnd w:id="480"/>
      <w:bookmarkEnd w:id="481"/>
      <w:bookmarkEnd w:id="482"/>
      <w:bookmarkEnd w:id="483"/>
      <w:bookmarkEnd w:id="484"/>
    </w:p>
    <w:p>
      <w:pPr>
        <w:pStyle w:val="Heading5"/>
      </w:pPr>
      <w:bookmarkStart w:id="485" w:name="_Toc107475342"/>
      <w:bookmarkStart w:id="486" w:name="_Toc104969656"/>
      <w:r>
        <w:rPr>
          <w:rStyle w:val="CharSectno"/>
        </w:rPr>
        <w:t>143</w:t>
      </w:r>
      <w:r>
        <w:t>.</w:t>
      </w:r>
      <w:r>
        <w:tab/>
        <w:t>Identification of vulnerable persons</w:t>
      </w:r>
      <w:bookmarkEnd w:id="485"/>
      <w:bookmarkEnd w:id="486"/>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487" w:name="_Toc107475343"/>
      <w:bookmarkStart w:id="488" w:name="_Toc104969657"/>
      <w:r>
        <w:rPr>
          <w:rStyle w:val="CharSectno"/>
        </w:rPr>
        <w:t>144</w:t>
      </w:r>
      <w:r>
        <w:t>.</w:t>
      </w:r>
      <w:r>
        <w:tab/>
        <w:t>Diminished capacity to understand termination proposal process</w:t>
      </w:r>
      <w:bookmarkEnd w:id="487"/>
      <w:bookmarkEnd w:id="488"/>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89" w:name="_Toc107475344"/>
      <w:bookmarkStart w:id="490" w:name="_Toc104969658"/>
      <w:r>
        <w:rPr>
          <w:rStyle w:val="CharSectno"/>
        </w:rPr>
        <w:t>145</w:t>
      </w:r>
      <w:r>
        <w:t>.</w:t>
      </w:r>
      <w:r>
        <w:tab/>
        <w:t>Diminished capacity to cope with termination proposal process</w:t>
      </w:r>
      <w:bookmarkEnd w:id="489"/>
      <w:bookmarkEnd w:id="490"/>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491" w:name="_Toc107475345"/>
      <w:bookmarkStart w:id="492" w:name="_Toc104969659"/>
      <w:r>
        <w:rPr>
          <w:rStyle w:val="CharSectno"/>
        </w:rPr>
        <w:t>146</w:t>
      </w:r>
      <w:r>
        <w:t>.</w:t>
      </w:r>
      <w:r>
        <w:tab/>
        <w:t>Diminished capacity to respond to termination proposal process</w:t>
      </w:r>
      <w:bookmarkEnd w:id="491"/>
      <w:bookmarkEnd w:id="492"/>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493" w:name="_Toc106957471"/>
      <w:bookmarkStart w:id="494" w:name="_Toc106957911"/>
      <w:bookmarkStart w:id="495" w:name="_Toc107221101"/>
      <w:bookmarkStart w:id="496" w:name="_Toc107475346"/>
      <w:bookmarkStart w:id="497" w:name="_Toc104902490"/>
      <w:bookmarkStart w:id="498" w:name="_Toc104902755"/>
      <w:bookmarkStart w:id="499" w:name="_Toc104969660"/>
      <w:r>
        <w:rPr>
          <w:rStyle w:val="CharDivNo"/>
        </w:rPr>
        <w:t>Division 8</w:t>
      </w:r>
      <w:r>
        <w:t> — </w:t>
      </w:r>
      <w:r>
        <w:rPr>
          <w:rStyle w:val="CharDivText"/>
        </w:rPr>
        <w:t>Arrangements for recognition of vulnerable persons</w:t>
      </w:r>
      <w:bookmarkEnd w:id="493"/>
      <w:bookmarkEnd w:id="494"/>
      <w:bookmarkEnd w:id="495"/>
      <w:bookmarkEnd w:id="496"/>
      <w:bookmarkEnd w:id="497"/>
      <w:bookmarkEnd w:id="498"/>
      <w:bookmarkEnd w:id="499"/>
    </w:p>
    <w:p>
      <w:pPr>
        <w:pStyle w:val="Heading5"/>
      </w:pPr>
      <w:bookmarkStart w:id="500" w:name="_Toc107475347"/>
      <w:bookmarkStart w:id="501" w:name="_Toc104969661"/>
      <w:r>
        <w:rPr>
          <w:rStyle w:val="CharSectno"/>
        </w:rPr>
        <w:t>147</w:t>
      </w:r>
      <w:r>
        <w:t>.</w:t>
      </w:r>
      <w:r>
        <w:tab/>
        <w:t>Independent advocate to identify vulnerable persons to proponent</w:t>
      </w:r>
      <w:bookmarkEnd w:id="500"/>
      <w:bookmarkEnd w:id="501"/>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502" w:name="_Toc107475348"/>
      <w:bookmarkStart w:id="503" w:name="_Toc104969662"/>
      <w:r>
        <w:rPr>
          <w:rStyle w:val="CharSectno"/>
        </w:rPr>
        <w:t>148</w:t>
      </w:r>
      <w:r>
        <w:t>.</w:t>
      </w:r>
      <w:r>
        <w:tab/>
        <w:t>Owner of lot may apply to be recognised as vulnerable person</w:t>
      </w:r>
      <w:bookmarkEnd w:id="502"/>
      <w:bookmarkEnd w:id="503"/>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504" w:name="_Toc107475349"/>
      <w:bookmarkStart w:id="505" w:name="_Toc104969663"/>
      <w:r>
        <w:rPr>
          <w:rStyle w:val="CharSectno"/>
        </w:rPr>
        <w:t>149</w:t>
      </w:r>
      <w:r>
        <w:t>.</w:t>
      </w:r>
      <w:r>
        <w:tab/>
        <w:t>Proponent to make decision about claim of vulnerability</w:t>
      </w:r>
      <w:bookmarkEnd w:id="504"/>
      <w:bookmarkEnd w:id="505"/>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506" w:name="_Toc107475350"/>
      <w:bookmarkStart w:id="507" w:name="_Toc104969664"/>
      <w:r>
        <w:rPr>
          <w:rStyle w:val="CharSectno"/>
        </w:rPr>
        <w:t>150</w:t>
      </w:r>
      <w:r>
        <w:t>.</w:t>
      </w:r>
      <w:r>
        <w:tab/>
        <w:t>Trustee may require information about type of vulnerability</w:t>
      </w:r>
      <w:bookmarkEnd w:id="506"/>
      <w:bookmarkEnd w:id="507"/>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508" w:name="_Toc107475351"/>
      <w:bookmarkStart w:id="509" w:name="_Toc104969665"/>
      <w:r>
        <w:rPr>
          <w:rStyle w:val="CharSectno"/>
        </w:rPr>
        <w:t>151</w:t>
      </w:r>
      <w:r>
        <w:t>.</w:t>
      </w:r>
      <w:r>
        <w:tab/>
        <w:t>Dispute about proponent’s decision</w:t>
      </w:r>
      <w:bookmarkEnd w:id="508"/>
      <w:bookmarkEnd w:id="509"/>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510" w:name="_Toc107475352"/>
      <w:bookmarkStart w:id="511" w:name="_Toc104969666"/>
      <w:r>
        <w:rPr>
          <w:rStyle w:val="CharSectno"/>
        </w:rPr>
        <w:t>152</w:t>
      </w:r>
      <w:r>
        <w:t>.</w:t>
      </w:r>
      <w:r>
        <w:tab/>
        <w:t>Unanimous owner</w:t>
      </w:r>
      <w:r>
        <w:noBreakHyphen/>
        <w:t>initiated termination proposals excluded</w:t>
      </w:r>
      <w:bookmarkEnd w:id="510"/>
      <w:bookmarkEnd w:id="511"/>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512" w:name="_Toc106957478"/>
      <w:bookmarkStart w:id="513" w:name="_Toc106957918"/>
      <w:bookmarkStart w:id="514" w:name="_Toc107221108"/>
      <w:bookmarkStart w:id="515" w:name="_Toc107475353"/>
      <w:bookmarkStart w:id="516" w:name="_Toc104902497"/>
      <w:bookmarkStart w:id="517" w:name="_Toc104902762"/>
      <w:bookmarkStart w:id="518" w:name="_Toc104969667"/>
      <w:r>
        <w:rPr>
          <w:rStyle w:val="CharDivNo"/>
        </w:rPr>
        <w:t>Division 9</w:t>
      </w:r>
      <w:r>
        <w:t> — </w:t>
      </w:r>
      <w:r>
        <w:rPr>
          <w:rStyle w:val="CharDivText"/>
        </w:rPr>
        <w:t>Provisions for unanimous owner</w:t>
      </w:r>
      <w:r>
        <w:rPr>
          <w:rStyle w:val="CharDivText"/>
        </w:rPr>
        <w:noBreakHyphen/>
        <w:t>initiated termination proposals</w:t>
      </w:r>
      <w:bookmarkEnd w:id="512"/>
      <w:bookmarkEnd w:id="513"/>
      <w:bookmarkEnd w:id="514"/>
      <w:bookmarkEnd w:id="515"/>
      <w:bookmarkEnd w:id="516"/>
      <w:bookmarkEnd w:id="517"/>
      <w:bookmarkEnd w:id="518"/>
    </w:p>
    <w:p>
      <w:pPr>
        <w:pStyle w:val="Heading5"/>
      </w:pPr>
      <w:bookmarkStart w:id="519" w:name="_Toc107475354"/>
      <w:bookmarkStart w:id="520" w:name="_Toc104969668"/>
      <w:r>
        <w:rPr>
          <w:rStyle w:val="CharSectno"/>
        </w:rPr>
        <w:t>153</w:t>
      </w:r>
      <w:r>
        <w:t>.</w:t>
      </w:r>
      <w:r>
        <w:tab/>
        <w:t>Unanimous owner</w:t>
      </w:r>
      <w:r>
        <w:noBreakHyphen/>
        <w:t>initiated termination proposals</w:t>
      </w:r>
      <w:bookmarkEnd w:id="519"/>
      <w:bookmarkEnd w:id="520"/>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521" w:name="_Toc107475355"/>
      <w:bookmarkStart w:id="522" w:name="_Toc104969669"/>
      <w:r>
        <w:rPr>
          <w:rStyle w:val="CharSectno"/>
        </w:rPr>
        <w:t>154</w:t>
      </w:r>
      <w:r>
        <w:t>.</w:t>
      </w:r>
      <w:r>
        <w:tab/>
        <w:t>Permission to submit termination proposal as unanimous owner</w:t>
      </w:r>
      <w:r>
        <w:noBreakHyphen/>
        <w:t>initiated termination proposal</w:t>
      </w:r>
      <w:bookmarkEnd w:id="521"/>
      <w:bookmarkEnd w:id="522"/>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523" w:name="_Toc107475356"/>
      <w:bookmarkStart w:id="524" w:name="_Toc104969670"/>
      <w:r>
        <w:rPr>
          <w:rStyle w:val="CharSectno"/>
        </w:rPr>
        <w:t>155</w:t>
      </w:r>
      <w:r>
        <w:t>.</w:t>
      </w:r>
      <w:r>
        <w:tab/>
        <w:t>Outline of proposal</w:t>
      </w:r>
      <w:bookmarkEnd w:id="523"/>
      <w:bookmarkEnd w:id="524"/>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525" w:name="_Toc107475357"/>
      <w:bookmarkStart w:id="526" w:name="_Toc104969671"/>
      <w:r>
        <w:rPr>
          <w:rStyle w:val="CharSectno"/>
        </w:rPr>
        <w:t>156</w:t>
      </w:r>
      <w:r>
        <w:t>.</w:t>
      </w:r>
      <w:r>
        <w:tab/>
        <w:t>Qualifications of independent advocate</w:t>
      </w:r>
      <w:bookmarkEnd w:id="525"/>
      <w:bookmarkEnd w:id="526"/>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527" w:name="_Toc107475358"/>
      <w:bookmarkStart w:id="528" w:name="_Toc104969672"/>
      <w:r>
        <w:rPr>
          <w:rStyle w:val="CharSectno"/>
        </w:rPr>
        <w:t>157</w:t>
      </w:r>
      <w:r>
        <w:t>.</w:t>
      </w:r>
      <w:r>
        <w:tab/>
        <w:t>Full proposal</w:t>
      </w:r>
      <w:bookmarkEnd w:id="527"/>
      <w:bookmarkEnd w:id="528"/>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529" w:name="_Toc107475359"/>
      <w:bookmarkStart w:id="530" w:name="_Toc104969673"/>
      <w:r>
        <w:rPr>
          <w:rStyle w:val="CharSectno"/>
        </w:rPr>
        <w:t>158</w:t>
      </w:r>
      <w:r>
        <w:t>.</w:t>
      </w:r>
      <w:r>
        <w:tab/>
        <w:t>Person who can provide report of required works</w:t>
      </w:r>
      <w:bookmarkEnd w:id="529"/>
      <w:bookmarkEnd w:id="530"/>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531" w:name="_Toc107475360"/>
      <w:bookmarkStart w:id="532" w:name="_Toc104969674"/>
      <w:r>
        <w:rPr>
          <w:rStyle w:val="CharSectno"/>
        </w:rPr>
        <w:t>159</w:t>
      </w:r>
      <w:r>
        <w:t>.</w:t>
      </w:r>
      <w:r>
        <w:tab/>
        <w:t>Arrangements for independent advice or representation for owners</w:t>
      </w:r>
      <w:bookmarkEnd w:id="531"/>
      <w:bookmarkEnd w:id="532"/>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533" w:name="_Toc106957486"/>
      <w:bookmarkStart w:id="534" w:name="_Toc106957926"/>
      <w:bookmarkStart w:id="535" w:name="_Toc107221116"/>
      <w:bookmarkStart w:id="536" w:name="_Toc107475361"/>
      <w:bookmarkStart w:id="537" w:name="_Toc104902505"/>
      <w:bookmarkStart w:id="538" w:name="_Toc104902770"/>
      <w:bookmarkStart w:id="539" w:name="_Toc104969675"/>
      <w:r>
        <w:rPr>
          <w:rStyle w:val="CharPartNo"/>
        </w:rPr>
        <w:t>Part 16</w:t>
      </w:r>
      <w:r>
        <w:rPr>
          <w:rStyle w:val="CharDivNo"/>
        </w:rPr>
        <w:t> </w:t>
      </w:r>
      <w:r>
        <w:t>—</w:t>
      </w:r>
      <w:r>
        <w:rPr>
          <w:rStyle w:val="CharDivText"/>
        </w:rPr>
        <w:t> </w:t>
      </w:r>
      <w:r>
        <w:rPr>
          <w:rStyle w:val="CharPartText"/>
        </w:rPr>
        <w:t>Tribunal proceedings</w:t>
      </w:r>
      <w:bookmarkEnd w:id="533"/>
      <w:bookmarkEnd w:id="534"/>
      <w:bookmarkEnd w:id="535"/>
      <w:bookmarkEnd w:id="536"/>
      <w:bookmarkEnd w:id="537"/>
      <w:bookmarkEnd w:id="538"/>
      <w:bookmarkEnd w:id="539"/>
    </w:p>
    <w:p>
      <w:pPr>
        <w:pStyle w:val="Heading5"/>
      </w:pPr>
      <w:bookmarkStart w:id="540" w:name="_Toc107475362"/>
      <w:bookmarkStart w:id="541" w:name="_Toc104969676"/>
      <w:r>
        <w:rPr>
          <w:rStyle w:val="CharSectno"/>
        </w:rPr>
        <w:t>160</w:t>
      </w:r>
      <w:r>
        <w:t>.</w:t>
      </w:r>
      <w:r>
        <w:tab/>
        <w:t>Occupier disputes relating to termination proposals</w:t>
      </w:r>
      <w:bookmarkEnd w:id="540"/>
      <w:bookmarkEnd w:id="541"/>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542" w:name="_Toc107475363"/>
      <w:bookmarkStart w:id="543" w:name="_Toc104969677"/>
      <w:r>
        <w:rPr>
          <w:rStyle w:val="CharSectno"/>
        </w:rPr>
        <w:t>161</w:t>
      </w:r>
      <w:r>
        <w:t>.</w:t>
      </w:r>
      <w:r>
        <w:tab/>
        <w:t>Orders required to be made by legally qualified member</w:t>
      </w:r>
      <w:bookmarkEnd w:id="542"/>
      <w:bookmarkEnd w:id="543"/>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544" w:name="_Toc107475364"/>
      <w:bookmarkStart w:id="545" w:name="_Toc104969678"/>
      <w:r>
        <w:rPr>
          <w:rStyle w:val="CharSectno"/>
        </w:rPr>
        <w:t>162</w:t>
      </w:r>
      <w:r>
        <w:t>.</w:t>
      </w:r>
      <w:r>
        <w:tab/>
        <w:t>Internal review of Tribunal decisions</w:t>
      </w:r>
      <w:bookmarkEnd w:id="544"/>
      <w:bookmarkEnd w:id="545"/>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546" w:name="_Toc106957490"/>
      <w:bookmarkStart w:id="547" w:name="_Toc106957930"/>
      <w:bookmarkStart w:id="548" w:name="_Toc107221120"/>
      <w:bookmarkStart w:id="549" w:name="_Toc107475365"/>
      <w:bookmarkStart w:id="550" w:name="_Toc104902509"/>
      <w:bookmarkStart w:id="551" w:name="_Toc104902774"/>
      <w:bookmarkStart w:id="552" w:name="_Toc104969679"/>
      <w:r>
        <w:rPr>
          <w:rStyle w:val="CharPartNo"/>
        </w:rPr>
        <w:t>Part 17</w:t>
      </w:r>
      <w:r>
        <w:rPr>
          <w:rStyle w:val="CharDivNo"/>
        </w:rPr>
        <w:t> </w:t>
      </w:r>
      <w:r>
        <w:t>—</w:t>
      </w:r>
      <w:r>
        <w:rPr>
          <w:rStyle w:val="CharDivText"/>
        </w:rPr>
        <w:t> </w:t>
      </w:r>
      <w:r>
        <w:rPr>
          <w:rStyle w:val="CharPartText"/>
        </w:rPr>
        <w:t>Miscellaneous</w:t>
      </w:r>
      <w:bookmarkEnd w:id="546"/>
      <w:bookmarkEnd w:id="547"/>
      <w:bookmarkEnd w:id="548"/>
      <w:bookmarkEnd w:id="549"/>
      <w:bookmarkEnd w:id="550"/>
      <w:bookmarkEnd w:id="551"/>
      <w:bookmarkEnd w:id="552"/>
    </w:p>
    <w:p>
      <w:pPr>
        <w:pStyle w:val="Heading5"/>
      </w:pPr>
      <w:bookmarkStart w:id="553" w:name="_Toc107475366"/>
      <w:bookmarkStart w:id="554" w:name="_Toc104969680"/>
      <w:r>
        <w:rPr>
          <w:rStyle w:val="CharSectno"/>
        </w:rPr>
        <w:t>163</w:t>
      </w:r>
      <w:r>
        <w:t>.</w:t>
      </w:r>
      <w:r>
        <w:tab/>
        <w:t>Expiry day for leasehold scheme in scheme notice</w:t>
      </w:r>
      <w:bookmarkEnd w:id="553"/>
      <w:bookmarkEnd w:id="554"/>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555" w:name="_Toc107475367"/>
      <w:bookmarkStart w:id="556" w:name="_Toc104969681"/>
      <w:r>
        <w:rPr>
          <w:rStyle w:val="CharSectno"/>
        </w:rPr>
        <w:t>164</w:t>
      </w:r>
      <w:r>
        <w:t>.</w:t>
      </w:r>
      <w:r>
        <w:tab/>
        <w:t>Postponement of expiry day for leasehold scheme</w:t>
      </w:r>
      <w:bookmarkEnd w:id="555"/>
      <w:bookmarkEnd w:id="556"/>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557" w:name="_Toc107475368"/>
      <w:bookmarkStart w:id="558" w:name="_Toc104969682"/>
      <w:r>
        <w:rPr>
          <w:rStyle w:val="CharSectno"/>
        </w:rPr>
        <w:t>165</w:t>
      </w:r>
      <w:r>
        <w:t>.</w:t>
      </w:r>
      <w:r>
        <w:tab/>
        <w:t>Variation of strata titles scheme — redefining plan</w:t>
      </w:r>
      <w:bookmarkEnd w:id="557"/>
      <w:bookmarkEnd w:id="558"/>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559" w:name="_Toc107475369"/>
      <w:bookmarkStart w:id="560" w:name="_Toc104969683"/>
      <w:r>
        <w:rPr>
          <w:rStyle w:val="CharSectno"/>
        </w:rPr>
        <w:t>166</w:t>
      </w:r>
      <w:r>
        <w:t>.</w:t>
      </w:r>
      <w:r>
        <w:tab/>
        <w:t>Notice of impending expiry of leasehold scheme</w:t>
      </w:r>
      <w:bookmarkEnd w:id="559"/>
      <w:bookmarkEnd w:id="560"/>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561" w:name="_Toc107475370"/>
      <w:bookmarkStart w:id="562" w:name="_Toc104969684"/>
      <w:r>
        <w:rPr>
          <w:rStyle w:val="CharSectno"/>
        </w:rPr>
        <w:t>167</w:t>
      </w:r>
      <w:r>
        <w:t>.</w:t>
      </w:r>
      <w:r>
        <w:tab/>
        <w:t>Conversion of tenancy in common to strata titles scheme — simplified procedure</w:t>
      </w:r>
      <w:bookmarkEnd w:id="561"/>
      <w:bookmarkEnd w:id="562"/>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563" w:name="_Toc107475371"/>
      <w:bookmarkStart w:id="564" w:name="_Toc104969685"/>
      <w:r>
        <w:rPr>
          <w:rStyle w:val="CharSectno"/>
        </w:rPr>
        <w:t>168</w:t>
      </w:r>
      <w:r>
        <w:t>.</w:t>
      </w:r>
      <w:r>
        <w:tab/>
        <w:t>Disposition statements</w:t>
      </w:r>
      <w:bookmarkEnd w:id="563"/>
      <w:bookmarkEnd w:id="564"/>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565" w:name="_Toc107475372"/>
      <w:bookmarkStart w:id="566" w:name="_Toc104969686"/>
      <w:r>
        <w:rPr>
          <w:rStyle w:val="CharSectno"/>
        </w:rPr>
        <w:t>169</w:t>
      </w:r>
      <w:r>
        <w:t>.</w:t>
      </w:r>
      <w:r>
        <w:tab/>
        <w:t>Fees payable to Registrar of Titles</w:t>
      </w:r>
      <w:bookmarkEnd w:id="565"/>
      <w:bookmarkEnd w:id="566"/>
    </w:p>
    <w:p>
      <w:pPr>
        <w:pStyle w:val="Subsection"/>
      </w:pPr>
      <w:r>
        <w:tab/>
      </w:r>
      <w:r>
        <w:tab/>
        <w:t>The fees specified in Schedule 5 are the fees payable to the Registrar of Titles in respect of matters specified in that Schedule.</w:t>
      </w:r>
    </w:p>
    <w:p>
      <w:pPr>
        <w:pStyle w:val="Heading5"/>
      </w:pPr>
      <w:bookmarkStart w:id="567" w:name="_Toc107475373"/>
      <w:bookmarkStart w:id="568" w:name="_Toc104969687"/>
      <w:r>
        <w:rPr>
          <w:rStyle w:val="CharSectno"/>
        </w:rPr>
        <w:t>170</w:t>
      </w:r>
      <w:r>
        <w:t>.</w:t>
      </w:r>
      <w:r>
        <w:tab/>
        <w:t>Fees payable to local government</w:t>
      </w:r>
      <w:bookmarkEnd w:id="567"/>
      <w:bookmarkEnd w:id="568"/>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569" w:name="_Toc107475374"/>
      <w:bookmarkStart w:id="570" w:name="_Toc104969688"/>
      <w:r>
        <w:rPr>
          <w:rStyle w:val="CharSectno"/>
        </w:rPr>
        <w:t>171</w:t>
      </w:r>
      <w:r>
        <w:t>.</w:t>
      </w:r>
      <w:r>
        <w:tab/>
        <w:t>Fees payable to Planning Commission</w:t>
      </w:r>
      <w:bookmarkEnd w:id="569"/>
      <w:bookmarkEnd w:id="570"/>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571" w:name="_Toc106957500"/>
      <w:bookmarkStart w:id="572" w:name="_Toc106957940"/>
      <w:bookmarkStart w:id="573" w:name="_Toc107221130"/>
      <w:bookmarkStart w:id="574" w:name="_Toc107475375"/>
      <w:bookmarkStart w:id="575" w:name="_Toc104902519"/>
      <w:bookmarkStart w:id="576" w:name="_Toc104902784"/>
      <w:bookmarkStart w:id="577" w:name="_Toc104969689"/>
      <w:r>
        <w:rPr>
          <w:rStyle w:val="CharPartNo"/>
        </w:rPr>
        <w:t>Part 18</w:t>
      </w:r>
      <w:r>
        <w:rPr>
          <w:rStyle w:val="CharDivNo"/>
        </w:rPr>
        <w:t> </w:t>
      </w:r>
      <w:r>
        <w:t>—</w:t>
      </w:r>
      <w:r>
        <w:rPr>
          <w:rStyle w:val="CharDivText"/>
        </w:rPr>
        <w:t> </w:t>
      </w:r>
      <w:r>
        <w:rPr>
          <w:rStyle w:val="CharPartText"/>
        </w:rPr>
        <w:t>Repeal, savings and transitional</w:t>
      </w:r>
      <w:bookmarkEnd w:id="571"/>
      <w:bookmarkEnd w:id="572"/>
      <w:bookmarkEnd w:id="573"/>
      <w:bookmarkEnd w:id="574"/>
      <w:bookmarkEnd w:id="575"/>
      <w:bookmarkEnd w:id="576"/>
      <w:bookmarkEnd w:id="577"/>
    </w:p>
    <w:p>
      <w:pPr>
        <w:pStyle w:val="Heading5"/>
      </w:pPr>
      <w:bookmarkStart w:id="578" w:name="_Toc107475376"/>
      <w:bookmarkStart w:id="579" w:name="_Toc104969690"/>
      <w:r>
        <w:rPr>
          <w:rStyle w:val="CharSectno"/>
        </w:rPr>
        <w:t>172</w:t>
      </w:r>
      <w:r>
        <w:t>.</w:t>
      </w:r>
      <w:r>
        <w:tab/>
        <w:t>Terms used</w:t>
      </w:r>
      <w:bookmarkEnd w:id="578"/>
      <w:bookmarkEnd w:id="579"/>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580" w:name="_Toc107475377"/>
      <w:bookmarkStart w:id="581" w:name="_Toc104969691"/>
      <w:r>
        <w:rPr>
          <w:rStyle w:val="CharSectno"/>
        </w:rPr>
        <w:t>173</w:t>
      </w:r>
      <w:r>
        <w:t>.</w:t>
      </w:r>
      <w:r>
        <w:tab/>
      </w:r>
      <w:r>
        <w:rPr>
          <w:i/>
        </w:rPr>
        <w:t>Strata Titles General Regulations 1996</w:t>
      </w:r>
      <w:r>
        <w:t xml:space="preserve"> repealed</w:t>
      </w:r>
      <w:bookmarkEnd w:id="580"/>
      <w:bookmarkEnd w:id="581"/>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582" w:name="_Toc107475378"/>
      <w:bookmarkStart w:id="583" w:name="_Toc104969692"/>
      <w:r>
        <w:rPr>
          <w:rStyle w:val="CharSectno"/>
        </w:rPr>
        <w:t>174</w:t>
      </w:r>
      <w:r>
        <w:t>.</w:t>
      </w:r>
      <w:r>
        <w:tab/>
        <w:t>Open space and plot ratio changes</w:t>
      </w:r>
      <w:bookmarkEnd w:id="582"/>
      <w:bookmarkEnd w:id="583"/>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584" w:name="_Toc107475379"/>
      <w:bookmarkStart w:id="585" w:name="_Toc104969693"/>
      <w:r>
        <w:rPr>
          <w:rStyle w:val="CharSectno"/>
        </w:rPr>
        <w:t>175</w:t>
      </w:r>
      <w:r>
        <w:t>.</w:t>
      </w:r>
      <w:r>
        <w:tab/>
        <w:t>Phasing</w:t>
      </w:r>
      <w:r>
        <w:noBreakHyphen/>
        <w:t>in of financial year requirements</w:t>
      </w:r>
      <w:bookmarkEnd w:id="584"/>
      <w:bookmarkEnd w:id="585"/>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586" w:name="_Toc107475380"/>
      <w:bookmarkStart w:id="587" w:name="_Toc104969694"/>
      <w:r>
        <w:rPr>
          <w:rStyle w:val="CharSectno"/>
        </w:rPr>
        <w:t>176</w:t>
      </w:r>
      <w:r>
        <w:t>.</w:t>
      </w:r>
      <w:r>
        <w:tab/>
        <w:t>Scheme notice for strata titles schemes continued by 2018 amending Act</w:t>
      </w:r>
      <w:bookmarkEnd w:id="586"/>
      <w:bookmarkEnd w:id="587"/>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588" w:name="_Toc107475381"/>
      <w:bookmarkStart w:id="589" w:name="_Toc104969695"/>
      <w:r>
        <w:rPr>
          <w:rStyle w:val="CharSectno"/>
        </w:rPr>
        <w:t>177</w:t>
      </w:r>
      <w:r>
        <w:t>.</w:t>
      </w:r>
      <w:r>
        <w:tab/>
        <w:t>Applications lodged before commencement day</w:t>
      </w:r>
      <w:bookmarkEnd w:id="588"/>
      <w:bookmarkEnd w:id="589"/>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590" w:name="_Toc107475382"/>
      <w:bookmarkStart w:id="591" w:name="_Toc104969696"/>
      <w:r>
        <w:rPr>
          <w:rStyle w:val="CharSectno"/>
        </w:rPr>
        <w:t>178</w:t>
      </w:r>
      <w:r>
        <w:t>.</w:t>
      </w:r>
      <w:r>
        <w:tab/>
        <w:t>Staged subdivisions under pre</w:t>
      </w:r>
      <w:r>
        <w:noBreakHyphen/>
        <w:t>commencement by</w:t>
      </w:r>
      <w:r>
        <w:noBreakHyphen/>
        <w:t>laws</w:t>
      </w:r>
      <w:bookmarkEnd w:id="590"/>
      <w:bookmarkEnd w:id="591"/>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592" w:name="_Toc107475383"/>
      <w:bookmarkStart w:id="593" w:name="_Toc104969697"/>
      <w:r>
        <w:rPr>
          <w:rStyle w:val="CharSectno"/>
        </w:rPr>
        <w:t>179</w:t>
      </w:r>
      <w:r>
        <w:t>.</w:t>
      </w:r>
      <w:r>
        <w:tab/>
        <w:t>Requirement to have 10 year plan</w:t>
      </w:r>
      <w:bookmarkEnd w:id="592"/>
      <w:bookmarkEnd w:id="593"/>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594" w:name="_Toc107475384"/>
      <w:bookmarkStart w:id="595" w:name="_Toc104969698"/>
      <w:r>
        <w:rPr>
          <w:rStyle w:val="CharSectno"/>
        </w:rPr>
        <w:t>180</w:t>
      </w:r>
      <w:r>
        <w:t>.</w:t>
      </w:r>
      <w:r>
        <w:tab/>
        <w:t>Compulsory changes to scheme by</w:t>
      </w:r>
      <w:r>
        <w:noBreakHyphen/>
        <w:t>laws</w:t>
      </w:r>
      <w:bookmarkEnd w:id="594"/>
      <w:bookmarkEnd w:id="595"/>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596" w:name="_Toc107475385"/>
      <w:bookmarkStart w:id="597" w:name="_Toc104969699"/>
      <w:r>
        <w:rPr>
          <w:rStyle w:val="CharSectno"/>
        </w:rPr>
        <w:t>181</w:t>
      </w:r>
      <w:r>
        <w:t>.</w:t>
      </w:r>
      <w:r>
        <w:tab/>
        <w:t>Phasing</w:t>
      </w:r>
      <w:r>
        <w:noBreakHyphen/>
        <w:t>in of national criminal record check requirements</w:t>
      </w:r>
      <w:bookmarkEnd w:id="596"/>
      <w:bookmarkEnd w:id="597"/>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98" w:name="_Toc107475386"/>
      <w:bookmarkStart w:id="599" w:name="_Toc104969700"/>
      <w:r>
        <w:rPr>
          <w:rStyle w:val="CharSectno"/>
        </w:rPr>
        <w:t>182</w:t>
      </w:r>
      <w:r>
        <w:t>.</w:t>
      </w:r>
      <w:r>
        <w:tab/>
        <w:t>Phasing</w:t>
      </w:r>
      <w:r>
        <w:noBreakHyphen/>
        <w:t>in of educational qualification requirements</w:t>
      </w:r>
      <w:bookmarkEnd w:id="598"/>
      <w:bookmarkEnd w:id="599"/>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600" w:name="_Toc107475387"/>
      <w:bookmarkStart w:id="601" w:name="_Toc104969701"/>
      <w:r>
        <w:rPr>
          <w:rStyle w:val="CharSectno"/>
        </w:rPr>
        <w:t>183</w:t>
      </w:r>
      <w:r>
        <w:t>.</w:t>
      </w:r>
      <w:r>
        <w:tab/>
        <w:t>Phasing</w:t>
      </w:r>
      <w:r>
        <w:noBreakHyphen/>
        <w:t>in of professional indemnity insurance requirements</w:t>
      </w:r>
      <w:bookmarkEnd w:id="600"/>
      <w:bookmarkEnd w:id="601"/>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02" w:name="_Toc106957513"/>
      <w:bookmarkStart w:id="603" w:name="_Toc106957953"/>
      <w:bookmarkStart w:id="604" w:name="_Toc107221143"/>
      <w:bookmarkStart w:id="605" w:name="_Toc107475388"/>
      <w:bookmarkStart w:id="606" w:name="_Toc104902532"/>
      <w:bookmarkStart w:id="607" w:name="_Toc104902797"/>
      <w:bookmarkStart w:id="608" w:name="_Toc104969702"/>
      <w:r>
        <w:rPr>
          <w:rStyle w:val="CharSchNo"/>
        </w:rPr>
        <w:t>Schedule 1</w:t>
      </w:r>
      <w:r>
        <w:rPr>
          <w:rStyle w:val="CharSDivNo"/>
        </w:rPr>
        <w:t> </w:t>
      </w:r>
      <w:r>
        <w:t>—</w:t>
      </w:r>
      <w:r>
        <w:rPr>
          <w:rStyle w:val="CharSDivText"/>
        </w:rPr>
        <w:t> </w:t>
      </w:r>
      <w:r>
        <w:rPr>
          <w:rStyle w:val="CharSchText"/>
        </w:rPr>
        <w:t>Special provisions relating to single tier strata scheme</w:t>
      </w:r>
      <w:bookmarkEnd w:id="602"/>
      <w:bookmarkEnd w:id="603"/>
      <w:bookmarkEnd w:id="604"/>
      <w:bookmarkEnd w:id="605"/>
      <w:bookmarkEnd w:id="606"/>
      <w:bookmarkEnd w:id="607"/>
      <w:bookmarkEnd w:id="608"/>
    </w:p>
    <w:p>
      <w:pPr>
        <w:pStyle w:val="yHeading5"/>
      </w:pPr>
      <w:bookmarkStart w:id="609" w:name="_Toc107475389"/>
      <w:bookmarkStart w:id="610" w:name="_Toc104969703"/>
      <w:r>
        <w:rPr>
          <w:rStyle w:val="CharSClsNo"/>
        </w:rPr>
        <w:t>1</w:t>
      </w:r>
      <w:r>
        <w:t>.</w:t>
      </w:r>
      <w:r>
        <w:tab/>
        <w:t>Term used: Schedule 2A</w:t>
      </w:r>
      <w:bookmarkEnd w:id="609"/>
      <w:bookmarkEnd w:id="610"/>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611" w:name="_Toc107475390"/>
      <w:bookmarkStart w:id="612" w:name="_Toc104969704"/>
      <w:r>
        <w:rPr>
          <w:rStyle w:val="CharSClsNo"/>
        </w:rPr>
        <w:t>2</w:t>
      </w:r>
      <w:r>
        <w:t>.</w:t>
      </w:r>
      <w:r>
        <w:tab/>
        <w:t>Application of Schedule</w:t>
      </w:r>
      <w:bookmarkEnd w:id="611"/>
      <w:bookmarkEnd w:id="612"/>
    </w:p>
    <w:p>
      <w:pPr>
        <w:pStyle w:val="ySubsection"/>
      </w:pPr>
      <w:r>
        <w:tab/>
      </w:r>
      <w:r>
        <w:tab/>
        <w:t>This Schedule prescribes matters for the purposes of Schedule 2A.</w:t>
      </w:r>
    </w:p>
    <w:p>
      <w:pPr>
        <w:pStyle w:val="yHeading5"/>
      </w:pPr>
      <w:bookmarkStart w:id="613" w:name="_Toc107475391"/>
      <w:bookmarkStart w:id="614" w:name="_Toc104969705"/>
      <w:r>
        <w:rPr>
          <w:rStyle w:val="CharSClsNo"/>
        </w:rPr>
        <w:t>3</w:t>
      </w:r>
      <w:r>
        <w:t>.</w:t>
      </w:r>
      <w:r>
        <w:tab/>
        <w:t>Permitted boundary deviation</w:t>
      </w:r>
      <w:bookmarkEnd w:id="613"/>
      <w:bookmarkEnd w:id="614"/>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615" w:name="_Toc107475392"/>
      <w:bookmarkStart w:id="616" w:name="_Toc104969706"/>
      <w:r>
        <w:rPr>
          <w:rStyle w:val="CharSClsNo"/>
        </w:rPr>
        <w:t>4</w:t>
      </w:r>
      <w:r>
        <w:t>.</w:t>
      </w:r>
      <w:r>
        <w:tab/>
        <w:t>Boundaries of cubic space — things that are included</w:t>
      </w:r>
      <w:bookmarkEnd w:id="615"/>
      <w:bookmarkEnd w:id="616"/>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617" w:name="_Toc107475393"/>
      <w:bookmarkStart w:id="618" w:name="_Toc104969707"/>
      <w:r>
        <w:rPr>
          <w:rStyle w:val="CharSClsNo"/>
        </w:rPr>
        <w:t>5</w:t>
      </w:r>
      <w:r>
        <w:t>.</w:t>
      </w:r>
      <w:r>
        <w:tab/>
        <w:t>Boundaries of cubic space — things that are excluded</w:t>
      </w:r>
      <w:bookmarkEnd w:id="617"/>
      <w:bookmarkEnd w:id="618"/>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619" w:name="_Toc107475394"/>
      <w:bookmarkStart w:id="620" w:name="_Toc104969708"/>
      <w:r>
        <w:rPr>
          <w:rStyle w:val="CharSClsNo"/>
        </w:rPr>
        <w:t>6</w:t>
      </w:r>
      <w:r>
        <w:t>.</w:t>
      </w:r>
      <w:r>
        <w:tab/>
        <w:t>Merger by resolution of buildings that are common property — sketch plan required</w:t>
      </w:r>
      <w:bookmarkEnd w:id="619"/>
      <w:bookmarkEnd w:id="620"/>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621" w:name="_Toc107475395"/>
      <w:bookmarkStart w:id="622" w:name="_Toc104969709"/>
      <w:r>
        <w:rPr>
          <w:rStyle w:val="CharSClsNo"/>
        </w:rPr>
        <w:t>7</w:t>
      </w:r>
      <w:r>
        <w:t>.</w:t>
      </w:r>
      <w:r>
        <w:tab/>
        <w:t>Merger by resolution of land that is common property — requirements for sketch plan</w:t>
      </w:r>
      <w:bookmarkEnd w:id="621"/>
      <w:bookmarkEnd w:id="622"/>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623" w:name="_Toc107475396"/>
      <w:bookmarkStart w:id="624" w:name="_Toc104969710"/>
      <w:r>
        <w:rPr>
          <w:rStyle w:val="CharSClsNo"/>
        </w:rPr>
        <w:t>8</w:t>
      </w:r>
      <w:r>
        <w:t>.</w:t>
      </w:r>
      <w:r>
        <w:tab/>
        <w:t>Merger by resolution of land that is common property — surveyor’s certificate</w:t>
      </w:r>
      <w:bookmarkEnd w:id="623"/>
      <w:bookmarkEnd w:id="624"/>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625" w:name="_Toc107475397"/>
      <w:bookmarkStart w:id="626" w:name="_Toc104969711"/>
      <w:r>
        <w:rPr>
          <w:rStyle w:val="CharSClsNo"/>
        </w:rPr>
        <w:t>9</w:t>
      </w:r>
      <w:r>
        <w:t>.</w:t>
      </w:r>
      <w:r>
        <w:tab/>
        <w:t>Merger by resolution of land that is common property — disposition statement</w:t>
      </w:r>
      <w:bookmarkEnd w:id="625"/>
      <w:bookmarkEnd w:id="626"/>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627" w:name="_Toc107475398"/>
      <w:bookmarkStart w:id="628" w:name="_Toc104969712"/>
      <w:r>
        <w:rPr>
          <w:rStyle w:val="CharSClsNo"/>
        </w:rPr>
        <w:t>10</w:t>
      </w:r>
      <w:r>
        <w:t>.</w:t>
      </w:r>
      <w:r>
        <w:tab/>
        <w:t>Conversion of strata scheme to survey</w:t>
      </w:r>
      <w:r>
        <w:noBreakHyphen/>
        <w:t>strata scheme — survey</w:t>
      </w:r>
      <w:r>
        <w:noBreakHyphen/>
        <w:t>strata plan</w:t>
      </w:r>
      <w:bookmarkEnd w:id="627"/>
      <w:bookmarkEnd w:id="628"/>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629" w:name="_Toc107475399"/>
      <w:bookmarkStart w:id="630" w:name="_Toc104969713"/>
      <w:r>
        <w:rPr>
          <w:rStyle w:val="CharSClsNo"/>
        </w:rPr>
        <w:t>11</w:t>
      </w:r>
      <w:r>
        <w:t>.</w:t>
      </w:r>
      <w:r>
        <w:tab/>
        <w:t>Conversion of strata scheme to survey</w:t>
      </w:r>
      <w:r>
        <w:noBreakHyphen/>
        <w:t>strata scheme — certificate of interest holders</w:t>
      </w:r>
      <w:bookmarkEnd w:id="629"/>
      <w:bookmarkEnd w:id="630"/>
    </w:p>
    <w:p>
      <w:pPr>
        <w:pStyle w:val="ySubsection"/>
      </w:pPr>
      <w:r>
        <w:tab/>
      </w:r>
      <w:r>
        <w:tab/>
        <w:t>A certificate under Schedule 2A clause 31E(1)(e) must be in an approved form.</w:t>
      </w:r>
    </w:p>
    <w:p>
      <w:pPr>
        <w:pStyle w:val="yHeading5"/>
      </w:pPr>
      <w:bookmarkStart w:id="631" w:name="_Toc107475400"/>
      <w:bookmarkStart w:id="632" w:name="_Toc104969714"/>
      <w:r>
        <w:rPr>
          <w:rStyle w:val="CharSClsNo"/>
        </w:rPr>
        <w:t>12</w:t>
      </w:r>
      <w:r>
        <w:t>.</w:t>
      </w:r>
      <w:r>
        <w:tab/>
        <w:t>Conversion of strata scheme to survey</w:t>
      </w:r>
      <w:r>
        <w:noBreakHyphen/>
        <w:t>strata scheme — certificate of licensed surveyor</w:t>
      </w:r>
      <w:bookmarkEnd w:id="631"/>
      <w:bookmarkEnd w:id="632"/>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633" w:name="_Toc107475401"/>
      <w:bookmarkStart w:id="634" w:name="_Toc104969715"/>
      <w:r>
        <w:rPr>
          <w:rStyle w:val="CharSClsNo"/>
        </w:rPr>
        <w:t>13</w:t>
      </w:r>
      <w:r>
        <w:t>.</w:t>
      </w:r>
      <w:r>
        <w:tab/>
        <w:t>Conversion of strata scheme to survey</w:t>
      </w:r>
      <w:r>
        <w:noBreakHyphen/>
        <w:t>strata scheme — disposition statement</w:t>
      </w:r>
      <w:bookmarkEnd w:id="633"/>
      <w:bookmarkEnd w:id="634"/>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635" w:name="_Toc107475402"/>
      <w:bookmarkStart w:id="636" w:name="_Toc104969716"/>
      <w:r>
        <w:rPr>
          <w:rStyle w:val="CharSClsNo"/>
        </w:rPr>
        <w:t>14</w:t>
      </w:r>
      <w:r>
        <w:t>.</w:t>
      </w:r>
      <w:r>
        <w:tab/>
        <w:t>Action to be taken by Registrar of Titles</w:t>
      </w:r>
      <w:bookmarkEnd w:id="635"/>
      <w:bookmarkEnd w:id="636"/>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637" w:name="_Toc107475403"/>
      <w:bookmarkStart w:id="638" w:name="_Toc104969717"/>
      <w:r>
        <w:rPr>
          <w:rStyle w:val="CharSClsNo"/>
        </w:rPr>
        <w:t>15</w:t>
      </w:r>
      <w:r>
        <w:t>.</w:t>
      </w:r>
      <w:r>
        <w:tab/>
        <w:t>Insurance</w:t>
      </w:r>
      <w:bookmarkEnd w:id="637"/>
      <w:bookmarkEnd w:id="638"/>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639" w:name="_Toc106957529"/>
      <w:bookmarkStart w:id="640" w:name="_Toc106957969"/>
      <w:bookmarkStart w:id="641" w:name="_Toc107221159"/>
      <w:bookmarkStart w:id="642" w:name="_Toc107475404"/>
      <w:bookmarkStart w:id="643" w:name="_Toc104902548"/>
      <w:bookmarkStart w:id="644" w:name="_Toc104902813"/>
      <w:bookmarkStart w:id="645" w:name="_Toc104969718"/>
      <w:r>
        <w:rPr>
          <w:rStyle w:val="CharSchNo"/>
        </w:rPr>
        <w:t>Schedule 2</w:t>
      </w:r>
      <w:r>
        <w:rPr>
          <w:rStyle w:val="CharSDivNo"/>
        </w:rPr>
        <w:t> </w:t>
      </w:r>
      <w:r>
        <w:t>—</w:t>
      </w:r>
      <w:r>
        <w:rPr>
          <w:rStyle w:val="CharSDivText"/>
        </w:rPr>
        <w:t> </w:t>
      </w:r>
      <w:r>
        <w:rPr>
          <w:rStyle w:val="CharSchText"/>
        </w:rPr>
        <w:t>Explanation of effect of section 47</w:t>
      </w:r>
      <w:bookmarkEnd w:id="639"/>
      <w:bookmarkEnd w:id="640"/>
      <w:bookmarkEnd w:id="641"/>
      <w:bookmarkEnd w:id="642"/>
      <w:bookmarkEnd w:id="643"/>
      <w:bookmarkEnd w:id="644"/>
      <w:bookmarkEnd w:id="645"/>
    </w:p>
    <w:p>
      <w:pPr>
        <w:pStyle w:val="yShoulderClause"/>
      </w:pPr>
      <w:r>
        <w:t>[r. 57]</w:t>
      </w:r>
    </w:p>
    <w:p>
      <w:pPr>
        <w:pStyle w:val="yHeading5"/>
      </w:pPr>
      <w:bookmarkStart w:id="646" w:name="_Toc107475405"/>
      <w:bookmarkStart w:id="647" w:name="_Toc104969719"/>
      <w:r>
        <w:rPr>
          <w:rStyle w:val="CharSClsNo"/>
        </w:rPr>
        <w:t>1</w:t>
      </w:r>
      <w:r>
        <w:t>.</w:t>
      </w:r>
      <w:r>
        <w:tab/>
        <w:t>Enforcement of scheme by</w:t>
      </w:r>
      <w:r>
        <w:noBreakHyphen/>
        <w:t>laws</w:t>
      </w:r>
      <w:bookmarkEnd w:id="646"/>
      <w:bookmarkEnd w:id="647"/>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648" w:name="_Toc107475406"/>
      <w:bookmarkStart w:id="649" w:name="_Toc104969720"/>
      <w:r>
        <w:rPr>
          <w:rStyle w:val="CharSClsNo"/>
        </w:rPr>
        <w:t>2</w:t>
      </w:r>
      <w:r>
        <w:t>.</w:t>
      </w:r>
      <w:r>
        <w:tab/>
        <w:t>Who can apply for enforcement of scheme by</w:t>
      </w:r>
      <w:r>
        <w:noBreakHyphen/>
        <w:t>laws</w:t>
      </w:r>
      <w:bookmarkEnd w:id="648"/>
      <w:bookmarkEnd w:id="649"/>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650" w:name="_Toc107475407"/>
      <w:bookmarkStart w:id="651" w:name="_Toc104969721"/>
      <w:r>
        <w:rPr>
          <w:rStyle w:val="CharSClsNo"/>
        </w:rPr>
        <w:t>3</w:t>
      </w:r>
      <w:r>
        <w:t>.</w:t>
      </w:r>
      <w:r>
        <w:tab/>
        <w:t>How this could affect you</w:t>
      </w:r>
      <w:bookmarkEnd w:id="650"/>
      <w:bookmarkEnd w:id="651"/>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652" w:name="_Toc106957533"/>
      <w:bookmarkStart w:id="653" w:name="_Toc106957973"/>
      <w:bookmarkStart w:id="654" w:name="_Toc107221163"/>
      <w:bookmarkStart w:id="655" w:name="_Toc107475408"/>
      <w:bookmarkStart w:id="656" w:name="_Toc104902552"/>
      <w:bookmarkStart w:id="657" w:name="_Toc104902817"/>
      <w:bookmarkStart w:id="658" w:name="_Toc104969722"/>
      <w:r>
        <w:rPr>
          <w:rStyle w:val="CharSchNo"/>
        </w:rPr>
        <w:t>Schedule 3</w:t>
      </w:r>
      <w:r>
        <w:t> — </w:t>
      </w:r>
      <w:r>
        <w:rPr>
          <w:rStyle w:val="CharSchText"/>
        </w:rPr>
        <w:t>Provisions to be included in strata lease</w:t>
      </w:r>
      <w:bookmarkEnd w:id="652"/>
      <w:bookmarkEnd w:id="653"/>
      <w:bookmarkEnd w:id="654"/>
      <w:bookmarkEnd w:id="655"/>
      <w:bookmarkEnd w:id="656"/>
      <w:bookmarkEnd w:id="657"/>
      <w:bookmarkEnd w:id="658"/>
    </w:p>
    <w:p>
      <w:pPr>
        <w:pStyle w:val="yShoulderClause"/>
      </w:pPr>
      <w:r>
        <w:t>[r. 61, 62, 63]</w:t>
      </w:r>
    </w:p>
    <w:p>
      <w:pPr>
        <w:pStyle w:val="yHeading3"/>
      </w:pPr>
      <w:bookmarkStart w:id="659" w:name="_Toc106957534"/>
      <w:bookmarkStart w:id="660" w:name="_Toc106957974"/>
      <w:bookmarkStart w:id="661" w:name="_Toc107221164"/>
      <w:bookmarkStart w:id="662" w:name="_Toc107475409"/>
      <w:bookmarkStart w:id="663" w:name="_Toc104902553"/>
      <w:bookmarkStart w:id="664" w:name="_Toc104902818"/>
      <w:bookmarkStart w:id="665" w:name="_Toc104969723"/>
      <w:r>
        <w:rPr>
          <w:rStyle w:val="CharSDivNo"/>
        </w:rPr>
        <w:t>Division 1</w:t>
      </w:r>
      <w:r>
        <w:t> — </w:t>
      </w:r>
      <w:r>
        <w:rPr>
          <w:rStyle w:val="CharSDivText"/>
        </w:rPr>
        <w:t>General</w:t>
      </w:r>
      <w:bookmarkEnd w:id="659"/>
      <w:bookmarkEnd w:id="660"/>
      <w:bookmarkEnd w:id="661"/>
      <w:bookmarkEnd w:id="662"/>
      <w:bookmarkEnd w:id="663"/>
      <w:bookmarkEnd w:id="664"/>
      <w:bookmarkEnd w:id="665"/>
    </w:p>
    <w:p>
      <w:pPr>
        <w:pStyle w:val="yHeading5"/>
      </w:pPr>
      <w:bookmarkStart w:id="666" w:name="_Toc107475410"/>
      <w:bookmarkStart w:id="667" w:name="_Toc104969724"/>
      <w:r>
        <w:rPr>
          <w:rStyle w:val="CharSClsNo"/>
        </w:rPr>
        <w:t>1</w:t>
      </w:r>
      <w:r>
        <w:t>.</w:t>
      </w:r>
      <w:r>
        <w:tab/>
        <w:t>Preliminary</w:t>
      </w:r>
      <w:bookmarkEnd w:id="666"/>
      <w:bookmarkEnd w:id="667"/>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668" w:name="_Toc107475411"/>
      <w:bookmarkStart w:id="669" w:name="_Toc104969725"/>
      <w:r>
        <w:rPr>
          <w:rStyle w:val="CharSClsNo"/>
        </w:rPr>
        <w:t>2</w:t>
      </w:r>
      <w:r>
        <w:t>.</w:t>
      </w:r>
      <w:r>
        <w:tab/>
        <w:t>Terms used</w:t>
      </w:r>
      <w:bookmarkEnd w:id="668"/>
      <w:bookmarkEnd w:id="669"/>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670" w:name="_Toc107475412"/>
      <w:bookmarkStart w:id="671" w:name="_Toc104969726"/>
      <w:r>
        <w:rPr>
          <w:rStyle w:val="CharSClsNo"/>
        </w:rPr>
        <w:t>3</w:t>
      </w:r>
      <w:r>
        <w:t>.</w:t>
      </w:r>
      <w:r>
        <w:tab/>
        <w:t>Lease of the lot</w:t>
      </w:r>
      <w:bookmarkEnd w:id="670"/>
      <w:bookmarkEnd w:id="671"/>
    </w:p>
    <w:p>
      <w:pPr>
        <w:pStyle w:val="ySubsection"/>
      </w:pPr>
      <w:r>
        <w:tab/>
      </w:r>
      <w:r>
        <w:tab/>
        <w:t>The lessor leases the lot to the lessee for the term of this strata lease.</w:t>
      </w:r>
    </w:p>
    <w:p>
      <w:pPr>
        <w:pStyle w:val="yHeading5"/>
      </w:pPr>
      <w:bookmarkStart w:id="672" w:name="_Toc107475413"/>
      <w:bookmarkStart w:id="673" w:name="_Toc104969727"/>
      <w:r>
        <w:rPr>
          <w:rStyle w:val="CharSClsNo"/>
        </w:rPr>
        <w:t>4</w:t>
      </w:r>
      <w:r>
        <w:t>.</w:t>
      </w:r>
      <w:r>
        <w:tab/>
        <w:t>Term of strata lease</w:t>
      </w:r>
      <w:bookmarkEnd w:id="672"/>
      <w:bookmarkEnd w:id="673"/>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674" w:name="_Toc107475414"/>
      <w:bookmarkStart w:id="675" w:name="_Toc104969728"/>
      <w:r>
        <w:rPr>
          <w:rStyle w:val="CharSClsNo"/>
        </w:rPr>
        <w:t>5</w:t>
      </w:r>
      <w:r>
        <w:t>.</w:t>
      </w:r>
      <w:r>
        <w:tab/>
        <w:t>Covenants or conditions of strata lease</w:t>
      </w:r>
      <w:bookmarkEnd w:id="674"/>
      <w:bookmarkEnd w:id="675"/>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676" w:name="_Toc107475415"/>
      <w:bookmarkStart w:id="677" w:name="_Toc104969729"/>
      <w:r>
        <w:rPr>
          <w:rStyle w:val="CharSClsNo"/>
        </w:rPr>
        <w:t>6</w:t>
      </w:r>
      <w:r>
        <w:t>.</w:t>
      </w:r>
      <w:r>
        <w:tab/>
        <w:t>Special provision for conditional tenure land</w:t>
      </w:r>
      <w:bookmarkEnd w:id="676"/>
      <w:bookmarkEnd w:id="677"/>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678" w:name="_Toc107475416"/>
      <w:bookmarkStart w:id="679" w:name="_Toc104969730"/>
      <w:r>
        <w:rPr>
          <w:rStyle w:val="CharSClsNo"/>
        </w:rPr>
        <w:t>7</w:t>
      </w:r>
      <w:r>
        <w:t>.</w:t>
      </w:r>
      <w:r>
        <w:tab/>
        <w:t>Services of notices under strata lease</w:t>
      </w:r>
      <w:bookmarkEnd w:id="678"/>
      <w:bookmarkEnd w:id="679"/>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680" w:name="_Toc106957542"/>
      <w:bookmarkStart w:id="681" w:name="_Toc106957982"/>
      <w:bookmarkStart w:id="682" w:name="_Toc107221172"/>
      <w:bookmarkStart w:id="683" w:name="_Toc107475417"/>
      <w:bookmarkStart w:id="684" w:name="_Toc104902561"/>
      <w:bookmarkStart w:id="685" w:name="_Toc104902826"/>
      <w:bookmarkStart w:id="686" w:name="_Toc104969731"/>
      <w:r>
        <w:rPr>
          <w:rStyle w:val="CharSDivNo"/>
        </w:rPr>
        <w:t>Division 2</w:t>
      </w:r>
      <w:r>
        <w:t> — </w:t>
      </w:r>
      <w:r>
        <w:rPr>
          <w:rStyle w:val="CharSDivText"/>
        </w:rPr>
        <w:t>Covenants or conditions</w:t>
      </w:r>
      <w:bookmarkEnd w:id="680"/>
      <w:bookmarkEnd w:id="681"/>
      <w:bookmarkEnd w:id="682"/>
      <w:bookmarkEnd w:id="683"/>
      <w:bookmarkEnd w:id="684"/>
      <w:bookmarkEnd w:id="685"/>
      <w:bookmarkEnd w:id="686"/>
      <w:r>
        <w:rPr>
          <w:rStyle w:val="CharSDivText"/>
        </w:rPr>
        <w:t xml:space="preserve"> </w:t>
      </w:r>
    </w:p>
    <w:p>
      <w:pPr>
        <w:pStyle w:val="yHeading5"/>
      </w:pPr>
      <w:bookmarkStart w:id="687" w:name="_Toc107475418"/>
      <w:bookmarkStart w:id="688" w:name="_Toc104969732"/>
      <w:r>
        <w:rPr>
          <w:rStyle w:val="CharSClsNo"/>
        </w:rPr>
        <w:t>8</w:t>
      </w:r>
      <w:r>
        <w:t>.</w:t>
      </w:r>
      <w:r>
        <w:tab/>
        <w:t>Term used: designated event</w:t>
      </w:r>
      <w:bookmarkEnd w:id="687"/>
      <w:bookmarkEnd w:id="688"/>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689" w:name="_Toc107475419"/>
      <w:bookmarkStart w:id="690" w:name="_Toc104969733"/>
      <w:r>
        <w:rPr>
          <w:rStyle w:val="CharSClsNo"/>
        </w:rPr>
        <w:t>9</w:t>
      </w:r>
      <w:r>
        <w:t>.</w:t>
      </w:r>
      <w:r>
        <w:tab/>
        <w:t>Compliance with legislation</w:t>
      </w:r>
      <w:bookmarkEnd w:id="689"/>
      <w:bookmarkEnd w:id="690"/>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691" w:name="_Toc107475420"/>
      <w:bookmarkStart w:id="692" w:name="_Toc104969734"/>
      <w:r>
        <w:rPr>
          <w:rStyle w:val="CharSClsNo"/>
        </w:rPr>
        <w:t>10</w:t>
      </w:r>
      <w:r>
        <w:t>.</w:t>
      </w:r>
      <w:r>
        <w:tab/>
        <w:t>Compliance with scheme by</w:t>
      </w:r>
      <w:r>
        <w:noBreakHyphen/>
        <w:t>laws</w:t>
      </w:r>
      <w:bookmarkEnd w:id="691"/>
      <w:bookmarkEnd w:id="692"/>
    </w:p>
    <w:p>
      <w:pPr>
        <w:pStyle w:val="ySubsection"/>
      </w:pPr>
      <w:r>
        <w:tab/>
      </w:r>
      <w:r>
        <w:tab/>
        <w:t>Both the lessor and the lessee must comply with the scheme by</w:t>
      </w:r>
      <w:r>
        <w:noBreakHyphen/>
        <w:t>laws for the leasehold scheme.</w:t>
      </w:r>
    </w:p>
    <w:p>
      <w:pPr>
        <w:pStyle w:val="yHeading5"/>
      </w:pPr>
      <w:bookmarkStart w:id="693" w:name="_Toc107475421"/>
      <w:bookmarkStart w:id="694" w:name="_Toc104969735"/>
      <w:r>
        <w:rPr>
          <w:rStyle w:val="CharSClsNo"/>
        </w:rPr>
        <w:t>11</w:t>
      </w:r>
      <w:r>
        <w:t>.</w:t>
      </w:r>
      <w:r>
        <w:tab/>
        <w:t>Requirement to maintain lot</w:t>
      </w:r>
      <w:bookmarkEnd w:id="693"/>
      <w:bookmarkEnd w:id="694"/>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695" w:name="_Toc107475422"/>
      <w:bookmarkStart w:id="696" w:name="_Toc104969736"/>
      <w:r>
        <w:rPr>
          <w:rStyle w:val="CharSClsNo"/>
        </w:rPr>
        <w:t>12</w:t>
      </w:r>
      <w:r>
        <w:t>.</w:t>
      </w:r>
      <w:r>
        <w:tab/>
        <w:t>Requirement to notify lessor of structural damage</w:t>
      </w:r>
      <w:bookmarkEnd w:id="695"/>
      <w:bookmarkEnd w:id="696"/>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697" w:name="_Toc107475423"/>
      <w:bookmarkStart w:id="698" w:name="_Toc104969737"/>
      <w:r>
        <w:rPr>
          <w:rStyle w:val="CharSClsNo"/>
        </w:rPr>
        <w:t>13</w:t>
      </w:r>
      <w:r>
        <w:t>.</w:t>
      </w:r>
      <w:r>
        <w:tab/>
        <w:t>Payment of rates and charges</w:t>
      </w:r>
      <w:bookmarkEnd w:id="697"/>
      <w:bookmarkEnd w:id="698"/>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699" w:name="_Toc107475424"/>
      <w:bookmarkStart w:id="700" w:name="_Toc104969738"/>
      <w:r>
        <w:rPr>
          <w:rStyle w:val="CharSClsNo"/>
        </w:rPr>
        <w:t>14</w:t>
      </w:r>
      <w:r>
        <w:t>.</w:t>
      </w:r>
      <w:r>
        <w:tab/>
        <w:t>Discharge of mortgages and removal of caveats</w:t>
      </w:r>
      <w:bookmarkEnd w:id="699"/>
      <w:bookmarkEnd w:id="700"/>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701" w:name="_Toc107475425"/>
      <w:bookmarkStart w:id="702" w:name="_Toc104969739"/>
      <w:r>
        <w:rPr>
          <w:rStyle w:val="CharSClsNo"/>
        </w:rPr>
        <w:t>15</w:t>
      </w:r>
      <w:r>
        <w:t>.</w:t>
      </w:r>
      <w:r>
        <w:tab/>
        <w:t>Change in ownership details</w:t>
      </w:r>
      <w:bookmarkEnd w:id="701"/>
      <w:bookmarkEnd w:id="702"/>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703" w:name="_Toc107475426"/>
      <w:bookmarkStart w:id="704" w:name="_Toc104969740"/>
      <w:r>
        <w:rPr>
          <w:rStyle w:val="CharSClsNo"/>
        </w:rPr>
        <w:t>16</w:t>
      </w:r>
      <w:r>
        <w:t>.</w:t>
      </w:r>
      <w:r>
        <w:tab/>
        <w:t>Lease by lessee must be consistent with strata lease</w:t>
      </w:r>
      <w:bookmarkEnd w:id="703"/>
      <w:bookmarkEnd w:id="704"/>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705" w:name="_Toc107475427"/>
      <w:bookmarkStart w:id="706" w:name="_Toc104969741"/>
      <w:r>
        <w:rPr>
          <w:rStyle w:val="CharSClsNo"/>
        </w:rPr>
        <w:t>17</w:t>
      </w:r>
      <w:r>
        <w:t>.</w:t>
      </w:r>
      <w:r>
        <w:tab/>
        <w:t>Inspection of lot</w:t>
      </w:r>
      <w:bookmarkEnd w:id="705"/>
      <w:bookmarkEnd w:id="706"/>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707" w:name="_Toc107475428"/>
      <w:bookmarkStart w:id="708" w:name="_Toc104969742"/>
      <w:r>
        <w:rPr>
          <w:rStyle w:val="CharSClsNo"/>
        </w:rPr>
        <w:t>18</w:t>
      </w:r>
      <w:r>
        <w:t>.</w:t>
      </w:r>
      <w:r>
        <w:tab/>
        <w:t>Lessee to deliver vacant possession when leasehold scheme expires</w:t>
      </w:r>
      <w:bookmarkEnd w:id="707"/>
      <w:bookmarkEnd w:id="708"/>
    </w:p>
    <w:p>
      <w:pPr>
        <w:pStyle w:val="ySubsection"/>
      </w:pPr>
      <w:r>
        <w:tab/>
      </w:r>
      <w:r>
        <w:tab/>
        <w:t xml:space="preserve">The lessee must deliver vacant possession of the lot to the lessor when the leasehold scheme expires or if it is terminated. </w:t>
      </w:r>
    </w:p>
    <w:p>
      <w:pPr>
        <w:pStyle w:val="yScheduleHeading"/>
      </w:pPr>
      <w:bookmarkStart w:id="709" w:name="_Toc106957554"/>
      <w:bookmarkStart w:id="710" w:name="_Toc106957994"/>
      <w:bookmarkStart w:id="711" w:name="_Toc107221184"/>
      <w:bookmarkStart w:id="712" w:name="_Toc107475429"/>
      <w:bookmarkStart w:id="713" w:name="_Toc104902573"/>
      <w:bookmarkStart w:id="714" w:name="_Toc104902838"/>
      <w:bookmarkStart w:id="715" w:name="_Toc104969743"/>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709"/>
      <w:bookmarkEnd w:id="710"/>
      <w:bookmarkEnd w:id="711"/>
      <w:bookmarkEnd w:id="712"/>
      <w:bookmarkEnd w:id="713"/>
      <w:bookmarkEnd w:id="714"/>
      <w:bookmarkEnd w:id="715"/>
    </w:p>
    <w:p>
      <w:pPr>
        <w:pStyle w:val="yShoulderClause"/>
      </w:pPr>
      <w:r>
        <w:t>[r. 95, 97]</w:t>
      </w:r>
    </w:p>
    <w:p>
      <w:pPr>
        <w:pStyle w:val="yHeading5"/>
      </w:pPr>
      <w:bookmarkStart w:id="716" w:name="_Toc107475430"/>
      <w:bookmarkStart w:id="717" w:name="_Toc104969744"/>
      <w:r>
        <w:rPr>
          <w:rStyle w:val="CharSClsNo"/>
        </w:rPr>
        <w:t>1</w:t>
      </w:r>
      <w:r>
        <w:t>.</w:t>
      </w:r>
      <w:r>
        <w:tab/>
        <w:t>Terms used</w:t>
      </w:r>
      <w:bookmarkEnd w:id="716"/>
      <w:bookmarkEnd w:id="717"/>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718" w:name="_Toc107475431"/>
      <w:bookmarkStart w:id="719" w:name="_Toc104969745"/>
      <w:r>
        <w:rPr>
          <w:rStyle w:val="CharSClsNo"/>
        </w:rPr>
        <w:t>2</w:t>
      </w:r>
      <w:r>
        <w:t>.</w:t>
      </w:r>
      <w:r>
        <w:tab/>
        <w:t>Principal of business</w:t>
      </w:r>
      <w:bookmarkEnd w:id="718"/>
      <w:bookmarkEnd w:id="719"/>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720" w:name="_Toc107475432"/>
      <w:bookmarkStart w:id="721" w:name="_Toc104969746"/>
      <w:r>
        <w:rPr>
          <w:rStyle w:val="CharSClsNo"/>
        </w:rPr>
        <w:t>3</w:t>
      </w:r>
      <w:r>
        <w:t>.</w:t>
      </w:r>
      <w:r>
        <w:tab/>
        <w:t>Designated person</w:t>
      </w:r>
      <w:bookmarkEnd w:id="720"/>
      <w:bookmarkEnd w:id="721"/>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722" w:name="_Toc107475433"/>
      <w:bookmarkStart w:id="723" w:name="_Toc104969747"/>
      <w:r>
        <w:rPr>
          <w:rStyle w:val="CharSClsNo"/>
        </w:rPr>
        <w:t>4</w:t>
      </w:r>
      <w:r>
        <w:t>.</w:t>
      </w:r>
      <w:r>
        <w:tab/>
        <w:t>Changes to titles of units</w:t>
      </w:r>
      <w:bookmarkEnd w:id="722"/>
      <w:bookmarkEnd w:id="723"/>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24" w:name="_Toc106957559"/>
      <w:bookmarkStart w:id="725" w:name="_Toc106957999"/>
      <w:bookmarkStart w:id="726" w:name="_Toc107221189"/>
      <w:bookmarkStart w:id="727" w:name="_Toc107475434"/>
      <w:bookmarkStart w:id="728" w:name="_Toc104902578"/>
      <w:bookmarkStart w:id="729" w:name="_Toc104902843"/>
      <w:bookmarkStart w:id="730" w:name="_Toc104969748"/>
      <w:r>
        <w:rPr>
          <w:rStyle w:val="CharSchNo"/>
        </w:rPr>
        <w:t>Schedule 5</w:t>
      </w:r>
      <w:r>
        <w:rPr>
          <w:rStyle w:val="CharSDivNo"/>
        </w:rPr>
        <w:t> </w:t>
      </w:r>
      <w:r>
        <w:t>—</w:t>
      </w:r>
      <w:r>
        <w:rPr>
          <w:rStyle w:val="CharSDivText"/>
        </w:rPr>
        <w:t> </w:t>
      </w:r>
      <w:r>
        <w:rPr>
          <w:rStyle w:val="CharSchText"/>
        </w:rPr>
        <w:t>Fees payable to Registrar of Titles</w:t>
      </w:r>
      <w:bookmarkEnd w:id="724"/>
      <w:bookmarkEnd w:id="725"/>
      <w:bookmarkEnd w:id="726"/>
      <w:bookmarkEnd w:id="727"/>
      <w:bookmarkEnd w:id="728"/>
      <w:bookmarkEnd w:id="729"/>
      <w:bookmarkEnd w:id="730"/>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del w:id="731" w:author="Master Repository Process" w:date="2022-06-30T13:08:00Z">
              <w:r>
                <w:rPr>
                  <w:szCs w:val="22"/>
                </w:rPr>
                <w:delText>293</w:delText>
              </w:r>
            </w:del>
            <w:ins w:id="732" w:author="Master Repository Process" w:date="2022-06-30T13:08:00Z">
              <w:r>
                <w:rPr>
                  <w:szCs w:val="22"/>
                </w:rPr>
                <w:t>303</w:t>
              </w:r>
            </w:ins>
            <w:r>
              <w:rPr>
                <w:szCs w:val="22"/>
              </w:rPr>
              <w:t>.00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del w:id="733" w:author="Master Repository Process" w:date="2022-06-30T13:08:00Z">
              <w:r>
                <w:rPr>
                  <w:szCs w:val="22"/>
                </w:rPr>
                <w:delText>76.00</w:delText>
              </w:r>
            </w:del>
            <w:ins w:id="734" w:author="Master Repository Process" w:date="2022-06-30T13:08:00Z">
              <w:r>
                <w:rPr>
                  <w:szCs w:val="22"/>
                </w:rPr>
                <w:t>79.50</w:t>
              </w:r>
            </w:ins>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del w:id="735" w:author="Master Repository Process" w:date="2022-06-30T13:08:00Z">
              <w:r>
                <w:rPr>
                  <w:szCs w:val="22"/>
                </w:rPr>
                <w:delText>181.30</w:delText>
              </w:r>
            </w:del>
            <w:ins w:id="736" w:author="Master Repository Process" w:date="2022-06-30T13:08:00Z">
              <w:r>
                <w:rPr>
                  <w:szCs w:val="22"/>
                </w:rPr>
                <w:t>187.60</w:t>
              </w:r>
            </w:ins>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w:t>
            </w:r>
            <w:del w:id="737" w:author="Master Repository Process" w:date="2022-06-30T13:08:00Z">
              <w:r>
                <w:rPr>
                  <w:szCs w:val="22"/>
                </w:rPr>
                <w:delText>50</w:delText>
              </w:r>
            </w:del>
            <w:ins w:id="738" w:author="Master Repository Process" w:date="2022-06-30T13:08:00Z">
              <w:r>
                <w:rPr>
                  <w:szCs w:val="22"/>
                </w:rPr>
                <w:t>70</w:t>
              </w:r>
            </w:ins>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del w:id="739" w:author="Master Repository Process" w:date="2022-06-30T13:08:00Z">
              <w:r>
                <w:rPr>
                  <w:szCs w:val="22"/>
                </w:rPr>
                <w:delText>181.30</w:delText>
              </w:r>
            </w:del>
            <w:ins w:id="740" w:author="Master Repository Process" w:date="2022-06-30T13:08:00Z">
              <w:r>
                <w:rPr>
                  <w:szCs w:val="22"/>
                </w:rPr>
                <w:t>187.60</w:t>
              </w:r>
            </w:ins>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del w:id="741" w:author="Master Repository Process" w:date="2022-06-30T13:08:00Z">
              <w:r>
                <w:rPr>
                  <w:szCs w:val="22"/>
                </w:rPr>
                <w:delText>181.30</w:delText>
              </w:r>
            </w:del>
            <w:ins w:id="742" w:author="Master Repository Process" w:date="2022-06-30T13:08:00Z">
              <w:r>
                <w:rPr>
                  <w:szCs w:val="22"/>
                </w:rPr>
                <w:t>187.60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w:t>
            </w:r>
            <w:del w:id="743" w:author="Master Repository Process" w:date="2022-06-30T13:08:00Z">
              <w:r>
                <w:rPr>
                  <w:szCs w:val="22"/>
                </w:rPr>
                <w:delText>50</w:delText>
              </w:r>
            </w:del>
            <w:ins w:id="744" w:author="Master Repository Process" w:date="2022-06-30T13:08:00Z">
              <w:r>
                <w:rPr>
                  <w:szCs w:val="22"/>
                </w:rPr>
                <w:t>70</w:t>
              </w:r>
            </w:ins>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del w:id="745" w:author="Master Repository Process" w:date="2022-06-30T13:08:00Z">
              <w:r>
                <w:rPr>
                  <w:szCs w:val="22"/>
                </w:rPr>
                <w:delText>181.30</w:delText>
              </w:r>
            </w:del>
            <w:ins w:id="746" w:author="Master Repository Process" w:date="2022-06-30T13:08:00Z">
              <w:r>
                <w:rPr>
                  <w:szCs w:val="22"/>
                </w:rPr>
                <w:t>187.60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w:t>
            </w:r>
            <w:del w:id="747" w:author="Master Repository Process" w:date="2022-06-30T13:08:00Z">
              <w:r>
                <w:rPr>
                  <w:szCs w:val="22"/>
                </w:rPr>
                <w:delText>50</w:delText>
              </w:r>
            </w:del>
            <w:ins w:id="748" w:author="Master Repository Process" w:date="2022-06-30T13:08:00Z">
              <w:r>
                <w:rPr>
                  <w:szCs w:val="22"/>
                </w:rPr>
                <w:t>70</w:t>
              </w:r>
            </w:ins>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del w:id="749" w:author="Master Repository Process" w:date="2022-06-30T13:08:00Z">
              <w:r>
                <w:rPr>
                  <w:szCs w:val="22"/>
                </w:rPr>
                <w:delText>181.30</w:delText>
              </w:r>
            </w:del>
            <w:ins w:id="750" w:author="Master Repository Process" w:date="2022-06-30T13:08:00Z">
              <w:r>
                <w:rPr>
                  <w:szCs w:val="22"/>
                </w:rPr>
                <w:t>187.60</w:t>
              </w:r>
            </w:ins>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del w:id="751" w:author="Master Repository Process" w:date="2022-06-30T13:08:00Z">
              <w:r>
                <w:rPr>
                  <w:szCs w:val="22"/>
                </w:rPr>
                <w:delText>181.30</w:delText>
              </w:r>
            </w:del>
            <w:ins w:id="752" w:author="Master Repository Process" w:date="2022-06-30T13:08:00Z">
              <w:r>
                <w:rPr>
                  <w:szCs w:val="22"/>
                </w:rPr>
                <w:t>187.60</w:t>
              </w:r>
            </w:ins>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del w:id="753" w:author="Master Repository Process" w:date="2022-06-30T13:08:00Z">
              <w:r>
                <w:rPr>
                  <w:szCs w:val="22"/>
                </w:rPr>
                <w:delText>181.30</w:delText>
              </w:r>
            </w:del>
            <w:ins w:id="754" w:author="Master Repository Process" w:date="2022-06-30T13:08:00Z">
              <w:r>
                <w:rPr>
                  <w:szCs w:val="22"/>
                </w:rPr>
                <w:t>187.60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w:t>
            </w:r>
            <w:del w:id="755" w:author="Master Repository Process" w:date="2022-06-30T13:08:00Z">
              <w:r>
                <w:rPr>
                  <w:szCs w:val="22"/>
                </w:rPr>
                <w:delText>50</w:delText>
              </w:r>
            </w:del>
            <w:ins w:id="756" w:author="Master Repository Process" w:date="2022-06-30T13:08:00Z">
              <w:r>
                <w:rPr>
                  <w:szCs w:val="22"/>
                </w:rPr>
                <w:t>70</w:t>
              </w:r>
            </w:ins>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del w:id="757" w:author="Master Repository Process" w:date="2022-06-30T13:08:00Z">
              <w:r>
                <w:rPr>
                  <w:szCs w:val="22"/>
                </w:rPr>
                <w:delText>181.30</w:delText>
              </w:r>
            </w:del>
            <w:ins w:id="758" w:author="Master Repository Process" w:date="2022-06-30T13:08:00Z">
              <w:r>
                <w:rPr>
                  <w:szCs w:val="22"/>
                </w:rPr>
                <w:t>187.60</w:t>
              </w:r>
            </w:ins>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w:t>
            </w:r>
            <w:del w:id="759" w:author="Master Repository Process" w:date="2022-06-30T13:08:00Z">
              <w:r>
                <w:rPr>
                  <w:szCs w:val="22"/>
                </w:rPr>
                <w:delText>50</w:delText>
              </w:r>
            </w:del>
            <w:ins w:id="760" w:author="Master Repository Process" w:date="2022-06-30T13:08:00Z">
              <w:r>
                <w:rPr>
                  <w:szCs w:val="22"/>
                </w:rPr>
                <w:t>70</w:t>
              </w:r>
            </w:ins>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del w:id="761" w:author="Master Repository Process" w:date="2022-06-30T13:08:00Z">
              <w:r>
                <w:rPr>
                  <w:szCs w:val="22"/>
                </w:rPr>
                <w:delText>118.10</w:delText>
              </w:r>
            </w:del>
            <w:ins w:id="762" w:author="Master Repository Process" w:date="2022-06-30T13:08:00Z">
              <w:r>
                <w:rPr>
                  <w:szCs w:val="22"/>
                </w:rPr>
                <w:t>122.20</w:t>
              </w:r>
            </w:ins>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del w:id="763" w:author="Master Repository Process" w:date="2022-06-30T13:08:00Z">
              <w:r>
                <w:rPr>
                  <w:szCs w:val="22"/>
                </w:rPr>
                <w:delText>181.30</w:delText>
              </w:r>
            </w:del>
            <w:ins w:id="764" w:author="Master Repository Process" w:date="2022-06-30T13:08:00Z">
              <w:r>
                <w:rPr>
                  <w:szCs w:val="22"/>
                </w:rPr>
                <w:t>187.60</w:t>
              </w:r>
            </w:ins>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del w:id="765" w:author="Master Repository Process" w:date="2022-06-30T13:08:00Z">
              <w:r>
                <w:rPr>
                  <w:szCs w:val="22"/>
                </w:rPr>
                <w:delText>181.30</w:delText>
              </w:r>
            </w:del>
            <w:ins w:id="766" w:author="Master Repository Process" w:date="2022-06-30T13:08:00Z">
              <w:r>
                <w:rPr>
                  <w:szCs w:val="22"/>
                </w:rPr>
                <w:t>187.60</w:t>
              </w:r>
            </w:ins>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del w:id="767" w:author="Master Repository Process" w:date="2022-06-30T13:08:00Z">
              <w:r>
                <w:rPr>
                  <w:szCs w:val="22"/>
                </w:rPr>
                <w:delText>181.30</w:delText>
              </w:r>
            </w:del>
            <w:ins w:id="768" w:author="Master Repository Process" w:date="2022-06-30T13:08:00Z">
              <w:r>
                <w:rPr>
                  <w:szCs w:val="22"/>
                </w:rPr>
                <w:t>187.60</w:t>
              </w:r>
            </w:ins>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pPr>
      <w:r>
        <w:tab/>
        <w:t>[Schedule 5 amended: SL 2020/76 r. 6; SL 2021/88 r. </w:t>
      </w:r>
      <w:del w:id="769" w:author="Master Repository Process" w:date="2022-06-30T13:08:00Z">
        <w:r>
          <w:delText>6</w:delText>
        </w:r>
      </w:del>
      <w:ins w:id="770" w:author="Master Repository Process" w:date="2022-06-30T13:08:00Z">
        <w:r>
          <w:t>6; SL 2022/62 r. 8</w:t>
        </w:r>
      </w:ins>
      <w:r>
        <w:t>.]</w:t>
      </w:r>
    </w:p>
    <w:p>
      <w:pPr>
        <w:pStyle w:val="yScheduleHeading"/>
      </w:pPr>
      <w:bookmarkStart w:id="771" w:name="_Toc106957560"/>
      <w:bookmarkStart w:id="772" w:name="_Toc106958000"/>
      <w:bookmarkStart w:id="773" w:name="_Toc107221190"/>
      <w:bookmarkStart w:id="774" w:name="_Toc107475435"/>
      <w:bookmarkStart w:id="775" w:name="_Toc104902579"/>
      <w:bookmarkStart w:id="776" w:name="_Toc104902844"/>
      <w:bookmarkStart w:id="777" w:name="_Toc104969749"/>
      <w:r>
        <w:rPr>
          <w:rStyle w:val="CharSchNo"/>
        </w:rPr>
        <w:t>Schedule 6</w:t>
      </w:r>
      <w:r>
        <w:rPr>
          <w:rStyle w:val="CharSDivNo"/>
        </w:rPr>
        <w:t> </w:t>
      </w:r>
      <w:r>
        <w:t>—</w:t>
      </w:r>
      <w:r>
        <w:rPr>
          <w:rStyle w:val="CharSDivText"/>
        </w:rPr>
        <w:t> </w:t>
      </w:r>
      <w:r>
        <w:rPr>
          <w:rStyle w:val="CharSchText"/>
        </w:rPr>
        <w:t>Fees payable to Planning Commission</w:t>
      </w:r>
      <w:bookmarkEnd w:id="771"/>
      <w:bookmarkEnd w:id="772"/>
      <w:bookmarkEnd w:id="773"/>
      <w:bookmarkEnd w:id="774"/>
      <w:bookmarkEnd w:id="775"/>
      <w:bookmarkEnd w:id="776"/>
      <w:bookmarkEnd w:id="777"/>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778" w:name="_Toc106957561"/>
      <w:bookmarkStart w:id="779" w:name="_Toc106958001"/>
      <w:bookmarkStart w:id="780" w:name="_Toc107221191"/>
      <w:bookmarkStart w:id="781" w:name="_Toc107475436"/>
      <w:bookmarkStart w:id="782" w:name="_Toc104902580"/>
      <w:bookmarkStart w:id="783" w:name="_Toc104902845"/>
      <w:bookmarkStart w:id="784" w:name="_Toc104969750"/>
      <w:r>
        <w:t>Notes</w:t>
      </w:r>
      <w:bookmarkEnd w:id="778"/>
      <w:bookmarkEnd w:id="779"/>
      <w:bookmarkEnd w:id="780"/>
      <w:bookmarkEnd w:id="781"/>
      <w:bookmarkEnd w:id="782"/>
      <w:bookmarkEnd w:id="783"/>
      <w:bookmarkEnd w:id="784"/>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w:t>
      </w:r>
      <w:del w:id="785" w:author="Master Repository Process" w:date="2022-06-30T13:08:00Z">
        <w:r>
          <w:delText xml:space="preserve"> For provisions that have not yet come into operation see the uncommenced provisions table.</w:delText>
        </w:r>
      </w:del>
    </w:p>
    <w:p>
      <w:pPr>
        <w:pStyle w:val="nHeading3"/>
      </w:pPr>
      <w:bookmarkStart w:id="786" w:name="_Toc107475437"/>
      <w:bookmarkStart w:id="787" w:name="_Toc104969751"/>
      <w:r>
        <w:t>Compilation table</w:t>
      </w:r>
      <w:bookmarkEnd w:id="786"/>
      <w:bookmarkEnd w:id="78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bl>
    <w:p>
      <w:pPr>
        <w:pStyle w:val="nHeading3"/>
        <w:rPr>
          <w:del w:id="788" w:author="Master Repository Process" w:date="2022-06-30T13:08:00Z"/>
        </w:rPr>
      </w:pPr>
      <w:bookmarkStart w:id="789" w:name="_Toc104969752"/>
      <w:del w:id="790" w:author="Master Repository Process" w:date="2022-06-30T13:08:00Z">
        <w:r>
          <w:delText>Uncommenced provisions table</w:delText>
        </w:r>
        <w:bookmarkEnd w:id="789"/>
      </w:del>
    </w:p>
    <w:p>
      <w:pPr>
        <w:pStyle w:val="nStatement"/>
        <w:keepNext/>
        <w:spacing w:after="240"/>
        <w:rPr>
          <w:del w:id="791" w:author="Master Repository Process" w:date="2022-06-30T13:08:00Z"/>
        </w:rPr>
      </w:pPr>
      <w:del w:id="792" w:author="Master Repository Process" w:date="2022-06-30T13:0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93" w:author="Master Repository Process" w:date="2022-06-30T13:08:00Z"/>
        </w:trPr>
        <w:tc>
          <w:tcPr>
            <w:tcW w:w="3118" w:type="dxa"/>
          </w:tcPr>
          <w:p>
            <w:pPr>
              <w:pStyle w:val="nTable"/>
              <w:spacing w:after="40"/>
              <w:rPr>
                <w:del w:id="794" w:author="Master Repository Process" w:date="2022-06-30T13:08:00Z"/>
                <w:b/>
              </w:rPr>
            </w:pPr>
            <w:del w:id="795" w:author="Master Repository Process" w:date="2022-06-30T13:08:00Z">
              <w:r>
                <w:rPr>
                  <w:b/>
                </w:rPr>
                <w:delText>Citation</w:delText>
              </w:r>
            </w:del>
          </w:p>
        </w:tc>
        <w:tc>
          <w:tcPr>
            <w:tcW w:w="1276" w:type="dxa"/>
          </w:tcPr>
          <w:p>
            <w:pPr>
              <w:pStyle w:val="nTable"/>
              <w:spacing w:after="40"/>
              <w:rPr>
                <w:del w:id="796" w:author="Master Repository Process" w:date="2022-06-30T13:08:00Z"/>
                <w:b/>
              </w:rPr>
            </w:pPr>
            <w:del w:id="797" w:author="Master Repository Process" w:date="2022-06-30T13:08:00Z">
              <w:r>
                <w:rPr>
                  <w:b/>
                </w:rPr>
                <w:delText>Published</w:delText>
              </w:r>
            </w:del>
          </w:p>
        </w:tc>
        <w:tc>
          <w:tcPr>
            <w:tcW w:w="2693" w:type="dxa"/>
          </w:tcPr>
          <w:p>
            <w:pPr>
              <w:pStyle w:val="nTable"/>
              <w:spacing w:after="40"/>
              <w:rPr>
                <w:del w:id="798" w:author="Master Repository Process" w:date="2022-06-30T13:08:00Z"/>
                <w:b/>
              </w:rPr>
            </w:pPr>
            <w:del w:id="799" w:author="Master Repository Process" w:date="2022-06-30T13:08:00Z">
              <w:r>
                <w:rPr>
                  <w:b/>
                </w:rPr>
                <w:delText>Commencement</w:delText>
              </w:r>
            </w:del>
          </w:p>
        </w:tc>
      </w:tr>
      <w:tr>
        <w:tblPrEx>
          <w:tblBorders>
            <w:top w:val="single" w:sz="4" w:space="0" w:color="auto"/>
            <w:insideH w:val="single" w:sz="4" w:space="0" w:color="auto"/>
          </w:tblBorders>
        </w:tblPrEx>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blPrEx>
          <w:tblBorders>
            <w:top w:val="single" w:sz="4" w:space="0" w:color="auto"/>
            <w:insideH w:val="single" w:sz="4" w:space="0" w:color="auto"/>
          </w:tblBorders>
        </w:tblPrEx>
        <w:trPr>
          <w:tblHeader/>
          <w:ins w:id="800" w:author="Master Repository Process" w:date="2022-06-30T13:08:00Z"/>
        </w:trPr>
        <w:tc>
          <w:tcPr>
            <w:tcW w:w="3118" w:type="dxa"/>
            <w:tcBorders>
              <w:top w:val="nil"/>
              <w:bottom w:val="single" w:sz="4" w:space="0" w:color="auto"/>
            </w:tcBorders>
            <w:shd w:val="clear" w:color="auto" w:fill="auto"/>
          </w:tcPr>
          <w:p>
            <w:pPr>
              <w:pStyle w:val="nTable"/>
              <w:spacing w:after="40"/>
              <w:rPr>
                <w:ins w:id="801" w:author="Master Repository Process" w:date="2022-06-30T13:08:00Z"/>
                <w:i/>
              </w:rPr>
            </w:pPr>
            <w:ins w:id="802" w:author="Master Repository Process" w:date="2022-06-30T13:08:00Z">
              <w:r>
                <w:rPr>
                  <w:i/>
                </w:rPr>
                <w:t>Lands Regulations Amendment (Legal Profession) Regulations 2022</w:t>
              </w:r>
              <w:r>
                <w:t xml:space="preserve"> Pt. 3</w:t>
              </w:r>
            </w:ins>
          </w:p>
        </w:tc>
        <w:tc>
          <w:tcPr>
            <w:tcW w:w="1276" w:type="dxa"/>
            <w:tcBorders>
              <w:top w:val="nil"/>
              <w:bottom w:val="single" w:sz="4" w:space="0" w:color="auto"/>
            </w:tcBorders>
            <w:shd w:val="clear" w:color="auto" w:fill="auto"/>
          </w:tcPr>
          <w:p>
            <w:pPr>
              <w:pStyle w:val="nTable"/>
              <w:spacing w:after="40"/>
              <w:rPr>
                <w:ins w:id="803" w:author="Master Repository Process" w:date="2022-06-30T13:08:00Z"/>
              </w:rPr>
            </w:pPr>
            <w:ins w:id="804" w:author="Master Repository Process" w:date="2022-06-30T13:08:00Z">
              <w:r>
                <w:t>SL 2022/116 30 Jun 2022</w:t>
              </w:r>
            </w:ins>
          </w:p>
        </w:tc>
        <w:tc>
          <w:tcPr>
            <w:tcW w:w="2693" w:type="dxa"/>
            <w:tcBorders>
              <w:top w:val="nil"/>
              <w:bottom w:val="single" w:sz="4" w:space="0" w:color="auto"/>
            </w:tcBorders>
            <w:shd w:val="clear" w:color="auto" w:fill="auto"/>
          </w:tcPr>
          <w:p>
            <w:pPr>
              <w:pStyle w:val="nTable"/>
              <w:spacing w:after="40"/>
              <w:rPr>
                <w:ins w:id="805" w:author="Master Repository Process" w:date="2022-06-30T13:08:00Z"/>
              </w:rPr>
            </w:pPr>
            <w:ins w:id="806" w:author="Master Repository Process" w:date="2022-06-30T13:08:00Z">
              <w:r>
                <w:t>1 Jul 2022 (see r. 2(b) and SL 2022/113 cl. 2)</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07" w:name="Compilation"/>
    <w:bookmarkEnd w:id="8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8" w:name="Coversheet"/>
    <w:bookmarkEnd w:id="8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6534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BF21-1CD7-498C-8089-CF658DC6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39927</Words>
  <Characters>198043</Characters>
  <Application>Microsoft Office Word</Application>
  <DocSecurity>0</DocSecurity>
  <Lines>5211</Lines>
  <Paragraphs>2504</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00-h0-00 - 00-i0-00</dc:title>
  <dc:subject/>
  <dc:creator/>
  <cp:keywords/>
  <dc:description/>
  <cp:lastModifiedBy>Master Repository Process</cp:lastModifiedBy>
  <cp:revision>2</cp:revision>
  <cp:lastPrinted>2019-12-13T08:36:00Z</cp:lastPrinted>
  <dcterms:created xsi:type="dcterms:W3CDTF">2022-06-30T05:07:00Z</dcterms:created>
  <dcterms:modified xsi:type="dcterms:W3CDTF">2022-06-30T05:08:00Z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20220701</vt:lpwstr>
  </property>
  <property fmtid="{D5CDD505-2E9C-101B-9397-08002B2CF9AE}" pid="5" name="FromSuffix">
    <vt:lpwstr>00-h0-00</vt:lpwstr>
  </property>
  <property fmtid="{D5CDD505-2E9C-101B-9397-08002B2CF9AE}" pid="6" name="FromAsAtDate">
    <vt:lpwstr>03 Jun 2022</vt:lpwstr>
  </property>
  <property fmtid="{D5CDD505-2E9C-101B-9397-08002B2CF9AE}" pid="7" name="ToSuffix">
    <vt:lpwstr>00-i0-00</vt:lpwstr>
  </property>
  <property fmtid="{D5CDD505-2E9C-101B-9397-08002B2CF9AE}" pid="8" name="ToAsAtDate">
    <vt:lpwstr>01 Jul 2022</vt:lpwstr>
  </property>
</Properties>
</file>