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2022</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w:t>
      </w:r>
      <w:bookmarkStart w:id="1" w:name="_GoBack"/>
      <w:bookmarkEnd w:id="1"/>
      <w:r>
        <w:rPr>
          <w:snapToGrid w:val="0"/>
        </w:rPr>
        <w:t>n Act to encourage and assist home ownership by establishing a scheme for the payment of grants to first home owners</w:t>
      </w:r>
      <w:r>
        <w:t>.</w:t>
      </w:r>
    </w:p>
    <w:p>
      <w:pPr>
        <w:pStyle w:val="Heading2"/>
      </w:pPr>
      <w:bookmarkStart w:id="2" w:name="_Toc107387995"/>
      <w:bookmarkStart w:id="3" w:name="_Toc107388235"/>
      <w:bookmarkStart w:id="4" w:name="_Toc107474534"/>
      <w:bookmarkStart w:id="5" w:name="_Toc106984009"/>
      <w:bookmarkStart w:id="6" w:name="_Toc10698413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pPr>
      <w:bookmarkStart w:id="7" w:name="_Toc107474535"/>
      <w:bookmarkStart w:id="8" w:name="_Toc106984133"/>
      <w:r>
        <w:rPr>
          <w:rStyle w:val="CharSectno"/>
        </w:rPr>
        <w:t>1</w:t>
      </w:r>
      <w:r>
        <w:rPr>
          <w:snapToGrid w:val="0"/>
        </w:rPr>
        <w:t>.</w:t>
      </w:r>
      <w:r>
        <w:rPr>
          <w:snapToGrid w:val="0"/>
        </w:rPr>
        <w:tab/>
        <w:t>Short title</w:t>
      </w:r>
      <w:bookmarkEnd w:id="7"/>
      <w:bookmarkEnd w:id="8"/>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snapToGrid w:val="0"/>
        </w:rPr>
        <w:t>.</w:t>
      </w:r>
    </w:p>
    <w:p>
      <w:pPr>
        <w:pStyle w:val="Heading5"/>
        <w:rPr>
          <w:snapToGrid w:val="0"/>
        </w:rPr>
      </w:pPr>
      <w:bookmarkStart w:id="9" w:name="_Toc107474536"/>
      <w:bookmarkStart w:id="10" w:name="_Toc106984134"/>
      <w:r>
        <w:rPr>
          <w:rStyle w:val="CharSectno"/>
        </w:rPr>
        <w:t>2</w:t>
      </w:r>
      <w:r>
        <w:rPr>
          <w:snapToGrid w:val="0"/>
        </w:rPr>
        <w:t>.</w:t>
      </w:r>
      <w:r>
        <w:rPr>
          <w:snapToGrid w:val="0"/>
        </w:rPr>
        <w:tab/>
        <w:t>Commencement</w:t>
      </w:r>
      <w:bookmarkEnd w:id="9"/>
      <w:bookmarkEnd w:id="10"/>
    </w:p>
    <w:p>
      <w:pPr>
        <w:pStyle w:val="Subsection"/>
      </w:pPr>
      <w:r>
        <w:tab/>
      </w:r>
      <w:r>
        <w:tab/>
        <w:t>This Act comes into operation on 1 July 2000.</w:t>
      </w:r>
    </w:p>
    <w:p>
      <w:pPr>
        <w:pStyle w:val="Heading5"/>
      </w:pPr>
      <w:bookmarkStart w:id="11" w:name="_Toc107474537"/>
      <w:bookmarkStart w:id="12" w:name="_Toc106984135"/>
      <w:r>
        <w:rPr>
          <w:rStyle w:val="CharSectno"/>
        </w:rPr>
        <w:t>3</w:t>
      </w:r>
      <w:r>
        <w:t>.</w:t>
      </w:r>
      <w:r>
        <w:tab/>
        <w:t>Terms used</w:t>
      </w:r>
      <w:bookmarkEnd w:id="11"/>
      <w:bookmarkEnd w:id="12"/>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Commissioner’s website</w:t>
      </w:r>
      <w:r>
        <w:t xml:space="preserve"> means a website maintained by or on behalf of the Commissioner;</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tab/>
      </w:r>
      <w:r>
        <w:rPr>
          <w:rStyle w:val="CharDefText"/>
        </w:rPr>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grant relief declaration</w:t>
      </w:r>
      <w:r>
        <w:t xml:space="preserve"> has the meaning given in section 64B(2);</w:t>
      </w:r>
    </w:p>
    <w:p>
      <w:pPr>
        <w:pStyle w:val="Defstart"/>
      </w:pPr>
      <w:r>
        <w:tab/>
      </w:r>
      <w:r>
        <w:rPr>
          <w:rStyle w:val="CharDefText"/>
        </w:rPr>
        <w:t>grant relief measure</w:t>
      </w:r>
      <w:r>
        <w:t xml:space="preserve"> has the meaning given in section 64A(1);</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 or</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 or</w:t>
      </w:r>
    </w:p>
    <w:p>
      <w:pPr>
        <w:pStyle w:val="Defpara"/>
      </w:pPr>
      <w:r>
        <w:tab/>
        <w:t>(b)</w:t>
      </w:r>
      <w:r>
        <w:tab/>
        <w:t>whether an objection to a decision made under this Act or a corresponding law should be upheld; or</w:t>
      </w:r>
    </w:p>
    <w:p>
      <w:pPr>
        <w:pStyle w:val="Defpara"/>
      </w:pPr>
      <w:r>
        <w:tab/>
        <w:t>(c)</w:t>
      </w:r>
      <w:r>
        <w:tab/>
        <w:t>whether an applicant to whom, or for whose benefit, a first home owner grant has been paid under this Act or a corresponding law was eligible for the grant; or</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No. 61 of 2000 s. 7(1) and 8(1); No. 28 of 2003 s. 61; No. 52 of 2004 s. 4; No. 55 of 2004 s. 373; No. 27 of 2009 s. 8 and 15; No. 17 of 2010 s. 18; No. 10 of 2013 s. 41; No. 27 of 2015 s. 4; No. 1 of 2022 s. 10.]</w:t>
      </w:r>
    </w:p>
    <w:p>
      <w:pPr>
        <w:pStyle w:val="Heading5"/>
      </w:pPr>
      <w:bookmarkStart w:id="13" w:name="_Toc107474538"/>
      <w:bookmarkStart w:id="14" w:name="_Toc106984136"/>
      <w:r>
        <w:rPr>
          <w:rStyle w:val="CharSectno"/>
        </w:rPr>
        <w:t>4</w:t>
      </w:r>
      <w:r>
        <w:t>.</w:t>
      </w:r>
      <w:r>
        <w:tab/>
        <w:t>Term used: home</w:t>
      </w:r>
      <w:bookmarkEnd w:id="13"/>
      <w:bookmarkEnd w:id="14"/>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15" w:name="_Toc107474539"/>
      <w:bookmarkStart w:id="16" w:name="_Toc106984137"/>
      <w:r>
        <w:rPr>
          <w:rStyle w:val="CharSectno"/>
        </w:rPr>
        <w:t>5</w:t>
      </w:r>
      <w:r>
        <w:t>.</w:t>
      </w:r>
      <w:r>
        <w:tab/>
        <w:t>Terms used: owner, home owner</w:t>
      </w:r>
      <w:bookmarkEnd w:id="15"/>
      <w:bookmarkEnd w:id="16"/>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17" w:name="_Toc107474540"/>
      <w:bookmarkStart w:id="18" w:name="_Toc106984138"/>
      <w:r>
        <w:rPr>
          <w:rStyle w:val="CharSectno"/>
        </w:rPr>
        <w:t>6</w:t>
      </w:r>
      <w:r>
        <w:t>.</w:t>
      </w:r>
      <w:r>
        <w:tab/>
        <w:t>Term used: relevant interest</w:t>
      </w:r>
      <w:bookmarkEnd w:id="17"/>
      <w:bookmarkEnd w:id="18"/>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r>
        <w:t xml:space="preserve"> or</w:t>
      </w:r>
    </w:p>
    <w:p>
      <w:pPr>
        <w:pStyle w:val="Indenta"/>
        <w:rPr>
          <w:snapToGrid w:val="0"/>
        </w:rPr>
      </w:pPr>
      <w:r>
        <w:rPr>
          <w:snapToGrid w:val="0"/>
        </w:rPr>
        <w:tab/>
        <w:t>(b)</w:t>
      </w:r>
      <w:r>
        <w:rPr>
          <w:snapToGrid w:val="0"/>
        </w:rPr>
        <w:tab/>
        <w:t>a life estate, approved by the Commissioner, in the land;</w:t>
      </w:r>
      <w:r>
        <w:t xml:space="preserve"> or</w:t>
      </w:r>
    </w:p>
    <w:p>
      <w:pPr>
        <w:pStyle w:val="Indenta"/>
      </w:pPr>
      <w:r>
        <w:tab/>
        <w:t>(ba)</w:t>
      </w:r>
      <w:r>
        <w:tab/>
        <w:t xml:space="preserve">a strata lease of the land, as defined in the </w:t>
      </w:r>
      <w:r>
        <w:rPr>
          <w:i/>
        </w:rPr>
        <w:t xml:space="preserve">Strata Titles Act 1985 </w:t>
      </w:r>
      <w:r>
        <w:t>section 3(1);</w:t>
      </w:r>
    </w:p>
    <w:p>
      <w:pPr>
        <w:pStyle w:val="Indenta"/>
        <w:rPr>
          <w:snapToGrid w:val="0"/>
        </w:rPr>
      </w:pPr>
      <w:r>
        <w:rPr>
          <w:snapToGrid w:val="0"/>
        </w:rPr>
        <w:tab/>
        <w:t>(c)</w:t>
      </w:r>
      <w:r>
        <w:rPr>
          <w:snapToGrid w:val="0"/>
        </w:rPr>
        <w:tab/>
        <w:t>a lease in perpetuity of the land granted by the Commonwealth or the State;</w:t>
      </w:r>
      <w:r>
        <w:t xml:space="preserve"> or</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r>
        <w:t xml:space="preserve"> or</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r>
        <w:t xml:space="preserve"> or</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r>
        <w:t xml:space="preserve"> or</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Ednotepara"/>
      </w:pPr>
      <w:r>
        <w:tab/>
        <w:t>[(a) and (b)</w:t>
      </w:r>
      <w:r>
        <w:tab/>
        <w:t>deleted]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keepNext/>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No. 26 of 2005 s. 4; No. 16 of 2017 s. 4; No. 30 of 2018 s. 140.]</w:t>
      </w:r>
    </w:p>
    <w:p>
      <w:pPr>
        <w:pStyle w:val="Heading5"/>
      </w:pPr>
      <w:bookmarkStart w:id="19" w:name="_Toc107474541"/>
      <w:bookmarkStart w:id="20" w:name="_Toc106984139"/>
      <w:r>
        <w:rPr>
          <w:rStyle w:val="CharSectno"/>
        </w:rPr>
        <w:t>7</w:t>
      </w:r>
      <w:r>
        <w:t>.</w:t>
      </w:r>
      <w:r>
        <w:tab/>
        <w:t>Term used: spouse</w:t>
      </w:r>
      <w:bookmarkEnd w:id="19"/>
      <w:bookmarkEnd w:id="20"/>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No. 61 of 2000 s. 4; No. 28 of 2003 s. 62; No. 27 of 2009 s. 15.]</w:t>
      </w:r>
    </w:p>
    <w:p>
      <w:pPr>
        <w:pStyle w:val="Heading5"/>
      </w:pPr>
      <w:bookmarkStart w:id="21" w:name="_Toc107474542"/>
      <w:bookmarkStart w:id="22" w:name="_Toc106984140"/>
      <w:r>
        <w:rPr>
          <w:rStyle w:val="CharSectno"/>
        </w:rPr>
        <w:t>7A</w:t>
      </w:r>
      <w:r>
        <w:t>.</w:t>
      </w:r>
      <w:r>
        <w:tab/>
        <w:t>Term used: Australian citizen</w:t>
      </w:r>
      <w:bookmarkEnd w:id="21"/>
      <w:bookmarkEnd w:id="22"/>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No. 61 of 2000 s. 7(2); amended: No. 27 of 2009 s. 15; No. 32 of 2012 s. 27.]</w:t>
      </w:r>
    </w:p>
    <w:p>
      <w:pPr>
        <w:pStyle w:val="Heading5"/>
      </w:pPr>
      <w:bookmarkStart w:id="23" w:name="_Toc107474543"/>
      <w:bookmarkStart w:id="24" w:name="_Toc106984141"/>
      <w:r>
        <w:rPr>
          <w:rStyle w:val="CharSectno"/>
        </w:rPr>
        <w:t>7B</w:t>
      </w:r>
      <w:r>
        <w:t>.</w:t>
      </w:r>
      <w:r>
        <w:tab/>
        <w:t>Term used: permanent resident</w:t>
      </w:r>
      <w:bookmarkEnd w:id="23"/>
      <w:bookmarkEnd w:id="24"/>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No. 61 of 2000 s. 8(2); amended: No. 27 of 2009 s. 15; No. 32 of 2012 s. 28.]</w:t>
      </w:r>
    </w:p>
    <w:p>
      <w:pPr>
        <w:pStyle w:val="Heading2"/>
      </w:pPr>
      <w:bookmarkStart w:id="25" w:name="_Toc107388005"/>
      <w:bookmarkStart w:id="26" w:name="_Toc107388245"/>
      <w:bookmarkStart w:id="27" w:name="_Toc107474544"/>
      <w:bookmarkStart w:id="28" w:name="_Toc106984019"/>
      <w:bookmarkStart w:id="29" w:name="_Toc106984142"/>
      <w:r>
        <w:rPr>
          <w:rStyle w:val="CharPartNo"/>
        </w:rPr>
        <w:t>Part 2</w:t>
      </w:r>
      <w:r>
        <w:t xml:space="preserve"> — </w:t>
      </w:r>
      <w:r>
        <w:rPr>
          <w:rStyle w:val="CharPartText"/>
        </w:rPr>
        <w:t>First home owner grant</w:t>
      </w:r>
      <w:bookmarkEnd w:id="25"/>
      <w:bookmarkEnd w:id="26"/>
      <w:bookmarkEnd w:id="27"/>
      <w:bookmarkEnd w:id="28"/>
      <w:bookmarkEnd w:id="29"/>
    </w:p>
    <w:p>
      <w:pPr>
        <w:pStyle w:val="Heading3"/>
        <w:spacing w:before="200"/>
      </w:pPr>
      <w:bookmarkStart w:id="30" w:name="_Toc107388006"/>
      <w:bookmarkStart w:id="31" w:name="_Toc107388246"/>
      <w:bookmarkStart w:id="32" w:name="_Toc107474545"/>
      <w:bookmarkStart w:id="33" w:name="_Toc106984020"/>
      <w:bookmarkStart w:id="34" w:name="_Toc106984143"/>
      <w:r>
        <w:rPr>
          <w:rStyle w:val="CharDivNo"/>
        </w:rPr>
        <w:t>Division 1</w:t>
      </w:r>
      <w:r>
        <w:t xml:space="preserve"> — </w:t>
      </w:r>
      <w:r>
        <w:rPr>
          <w:rStyle w:val="CharDivText"/>
        </w:rPr>
        <w:t>Entitlement to grant</w:t>
      </w:r>
      <w:bookmarkEnd w:id="30"/>
      <w:bookmarkEnd w:id="31"/>
      <w:bookmarkEnd w:id="32"/>
      <w:bookmarkEnd w:id="33"/>
      <w:bookmarkEnd w:id="34"/>
    </w:p>
    <w:p>
      <w:pPr>
        <w:pStyle w:val="Heading5"/>
        <w:spacing w:before="180"/>
      </w:pPr>
      <w:bookmarkStart w:id="35" w:name="_Toc107474546"/>
      <w:bookmarkStart w:id="36" w:name="_Toc106984144"/>
      <w:r>
        <w:rPr>
          <w:rStyle w:val="CharSectno"/>
        </w:rPr>
        <w:t>8</w:t>
      </w:r>
      <w:r>
        <w:t>.</w:t>
      </w:r>
      <w:r>
        <w:tab/>
        <w:t>Entitlement to grant</w:t>
      </w:r>
      <w:bookmarkEnd w:id="35"/>
      <w:bookmarkEnd w:id="36"/>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No. 52 of 2004 s. 5.]</w:t>
      </w:r>
    </w:p>
    <w:p>
      <w:pPr>
        <w:pStyle w:val="Heading3"/>
      </w:pPr>
      <w:bookmarkStart w:id="37" w:name="_Toc107388008"/>
      <w:bookmarkStart w:id="38" w:name="_Toc107388248"/>
      <w:bookmarkStart w:id="39" w:name="_Toc107474547"/>
      <w:bookmarkStart w:id="40" w:name="_Toc106984022"/>
      <w:bookmarkStart w:id="41" w:name="_Toc106984145"/>
      <w:r>
        <w:rPr>
          <w:rStyle w:val="CharDivNo"/>
        </w:rPr>
        <w:t>Division 2</w:t>
      </w:r>
      <w:r>
        <w:rPr>
          <w:snapToGrid w:val="0"/>
        </w:rPr>
        <w:t xml:space="preserve"> — </w:t>
      </w:r>
      <w:r>
        <w:rPr>
          <w:rStyle w:val="CharDivText"/>
        </w:rPr>
        <w:t>Eligibility criteria (applicants)</w:t>
      </w:r>
      <w:bookmarkEnd w:id="37"/>
      <w:bookmarkEnd w:id="38"/>
      <w:bookmarkEnd w:id="39"/>
      <w:bookmarkEnd w:id="40"/>
      <w:bookmarkEnd w:id="41"/>
    </w:p>
    <w:p>
      <w:pPr>
        <w:pStyle w:val="Heading5"/>
        <w:spacing w:before="180"/>
      </w:pPr>
      <w:bookmarkStart w:id="42" w:name="_Toc107474548"/>
      <w:bookmarkStart w:id="43" w:name="_Toc106984146"/>
      <w:r>
        <w:rPr>
          <w:rStyle w:val="CharSectno"/>
        </w:rPr>
        <w:t>9</w:t>
      </w:r>
      <w:r>
        <w:rPr>
          <w:snapToGrid w:val="0"/>
        </w:rPr>
        <w:t>.</w:t>
      </w:r>
      <w:r>
        <w:rPr>
          <w:snapToGrid w:val="0"/>
        </w:rPr>
        <w:tab/>
        <w:t>Criterion 1 — applicant to be a natural person</w:t>
      </w:r>
      <w:bookmarkEnd w:id="42"/>
      <w:bookmarkEnd w:id="43"/>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44" w:name="_Toc107474549"/>
      <w:bookmarkStart w:id="45" w:name="_Toc106984147"/>
      <w:r>
        <w:rPr>
          <w:rStyle w:val="CharSectno"/>
        </w:rPr>
        <w:t>9A</w:t>
      </w:r>
      <w:r>
        <w:t>.</w:t>
      </w:r>
      <w:r>
        <w:tab/>
        <w:t>Criterion 1A — applicant to be at least 18 years of age</w:t>
      </w:r>
      <w:bookmarkEnd w:id="44"/>
      <w:bookmarkEnd w:id="45"/>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No. 52 of 2004 s. 6.]</w:t>
      </w:r>
    </w:p>
    <w:p>
      <w:pPr>
        <w:pStyle w:val="Heading5"/>
      </w:pPr>
      <w:bookmarkStart w:id="46" w:name="_Toc107474550"/>
      <w:bookmarkStart w:id="47" w:name="_Toc106984148"/>
      <w:r>
        <w:rPr>
          <w:rStyle w:val="CharSectno"/>
        </w:rPr>
        <w:t>10</w:t>
      </w:r>
      <w:r>
        <w:t>.</w:t>
      </w:r>
      <w:r>
        <w:tab/>
        <w:t>Criterion 2 — applicant to be Australian citizen or permanent resident</w:t>
      </w:r>
      <w:bookmarkEnd w:id="46"/>
      <w:bookmarkEnd w:id="47"/>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48" w:name="_Toc107474551"/>
      <w:bookmarkStart w:id="49" w:name="_Toc106984149"/>
      <w:r>
        <w:rPr>
          <w:rStyle w:val="CharSectno"/>
        </w:rPr>
        <w:t>11</w:t>
      </w:r>
      <w:r>
        <w:t>.</w:t>
      </w:r>
      <w:r>
        <w:tab/>
        <w:t>Criterion 3 — except in certain circumstances, applicant or applicant’s spouse or de facto partner must not have received another grant</w:t>
      </w:r>
      <w:bookmarkEnd w:id="48"/>
      <w:bookmarkEnd w:id="49"/>
    </w:p>
    <w:p>
      <w:pPr>
        <w:pStyle w:val="Subsection"/>
      </w:pPr>
      <w:r>
        <w:tab/>
        <w:t>(1)</w:t>
      </w:r>
      <w:r>
        <w:tab/>
        <w:t>Subject to subsection (2), an applicant (</w:t>
      </w:r>
      <w:r>
        <w:rPr>
          <w:rStyle w:val="CharDefText"/>
          <w:b w:val="0"/>
          <w:i w:val="0"/>
        </w:rPr>
        <w:t>the</w:t>
      </w:r>
      <w:r>
        <w:rPr>
          <w:rStyle w:val="CharDefText"/>
        </w:rPr>
        <w:t xml:space="preserv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b w:val="0"/>
          <w:i w:val="0"/>
        </w:rPr>
        <w:t xml:space="preserve">the </w:t>
      </w:r>
      <w:r>
        <w:rPr>
          <w:rStyle w:val="CharDefText"/>
        </w:rPr>
        <w:t>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 and</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No. 52 of 2004 s. 7.]</w:t>
      </w:r>
    </w:p>
    <w:p>
      <w:pPr>
        <w:pStyle w:val="Heading5"/>
      </w:pPr>
      <w:bookmarkStart w:id="50" w:name="_Toc107474552"/>
      <w:bookmarkStart w:id="51" w:name="_Toc106984150"/>
      <w:r>
        <w:rPr>
          <w:rStyle w:val="CharSectno"/>
        </w:rPr>
        <w:t>12</w:t>
      </w:r>
      <w:r>
        <w:t>.</w:t>
      </w:r>
      <w:r>
        <w:tab/>
        <w:t>Criterion 4 — applicant or applicant’s spouse or de facto partner must not have had relevant interest in residential property</w:t>
      </w:r>
      <w:bookmarkEnd w:id="50"/>
      <w:bookmarkEnd w:id="51"/>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No. 61 of 2000 s. 6; No. 13 of 2003 s. 4; No. 28 of 2003 s. 64; No. 52 of 2004 s. 8; No. 27 of 2009 s. 15; No. 16 of 2017 s. 5.]</w:t>
      </w:r>
    </w:p>
    <w:p>
      <w:pPr>
        <w:pStyle w:val="Heading5"/>
      </w:pPr>
      <w:bookmarkStart w:id="52" w:name="_Toc107474553"/>
      <w:bookmarkStart w:id="53" w:name="_Toc106984151"/>
      <w:r>
        <w:rPr>
          <w:rStyle w:val="CharSectno"/>
        </w:rPr>
        <w:t>13</w:t>
      </w:r>
      <w:r>
        <w:t>.</w:t>
      </w:r>
      <w:r>
        <w:tab/>
        <w:t>Criterion 5 — residence requirements</w:t>
      </w:r>
      <w:bookmarkEnd w:id="52"/>
      <w:bookmarkEnd w:id="53"/>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keepNext/>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No. 52 of 2004 s. 9; amended: No. 29 of 2012 s. 10.]</w:t>
      </w:r>
    </w:p>
    <w:p>
      <w:pPr>
        <w:pStyle w:val="Heading5"/>
      </w:pPr>
      <w:bookmarkStart w:id="54" w:name="_Toc107474554"/>
      <w:bookmarkStart w:id="55" w:name="_Toc106984152"/>
      <w:r>
        <w:rPr>
          <w:rStyle w:val="CharSectno"/>
        </w:rPr>
        <w:t>13A</w:t>
      </w:r>
      <w:r>
        <w:t>.</w:t>
      </w:r>
      <w:r>
        <w:tab/>
        <w:t>Criterion 6 — applicant must not have been convicted of an offence under this Act</w:t>
      </w:r>
      <w:bookmarkEnd w:id="54"/>
      <w:bookmarkEnd w:id="55"/>
    </w:p>
    <w:p>
      <w:pPr>
        <w:pStyle w:val="Subsection"/>
      </w:pPr>
      <w:r>
        <w:tab/>
      </w:r>
      <w:r>
        <w:tab/>
        <w:t>An applicant is ineligible if the applicant has been convicted of an offence under this Act or a corresponding law.</w:t>
      </w:r>
    </w:p>
    <w:p>
      <w:pPr>
        <w:pStyle w:val="Footnotesection"/>
      </w:pPr>
      <w:r>
        <w:tab/>
        <w:t>[Section 13A inserted: No. 52 of 2004 s. 10.]</w:t>
      </w:r>
    </w:p>
    <w:p>
      <w:pPr>
        <w:pStyle w:val="Heading5"/>
      </w:pPr>
      <w:bookmarkStart w:id="56" w:name="_Toc107474555"/>
      <w:bookmarkStart w:id="57" w:name="_Toc106984153"/>
      <w:r>
        <w:rPr>
          <w:rStyle w:val="CharSectno"/>
        </w:rPr>
        <w:t>13B</w:t>
      </w:r>
      <w:r>
        <w:t>.</w:t>
      </w:r>
      <w:r>
        <w:tab/>
        <w:t>Criterion 7 — applicant must not hold relevant interest as trustee</w:t>
      </w:r>
      <w:bookmarkEnd w:id="56"/>
      <w:bookmarkEnd w:id="57"/>
    </w:p>
    <w:p>
      <w:pPr>
        <w:pStyle w:val="Subsection"/>
      </w:pPr>
      <w:r>
        <w:tab/>
      </w:r>
      <w:r>
        <w:tab/>
        <w:t>An applicant is ineligible in relation to a transaction if the applicant owns or will, on completion of the transaction, own the home in circumstances where the applicant holds the relevant interest as a trustee.</w:t>
      </w:r>
    </w:p>
    <w:p>
      <w:pPr>
        <w:pStyle w:val="Footnotesection"/>
      </w:pPr>
      <w:r>
        <w:tab/>
        <w:t>[Section 13B inserted: No. 16 of 2017 s. 6.]</w:t>
      </w:r>
    </w:p>
    <w:p>
      <w:pPr>
        <w:pStyle w:val="Heading3"/>
      </w:pPr>
      <w:bookmarkStart w:id="58" w:name="_Toc107388017"/>
      <w:bookmarkStart w:id="59" w:name="_Toc107388257"/>
      <w:bookmarkStart w:id="60" w:name="_Toc107474556"/>
      <w:bookmarkStart w:id="61" w:name="_Toc106984031"/>
      <w:bookmarkStart w:id="62" w:name="_Toc106984154"/>
      <w:r>
        <w:rPr>
          <w:rStyle w:val="CharDivNo"/>
        </w:rPr>
        <w:t>Division 3</w:t>
      </w:r>
      <w:r>
        <w:t xml:space="preserve"> — </w:t>
      </w:r>
      <w:r>
        <w:rPr>
          <w:rStyle w:val="CharDivText"/>
        </w:rPr>
        <w:t>Eligible transactions</w:t>
      </w:r>
      <w:bookmarkEnd w:id="58"/>
      <w:bookmarkEnd w:id="59"/>
      <w:bookmarkEnd w:id="60"/>
      <w:bookmarkEnd w:id="61"/>
      <w:bookmarkEnd w:id="62"/>
    </w:p>
    <w:p>
      <w:pPr>
        <w:pStyle w:val="Heading4"/>
      </w:pPr>
      <w:bookmarkStart w:id="63" w:name="_Toc107388018"/>
      <w:bookmarkStart w:id="64" w:name="_Toc107388258"/>
      <w:bookmarkStart w:id="65" w:name="_Toc107474557"/>
      <w:bookmarkStart w:id="66" w:name="_Toc106984032"/>
      <w:bookmarkStart w:id="67" w:name="_Toc106984155"/>
      <w:r>
        <w:t>Subdivision 1 — Eligible transactions</w:t>
      </w:r>
      <w:bookmarkEnd w:id="63"/>
      <w:bookmarkEnd w:id="64"/>
      <w:bookmarkEnd w:id="65"/>
      <w:bookmarkEnd w:id="66"/>
      <w:bookmarkEnd w:id="67"/>
    </w:p>
    <w:p>
      <w:pPr>
        <w:pStyle w:val="Footnoteheading"/>
      </w:pPr>
      <w:r>
        <w:tab/>
        <w:t>[Heading inserted: No. 14 of 2001 s. 4.]</w:t>
      </w:r>
    </w:p>
    <w:p>
      <w:pPr>
        <w:pStyle w:val="Heading5"/>
      </w:pPr>
      <w:bookmarkStart w:id="68" w:name="_Toc107474558"/>
      <w:bookmarkStart w:id="69" w:name="_Toc106984156"/>
      <w:r>
        <w:rPr>
          <w:rStyle w:val="CharSectno"/>
        </w:rPr>
        <w:t>14</w:t>
      </w:r>
      <w:r>
        <w:t>.</w:t>
      </w:r>
      <w:r>
        <w:tab/>
        <w:t>Eligible transaction</w:t>
      </w:r>
      <w:bookmarkEnd w:id="68"/>
      <w:bookmarkEnd w:id="69"/>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keepNext/>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No. 27 of 2009 s. 9; No. 27 of 2015 s. 5.]</w:t>
      </w:r>
    </w:p>
    <w:p>
      <w:pPr>
        <w:pStyle w:val="Heading5"/>
      </w:pPr>
      <w:bookmarkStart w:id="70" w:name="_Toc107474559"/>
      <w:bookmarkStart w:id="71" w:name="_Toc106984157"/>
      <w:r>
        <w:rPr>
          <w:rStyle w:val="CharSectno"/>
        </w:rPr>
        <w:t>14AA</w:t>
      </w:r>
      <w:r>
        <w:t>.</w:t>
      </w:r>
      <w:r>
        <w:tab/>
        <w:t>Commencement and completion of transaction</w:t>
      </w:r>
      <w:bookmarkEnd w:id="70"/>
      <w:bookmarkEnd w:id="71"/>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pPr>
      <w:r>
        <w:tab/>
        <w:t>(a)</w:t>
      </w:r>
      <w:r>
        <w:tab/>
        <w:t>in the case of a contract for the purchase of a home — the purchaser acquires the relevant interest in land on which the home is built; 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keepNext/>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keepNext/>
        <w:keepLines/>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No. 27 of 2009 s. 10; amended: No. 27 of 2015 s. 6; No. 16 of 2017 s. 7.]</w:t>
      </w:r>
    </w:p>
    <w:p>
      <w:pPr>
        <w:pStyle w:val="Heading5"/>
        <w:keepNext w:val="0"/>
      </w:pPr>
      <w:bookmarkStart w:id="72" w:name="_Toc107474560"/>
      <w:bookmarkStart w:id="73" w:name="_Toc106984158"/>
      <w:r>
        <w:rPr>
          <w:rStyle w:val="CharSectno"/>
        </w:rPr>
        <w:t>14AB</w:t>
      </w:r>
      <w:r>
        <w:t>.</w:t>
      </w:r>
      <w:r>
        <w:tab/>
        <w:t>Term used: consideration</w:t>
      </w:r>
      <w:bookmarkEnd w:id="72"/>
      <w:bookmarkEnd w:id="73"/>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No. 27 of 2009 s. 10.]</w:t>
      </w:r>
    </w:p>
    <w:p>
      <w:pPr>
        <w:pStyle w:val="Heading5"/>
        <w:keepNext w:val="0"/>
      </w:pPr>
      <w:bookmarkStart w:id="74" w:name="_Toc107474561"/>
      <w:bookmarkStart w:id="75" w:name="_Toc106984159"/>
      <w:r>
        <w:rPr>
          <w:rStyle w:val="CharSectno"/>
        </w:rPr>
        <w:t>14AC</w:t>
      </w:r>
      <w:r>
        <w:t>.</w:t>
      </w:r>
      <w:r>
        <w:tab/>
        <w:t>Term used: total value</w:t>
      </w:r>
      <w:bookmarkEnd w:id="74"/>
      <w:bookmarkEnd w:id="75"/>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No. 27 of 2009 s. 10.]</w:t>
      </w:r>
    </w:p>
    <w:p>
      <w:pPr>
        <w:pStyle w:val="Heading5"/>
        <w:keepNext w:val="0"/>
      </w:pPr>
      <w:bookmarkStart w:id="76" w:name="_Toc107474562"/>
      <w:bookmarkStart w:id="77" w:name="_Toc106984160"/>
      <w:r>
        <w:rPr>
          <w:rStyle w:val="CharSectno"/>
        </w:rPr>
        <w:t>14AD</w:t>
      </w:r>
      <w:r>
        <w:t>.</w:t>
      </w:r>
      <w:r>
        <w:tab/>
        <w:t>Term used: cap amount</w:t>
      </w:r>
      <w:bookmarkEnd w:id="76"/>
      <w:bookmarkEnd w:id="77"/>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No. 27 of 2009 s. 10.]</w:t>
      </w:r>
    </w:p>
    <w:p>
      <w:pPr>
        <w:pStyle w:val="Heading5"/>
      </w:pPr>
      <w:bookmarkStart w:id="78" w:name="_Toc107474563"/>
      <w:bookmarkStart w:id="79" w:name="_Toc106984161"/>
      <w:r>
        <w:rPr>
          <w:rStyle w:val="CharSectno"/>
        </w:rPr>
        <w:t>14AE</w:t>
      </w:r>
      <w:r>
        <w:t>.</w:t>
      </w:r>
      <w:r>
        <w:tab/>
        <w:t>Term used: unencumbered value</w:t>
      </w:r>
      <w:bookmarkEnd w:id="78"/>
      <w:bookmarkEnd w:id="79"/>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keepNext/>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No. 27 of 2009 s. 10.]</w:t>
      </w:r>
    </w:p>
    <w:p>
      <w:pPr>
        <w:pStyle w:val="Heading4"/>
        <w:keepLines/>
      </w:pPr>
      <w:bookmarkStart w:id="80" w:name="_Toc107388025"/>
      <w:bookmarkStart w:id="81" w:name="_Toc107388265"/>
      <w:bookmarkStart w:id="82" w:name="_Toc107474564"/>
      <w:bookmarkStart w:id="83" w:name="_Toc106984039"/>
      <w:bookmarkStart w:id="84" w:name="_Toc106984162"/>
      <w:r>
        <w:t>Subdivision 2 — Special eligible transactions</w:t>
      </w:r>
      <w:bookmarkEnd w:id="80"/>
      <w:bookmarkEnd w:id="81"/>
      <w:bookmarkEnd w:id="82"/>
      <w:bookmarkEnd w:id="83"/>
      <w:bookmarkEnd w:id="84"/>
    </w:p>
    <w:p>
      <w:pPr>
        <w:pStyle w:val="Footnoteheading"/>
        <w:keepNext/>
        <w:keepLines/>
      </w:pPr>
      <w:r>
        <w:tab/>
        <w:t>[Heading inserted: No. 14 of 2001 s. 5.]</w:t>
      </w:r>
    </w:p>
    <w:p>
      <w:pPr>
        <w:pStyle w:val="Heading5"/>
      </w:pPr>
      <w:bookmarkStart w:id="85" w:name="_Toc107474565"/>
      <w:bookmarkStart w:id="86" w:name="_Toc106984163"/>
      <w:r>
        <w:rPr>
          <w:rStyle w:val="CharSectno"/>
        </w:rPr>
        <w:t>14A</w:t>
      </w:r>
      <w:r>
        <w:t>.</w:t>
      </w:r>
      <w:r>
        <w:tab/>
        <w:t>Terms used</w:t>
      </w:r>
      <w:bookmarkEnd w:id="85"/>
      <w:bookmarkEnd w:id="86"/>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keepNex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or </w:t>
      </w:r>
    </w:p>
    <w:p>
      <w:pPr>
        <w:pStyle w:val="Defpara"/>
      </w:pPr>
      <w:r>
        <w:tab/>
        <w:t>(e)</w:t>
      </w:r>
      <w:r>
        <w:tab/>
        <w:t>in relation to a class 8 eligible transaction — 1 July 2019;</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No. 27 of 2009 s. 4; amended: No. 10 of 2013 s. 42; No. 16 of 2017 s. 8.]</w:t>
      </w:r>
    </w:p>
    <w:p>
      <w:pPr>
        <w:pStyle w:val="Heading5"/>
        <w:spacing w:before="200"/>
      </w:pPr>
      <w:bookmarkStart w:id="87" w:name="_Toc107474566"/>
      <w:bookmarkStart w:id="88" w:name="_Toc106984164"/>
      <w:r>
        <w:rPr>
          <w:rStyle w:val="CharSectno"/>
        </w:rPr>
        <w:t>14B</w:t>
      </w:r>
      <w:r>
        <w:t>.</w:t>
      </w:r>
      <w:r>
        <w:tab/>
        <w:t>Special eligible transactions</w:t>
      </w:r>
      <w:bookmarkEnd w:id="87"/>
      <w:bookmarkEnd w:id="88"/>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 eligible 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 xml:space="preserve">If the Commissioner is satisfied that a delay in building work is caused by circumstances beyond the control of the parties, the Commissioner may extend — </w:t>
      </w:r>
    </w:p>
    <w:p>
      <w:pPr>
        <w:pStyle w:val="Indenta"/>
      </w:pPr>
      <w:r>
        <w:tab/>
        <w:t>(a)</w:t>
      </w:r>
      <w:r>
        <w:tab/>
        <w:t>the period within which the building work is to begin under subsection (3)(b)(i), (4B)(b)(i) or (4C)(b)(i); or</w:t>
      </w:r>
    </w:p>
    <w:p>
      <w:pPr>
        <w:pStyle w:val="Indenta"/>
      </w:pPr>
      <w:r>
        <w:tab/>
        <w:t>(b)</w:t>
      </w:r>
      <w:r>
        <w:tab/>
        <w:t>the period within which the building work is to be completed under subsection (3)(b)(ii), (3)(c), (4B)(b)(ii), (4B)(c), (4C)(b)(ii), (4C)(c) or (6)(a).</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 xml:space="preserve">a contract for the purchase of a new home or a substantially renovated home on a proposed lot on a proposed plan of subdivision of land (including for a community titles scheme or amendment of a community titles scheme under the </w:t>
      </w:r>
      <w:r>
        <w:rPr>
          <w:i/>
        </w:rPr>
        <w:t xml:space="preserve">Community Titles Act 2018 </w:t>
      </w:r>
      <w:r>
        <w:t xml:space="preserve">or for a strata titles scheme or amendment of a strata titles scheme under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keepNext/>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 xml:space="preserve">before 14 October 2008, in respect of a class 4, class 5, class 6 or class 7 eligible transaction; or </w:t>
      </w:r>
    </w:p>
    <w:p>
      <w:pPr>
        <w:pStyle w:val="Indenti"/>
      </w:pPr>
      <w:r>
        <w:tab/>
        <w:t>(iii)</w:t>
      </w:r>
      <w:r>
        <w:tab/>
        <w:t>before 1 January 2017, in respect of a class 8 eligible transaction.</w:t>
      </w:r>
    </w:p>
    <w:p>
      <w:pPr>
        <w:pStyle w:val="Footnotesection"/>
      </w:pPr>
      <w:r>
        <w:tab/>
        <w:t>[Section 14B inserted: No. 14 of 2001 s. 5; amended: No. 13 of 2003 s. 5; No. 27 of 2009 s. 5; No. 16 of 2017 s. 9; No. 30 of 2018 s. 141; No. 32 of 2018 s. 212.]</w:t>
      </w:r>
    </w:p>
    <w:p>
      <w:pPr>
        <w:pStyle w:val="Heading3"/>
      </w:pPr>
      <w:bookmarkStart w:id="89" w:name="_Toc107388028"/>
      <w:bookmarkStart w:id="90" w:name="_Toc107388268"/>
      <w:bookmarkStart w:id="91" w:name="_Toc107474567"/>
      <w:bookmarkStart w:id="92" w:name="_Toc106984042"/>
      <w:bookmarkStart w:id="93" w:name="_Toc106984165"/>
      <w:r>
        <w:rPr>
          <w:rStyle w:val="CharDivNo"/>
        </w:rPr>
        <w:t>Division 4</w:t>
      </w:r>
      <w:r>
        <w:t xml:space="preserve"> — </w:t>
      </w:r>
      <w:r>
        <w:rPr>
          <w:rStyle w:val="CharDivText"/>
        </w:rPr>
        <w:t>Application for the grant</w:t>
      </w:r>
      <w:bookmarkEnd w:id="89"/>
      <w:bookmarkEnd w:id="90"/>
      <w:bookmarkEnd w:id="91"/>
      <w:bookmarkEnd w:id="92"/>
      <w:bookmarkEnd w:id="93"/>
    </w:p>
    <w:p>
      <w:pPr>
        <w:pStyle w:val="Heading5"/>
      </w:pPr>
      <w:bookmarkStart w:id="94" w:name="_Toc107474568"/>
      <w:bookmarkStart w:id="95" w:name="_Toc106984166"/>
      <w:r>
        <w:rPr>
          <w:rStyle w:val="CharSectno"/>
        </w:rPr>
        <w:t>15</w:t>
      </w:r>
      <w:r>
        <w:t>.</w:t>
      </w:r>
      <w:r>
        <w:tab/>
        <w:t>Application for grant</w:t>
      </w:r>
      <w:bookmarkEnd w:id="94"/>
      <w:bookmarkEnd w:id="95"/>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keepNext/>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No. 27 of 2009 s. 15.]</w:t>
      </w:r>
    </w:p>
    <w:p>
      <w:pPr>
        <w:pStyle w:val="Heading5"/>
      </w:pPr>
      <w:bookmarkStart w:id="96" w:name="_Toc107474569"/>
      <w:bookmarkStart w:id="97" w:name="_Toc106984167"/>
      <w:r>
        <w:rPr>
          <w:rStyle w:val="CharSectno"/>
        </w:rPr>
        <w:t>16</w:t>
      </w:r>
      <w:r>
        <w:t>.</w:t>
      </w:r>
      <w:r>
        <w:tab/>
        <w:t>Interested persons</w:t>
      </w:r>
      <w:bookmarkEnd w:id="96"/>
      <w:bookmarkEnd w:id="97"/>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No. 27 of 2009 s. 15.]</w:t>
      </w:r>
    </w:p>
    <w:p>
      <w:pPr>
        <w:pStyle w:val="Heading5"/>
      </w:pPr>
      <w:bookmarkStart w:id="98" w:name="_Toc107474570"/>
      <w:bookmarkStart w:id="99" w:name="_Toc106984168"/>
      <w:r>
        <w:rPr>
          <w:rStyle w:val="CharSectno"/>
        </w:rPr>
        <w:t>17</w:t>
      </w:r>
      <w:r>
        <w:t>.</w:t>
      </w:r>
      <w:r>
        <w:tab/>
        <w:t>Application on behalf of person under legal disability</w:t>
      </w:r>
      <w:bookmarkEnd w:id="98"/>
      <w:bookmarkEnd w:id="99"/>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100" w:name="_Toc107388032"/>
      <w:bookmarkStart w:id="101" w:name="_Toc107388272"/>
      <w:bookmarkStart w:id="102" w:name="_Toc107474571"/>
      <w:bookmarkStart w:id="103" w:name="_Toc106984046"/>
      <w:bookmarkStart w:id="104" w:name="_Toc106984169"/>
      <w:r>
        <w:rPr>
          <w:rStyle w:val="CharDivNo"/>
        </w:rPr>
        <w:t>Division 5</w:t>
      </w:r>
      <w:r>
        <w:t xml:space="preserve"> — </w:t>
      </w:r>
      <w:r>
        <w:rPr>
          <w:rStyle w:val="CharDivText"/>
        </w:rPr>
        <w:t>Decision on application</w:t>
      </w:r>
      <w:bookmarkEnd w:id="100"/>
      <w:bookmarkEnd w:id="101"/>
      <w:bookmarkEnd w:id="102"/>
      <w:bookmarkEnd w:id="103"/>
      <w:bookmarkEnd w:id="104"/>
    </w:p>
    <w:p>
      <w:pPr>
        <w:pStyle w:val="Heading5"/>
      </w:pPr>
      <w:bookmarkStart w:id="105" w:name="_Toc107474572"/>
      <w:bookmarkStart w:id="106" w:name="_Toc106984170"/>
      <w:r>
        <w:rPr>
          <w:rStyle w:val="CharSectno"/>
        </w:rPr>
        <w:t>18</w:t>
      </w:r>
      <w:r>
        <w:t>.</w:t>
      </w:r>
      <w:r>
        <w:tab/>
        <w:t>Commissioner to authorise payment of grant</w:t>
      </w:r>
      <w:bookmarkEnd w:id="105"/>
      <w:bookmarkEnd w:id="106"/>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No. 27 of 2009 s. 11.]</w:t>
      </w:r>
    </w:p>
    <w:p>
      <w:pPr>
        <w:pStyle w:val="Heading5"/>
        <w:spacing w:before="180"/>
      </w:pPr>
      <w:bookmarkStart w:id="107" w:name="_Toc107474573"/>
      <w:bookmarkStart w:id="108" w:name="_Toc106984171"/>
      <w:r>
        <w:rPr>
          <w:rStyle w:val="CharSectno"/>
        </w:rPr>
        <w:t>19</w:t>
      </w:r>
      <w:r>
        <w:t>.</w:t>
      </w:r>
      <w:r>
        <w:tab/>
        <w:t>Amount of grant</w:t>
      </w:r>
      <w:bookmarkEnd w:id="107"/>
      <w:bookmarkEnd w:id="108"/>
    </w:p>
    <w:p>
      <w:pPr>
        <w:pStyle w:val="Subsection"/>
      </w:pPr>
      <w:r>
        <w:tab/>
        <w:t>(1)</w:t>
      </w:r>
      <w:r>
        <w:tab/>
        <w:t xml:space="preserve">In this section — </w:t>
      </w:r>
    </w:p>
    <w:p>
      <w:pPr>
        <w:pStyle w:val="Defstar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keepNext/>
      </w:pPr>
      <w:r>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 xml:space="preserve">in the case of a class 7 eligible transaction within the meaning of section 14B — $14 000; or </w:t>
      </w:r>
    </w:p>
    <w:p>
      <w:pPr>
        <w:pStyle w:val="Defpara"/>
      </w:pPr>
      <w:r>
        <w:tab/>
        <w:t>(g)</w:t>
      </w:r>
      <w:r>
        <w:tab/>
        <w:t>in the case of a class 8 eligible transaction within the meaning of section 14B — $15 000.</w:t>
      </w:r>
    </w:p>
    <w:p>
      <w:pPr>
        <w:pStyle w:val="Footnotesection"/>
      </w:pPr>
      <w:r>
        <w:tab/>
        <w:t>[Section 19 amended: No. 14 of 2001 s. 6; No. 13 of 2003 s. 6; No. 27 of 2009 s. 6 and 15; No. 10 of 2013 s. 43; No. 27 of 2015 s. 7; No. 16 of 2017 s. 10.]</w:t>
      </w:r>
    </w:p>
    <w:p>
      <w:pPr>
        <w:pStyle w:val="Heading5"/>
        <w:spacing w:before="180"/>
      </w:pPr>
      <w:bookmarkStart w:id="109" w:name="_Toc107474574"/>
      <w:bookmarkStart w:id="110" w:name="_Toc106984172"/>
      <w:r>
        <w:rPr>
          <w:rStyle w:val="CharSectno"/>
        </w:rPr>
        <w:t>20</w:t>
      </w:r>
      <w:r>
        <w:t>.</w:t>
      </w:r>
      <w:r>
        <w:tab/>
        <w:t>Payment of grant</w:t>
      </w:r>
      <w:bookmarkEnd w:id="109"/>
      <w:bookmarkEnd w:id="110"/>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111" w:name="_Toc107474575"/>
      <w:bookmarkStart w:id="112" w:name="_Toc106984173"/>
      <w:r>
        <w:rPr>
          <w:rStyle w:val="CharSectno"/>
        </w:rPr>
        <w:t>21</w:t>
      </w:r>
      <w:r>
        <w:t>.</w:t>
      </w:r>
      <w:r>
        <w:tab/>
        <w:t>Payment in anticipation of compliance with residence requirement</w:t>
      </w:r>
      <w:bookmarkEnd w:id="111"/>
      <w:bookmarkEnd w:id="112"/>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does not comply with the requirement under section 13(4); or</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No. 13 of 2003 s. 7; No. 52 of 2004 s. 11.]</w:t>
      </w:r>
    </w:p>
    <w:p>
      <w:pPr>
        <w:pStyle w:val="Heading5"/>
      </w:pPr>
      <w:bookmarkStart w:id="113" w:name="_Toc107474576"/>
      <w:bookmarkStart w:id="114" w:name="_Toc106984174"/>
      <w:r>
        <w:rPr>
          <w:rStyle w:val="CharSectno"/>
        </w:rPr>
        <w:t>22</w:t>
      </w:r>
      <w:r>
        <w:t>.</w:t>
      </w:r>
      <w:r>
        <w:tab/>
        <w:t>Commissioner may impose conditions</w:t>
      </w:r>
      <w:bookmarkEnd w:id="113"/>
      <w:bookmarkEnd w:id="114"/>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whole or part of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pPr>
      <w:r>
        <w:tab/>
        <w:t>[Section 22 amended: No. 16 of 2017 s. 11.]</w:t>
      </w:r>
    </w:p>
    <w:p>
      <w:pPr>
        <w:pStyle w:val="Heading5"/>
      </w:pPr>
      <w:bookmarkStart w:id="115" w:name="_Toc107474577"/>
      <w:bookmarkStart w:id="116" w:name="_Toc106984175"/>
      <w:r>
        <w:rPr>
          <w:rStyle w:val="CharSectno"/>
        </w:rPr>
        <w:t>23</w:t>
      </w:r>
      <w:r>
        <w:t>.</w:t>
      </w:r>
      <w:r>
        <w:tab/>
        <w:t>Death of applicant</w:t>
      </w:r>
      <w:bookmarkEnd w:id="115"/>
      <w:bookmarkEnd w:id="116"/>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No. 52 of 2004 s. 12.]</w:t>
      </w:r>
    </w:p>
    <w:p>
      <w:pPr>
        <w:pStyle w:val="Heading5"/>
      </w:pPr>
      <w:bookmarkStart w:id="117" w:name="_Toc107474578"/>
      <w:bookmarkStart w:id="118" w:name="_Toc106984176"/>
      <w:r>
        <w:rPr>
          <w:rStyle w:val="CharSectno"/>
        </w:rPr>
        <w:t>24</w:t>
      </w:r>
      <w:r>
        <w:rPr>
          <w:snapToGrid w:val="0"/>
        </w:rPr>
        <w:t>.</w:t>
      </w:r>
      <w:r>
        <w:rPr>
          <w:snapToGrid w:val="0"/>
        </w:rPr>
        <w:tab/>
        <w:t>Power to correct decision</w:t>
      </w:r>
      <w:bookmarkEnd w:id="117"/>
      <w:bookmarkEnd w:id="118"/>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119" w:name="_Toc107474579"/>
      <w:bookmarkStart w:id="120" w:name="_Toc106984177"/>
      <w:r>
        <w:rPr>
          <w:rStyle w:val="CharSectno"/>
        </w:rPr>
        <w:t>25</w:t>
      </w:r>
      <w:r>
        <w:rPr>
          <w:snapToGrid w:val="0"/>
        </w:rPr>
        <w:t>.</w:t>
      </w:r>
      <w:r>
        <w:rPr>
          <w:snapToGrid w:val="0"/>
        </w:rPr>
        <w:tab/>
        <w:t>Notice of decision</w:t>
      </w:r>
      <w:bookmarkEnd w:id="119"/>
      <w:bookmarkEnd w:id="120"/>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121" w:name="_Toc107388041"/>
      <w:bookmarkStart w:id="122" w:name="_Toc107388281"/>
      <w:bookmarkStart w:id="123" w:name="_Toc107474580"/>
      <w:bookmarkStart w:id="124" w:name="_Toc106984055"/>
      <w:bookmarkStart w:id="125" w:name="_Toc106984178"/>
      <w:r>
        <w:rPr>
          <w:rStyle w:val="CharDivNo"/>
        </w:rPr>
        <w:t>Division 6</w:t>
      </w:r>
      <w:r>
        <w:t xml:space="preserve"> — </w:t>
      </w:r>
      <w:r>
        <w:rPr>
          <w:rStyle w:val="CharDivText"/>
        </w:rPr>
        <w:t>Objections and review</w:t>
      </w:r>
      <w:bookmarkEnd w:id="121"/>
      <w:bookmarkEnd w:id="122"/>
      <w:bookmarkEnd w:id="123"/>
      <w:bookmarkEnd w:id="124"/>
      <w:bookmarkEnd w:id="125"/>
    </w:p>
    <w:p>
      <w:pPr>
        <w:pStyle w:val="Footnoteheading"/>
      </w:pPr>
      <w:r>
        <w:tab/>
        <w:t>[Heading amended: No. 55 of 2004 s. 374.]</w:t>
      </w:r>
    </w:p>
    <w:p>
      <w:pPr>
        <w:pStyle w:val="Heading4"/>
      </w:pPr>
      <w:bookmarkStart w:id="126" w:name="_Toc107388042"/>
      <w:bookmarkStart w:id="127" w:name="_Toc107388282"/>
      <w:bookmarkStart w:id="128" w:name="_Toc107474581"/>
      <w:bookmarkStart w:id="129" w:name="_Toc106984056"/>
      <w:bookmarkStart w:id="130" w:name="_Toc106984179"/>
      <w:r>
        <w:t>Subdivision 1 — Definitions</w:t>
      </w:r>
      <w:bookmarkEnd w:id="126"/>
      <w:bookmarkEnd w:id="127"/>
      <w:bookmarkEnd w:id="128"/>
      <w:bookmarkEnd w:id="129"/>
      <w:bookmarkEnd w:id="130"/>
    </w:p>
    <w:p>
      <w:pPr>
        <w:pStyle w:val="Heading5"/>
      </w:pPr>
      <w:bookmarkStart w:id="131" w:name="_Toc107474582"/>
      <w:bookmarkStart w:id="132" w:name="_Toc106984180"/>
      <w:r>
        <w:rPr>
          <w:rStyle w:val="CharSectno"/>
        </w:rPr>
        <w:t>26</w:t>
      </w:r>
      <w:r>
        <w:t>.</w:t>
      </w:r>
      <w:r>
        <w:tab/>
        <w:t>Terms used</w:t>
      </w:r>
      <w:bookmarkEnd w:id="131"/>
      <w:bookmarkEnd w:id="132"/>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 and</w:t>
      </w:r>
    </w:p>
    <w:p>
      <w:pPr>
        <w:pStyle w:val="Defpara"/>
      </w:pPr>
      <w:r>
        <w:tab/>
        <w:t>(e)</w:t>
      </w:r>
      <w:r>
        <w:tab/>
        <w:t>a requirement under section 52A(1) to pay an amount of legal costs incurred by the Commissioner;</w:t>
      </w:r>
    </w:p>
    <w:p>
      <w:pPr>
        <w:pStyle w:val="Defstart"/>
        <w:keepNext/>
      </w:pPr>
      <w:r>
        <w:tab/>
      </w:r>
      <w:r>
        <w:rPr>
          <w:rStyle w:val="CharDefText"/>
        </w:rPr>
        <w:t>objector</w:t>
      </w:r>
      <w:r>
        <w:t xml:space="preserve"> means a person who makes an objection under section 27.</w:t>
      </w:r>
    </w:p>
    <w:p>
      <w:pPr>
        <w:pStyle w:val="Footnotesection"/>
      </w:pPr>
      <w:r>
        <w:tab/>
        <w:t>[Section 26 amended: No. 13 of 2003 s. 8; No. 27 of 2009 s. 12 and 16; No. 16 of 2017 s. 12.]</w:t>
      </w:r>
    </w:p>
    <w:p>
      <w:pPr>
        <w:pStyle w:val="Heading4"/>
      </w:pPr>
      <w:bookmarkStart w:id="133" w:name="_Toc107388044"/>
      <w:bookmarkStart w:id="134" w:name="_Toc107388284"/>
      <w:bookmarkStart w:id="135" w:name="_Toc107474583"/>
      <w:bookmarkStart w:id="136" w:name="_Toc106984058"/>
      <w:bookmarkStart w:id="137" w:name="_Toc106984181"/>
      <w:r>
        <w:t>Subdivision 2 — Objections</w:t>
      </w:r>
      <w:bookmarkEnd w:id="133"/>
      <w:bookmarkEnd w:id="134"/>
      <w:bookmarkEnd w:id="135"/>
      <w:bookmarkEnd w:id="136"/>
      <w:bookmarkEnd w:id="137"/>
    </w:p>
    <w:p>
      <w:pPr>
        <w:pStyle w:val="Heading5"/>
        <w:spacing w:before="180"/>
      </w:pPr>
      <w:bookmarkStart w:id="138" w:name="_Toc107474584"/>
      <w:bookmarkStart w:id="139" w:name="_Toc106984182"/>
      <w:r>
        <w:rPr>
          <w:rStyle w:val="CharSectno"/>
        </w:rPr>
        <w:t>27</w:t>
      </w:r>
      <w:r>
        <w:t>.</w:t>
      </w:r>
      <w:r>
        <w:tab/>
        <w:t>Right to object and procedure for making objections</w:t>
      </w:r>
      <w:bookmarkEnd w:id="138"/>
      <w:bookmarkEnd w:id="139"/>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 and</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140" w:name="_Toc107474585"/>
      <w:bookmarkStart w:id="141" w:name="_Toc106984183"/>
      <w:r>
        <w:rPr>
          <w:rStyle w:val="CharSectno"/>
        </w:rPr>
        <w:t>28</w:t>
      </w:r>
      <w:r>
        <w:t>.</w:t>
      </w:r>
      <w:r>
        <w:tab/>
        <w:t>Time for lodging objection</w:t>
      </w:r>
      <w:bookmarkEnd w:id="140"/>
      <w:bookmarkEnd w:id="141"/>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Indenta"/>
      </w:pPr>
      <w:r>
        <w:tab/>
      </w:r>
      <w:r>
        <w:tab/>
        <w:t>or</w:t>
      </w:r>
    </w:p>
    <w:p>
      <w:pPr>
        <w:pStyle w:val="Indenta"/>
        <w:keepNext/>
      </w:pPr>
      <w:r>
        <w:tab/>
        <w:t>(c)</w:t>
      </w:r>
      <w:r>
        <w:tab/>
        <w:t xml:space="preserve">in the case of a class 8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rPr>
        <w:t>First Home Owner Grant Amendment Act 2017</w:t>
      </w:r>
      <w:r>
        <w:t xml:space="preserve"> 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No. 27 of 2009 s. 7; No. 32 of 2012 s. 29; No. 16 of 2017 s. 13.]</w:t>
      </w:r>
    </w:p>
    <w:p>
      <w:pPr>
        <w:pStyle w:val="Heading5"/>
        <w:rPr>
          <w:highlight w:val="cyan"/>
        </w:rPr>
      </w:pPr>
      <w:bookmarkStart w:id="142" w:name="_Toc107474586"/>
      <w:bookmarkStart w:id="143" w:name="_Toc106984184"/>
      <w:r>
        <w:rPr>
          <w:rStyle w:val="CharSectno"/>
        </w:rPr>
        <w:t>29A</w:t>
      </w:r>
      <w:r>
        <w:t>.</w:t>
      </w:r>
      <w:r>
        <w:tab/>
        <w:t xml:space="preserve">Relationship with </w:t>
      </w:r>
      <w:r>
        <w:rPr>
          <w:i/>
        </w:rPr>
        <w:t>Duties Act 2008</w:t>
      </w:r>
      <w:r>
        <w:t xml:space="preserve"> and </w:t>
      </w:r>
      <w:r>
        <w:rPr>
          <w:i/>
        </w:rPr>
        <w:t>Taxation Administration Act 2003</w:t>
      </w:r>
      <w:bookmarkEnd w:id="142"/>
      <w:bookmarkEnd w:id="143"/>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keepNext/>
      </w:pPr>
      <w:r>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No. 32 of 2012 s. 30.]</w:t>
      </w:r>
    </w:p>
    <w:p>
      <w:pPr>
        <w:pStyle w:val="Heading5"/>
      </w:pPr>
      <w:bookmarkStart w:id="144" w:name="_Toc107474587"/>
      <w:bookmarkStart w:id="145" w:name="_Toc106984185"/>
      <w:r>
        <w:rPr>
          <w:rStyle w:val="CharSectno"/>
        </w:rPr>
        <w:t>29</w:t>
      </w:r>
      <w:r>
        <w:rPr>
          <w:snapToGrid w:val="0"/>
        </w:rPr>
        <w:t>.</w:t>
      </w:r>
      <w:r>
        <w:rPr>
          <w:snapToGrid w:val="0"/>
        </w:rPr>
        <w:tab/>
        <w:t>Consideration of objection</w:t>
      </w:r>
      <w:bookmarkEnd w:id="144"/>
      <w:bookmarkEnd w:id="145"/>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146" w:name="_Toc107474588"/>
      <w:bookmarkStart w:id="147" w:name="_Toc106984186"/>
      <w:r>
        <w:rPr>
          <w:rStyle w:val="CharSectno"/>
        </w:rPr>
        <w:t>30A</w:t>
      </w:r>
      <w:r>
        <w:t>.</w:t>
      </w:r>
      <w:r>
        <w:tab/>
        <w:t>Time limit for making decision on objection</w:t>
      </w:r>
      <w:bookmarkEnd w:id="146"/>
      <w:bookmarkEnd w:id="147"/>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No. 32 of 2012 s. 31.]</w:t>
      </w:r>
    </w:p>
    <w:p>
      <w:pPr>
        <w:pStyle w:val="Heading5"/>
        <w:spacing w:before="180"/>
      </w:pPr>
      <w:bookmarkStart w:id="148" w:name="_Toc107474589"/>
      <w:bookmarkStart w:id="149" w:name="_Toc106984187"/>
      <w:r>
        <w:rPr>
          <w:rStyle w:val="CharSectno"/>
        </w:rPr>
        <w:t>30</w:t>
      </w:r>
      <w:r>
        <w:rPr>
          <w:snapToGrid w:val="0"/>
        </w:rPr>
        <w:t>.</w:t>
      </w:r>
      <w:r>
        <w:rPr>
          <w:snapToGrid w:val="0"/>
        </w:rPr>
        <w:tab/>
        <w:t>Decision on objection</w:t>
      </w:r>
      <w:bookmarkEnd w:id="148"/>
      <w:bookmarkEnd w:id="149"/>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(6)</w:t>
      </w:r>
      <w:r>
        <w:tab/>
        <w:t xml:space="preserve">If, as the result of a decision on an objection,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No. 27 of 2009 s. 17; No. 16 of 2017 s. 14.]</w:t>
      </w:r>
    </w:p>
    <w:p>
      <w:pPr>
        <w:pStyle w:val="Heading4"/>
        <w:spacing w:before="200"/>
      </w:pPr>
      <w:bookmarkStart w:id="150" w:name="_Toc107388051"/>
      <w:bookmarkStart w:id="151" w:name="_Toc107388291"/>
      <w:bookmarkStart w:id="152" w:name="_Toc107474590"/>
      <w:bookmarkStart w:id="153" w:name="_Toc106984065"/>
      <w:bookmarkStart w:id="154" w:name="_Toc106984188"/>
      <w:r>
        <w:rPr>
          <w:snapToGrid w:val="0"/>
        </w:rPr>
        <w:t xml:space="preserve">Subdivision 3 — </w:t>
      </w:r>
      <w:r>
        <w:t>Review</w:t>
      </w:r>
      <w:bookmarkEnd w:id="150"/>
      <w:bookmarkEnd w:id="151"/>
      <w:bookmarkEnd w:id="152"/>
      <w:bookmarkEnd w:id="153"/>
      <w:bookmarkEnd w:id="154"/>
    </w:p>
    <w:p>
      <w:pPr>
        <w:pStyle w:val="Footnoteheading"/>
        <w:spacing w:before="100"/>
      </w:pPr>
      <w:r>
        <w:tab/>
        <w:t>[Heading amended: No. 55 of 2004 s. 375.]</w:t>
      </w:r>
    </w:p>
    <w:p>
      <w:pPr>
        <w:pStyle w:val="Heading5"/>
      </w:pPr>
      <w:bookmarkStart w:id="155" w:name="_Toc107474591"/>
      <w:bookmarkStart w:id="156" w:name="_Toc106984189"/>
      <w:r>
        <w:rPr>
          <w:rStyle w:val="CharSectno"/>
        </w:rPr>
        <w:t>31</w:t>
      </w:r>
      <w:r>
        <w:t>.</w:t>
      </w:r>
      <w:r>
        <w:tab/>
        <w:t>Right of review</w:t>
      </w:r>
      <w:bookmarkEnd w:id="155"/>
      <w:bookmarkEnd w:id="156"/>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No. 55 of 2004 s. 376; No. 32 of 2012 s. 32.]</w:t>
      </w:r>
    </w:p>
    <w:p>
      <w:pPr>
        <w:pStyle w:val="Heading5"/>
      </w:pPr>
      <w:bookmarkStart w:id="157" w:name="_Toc107474592"/>
      <w:bookmarkStart w:id="158" w:name="_Toc106984190"/>
      <w:r>
        <w:rPr>
          <w:rStyle w:val="CharSectno"/>
        </w:rPr>
        <w:t>32</w:t>
      </w:r>
      <w:r>
        <w:t>.</w:t>
      </w:r>
      <w:r>
        <w:tab/>
        <w:t>Payment following determination of review</w:t>
      </w:r>
      <w:bookmarkEnd w:id="157"/>
      <w:bookmarkEnd w:id="158"/>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keepNext/>
        <w:keepLines/>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No. 27 of 2009 s. 18; amended: No. 16 of 2017 s. 15.]</w:t>
      </w:r>
    </w:p>
    <w:p>
      <w:pPr>
        <w:pStyle w:val="Footnoteheading"/>
      </w:pPr>
      <w:r>
        <w:tab/>
        <w:t>[Heading deleted: No. 55 of 2004 s. 378.]</w:t>
      </w:r>
    </w:p>
    <w:p>
      <w:pPr>
        <w:pStyle w:val="Ednotesection"/>
      </w:pPr>
      <w:r>
        <w:t>[</w:t>
      </w:r>
      <w:r>
        <w:rPr>
          <w:b/>
        </w:rPr>
        <w:t>33.</w:t>
      </w:r>
      <w:r>
        <w:tab/>
        <w:t>Deleted: No. 55 of 2004 s. 379.]</w:t>
      </w:r>
    </w:p>
    <w:p>
      <w:pPr>
        <w:pStyle w:val="Heading2"/>
      </w:pPr>
      <w:bookmarkStart w:id="159" w:name="_Toc107388054"/>
      <w:bookmarkStart w:id="160" w:name="_Toc107388294"/>
      <w:bookmarkStart w:id="161" w:name="_Toc107474593"/>
      <w:bookmarkStart w:id="162" w:name="_Toc106984068"/>
      <w:bookmarkStart w:id="163" w:name="_Toc106984191"/>
      <w:r>
        <w:rPr>
          <w:rStyle w:val="CharPartNo"/>
        </w:rPr>
        <w:t>Part 3</w:t>
      </w:r>
      <w:r>
        <w:t xml:space="preserve"> — </w:t>
      </w:r>
      <w:r>
        <w:rPr>
          <w:rStyle w:val="CharPartText"/>
        </w:rPr>
        <w:t>Administration</w:t>
      </w:r>
      <w:bookmarkEnd w:id="159"/>
      <w:bookmarkEnd w:id="160"/>
      <w:bookmarkEnd w:id="161"/>
      <w:bookmarkEnd w:id="162"/>
      <w:bookmarkEnd w:id="163"/>
    </w:p>
    <w:p>
      <w:pPr>
        <w:pStyle w:val="Heading3"/>
      </w:pPr>
      <w:bookmarkStart w:id="164" w:name="_Toc107388055"/>
      <w:bookmarkStart w:id="165" w:name="_Toc107388295"/>
      <w:bookmarkStart w:id="166" w:name="_Toc107474594"/>
      <w:bookmarkStart w:id="167" w:name="_Toc106984069"/>
      <w:bookmarkStart w:id="168" w:name="_Toc106984192"/>
      <w:r>
        <w:rPr>
          <w:rStyle w:val="CharDivNo"/>
        </w:rPr>
        <w:t>Division 1</w:t>
      </w:r>
      <w:r>
        <w:t xml:space="preserve"> — </w:t>
      </w:r>
      <w:r>
        <w:rPr>
          <w:rStyle w:val="CharDivText"/>
        </w:rPr>
        <w:t>Administration generally</w:t>
      </w:r>
      <w:bookmarkEnd w:id="164"/>
      <w:bookmarkEnd w:id="165"/>
      <w:bookmarkEnd w:id="166"/>
      <w:bookmarkEnd w:id="167"/>
      <w:bookmarkEnd w:id="168"/>
    </w:p>
    <w:p>
      <w:pPr>
        <w:pStyle w:val="Heading5"/>
        <w:spacing w:before="180"/>
      </w:pPr>
      <w:bookmarkStart w:id="169" w:name="_Toc107474595"/>
      <w:bookmarkStart w:id="170" w:name="_Toc106984193"/>
      <w:r>
        <w:rPr>
          <w:rStyle w:val="CharSectno"/>
        </w:rPr>
        <w:t>34</w:t>
      </w:r>
      <w:r>
        <w:t>.</w:t>
      </w:r>
      <w:r>
        <w:tab/>
        <w:t>Administration of Act</w:t>
      </w:r>
      <w:bookmarkEnd w:id="169"/>
      <w:bookmarkEnd w:id="170"/>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No. 31 of 2008 s. 33.]</w:t>
      </w:r>
    </w:p>
    <w:p>
      <w:pPr>
        <w:pStyle w:val="Heading5"/>
        <w:spacing w:before="180"/>
      </w:pPr>
      <w:bookmarkStart w:id="171" w:name="_Toc107474596"/>
      <w:bookmarkStart w:id="172" w:name="_Toc106984194"/>
      <w:r>
        <w:rPr>
          <w:rStyle w:val="CharSectno"/>
        </w:rPr>
        <w:t>35</w:t>
      </w:r>
      <w:r>
        <w:t>.</w:t>
      </w:r>
      <w:r>
        <w:tab/>
        <w:t>Delegation</w:t>
      </w:r>
      <w:bookmarkEnd w:id="171"/>
      <w:bookmarkEnd w:id="172"/>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 or</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37 limits the ability of the Commissioner to act through the Commissioner’s officers and agents in the normal course of business.</w:t>
      </w:r>
    </w:p>
    <w:p>
      <w:pPr>
        <w:pStyle w:val="Heading5"/>
      </w:pPr>
      <w:bookmarkStart w:id="173" w:name="_Toc107474597"/>
      <w:bookmarkStart w:id="174" w:name="_Toc106984195"/>
      <w:r>
        <w:rPr>
          <w:rStyle w:val="CharSectno"/>
        </w:rPr>
        <w:t>36</w:t>
      </w:r>
      <w:r>
        <w:t>.</w:t>
      </w:r>
      <w:r>
        <w:tab/>
        <w:t>Authorised investigators</w:t>
      </w:r>
      <w:bookmarkEnd w:id="173"/>
      <w:bookmarkEnd w:id="174"/>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175" w:name="_Toc107474598"/>
      <w:bookmarkStart w:id="176" w:name="_Toc106984196"/>
      <w:r>
        <w:rPr>
          <w:rStyle w:val="CharSectno"/>
        </w:rPr>
        <w:t>37</w:t>
      </w:r>
      <w:r>
        <w:t>.</w:t>
      </w:r>
      <w:r>
        <w:tab/>
        <w:t>Administration agreements</w:t>
      </w:r>
      <w:bookmarkEnd w:id="175"/>
      <w:bookmarkEnd w:id="176"/>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grant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Footnotesection"/>
      </w:pPr>
      <w:r>
        <w:tab/>
        <w:t>[Section 37 amended: No. 1 of 2022 s. 11.]</w:t>
      </w:r>
    </w:p>
    <w:p>
      <w:pPr>
        <w:pStyle w:val="Heading3"/>
      </w:pPr>
      <w:bookmarkStart w:id="177" w:name="_Toc107388060"/>
      <w:bookmarkStart w:id="178" w:name="_Toc107388300"/>
      <w:bookmarkStart w:id="179" w:name="_Toc107474599"/>
      <w:bookmarkStart w:id="180" w:name="_Toc106984074"/>
      <w:bookmarkStart w:id="181" w:name="_Toc106984197"/>
      <w:r>
        <w:rPr>
          <w:rStyle w:val="CharDivNo"/>
        </w:rPr>
        <w:t>Division 2</w:t>
      </w:r>
      <w:r>
        <w:t xml:space="preserve"> — </w:t>
      </w:r>
      <w:r>
        <w:rPr>
          <w:rStyle w:val="CharDivText"/>
        </w:rPr>
        <w:t>Investigations</w:t>
      </w:r>
      <w:bookmarkEnd w:id="177"/>
      <w:bookmarkEnd w:id="178"/>
      <w:bookmarkEnd w:id="179"/>
      <w:bookmarkEnd w:id="180"/>
      <w:bookmarkEnd w:id="181"/>
    </w:p>
    <w:p>
      <w:pPr>
        <w:pStyle w:val="Heading5"/>
      </w:pPr>
      <w:bookmarkStart w:id="182" w:name="_Toc107474600"/>
      <w:bookmarkStart w:id="183" w:name="_Toc106984198"/>
      <w:r>
        <w:rPr>
          <w:rStyle w:val="CharSectno"/>
        </w:rPr>
        <w:t>38</w:t>
      </w:r>
      <w:r>
        <w:t>.</w:t>
      </w:r>
      <w:r>
        <w:tab/>
        <w:t>Investigations</w:t>
      </w:r>
      <w:bookmarkEnd w:id="182"/>
      <w:bookmarkEnd w:id="183"/>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r>
        <w:t xml:space="preserve"> or</w:t>
      </w:r>
    </w:p>
    <w:p>
      <w:pPr>
        <w:pStyle w:val="Indenta"/>
        <w:rPr>
          <w:snapToGrid w:val="0"/>
        </w:rPr>
      </w:pPr>
      <w:r>
        <w:rPr>
          <w:snapToGrid w:val="0"/>
        </w:rPr>
        <w:tab/>
        <w:t>(b)</w:t>
      </w:r>
      <w:r>
        <w:rPr>
          <w:snapToGrid w:val="0"/>
        </w:rPr>
        <w:tab/>
        <w:t>whether an objection to a decision made under this Act or a corresponding law should be upheld;</w:t>
      </w:r>
      <w:r>
        <w:t xml:space="preserve"> or</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r>
        <w:t xml:space="preserve"> or</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184" w:name="_Toc107474601"/>
      <w:bookmarkStart w:id="185" w:name="_Toc106984199"/>
      <w:r>
        <w:rPr>
          <w:rStyle w:val="CharSectno"/>
        </w:rPr>
        <w:t>39</w:t>
      </w:r>
      <w:r>
        <w:rPr>
          <w:snapToGrid w:val="0"/>
        </w:rPr>
        <w:t>.</w:t>
      </w:r>
      <w:r>
        <w:rPr>
          <w:snapToGrid w:val="0"/>
        </w:rPr>
        <w:tab/>
        <w:t>Cross</w:t>
      </w:r>
      <w:r>
        <w:rPr>
          <w:snapToGrid w:val="0"/>
        </w:rPr>
        <w:noBreakHyphen/>
        <w:t>border investigations</w:t>
      </w:r>
      <w:bookmarkEnd w:id="184"/>
      <w:bookmarkEnd w:id="185"/>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186" w:name="_Toc107474602"/>
      <w:bookmarkStart w:id="187" w:name="_Toc106984200"/>
      <w:r>
        <w:rPr>
          <w:rStyle w:val="CharSectno"/>
        </w:rPr>
        <w:t>40</w:t>
      </w:r>
      <w:r>
        <w:rPr>
          <w:snapToGrid w:val="0"/>
        </w:rPr>
        <w:t>.</w:t>
      </w:r>
      <w:r>
        <w:rPr>
          <w:snapToGrid w:val="0"/>
        </w:rPr>
        <w:tab/>
        <w:t>Power of investigation</w:t>
      </w:r>
      <w:bookmarkEnd w:id="186"/>
      <w:bookmarkEnd w:id="187"/>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188" w:name="_Toc107474603"/>
      <w:bookmarkStart w:id="189" w:name="_Toc106984201"/>
      <w:r>
        <w:rPr>
          <w:rStyle w:val="CharSectno"/>
        </w:rPr>
        <w:t>41A.</w:t>
      </w:r>
      <w:r>
        <w:rPr>
          <w:rStyle w:val="CharSectno"/>
        </w:rPr>
        <w:tab/>
        <w:t>P</w:t>
      </w:r>
      <w:r>
        <w:t>ower to have valuation made</w:t>
      </w:r>
      <w:bookmarkEnd w:id="188"/>
      <w:bookmarkEnd w:id="189"/>
    </w:p>
    <w:p>
      <w:pPr>
        <w:pStyle w:val="Subsection"/>
        <w:keepNext/>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No. 27 of 2009 s. 13.]</w:t>
      </w:r>
    </w:p>
    <w:p>
      <w:pPr>
        <w:pStyle w:val="Heading5"/>
      </w:pPr>
      <w:bookmarkStart w:id="190" w:name="_Toc107474604"/>
      <w:bookmarkStart w:id="191" w:name="_Toc106984202"/>
      <w:r>
        <w:rPr>
          <w:rStyle w:val="CharSectno"/>
        </w:rPr>
        <w:t>41</w:t>
      </w:r>
      <w:r>
        <w:t>.</w:t>
      </w:r>
      <w:r>
        <w:tab/>
        <w:t>Power to require person to attend for examination</w:t>
      </w:r>
      <w:bookmarkEnd w:id="190"/>
      <w:bookmarkEnd w:id="191"/>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 and</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192" w:name="_Toc107474605"/>
      <w:bookmarkStart w:id="193" w:name="_Toc106984203"/>
      <w:r>
        <w:rPr>
          <w:rStyle w:val="CharSectno"/>
        </w:rPr>
        <w:t>42</w:t>
      </w:r>
      <w:r>
        <w:t>.</w:t>
      </w:r>
      <w:r>
        <w:tab/>
        <w:t>Entry of premises</w:t>
      </w:r>
      <w:bookmarkEnd w:id="192"/>
      <w:bookmarkEnd w:id="193"/>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 or</w:t>
      </w:r>
    </w:p>
    <w:p>
      <w:pPr>
        <w:pStyle w:val="Indenta"/>
      </w:pPr>
      <w:r>
        <w:tab/>
        <w:t>(b)</w:t>
      </w:r>
      <w:r>
        <w:tab/>
        <w:t>in accordance with the authorisation conferred by a warrant; or</w:t>
      </w:r>
    </w:p>
    <w:p>
      <w:pPr>
        <w:pStyle w:val="Indenta"/>
        <w:keepNext/>
        <w:keepLines/>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194" w:name="_Toc107474606"/>
      <w:bookmarkStart w:id="195" w:name="_Toc106984204"/>
      <w:r>
        <w:rPr>
          <w:rStyle w:val="CharSectno"/>
        </w:rPr>
        <w:t>43</w:t>
      </w:r>
      <w:r>
        <w:t>.</w:t>
      </w:r>
      <w:r>
        <w:tab/>
        <w:t>Powers of authorised investigator on entry of premises</w:t>
      </w:r>
      <w:bookmarkEnd w:id="194"/>
      <w:bookmarkEnd w:id="195"/>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for examining it, or examining and copying it, to determine its evidentiary value; or</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to state his or her full name and address; or</w:t>
      </w:r>
    </w:p>
    <w:p>
      <w:pPr>
        <w:pStyle w:val="Indenti"/>
      </w:pPr>
      <w:r>
        <w:tab/>
        <w:t>(ii)</w:t>
      </w:r>
      <w:r>
        <w:tab/>
        <w:t>to answer (orally or in writing) questions put by the authorised investigator relevant to the investigation; or</w:t>
      </w:r>
    </w:p>
    <w:p>
      <w:pPr>
        <w:pStyle w:val="Indenti"/>
      </w:pPr>
      <w:r>
        <w:tab/>
        <w:t>(iii)</w:t>
      </w:r>
      <w:r>
        <w:tab/>
        <w:t>to produce relevant material in the person’s possession or control; or</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or</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196" w:name="_Toc107474607"/>
      <w:bookmarkStart w:id="197" w:name="_Toc106984205"/>
      <w:r>
        <w:rPr>
          <w:rStyle w:val="CharSectno"/>
        </w:rPr>
        <w:t>44</w:t>
      </w:r>
      <w:r>
        <w:t>.</w:t>
      </w:r>
      <w:r>
        <w:tab/>
        <w:t>Warrants</w:t>
      </w:r>
      <w:bookmarkEnd w:id="196"/>
      <w:bookmarkEnd w:id="197"/>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No. 84 of 2004 s. 80.]</w:t>
      </w:r>
    </w:p>
    <w:p>
      <w:pPr>
        <w:pStyle w:val="Heading5"/>
      </w:pPr>
      <w:bookmarkStart w:id="198" w:name="_Toc107474608"/>
      <w:bookmarkStart w:id="199" w:name="_Toc106984206"/>
      <w:r>
        <w:rPr>
          <w:rStyle w:val="CharSectno"/>
        </w:rPr>
        <w:t>45</w:t>
      </w:r>
      <w:r>
        <w:t>.</w:t>
      </w:r>
      <w:r>
        <w:tab/>
        <w:t>Use of force</w:t>
      </w:r>
      <w:bookmarkEnd w:id="198"/>
      <w:bookmarkEnd w:id="199"/>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200" w:name="_Toc107474609"/>
      <w:bookmarkStart w:id="201" w:name="_Toc106984207"/>
      <w:r>
        <w:rPr>
          <w:rStyle w:val="CharSectno"/>
        </w:rPr>
        <w:t>46</w:t>
      </w:r>
      <w:r>
        <w:t>.</w:t>
      </w:r>
      <w:r>
        <w:tab/>
        <w:t>Self incrimination</w:t>
      </w:r>
      <w:bookmarkEnd w:id="200"/>
      <w:bookmarkEnd w:id="201"/>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202" w:name="_Toc107388071"/>
      <w:bookmarkStart w:id="203" w:name="_Toc107388311"/>
      <w:bookmarkStart w:id="204" w:name="_Toc107474610"/>
      <w:bookmarkStart w:id="205" w:name="_Toc106984085"/>
      <w:bookmarkStart w:id="206" w:name="_Toc106984208"/>
      <w:r>
        <w:rPr>
          <w:rStyle w:val="CharPartNo"/>
        </w:rPr>
        <w:t>Part 4</w:t>
      </w:r>
      <w:r>
        <w:t xml:space="preserve"> — </w:t>
      </w:r>
      <w:r>
        <w:rPr>
          <w:rStyle w:val="CharPartText"/>
        </w:rPr>
        <w:t>Miscellaneous</w:t>
      </w:r>
      <w:bookmarkEnd w:id="202"/>
      <w:bookmarkEnd w:id="203"/>
      <w:bookmarkEnd w:id="204"/>
      <w:bookmarkEnd w:id="205"/>
      <w:bookmarkEnd w:id="206"/>
    </w:p>
    <w:p>
      <w:pPr>
        <w:pStyle w:val="Heading3"/>
      </w:pPr>
      <w:bookmarkStart w:id="207" w:name="_Toc107388072"/>
      <w:bookmarkStart w:id="208" w:name="_Toc107388312"/>
      <w:bookmarkStart w:id="209" w:name="_Toc107474611"/>
      <w:bookmarkStart w:id="210" w:name="_Toc106984086"/>
      <w:bookmarkStart w:id="211" w:name="_Toc106984209"/>
      <w:r>
        <w:rPr>
          <w:rStyle w:val="CharDivNo"/>
        </w:rPr>
        <w:t>Division 1</w:t>
      </w:r>
      <w:r>
        <w:t xml:space="preserve"> — </w:t>
      </w:r>
      <w:r>
        <w:rPr>
          <w:rStyle w:val="CharDivText"/>
        </w:rPr>
        <w:t>Offences</w:t>
      </w:r>
      <w:bookmarkEnd w:id="207"/>
      <w:bookmarkEnd w:id="208"/>
      <w:bookmarkEnd w:id="209"/>
      <w:bookmarkEnd w:id="210"/>
      <w:bookmarkEnd w:id="211"/>
    </w:p>
    <w:p>
      <w:pPr>
        <w:pStyle w:val="Heading5"/>
        <w:spacing w:before="180"/>
      </w:pPr>
      <w:bookmarkStart w:id="212" w:name="_Toc107474612"/>
      <w:bookmarkStart w:id="213" w:name="_Toc106984210"/>
      <w:r>
        <w:rPr>
          <w:rStyle w:val="CharSectno"/>
        </w:rPr>
        <w:t>47</w:t>
      </w:r>
      <w:r>
        <w:t>.</w:t>
      </w:r>
      <w:r>
        <w:tab/>
        <w:t>False or misleading information and documents</w:t>
      </w:r>
      <w:bookmarkEnd w:id="212"/>
      <w:bookmarkEnd w:id="213"/>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No. 52 of 2004 s. 13.]</w:t>
      </w:r>
    </w:p>
    <w:p>
      <w:pPr>
        <w:pStyle w:val="Heading5"/>
      </w:pPr>
      <w:bookmarkStart w:id="214" w:name="_Toc107474613"/>
      <w:bookmarkStart w:id="215" w:name="_Toc106984211"/>
      <w:r>
        <w:rPr>
          <w:rStyle w:val="CharSectno"/>
        </w:rPr>
        <w:t>48</w:t>
      </w:r>
      <w:r>
        <w:t>.</w:t>
      </w:r>
      <w:r>
        <w:tab/>
        <w:t>Obstructing or misleading Commissioner or authorised investigator</w:t>
      </w:r>
      <w:bookmarkEnd w:id="214"/>
      <w:bookmarkEnd w:id="215"/>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216" w:name="_Toc107388075"/>
      <w:bookmarkStart w:id="217" w:name="_Toc107388315"/>
      <w:bookmarkStart w:id="218" w:name="_Toc107474614"/>
      <w:bookmarkStart w:id="219" w:name="_Toc106984089"/>
      <w:bookmarkStart w:id="220" w:name="_Toc106984212"/>
      <w:r>
        <w:rPr>
          <w:rStyle w:val="CharDivNo"/>
        </w:rPr>
        <w:t>Division 2</w:t>
      </w:r>
      <w:r>
        <w:t xml:space="preserve"> — </w:t>
      </w:r>
      <w:r>
        <w:rPr>
          <w:rStyle w:val="CharDivText"/>
        </w:rPr>
        <w:t>Evidentiary provisions</w:t>
      </w:r>
      <w:bookmarkEnd w:id="216"/>
      <w:bookmarkEnd w:id="217"/>
      <w:bookmarkEnd w:id="218"/>
      <w:bookmarkEnd w:id="219"/>
      <w:bookmarkEnd w:id="220"/>
    </w:p>
    <w:p>
      <w:pPr>
        <w:pStyle w:val="Heading5"/>
      </w:pPr>
      <w:bookmarkStart w:id="221" w:name="_Toc107474615"/>
      <w:bookmarkStart w:id="222" w:name="_Toc106984213"/>
      <w:r>
        <w:rPr>
          <w:rStyle w:val="CharSectno"/>
        </w:rPr>
        <w:t>49</w:t>
      </w:r>
      <w:r>
        <w:t>.</w:t>
      </w:r>
      <w:r>
        <w:tab/>
        <w:t>Evidence</w:t>
      </w:r>
      <w:bookmarkEnd w:id="221"/>
      <w:bookmarkEnd w:id="222"/>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223" w:name="_Toc107474616"/>
      <w:bookmarkStart w:id="224" w:name="_Toc106984214"/>
      <w:r>
        <w:rPr>
          <w:rStyle w:val="CharSectno"/>
        </w:rPr>
        <w:t>50</w:t>
      </w:r>
      <w:r>
        <w:t>.</w:t>
      </w:r>
      <w:r>
        <w:tab/>
        <w:t>Presumption of regularity</w:t>
      </w:r>
      <w:bookmarkEnd w:id="223"/>
      <w:bookmarkEnd w:id="224"/>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225" w:name="_Toc107388078"/>
      <w:bookmarkStart w:id="226" w:name="_Toc107388318"/>
      <w:bookmarkStart w:id="227" w:name="_Toc107474617"/>
      <w:bookmarkStart w:id="228" w:name="_Toc106984092"/>
      <w:bookmarkStart w:id="229" w:name="_Toc106984215"/>
      <w:r>
        <w:rPr>
          <w:rStyle w:val="CharDivNo"/>
        </w:rPr>
        <w:t>Division 3</w:t>
      </w:r>
      <w:r>
        <w:t xml:space="preserve"> — </w:t>
      </w:r>
      <w:r>
        <w:rPr>
          <w:rStyle w:val="CharDivText"/>
        </w:rPr>
        <w:t>Repayments and penalties</w:t>
      </w:r>
      <w:bookmarkEnd w:id="225"/>
      <w:bookmarkEnd w:id="226"/>
      <w:bookmarkEnd w:id="227"/>
      <w:bookmarkEnd w:id="228"/>
      <w:bookmarkEnd w:id="229"/>
    </w:p>
    <w:p>
      <w:pPr>
        <w:pStyle w:val="Heading5"/>
      </w:pPr>
      <w:bookmarkStart w:id="230" w:name="_Toc107474618"/>
      <w:bookmarkStart w:id="231" w:name="_Toc106984216"/>
      <w:r>
        <w:rPr>
          <w:rStyle w:val="CharSectno"/>
        </w:rPr>
        <w:t>51</w:t>
      </w:r>
      <w:r>
        <w:t>.</w:t>
      </w:r>
      <w:r>
        <w:tab/>
        <w:t>Commissioner may require repayment and impose penalty</w:t>
      </w:r>
      <w:bookmarkEnd w:id="230"/>
      <w:bookmarkEnd w:id="231"/>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 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 or</w:t>
      </w:r>
    </w:p>
    <w:p>
      <w:pPr>
        <w:pStyle w:val="Indenta"/>
      </w:pPr>
      <w:r>
        <w:tab/>
        <w:t>(d)</w:t>
      </w:r>
      <w:r>
        <w:tab/>
        <w:t>the amount was paid on the basis that the eligible transaction was of a class referred to in section 14B but the eligible transaction is not of such a class.</w:t>
      </w:r>
    </w:p>
    <w:p>
      <w:pPr>
        <w:pStyle w:val="Subsection"/>
      </w:pPr>
      <w:r>
        <w:tab/>
        <w:t>(1A)</w:t>
      </w:r>
      <w:r>
        <w:tab/>
        <w:t xml:space="preserve">For the purposes of subsection (1)(d), the amount that the Commissioner may require an applicant to repay is — </w:t>
      </w:r>
    </w:p>
    <w:p>
      <w:pPr>
        <w:pStyle w:val="Indenta"/>
      </w:pPr>
      <w:r>
        <w:tab/>
        <w:t>(a)</w:t>
      </w:r>
      <w:r>
        <w:tab/>
        <w:t>if the amount paid on the application was more than the standard grant amount — the difference between those amounts; or</w:t>
      </w:r>
    </w:p>
    <w:p>
      <w:pPr>
        <w:pStyle w:val="Indenta"/>
      </w:pPr>
      <w:r>
        <w:tab/>
        <w:t>(b)</w:t>
      </w:r>
      <w:r>
        <w:tab/>
        <w:t>if the amount paid on the application was equal to or less than the standard grant amount — nil.</w:t>
      </w:r>
    </w:p>
    <w:p>
      <w:pPr>
        <w:pStyle w:val="Subsection"/>
        <w:keepNext/>
      </w:pPr>
      <w:r>
        <w:tab/>
        <w:t>(1B)</w:t>
      </w:r>
      <w:r>
        <w:tab/>
        <w:t xml:space="preserve">In subsection (1A) — </w:t>
      </w:r>
    </w:p>
    <w:p>
      <w:pPr>
        <w:pStyle w:val="Defstart"/>
      </w:pPr>
      <w:r>
        <w:tab/>
      </w:r>
      <w:r>
        <w:rPr>
          <w:rStyle w:val="CharDefText"/>
        </w:rPr>
        <w:t>standard grant amount</w:t>
      </w:r>
      <w:r>
        <w:t>, in relation to an eligible transaction, means the amount of the first home owner grant payable in respect of the transaction under section 19(2A) to (2C).</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pPr>
      <w:r>
        <w:tab/>
        <w:t>[Section 51 amended: No. 16 of 2017 s. 16.]</w:t>
      </w:r>
    </w:p>
    <w:p>
      <w:pPr>
        <w:pStyle w:val="Heading5"/>
      </w:pPr>
      <w:bookmarkStart w:id="232" w:name="_Toc107474619"/>
      <w:bookmarkStart w:id="233" w:name="_Toc106984217"/>
      <w:r>
        <w:rPr>
          <w:rStyle w:val="CharSectno"/>
        </w:rPr>
        <w:t>52</w:t>
      </w:r>
      <w:r>
        <w:t>.</w:t>
      </w:r>
      <w:r>
        <w:tab/>
        <w:t>Arrangements for instalments and extensions of time</w:t>
      </w:r>
      <w:bookmarkEnd w:id="232"/>
      <w:bookmarkEnd w:id="233"/>
    </w:p>
    <w:p>
      <w:pPr>
        <w:pStyle w:val="Subsection"/>
      </w:pPr>
      <w:r>
        <w:tab/>
        <w:t>(1A)</w:t>
      </w:r>
      <w:r>
        <w:tab/>
        <w:t xml:space="preserve">In this section — </w:t>
      </w:r>
    </w:p>
    <w:p>
      <w:pPr>
        <w:pStyle w:val="Defstart"/>
      </w:pPr>
      <w:r>
        <w:tab/>
      </w:r>
      <w:r>
        <w:rPr>
          <w:rStyle w:val="CharDefText"/>
        </w:rPr>
        <w:t>required repayment</w:t>
      </w:r>
      <w:r>
        <w:t xml:space="preserve"> means any of the following — </w:t>
      </w:r>
    </w:p>
    <w:p>
      <w:pPr>
        <w:pStyle w:val="Defpara"/>
      </w:pPr>
      <w:r>
        <w:tab/>
        <w:t>(a)</w:t>
      </w:r>
      <w:r>
        <w:tab/>
        <w:t>a repayment required, or a penalty imposed, under section 18, 21 or 51;</w:t>
      </w:r>
    </w:p>
    <w:p>
      <w:pPr>
        <w:pStyle w:val="Defpara"/>
      </w:pPr>
      <w:r>
        <w:tab/>
        <w:t>(b)</w:t>
      </w:r>
      <w:r>
        <w:tab/>
        <w:t>a payment required under section 52A(1) or 60(1).</w:t>
      </w:r>
    </w:p>
    <w:p>
      <w:pPr>
        <w:pStyle w:val="Subsection"/>
      </w:pPr>
      <w:r>
        <w:tab/>
        <w:t>(1)</w:t>
      </w:r>
      <w:r>
        <w:tab/>
        <w:t xml:space="preserve">The Commissioner may approve (with or without amendment) a written arrangement — </w:t>
      </w:r>
    </w:p>
    <w:p>
      <w:pPr>
        <w:pStyle w:val="Indenta"/>
      </w:pPr>
      <w:r>
        <w:tab/>
        <w:t>(a)</w:t>
      </w:r>
      <w:r>
        <w:tab/>
        <w:t>extending the period for paying a required repayment;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No. 13 of 2003 s. 9; No. 27 of 2009 s. 14; No. 16 of 2017 s. 17.]</w:t>
      </w:r>
    </w:p>
    <w:p>
      <w:pPr>
        <w:pStyle w:val="Heading5"/>
      </w:pPr>
      <w:bookmarkStart w:id="234" w:name="_Toc107474620"/>
      <w:bookmarkStart w:id="235" w:name="_Toc106984218"/>
      <w:r>
        <w:rPr>
          <w:rStyle w:val="CharSectno"/>
        </w:rPr>
        <w:t>52A</w:t>
      </w:r>
      <w:r>
        <w:t>.</w:t>
      </w:r>
      <w:r>
        <w:tab/>
        <w:t>Commissioner may recover legal costs</w:t>
      </w:r>
      <w:bookmarkEnd w:id="234"/>
      <w:bookmarkEnd w:id="235"/>
    </w:p>
    <w:p>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pPr>
        <w:pStyle w:val="Subsection"/>
      </w:pPr>
      <w:r>
        <w:tab/>
        <w:t>(3)</w:t>
      </w:r>
      <w:r>
        <w:tab/>
        <w:t xml:space="preserve">If the notice covers legal costs as defined in the </w:t>
      </w:r>
      <w:r>
        <w:rPr>
          <w:i/>
        </w:rPr>
        <w:t xml:space="preserve">Legal Profession </w:t>
      </w:r>
      <w:del w:id="236" w:author="Master Repository Process" w:date="2022-06-30T14:33:00Z">
        <w:r>
          <w:rPr>
            <w:i/>
          </w:rPr>
          <w:delText>Act 2008</w:delText>
        </w:r>
      </w:del>
      <w:ins w:id="237" w:author="Master Repository Process" w:date="2022-06-30T14:33:00Z">
        <w:r>
          <w:rPr>
            <w:i/>
          </w:rPr>
          <w:t>Uniform Law (WA)</w:t>
        </w:r>
      </w:ins>
      <w:r>
        <w:t xml:space="preserve"> section </w:t>
      </w:r>
      <w:del w:id="238" w:author="Master Repository Process" w:date="2022-06-30T14:33:00Z">
        <w:r>
          <w:delText>3</w:delText>
        </w:r>
      </w:del>
      <w:ins w:id="239" w:author="Master Repository Process" w:date="2022-06-30T14:33:00Z">
        <w:r>
          <w:t>6(1)</w:t>
        </w:r>
      </w:ins>
      <w:r>
        <w:t xml:space="preserve"> — </w:t>
      </w:r>
    </w:p>
    <w:p>
      <w:pPr>
        <w:pStyle w:val="Indenta"/>
      </w:pPr>
      <w:r>
        <w:tab/>
        <w:t>(a)</w:t>
      </w:r>
      <w:r>
        <w:tab/>
        <w:t xml:space="preserve">the notice must include or be accompanied by a written statement setting out the applicant’s right under the </w:t>
      </w:r>
      <w:r>
        <w:rPr>
          <w:i/>
        </w:rPr>
        <w:t xml:space="preserve">Legal Profession </w:t>
      </w:r>
      <w:del w:id="240" w:author="Master Repository Process" w:date="2022-06-30T14:33:00Z">
        <w:r>
          <w:rPr>
            <w:i/>
          </w:rPr>
          <w:delText>Act 2008</w:delText>
        </w:r>
      </w:del>
      <w:ins w:id="241" w:author="Master Repository Process" w:date="2022-06-30T14:33:00Z">
        <w:r>
          <w:rPr>
            <w:i/>
          </w:rPr>
          <w:t>Uniform Law (WA)</w:t>
        </w:r>
      </w:ins>
      <w:r>
        <w:t xml:space="preserve"> to apply for an assessment of those costs; and</w:t>
      </w:r>
    </w:p>
    <w:p>
      <w:pPr>
        <w:pStyle w:val="Indenta"/>
      </w:pPr>
      <w:r>
        <w:tab/>
        <w:t>(b)</w:t>
      </w:r>
      <w:r>
        <w:tab/>
        <w:t>the Commissioner must not commence proceedings to recover those costs until at least 30 days after the date on which the notice is given to the applicant.</w:t>
      </w:r>
    </w:p>
    <w:p>
      <w:pPr>
        <w:pStyle w:val="Footnotesection"/>
      </w:pPr>
      <w:r>
        <w:tab/>
        <w:t>[Section 52A inserted: No. 16 of 2017 s. </w:t>
      </w:r>
      <w:del w:id="242" w:author="Master Repository Process" w:date="2022-06-30T14:33:00Z">
        <w:r>
          <w:delText>18</w:delText>
        </w:r>
      </w:del>
      <w:ins w:id="243" w:author="Master Repository Process" w:date="2022-06-30T14:33:00Z">
        <w:r>
          <w:t>18; amended: No. 9 of 2022 s. 424</w:t>
        </w:r>
      </w:ins>
      <w:r>
        <w:t>.]</w:t>
      </w:r>
    </w:p>
    <w:p>
      <w:pPr>
        <w:pStyle w:val="Heading5"/>
        <w:pageBreakBefore/>
        <w:spacing w:before="0"/>
      </w:pPr>
      <w:bookmarkStart w:id="244" w:name="_Toc107474621"/>
      <w:bookmarkStart w:id="245" w:name="_Toc106984219"/>
      <w:r>
        <w:rPr>
          <w:rStyle w:val="CharSectno"/>
        </w:rPr>
        <w:t>53</w:t>
      </w:r>
      <w:r>
        <w:t>.</w:t>
      </w:r>
      <w:r>
        <w:tab/>
        <w:t>Recovery of certain amounts</w:t>
      </w:r>
      <w:bookmarkEnd w:id="244"/>
      <w:bookmarkEnd w:id="245"/>
    </w:p>
    <w:p>
      <w:pPr>
        <w:pStyle w:val="Subsection"/>
        <w:keepNext/>
      </w:pPr>
      <w:r>
        <w:tab/>
        <w:t>(1)</w:t>
      </w:r>
      <w:r>
        <w:tab/>
        <w:t>This section applies to the following amounts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w:t>
      </w:r>
    </w:p>
    <w:p>
      <w:pPr>
        <w:pStyle w:val="Indenta"/>
      </w:pPr>
      <w:r>
        <w:tab/>
        <w:t>(d)</w:t>
      </w:r>
      <w:r>
        <w:tab/>
        <w:t>an amount that is required to be paid under section 60;</w:t>
      </w:r>
    </w:p>
    <w:p>
      <w:pPr>
        <w:pStyle w:val="Indenta"/>
      </w:pPr>
      <w:r>
        <w:tab/>
        <w:t>(e)</w:t>
      </w:r>
      <w:r>
        <w:tab/>
        <w:t>the amount of legal costs referred to in a notice given by the Commissioner under section 52A(1).</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Footnotesection"/>
      </w:pPr>
      <w:r>
        <w:tab/>
        <w:t>[Section 53 amended: No. 16 of 2017 s. 19.]</w:t>
      </w:r>
    </w:p>
    <w:p>
      <w:pPr>
        <w:pStyle w:val="Heading5"/>
      </w:pPr>
      <w:bookmarkStart w:id="246" w:name="_Toc107474622"/>
      <w:bookmarkStart w:id="247" w:name="_Toc106984220"/>
      <w:r>
        <w:rPr>
          <w:rStyle w:val="CharSectno"/>
        </w:rPr>
        <w:t>54A</w:t>
      </w:r>
      <w:r>
        <w:t>.</w:t>
      </w:r>
      <w:r>
        <w:tab/>
        <w:t>Recovery from garnishee</w:t>
      </w:r>
      <w:bookmarkEnd w:id="246"/>
      <w:bookmarkEnd w:id="247"/>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keepNext/>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No. 29 of 2012 s. 11.]</w:t>
      </w:r>
    </w:p>
    <w:p>
      <w:pPr>
        <w:pStyle w:val="Heading5"/>
      </w:pPr>
      <w:bookmarkStart w:id="248" w:name="_Toc107474623"/>
      <w:bookmarkStart w:id="249" w:name="_Toc106984221"/>
      <w:r>
        <w:rPr>
          <w:rStyle w:val="CharSectno"/>
        </w:rPr>
        <w:t>54</w:t>
      </w:r>
      <w:r>
        <w:t>.</w:t>
      </w:r>
      <w:r>
        <w:tab/>
        <w:t>Writing off liability</w:t>
      </w:r>
      <w:bookmarkEnd w:id="248"/>
      <w:bookmarkEnd w:id="249"/>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No. 77 of 2006 Sch. 1 cl. 67.]</w:t>
      </w:r>
    </w:p>
    <w:p>
      <w:pPr>
        <w:pStyle w:val="Heading3"/>
      </w:pPr>
      <w:bookmarkStart w:id="250" w:name="_Toc107388085"/>
      <w:bookmarkStart w:id="251" w:name="_Toc107388325"/>
      <w:bookmarkStart w:id="252" w:name="_Toc107474624"/>
      <w:bookmarkStart w:id="253" w:name="_Toc106984099"/>
      <w:bookmarkStart w:id="254" w:name="_Toc106984222"/>
      <w:r>
        <w:rPr>
          <w:rStyle w:val="CharDivNo"/>
        </w:rPr>
        <w:t>Division 4</w:t>
      </w:r>
      <w:r>
        <w:t xml:space="preserve"> — </w:t>
      </w:r>
      <w:r>
        <w:rPr>
          <w:rStyle w:val="CharDivText"/>
        </w:rPr>
        <w:t>Charge on interest in home</w:t>
      </w:r>
      <w:bookmarkEnd w:id="250"/>
      <w:bookmarkEnd w:id="251"/>
      <w:bookmarkEnd w:id="252"/>
      <w:bookmarkEnd w:id="253"/>
      <w:bookmarkEnd w:id="254"/>
    </w:p>
    <w:p>
      <w:pPr>
        <w:pStyle w:val="Heading5"/>
      </w:pPr>
      <w:bookmarkStart w:id="255" w:name="_Toc107474625"/>
      <w:bookmarkStart w:id="256" w:name="_Toc106984223"/>
      <w:r>
        <w:rPr>
          <w:rStyle w:val="CharSectno"/>
        </w:rPr>
        <w:t>55</w:t>
      </w:r>
      <w:r>
        <w:t>.</w:t>
      </w:r>
      <w:r>
        <w:tab/>
        <w:t>Lodgement of memorial and creation of charge</w:t>
      </w:r>
      <w:bookmarkEnd w:id="255"/>
      <w:bookmarkEnd w:id="256"/>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keepLines/>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No. 27 of 2009 s. 19.]</w:t>
      </w:r>
    </w:p>
    <w:p>
      <w:pPr>
        <w:pStyle w:val="Heading5"/>
      </w:pPr>
      <w:bookmarkStart w:id="257" w:name="_Toc107474626"/>
      <w:bookmarkStart w:id="258" w:name="_Toc106984224"/>
      <w:r>
        <w:rPr>
          <w:rStyle w:val="CharSectno"/>
        </w:rPr>
        <w:t>56</w:t>
      </w:r>
      <w:r>
        <w:t>.</w:t>
      </w:r>
      <w:r>
        <w:tab/>
        <w:t>Priority of charge</w:t>
      </w:r>
      <w:bookmarkEnd w:id="257"/>
      <w:bookmarkEnd w:id="258"/>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259" w:name="_Toc107474627"/>
      <w:bookmarkStart w:id="260" w:name="_Toc106984225"/>
      <w:r>
        <w:rPr>
          <w:rStyle w:val="CharSectno"/>
        </w:rPr>
        <w:t>57</w:t>
      </w:r>
      <w:r>
        <w:t>.</w:t>
      </w:r>
      <w:r>
        <w:tab/>
        <w:t>Release of relevant interest from charge</w:t>
      </w:r>
      <w:bookmarkEnd w:id="259"/>
      <w:bookmarkEnd w:id="260"/>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261" w:name="_Toc107474628"/>
      <w:bookmarkStart w:id="262" w:name="_Toc106984226"/>
      <w:r>
        <w:rPr>
          <w:rStyle w:val="CharSectno"/>
        </w:rPr>
        <w:t>58</w:t>
      </w:r>
      <w:r>
        <w:t>.</w:t>
      </w:r>
      <w:r>
        <w:tab/>
        <w:t>Order for sale of relevant interest</w:t>
      </w:r>
      <w:bookmarkEnd w:id="261"/>
      <w:bookmarkEnd w:id="262"/>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r>
      <w:r>
        <w:tab/>
        <w:t>and</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relevant interest; and</w:t>
      </w:r>
    </w:p>
    <w:p>
      <w:pPr>
        <w:pStyle w:val="Indenta"/>
      </w:pPr>
      <w:r>
        <w:tab/>
        <w:t>(c)</w:t>
      </w:r>
      <w:r>
        <w:tab/>
        <w:t>authorising the Registrar to register a transfer to a purchaser without requiring the duplicate (if any) of the certificate of title or any other document; and</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263" w:name="_Toc107474629"/>
      <w:bookmarkStart w:id="264" w:name="_Toc106984227"/>
      <w:r>
        <w:rPr>
          <w:rStyle w:val="CharSectno"/>
        </w:rPr>
        <w:t>59</w:t>
      </w:r>
      <w:r>
        <w:t>.</w:t>
      </w:r>
      <w:r>
        <w:tab/>
        <w:t>Charge not to limit other means of enforcing payment</w:t>
      </w:r>
      <w:bookmarkEnd w:id="263"/>
      <w:bookmarkEnd w:id="264"/>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265" w:name="_Toc107474630"/>
      <w:bookmarkStart w:id="266" w:name="_Toc106984228"/>
      <w:r>
        <w:rPr>
          <w:rStyle w:val="CharSectno"/>
        </w:rPr>
        <w:t>60</w:t>
      </w:r>
      <w:r>
        <w:t>.</w:t>
      </w:r>
      <w:r>
        <w:tab/>
        <w:t>Commissioner may require fees to be reimbursed</w:t>
      </w:r>
      <w:bookmarkEnd w:id="265"/>
      <w:bookmarkEnd w:id="266"/>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267" w:name="_Toc107388092"/>
      <w:bookmarkStart w:id="268" w:name="_Toc107388332"/>
      <w:bookmarkStart w:id="269" w:name="_Toc107474631"/>
      <w:bookmarkStart w:id="270" w:name="_Toc106984106"/>
      <w:bookmarkStart w:id="271" w:name="_Toc106984229"/>
      <w:r>
        <w:rPr>
          <w:rStyle w:val="CharDivNo"/>
        </w:rPr>
        <w:t>Division 5</w:t>
      </w:r>
      <w:r>
        <w:t xml:space="preserve"> — </w:t>
      </w:r>
      <w:r>
        <w:rPr>
          <w:rStyle w:val="CharDivText"/>
        </w:rPr>
        <w:t>Service of documents</w:t>
      </w:r>
      <w:bookmarkEnd w:id="267"/>
      <w:bookmarkEnd w:id="268"/>
      <w:bookmarkEnd w:id="269"/>
      <w:bookmarkEnd w:id="270"/>
      <w:bookmarkEnd w:id="271"/>
    </w:p>
    <w:p>
      <w:pPr>
        <w:pStyle w:val="Heading5"/>
      </w:pPr>
      <w:bookmarkStart w:id="272" w:name="_Toc107474632"/>
      <w:bookmarkStart w:id="273" w:name="_Toc106984230"/>
      <w:r>
        <w:rPr>
          <w:rStyle w:val="CharSectno"/>
        </w:rPr>
        <w:t>61</w:t>
      </w:r>
      <w:r>
        <w:t>.</w:t>
      </w:r>
      <w:r>
        <w:tab/>
        <w:t>Service on joint applicants or agent or representative</w:t>
      </w:r>
      <w:bookmarkEnd w:id="272"/>
      <w:bookmarkEnd w:id="273"/>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274" w:name="_Toc107474633"/>
      <w:bookmarkStart w:id="275" w:name="_Toc106984231"/>
      <w:r>
        <w:rPr>
          <w:rStyle w:val="CharSectno"/>
        </w:rPr>
        <w:t>62</w:t>
      </w:r>
      <w:r>
        <w:t>.</w:t>
      </w:r>
      <w:r>
        <w:tab/>
        <w:t>Method of service by Commissioner</w:t>
      </w:r>
      <w:bookmarkEnd w:id="274"/>
      <w:bookmarkEnd w:id="275"/>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 or</w:t>
      </w:r>
    </w:p>
    <w:p>
      <w:pPr>
        <w:pStyle w:val="Indenta"/>
      </w:pPr>
      <w:r>
        <w:tab/>
        <w:t>(b)</w:t>
      </w:r>
      <w:r>
        <w:tab/>
        <w:t>left for the person at the person’s place of residence or business; or</w:t>
      </w:r>
    </w:p>
    <w:p>
      <w:pPr>
        <w:pStyle w:val="Indenta"/>
        <w:keepLines/>
      </w:pPr>
      <w:r>
        <w:tab/>
        <w:t>(c)</w:t>
      </w:r>
      <w:r>
        <w:tab/>
        <w:t>sent by prepaid post (including document exchange) addressed to the person at an address appearing on correspondence addressed by or on behalf of the person to the Commissioner or otherwise notified to the Commissioner; or</w:t>
      </w:r>
    </w:p>
    <w:p>
      <w:pPr>
        <w:pStyle w:val="Indenta"/>
      </w:pPr>
      <w:r>
        <w:tab/>
        <w:t>(d)</w:t>
      </w:r>
      <w:r>
        <w:tab/>
        <w:t>left for collection by the person, or that person’s agent, in a collection box maintained at the Commissioner’s office; or</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a day prescribed by the regulations.</w:t>
      </w:r>
    </w:p>
    <w:p>
      <w:pPr>
        <w:pStyle w:val="Subsection"/>
      </w:pPr>
      <w:r>
        <w:tab/>
        <w:t>(4)</w:t>
      </w:r>
      <w:r>
        <w:tab/>
        <w:t>For the purposes of subsection (3), the regulations may prescribe different days for documents served by different methods and in different circumstances.</w:t>
      </w:r>
    </w:p>
    <w:p>
      <w:pPr>
        <w:pStyle w:val="Footnotesection"/>
      </w:pPr>
      <w:r>
        <w:tab/>
        <w:t>[Section 62 amended: No. 16 of 2017 s. 20.]</w:t>
      </w:r>
    </w:p>
    <w:p>
      <w:pPr>
        <w:pStyle w:val="Heading5"/>
      </w:pPr>
      <w:bookmarkStart w:id="276" w:name="_Toc107474634"/>
      <w:bookmarkStart w:id="277" w:name="_Toc106984232"/>
      <w:r>
        <w:rPr>
          <w:rStyle w:val="CharSectno"/>
        </w:rPr>
        <w:t>63</w:t>
      </w:r>
      <w:r>
        <w:t>.</w:t>
      </w:r>
      <w:r>
        <w:tab/>
        <w:t>Service of court process</w:t>
      </w:r>
      <w:bookmarkEnd w:id="276"/>
      <w:bookmarkEnd w:id="277"/>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278" w:name="_Toc107474635"/>
      <w:bookmarkStart w:id="279" w:name="_Toc106984233"/>
      <w:r>
        <w:rPr>
          <w:rStyle w:val="CharSectno"/>
        </w:rPr>
        <w:t>64</w:t>
      </w:r>
      <w:r>
        <w:t>.</w:t>
      </w:r>
      <w:r>
        <w:tab/>
        <w:t>Other enactments not limited</w:t>
      </w:r>
      <w:bookmarkEnd w:id="278"/>
      <w:bookmarkEnd w:id="279"/>
    </w:p>
    <w:p>
      <w:pPr>
        <w:pStyle w:val="Subsection"/>
      </w:pPr>
      <w:r>
        <w:tab/>
      </w:r>
      <w:r>
        <w:tab/>
        <w:t>This Division does not limit any other enactment that provides for the service of documents.</w:t>
      </w:r>
    </w:p>
    <w:p>
      <w:pPr>
        <w:pStyle w:val="Heading3"/>
      </w:pPr>
      <w:bookmarkStart w:id="280" w:name="_Toc107388097"/>
      <w:bookmarkStart w:id="281" w:name="_Toc107388337"/>
      <w:bookmarkStart w:id="282" w:name="_Toc107474636"/>
      <w:bookmarkStart w:id="283" w:name="_Toc106984111"/>
      <w:bookmarkStart w:id="284" w:name="_Toc106984234"/>
      <w:r>
        <w:rPr>
          <w:rStyle w:val="CharDivNo"/>
        </w:rPr>
        <w:t>Division 5A</w:t>
      </w:r>
      <w:r>
        <w:t> — </w:t>
      </w:r>
      <w:r>
        <w:rPr>
          <w:rStyle w:val="CharDivText"/>
        </w:rPr>
        <w:t>Emergency grant relief measures</w:t>
      </w:r>
      <w:bookmarkEnd w:id="280"/>
      <w:bookmarkEnd w:id="281"/>
      <w:bookmarkEnd w:id="282"/>
      <w:bookmarkEnd w:id="283"/>
      <w:bookmarkEnd w:id="284"/>
    </w:p>
    <w:p>
      <w:pPr>
        <w:pStyle w:val="Footnoteheading"/>
      </w:pPr>
      <w:r>
        <w:tab/>
        <w:t>[Header inserted: No. 1 of 2022 r. 12.]</w:t>
      </w:r>
    </w:p>
    <w:p>
      <w:pPr>
        <w:pStyle w:val="Heading5"/>
      </w:pPr>
      <w:bookmarkStart w:id="285" w:name="_Toc107474637"/>
      <w:bookmarkStart w:id="286" w:name="_Toc106984235"/>
      <w:r>
        <w:rPr>
          <w:rStyle w:val="CharSectno"/>
        </w:rPr>
        <w:t>64A</w:t>
      </w:r>
      <w:r>
        <w:t>.</w:t>
      </w:r>
      <w:r>
        <w:tab/>
        <w:t>Grant relief measures</w:t>
      </w:r>
      <w:bookmarkEnd w:id="285"/>
      <w:bookmarkEnd w:id="286"/>
    </w:p>
    <w:p>
      <w:pPr>
        <w:pStyle w:val="Subsection"/>
      </w:pPr>
      <w:r>
        <w:tab/>
        <w:t>(1)</w:t>
      </w:r>
      <w:r>
        <w:tab/>
        <w:t xml:space="preserve">A </w:t>
      </w:r>
      <w:r>
        <w:rPr>
          <w:rStyle w:val="CharDefText"/>
        </w:rPr>
        <w:t>grant relief measure</w:t>
      </w:r>
      <w:r>
        <w:t xml:space="preserve"> is — </w:t>
      </w:r>
    </w:p>
    <w:p>
      <w:pPr>
        <w:pStyle w:val="Indenta"/>
      </w:pPr>
      <w:r>
        <w:tab/>
        <w:t>(a)</w:t>
      </w:r>
      <w:r>
        <w:tab/>
        <w:t>an increase in a grant amount; or</w:t>
      </w:r>
    </w:p>
    <w:p>
      <w:pPr>
        <w:pStyle w:val="Indenta"/>
      </w:pPr>
      <w:r>
        <w:tab/>
        <w:t>(b)</w:t>
      </w:r>
      <w:r>
        <w:tab/>
        <w:t>an increase in a cap amount.</w:t>
      </w:r>
    </w:p>
    <w:p>
      <w:pPr>
        <w:pStyle w:val="Subsection"/>
      </w:pPr>
      <w:r>
        <w:tab/>
        <w:t>(2)</w:t>
      </w:r>
      <w:r>
        <w:tab/>
        <w:t xml:space="preserve">For the purposes of subsection (1)(a), a </w:t>
      </w:r>
      <w:r>
        <w:rPr>
          <w:rStyle w:val="CharDefText"/>
        </w:rPr>
        <w:t>grant amount</w:t>
      </w:r>
      <w:r>
        <w:t xml:space="preserve"> is an amount that, under section 19, is the amount of a first home owner grant in relation to a transaction unless the consideration for the transaction is less than that amount.</w:t>
      </w:r>
    </w:p>
    <w:p>
      <w:pPr>
        <w:pStyle w:val="Footnotesection"/>
      </w:pPr>
      <w:r>
        <w:tab/>
        <w:t>[Section 64A inserted: No. 1 of 2022 s. 12.]</w:t>
      </w:r>
    </w:p>
    <w:p>
      <w:pPr>
        <w:pStyle w:val="Heading5"/>
      </w:pPr>
      <w:bookmarkStart w:id="287" w:name="_Toc107474638"/>
      <w:bookmarkStart w:id="288" w:name="_Toc106984236"/>
      <w:r>
        <w:rPr>
          <w:rStyle w:val="CharSectno"/>
        </w:rPr>
        <w:t>64B</w:t>
      </w:r>
      <w:r>
        <w:t>.</w:t>
      </w:r>
      <w:r>
        <w:tab/>
        <w:t>Treasurer may declare grant relief measure due to emergency</w:t>
      </w:r>
      <w:bookmarkEnd w:id="287"/>
      <w:bookmarkEnd w:id="288"/>
    </w:p>
    <w:p>
      <w:pPr>
        <w:pStyle w:val="Subsection"/>
      </w:pPr>
      <w:r>
        <w:tab/>
        <w:t>(1)</w:t>
      </w:r>
      <w:r>
        <w:tab/>
        <w:t xml:space="preserve">The Treasurer may, by written instrument, declare 1 or more grant relief measures if — </w:t>
      </w:r>
    </w:p>
    <w:p>
      <w:pPr>
        <w:pStyle w:val="Indenta"/>
      </w:pPr>
      <w:r>
        <w:tab/>
        <w:t>(a)</w:t>
      </w:r>
      <w:r>
        <w:tab/>
        <w:t xml:space="preserve">a declaration (an </w:t>
      </w:r>
      <w:r>
        <w:rPr>
          <w:rStyle w:val="CharDefText"/>
        </w:rPr>
        <w:t>emergency declaration</w:t>
      </w:r>
      <w:r>
        <w:t xml:space="preserve">) of any of the following kinds has been made — </w:t>
      </w:r>
    </w:p>
    <w:p>
      <w:pPr>
        <w:pStyle w:val="Indenti"/>
      </w:pPr>
      <w:r>
        <w:tab/>
        <w:t>(i)</w:t>
      </w:r>
      <w:r>
        <w:tab/>
        <w:t xml:space="preserve">an emergency situation declaration under the </w:t>
      </w:r>
      <w:r>
        <w:rPr>
          <w:i/>
        </w:rPr>
        <w:t>Emergency Management Act 2005</w:t>
      </w:r>
      <w:r>
        <w:t xml:space="preserve"> section 50;</w:t>
      </w:r>
    </w:p>
    <w:p>
      <w:pPr>
        <w:pStyle w:val="Indenti"/>
      </w:pPr>
      <w:r>
        <w:tab/>
        <w:t>(ii)</w:t>
      </w:r>
      <w:r>
        <w:tab/>
        <w:t xml:space="preserve">a state of emergency declaration under the </w:t>
      </w:r>
      <w:r>
        <w:rPr>
          <w:i/>
        </w:rPr>
        <w:t>Emergency Management Act 2005</w:t>
      </w:r>
      <w:r>
        <w:t xml:space="preserve"> section 56;</w:t>
      </w:r>
    </w:p>
    <w:p>
      <w:pPr>
        <w:pStyle w:val="Indenti"/>
      </w:pPr>
      <w:r>
        <w:tab/>
        <w:t>(iii)</w:t>
      </w:r>
      <w:r>
        <w:tab/>
        <w:t xml:space="preserve">a public health state of emergency declaration under the </w:t>
      </w:r>
      <w:r>
        <w:rPr>
          <w:i/>
        </w:rPr>
        <w:t>Public Health Act 2016</w:t>
      </w:r>
      <w:r>
        <w:t xml:space="preserve"> section 167;</w:t>
      </w:r>
    </w:p>
    <w:p>
      <w:pPr>
        <w:pStyle w:val="Indenta"/>
      </w:pPr>
      <w:r>
        <w:tab/>
      </w:r>
      <w:r>
        <w:tab/>
        <w:t>and</w:t>
      </w:r>
    </w:p>
    <w:p>
      <w:pPr>
        <w:pStyle w:val="Indenta"/>
      </w:pPr>
      <w:r>
        <w:tab/>
        <w:t>(b)</w:t>
      </w:r>
      <w:r>
        <w:tab/>
        <w:t>the Treasurer considers that the grant relief measure or measures are necessary to provide relief to persons eligible for the first home owner grant for the purpose of alleviating the financial or economic effects of the emergency to which the emergency declaration relates.</w:t>
      </w:r>
    </w:p>
    <w:p>
      <w:pPr>
        <w:pStyle w:val="Subsection"/>
      </w:pPr>
      <w:r>
        <w:tab/>
        <w:t>(2)</w:t>
      </w:r>
      <w:r>
        <w:tab/>
        <w:t xml:space="preserve">An instrument made under subsection (1), as amended from time to time under section 64C, is a </w:t>
      </w:r>
      <w:r>
        <w:rPr>
          <w:rStyle w:val="CharDefText"/>
        </w:rPr>
        <w:t>grant relief declaration</w:t>
      </w:r>
      <w:r>
        <w:t>.</w:t>
      </w:r>
    </w:p>
    <w:p>
      <w:pPr>
        <w:pStyle w:val="Subsection"/>
      </w:pPr>
      <w:r>
        <w:tab/>
        <w:t>(3)</w:t>
      </w:r>
      <w:r>
        <w:tab/>
        <w:t xml:space="preserve">A grant relief declaration must specify the emergency declaration (the </w:t>
      </w:r>
      <w:r>
        <w:rPr>
          <w:rStyle w:val="CharDefText"/>
        </w:rPr>
        <w:t>relevant emergency declaration</w:t>
      </w:r>
      <w:r>
        <w:t>) in relation to which it is made.</w:t>
      </w:r>
    </w:p>
    <w:p>
      <w:pPr>
        <w:pStyle w:val="Subsection"/>
      </w:pPr>
      <w:r>
        <w:tab/>
        <w:t>(4)</w:t>
      </w:r>
      <w:r>
        <w:tab/>
        <w:t>A grant relief declaration must set out a description of each declared grant relief measure, including by specifying —</w:t>
      </w:r>
    </w:p>
    <w:p>
      <w:pPr>
        <w:pStyle w:val="Indenta"/>
      </w:pPr>
      <w:r>
        <w:tab/>
        <w:t>(a)</w:t>
      </w:r>
      <w:r>
        <w:tab/>
        <w:t>the transactions to which the measure applies, which may be all transactions or transactions that meet specified eligibility conditions for the measure; and</w:t>
      </w:r>
    </w:p>
    <w:p>
      <w:pPr>
        <w:pStyle w:val="Indenta"/>
      </w:pPr>
      <w:r>
        <w:tab/>
        <w:t>(b)</w:t>
      </w:r>
      <w:r>
        <w:tab/>
        <w:t>the period in which the commencement dates of those transactions occur; and</w:t>
      </w:r>
    </w:p>
    <w:p>
      <w:pPr>
        <w:pStyle w:val="Indenta"/>
      </w:pPr>
      <w:r>
        <w:tab/>
        <w:t>(c)</w:t>
      </w:r>
      <w:r>
        <w:tab/>
        <w:t>the persons to whom the measure applies, which may be all persons or persons who meet specified eligibility conditions for the measure.</w:t>
      </w:r>
    </w:p>
    <w:p>
      <w:pPr>
        <w:pStyle w:val="Subsection"/>
      </w:pPr>
      <w:r>
        <w:tab/>
        <w:t>(5)</w:t>
      </w:r>
      <w:r>
        <w:tab/>
        <w:t>The Treasurer cannot make a grant relief declaration more than 12 months after the day on which the relevant emergency declaration ceases to be in force.</w:t>
      </w:r>
    </w:p>
    <w:p>
      <w:pPr>
        <w:pStyle w:val="Subsection"/>
      </w:pPr>
      <w:r>
        <w:tab/>
        <w:t>(6)</w:t>
      </w:r>
      <w:r>
        <w:tab/>
        <w:t xml:space="preserve">A period specified under subsection (4)(b) — </w:t>
      </w:r>
    </w:p>
    <w:p>
      <w:pPr>
        <w:pStyle w:val="Indenta"/>
      </w:pPr>
      <w:r>
        <w:tab/>
        <w:t>(a)</w:t>
      </w:r>
      <w:r>
        <w:tab/>
        <w:t>must not be longer than 2 years; and</w:t>
      </w:r>
    </w:p>
    <w:p>
      <w:pPr>
        <w:pStyle w:val="Indenta"/>
      </w:pPr>
      <w:r>
        <w:tab/>
        <w:t>(b)</w:t>
      </w:r>
      <w:r>
        <w:tab/>
        <w:t xml:space="preserve">subject to subsection (1)(b) — </w:t>
      </w:r>
    </w:p>
    <w:p>
      <w:pPr>
        <w:pStyle w:val="Indenti"/>
      </w:pPr>
      <w:r>
        <w:tab/>
        <w:t>(i)</w:t>
      </w:r>
      <w:r>
        <w:tab/>
        <w:t>is not limited by reference to when the grant relief declaration is made; and</w:t>
      </w:r>
    </w:p>
    <w:p>
      <w:pPr>
        <w:pStyle w:val="Indenti"/>
        <w:keepNext/>
      </w:pPr>
      <w:r>
        <w:tab/>
        <w:t>(ii)</w:t>
      </w:r>
      <w:r>
        <w:tab/>
        <w:t>is not limited by reference to the period for which the relevant emergency declaration is in force, except that it must not be a period that is wholly before that period.</w:t>
      </w:r>
    </w:p>
    <w:p>
      <w:pPr>
        <w:pStyle w:val="Footnotesection"/>
      </w:pPr>
      <w:r>
        <w:tab/>
        <w:t>[Section 64B inserted: No. 1 of 2022 s. 12.]</w:t>
      </w:r>
    </w:p>
    <w:p>
      <w:pPr>
        <w:pStyle w:val="Heading5"/>
      </w:pPr>
      <w:bookmarkStart w:id="289" w:name="_Toc107474639"/>
      <w:bookmarkStart w:id="290" w:name="_Toc106984237"/>
      <w:r>
        <w:rPr>
          <w:rStyle w:val="CharSectno"/>
        </w:rPr>
        <w:t>64C</w:t>
      </w:r>
      <w:r>
        <w:t>.</w:t>
      </w:r>
      <w:r>
        <w:tab/>
        <w:t>Amendment and revocation of grant relief declaration</w:t>
      </w:r>
      <w:bookmarkEnd w:id="289"/>
      <w:bookmarkEnd w:id="290"/>
    </w:p>
    <w:p>
      <w:pPr>
        <w:pStyle w:val="Subsection"/>
      </w:pPr>
      <w:r>
        <w:tab/>
        <w:t>(1)</w:t>
      </w:r>
      <w:r>
        <w:tab/>
        <w:t>The Treasurer may, by written instrument, amend a grant relief declaration.</w:t>
      </w:r>
    </w:p>
    <w:p>
      <w:pPr>
        <w:pStyle w:val="Subsection"/>
      </w:pPr>
      <w:r>
        <w:tab/>
        <w:t>(2)</w:t>
      </w:r>
      <w:r>
        <w:tab/>
        <w:t>A grant relief declaration cannot be amended under subsection (1) to add an additional grant relief measure.</w:t>
      </w:r>
    </w:p>
    <w:p>
      <w:pPr>
        <w:pStyle w:val="Subsection"/>
      </w:pPr>
      <w:r>
        <w:tab/>
        <w:t>(3)</w:t>
      </w:r>
      <w:r>
        <w:tab/>
        <w:t>A grant relief declaration cannot be amended under subsection (1) to extend a period specified in the declaration under section 64B(4)(b) if the extension would result in the period being longer than 2 years.</w:t>
      </w:r>
    </w:p>
    <w:p>
      <w:pPr>
        <w:pStyle w:val="Subsection"/>
      </w:pPr>
      <w:r>
        <w:tab/>
        <w:t>(4)</w:t>
      </w:r>
      <w:r>
        <w:tab/>
        <w:t>An instrument amending a grant relief declaration may provide that an amendment of the declaration applies on and from a day that is earlier than the day on which the instrument comes into operation.</w:t>
      </w:r>
    </w:p>
    <w:p>
      <w:pPr>
        <w:pStyle w:val="Subsection"/>
      </w:pPr>
      <w:r>
        <w:tab/>
        <w:t>(5)</w:t>
      </w:r>
      <w:r>
        <w:tab/>
        <w:t>The Treasurer may, by written instrument, revoke a grant relief declaration if the Treasurer considers that the grant relief measure or measures set out in the declaration are no longer necessary for the purpose referred to in section 64B(1)(b).</w:t>
      </w:r>
    </w:p>
    <w:p>
      <w:pPr>
        <w:pStyle w:val="Footnotesection"/>
      </w:pPr>
      <w:r>
        <w:tab/>
        <w:t>[Section 64C inserted: No. 1 of 2022 s. 12.]</w:t>
      </w:r>
    </w:p>
    <w:p>
      <w:pPr>
        <w:pStyle w:val="Heading5"/>
      </w:pPr>
      <w:bookmarkStart w:id="291" w:name="_Toc107474640"/>
      <w:bookmarkStart w:id="292" w:name="_Toc106984238"/>
      <w:r>
        <w:rPr>
          <w:rStyle w:val="CharSectno"/>
        </w:rPr>
        <w:t>64D</w:t>
      </w:r>
      <w:r>
        <w:t>.</w:t>
      </w:r>
      <w:r>
        <w:tab/>
        <w:t>Provisions about grant relief declarations and instruments of amendment or revocation</w:t>
      </w:r>
      <w:bookmarkEnd w:id="291"/>
      <w:bookmarkEnd w:id="292"/>
    </w:p>
    <w:p>
      <w:pPr>
        <w:pStyle w:val="Subsection"/>
      </w:pPr>
      <w:r>
        <w:tab/>
        <w:t>(1)</w:t>
      </w:r>
      <w:r>
        <w:tab/>
        <w:t>Before making a grant relief declaration or an instrument amending or revoking a grant relief declaration, the Treasurer must consult the Minister.</w:t>
      </w:r>
    </w:p>
    <w:p>
      <w:pPr>
        <w:pStyle w:val="Subsection"/>
      </w:pPr>
      <w:r>
        <w:tab/>
        <w:t>(2)</w:t>
      </w:r>
      <w:r>
        <w:tab/>
        <w:t xml:space="preserve">A grant relief declaration, or an instrument amending or revoking a grant relief declaration, is subsidiary legislation for the purposes of the </w:t>
      </w:r>
      <w:r>
        <w:rPr>
          <w:i/>
        </w:rPr>
        <w:t>Interpretation Act 1984</w:t>
      </w:r>
      <w:r>
        <w:t>.</w:t>
      </w:r>
    </w:p>
    <w:p>
      <w:pPr>
        <w:pStyle w:val="Footnotesection"/>
      </w:pPr>
      <w:r>
        <w:tab/>
        <w:t>[Section 64D inserted: No. 1 of 2022 s. 12.]</w:t>
      </w:r>
    </w:p>
    <w:p>
      <w:pPr>
        <w:pStyle w:val="Heading5"/>
      </w:pPr>
      <w:bookmarkStart w:id="293" w:name="_Toc107474641"/>
      <w:bookmarkStart w:id="294" w:name="_Toc106984239"/>
      <w:r>
        <w:rPr>
          <w:rStyle w:val="CharSectno"/>
        </w:rPr>
        <w:t>64E</w:t>
      </w:r>
      <w:r>
        <w:t>.</w:t>
      </w:r>
      <w:r>
        <w:tab/>
        <w:t>Procedural requirements for declared grant relief measure</w:t>
      </w:r>
      <w:bookmarkEnd w:id="293"/>
      <w:bookmarkEnd w:id="294"/>
    </w:p>
    <w:p>
      <w:pPr>
        <w:pStyle w:val="Subsection"/>
      </w:pPr>
      <w:r>
        <w:tab/>
        <w:t>(1)</w:t>
      </w:r>
      <w:r>
        <w:tab/>
        <w:t>If a grant relief declaration is in operation, the Commissioner may approve any procedural requirements that the Commissioner considers are necessary to enable the proper administration of a grant relief measure set out in the declaration (for example, requirements relating to applications or the provision of information and evidence).</w:t>
      </w:r>
    </w:p>
    <w:p>
      <w:pPr>
        <w:pStyle w:val="Subsection"/>
      </w:pPr>
      <w:r>
        <w:tab/>
        <w:t>(2)</w:t>
      </w:r>
      <w:r>
        <w:tab/>
        <w:t>An approval under subsection (1) must be published on the Commissioner’s website.</w:t>
      </w:r>
    </w:p>
    <w:p>
      <w:pPr>
        <w:pStyle w:val="Footnotesection"/>
      </w:pPr>
      <w:r>
        <w:tab/>
        <w:t>[Section 64E inserted: No. 1 of 2022 s. 12.]</w:t>
      </w:r>
    </w:p>
    <w:p>
      <w:pPr>
        <w:pStyle w:val="Heading5"/>
      </w:pPr>
      <w:bookmarkStart w:id="295" w:name="_Toc107474642"/>
      <w:bookmarkStart w:id="296" w:name="_Toc106984240"/>
      <w:r>
        <w:rPr>
          <w:rStyle w:val="CharSectno"/>
        </w:rPr>
        <w:t>64F</w:t>
      </w:r>
      <w:r>
        <w:t>.</w:t>
      </w:r>
      <w:r>
        <w:tab/>
        <w:t>Effect of grant relief declaration</w:t>
      </w:r>
      <w:bookmarkEnd w:id="295"/>
      <w:bookmarkEnd w:id="296"/>
    </w:p>
    <w:p>
      <w:pPr>
        <w:pStyle w:val="Subsection"/>
      </w:pPr>
      <w:r>
        <w:tab/>
        <w:t>(1)</w:t>
      </w:r>
      <w:r>
        <w:tab/>
        <w:t xml:space="preserve">In this section — </w:t>
      </w:r>
    </w:p>
    <w:p>
      <w:pPr>
        <w:pStyle w:val="Defstart"/>
      </w:pPr>
      <w:r>
        <w:tab/>
      </w:r>
      <w:r>
        <w:rPr>
          <w:rStyle w:val="CharDefText"/>
        </w:rPr>
        <w:t>affected transaction</w:t>
      </w:r>
      <w:r>
        <w:t xml:space="preserve">, in relation to a grant relief measure that is set out in a grant relief declaration, means a transaction — </w:t>
      </w:r>
    </w:p>
    <w:p>
      <w:pPr>
        <w:pStyle w:val="Defpara"/>
      </w:pPr>
      <w:r>
        <w:tab/>
        <w:t>(a)</w:t>
      </w:r>
      <w:r>
        <w:tab/>
        <w:t>to which the measure applies as specified in the declaration under section 64B(4)(a); and</w:t>
      </w:r>
    </w:p>
    <w:p>
      <w:pPr>
        <w:pStyle w:val="Defpara"/>
      </w:pPr>
      <w:r>
        <w:tab/>
        <w:t>(b)</w:t>
      </w:r>
      <w:r>
        <w:tab/>
        <w:t>the commencement date of which occurs in the period specified in the declaration under section 64B(4)(b);</w:t>
      </w:r>
    </w:p>
    <w:p>
      <w:pPr>
        <w:pStyle w:val="Defstart"/>
      </w:pPr>
      <w:r>
        <w:tab/>
      </w:r>
      <w:r>
        <w:rPr>
          <w:rStyle w:val="CharDefText"/>
        </w:rPr>
        <w:t>eligible person</w:t>
      </w:r>
      <w:r>
        <w:t xml:space="preserve">, in relation to a grant relief measure that is set out in a grant relief declaration, means a person — </w:t>
      </w:r>
    </w:p>
    <w:p>
      <w:pPr>
        <w:pStyle w:val="Defpara"/>
      </w:pPr>
      <w:r>
        <w:tab/>
        <w:t>(a)</w:t>
      </w:r>
      <w:r>
        <w:tab/>
        <w:t>to whom the measure applies as specified in the declaration under section 64B(4)(c); and</w:t>
      </w:r>
    </w:p>
    <w:p>
      <w:pPr>
        <w:pStyle w:val="Defpara"/>
      </w:pPr>
      <w:r>
        <w:tab/>
        <w:t>(b)</w:t>
      </w:r>
      <w:r>
        <w:tab/>
        <w:t>who has complied with the procedural requirements (if any) approved for the grant relief measure under section 64E.</w:t>
      </w:r>
    </w:p>
    <w:p>
      <w:pPr>
        <w:pStyle w:val="Subsection"/>
      </w:pPr>
      <w:r>
        <w:tab/>
        <w:t>(2)</w:t>
      </w:r>
      <w:r>
        <w:tab/>
        <w:t>This section applies if a grant relief declaration setting out a grant relief measure is in operation.</w:t>
      </w:r>
    </w:p>
    <w:p>
      <w:pPr>
        <w:pStyle w:val="Subsection"/>
      </w:pPr>
      <w:r>
        <w:tab/>
        <w:t>(3)</w:t>
      </w:r>
      <w:r>
        <w:tab/>
        <w:t>Despite any other provision of this Act, the Commissioner must do everything necessary to give effect to the grant relief measure, including authorising the payment of any amount or additional amount to which a person is entitled as a result of the measure.</w:t>
      </w:r>
    </w:p>
    <w:p>
      <w:pPr>
        <w:pStyle w:val="Subsection"/>
      </w:pPr>
      <w:r>
        <w:tab/>
        <w:t>(4)</w:t>
      </w:r>
      <w:r>
        <w:tab/>
        <w:t xml:space="preserve">Without limiting subsection (3) — </w:t>
      </w:r>
    </w:p>
    <w:p>
      <w:pPr>
        <w:pStyle w:val="Indenta"/>
      </w:pPr>
      <w:r>
        <w:tab/>
        <w:t>(a)</w:t>
      </w:r>
      <w:r>
        <w:tab/>
        <w:t>if the grant relief measure is an increase in a grant amount — despite section 19, the amount of any first home owner grant payable in relation to an affected transaction on an application by an eligible person is, or is taken to have been, the amount determined in accordance with the increased grant amount set out in the declaration; and</w:t>
      </w:r>
    </w:p>
    <w:p>
      <w:pPr>
        <w:pStyle w:val="Indenta"/>
      </w:pPr>
      <w:r>
        <w:tab/>
        <w:t>(b)</w:t>
      </w:r>
      <w:r>
        <w:tab/>
        <w:t>if the grant relief measure is an increase in a cap amount — despite section 14AD and any regulations made for the purposes of that section, the cap amount that applies in relation to an affected transaction on an application by an eligible person is, or is taken to have been, the increased cap amount set out in the declaration.</w:t>
      </w:r>
    </w:p>
    <w:p>
      <w:pPr>
        <w:pStyle w:val="Subsection"/>
      </w:pPr>
      <w:r>
        <w:tab/>
        <w:t>(5)</w:t>
      </w:r>
      <w:r>
        <w:tab/>
        <w:t>The other provisions of this Act apply subject to the declaration and subsections (3) and (4) and, without limitation, all decisions, payments, objections, review proceedings, repayment proceedings and enforcement proceedings must be made or conducted accordingly.</w:t>
      </w:r>
    </w:p>
    <w:p>
      <w:pPr>
        <w:pStyle w:val="Footnotesection"/>
      </w:pPr>
      <w:r>
        <w:tab/>
        <w:t>[Section 64F inserted: No. 1 of 2022 s. 12.]</w:t>
      </w:r>
    </w:p>
    <w:p>
      <w:pPr>
        <w:pStyle w:val="Heading3"/>
      </w:pPr>
      <w:bookmarkStart w:id="297" w:name="_Toc107388104"/>
      <w:bookmarkStart w:id="298" w:name="_Toc107388344"/>
      <w:bookmarkStart w:id="299" w:name="_Toc107474643"/>
      <w:bookmarkStart w:id="300" w:name="_Toc106984118"/>
      <w:bookmarkStart w:id="301" w:name="_Toc106984241"/>
      <w:r>
        <w:rPr>
          <w:rStyle w:val="CharDivNo"/>
        </w:rPr>
        <w:t>Division 6</w:t>
      </w:r>
      <w:r>
        <w:t xml:space="preserve"> — </w:t>
      </w:r>
      <w:r>
        <w:rPr>
          <w:rStyle w:val="CharDivText"/>
        </w:rPr>
        <w:t>General</w:t>
      </w:r>
      <w:bookmarkEnd w:id="297"/>
      <w:bookmarkEnd w:id="298"/>
      <w:bookmarkEnd w:id="299"/>
      <w:bookmarkEnd w:id="300"/>
      <w:bookmarkEnd w:id="301"/>
    </w:p>
    <w:p>
      <w:pPr>
        <w:pStyle w:val="Heading5"/>
      </w:pPr>
      <w:bookmarkStart w:id="302" w:name="_Toc107474644"/>
      <w:bookmarkStart w:id="303" w:name="_Toc106984242"/>
      <w:r>
        <w:rPr>
          <w:rStyle w:val="CharSectno"/>
        </w:rPr>
        <w:t>65</w:t>
      </w:r>
      <w:r>
        <w:t>.</w:t>
      </w:r>
      <w:r>
        <w:tab/>
        <w:t>Confidentiality</w:t>
      </w:r>
      <w:bookmarkEnd w:id="302"/>
      <w:bookmarkEnd w:id="303"/>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this Act or a corresponding law; or</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r>
      <w:r>
        <w:tab/>
        <w:t>or</w:t>
      </w:r>
    </w:p>
    <w:p>
      <w:pPr>
        <w:pStyle w:val="Indenta"/>
      </w:pPr>
      <w:r>
        <w:tab/>
        <w:t>(b)</w:t>
      </w:r>
      <w:r>
        <w:tab/>
        <w:t>with the written consent of the person to whom the information relates; or</w:t>
      </w:r>
    </w:p>
    <w:p>
      <w:pPr>
        <w:pStyle w:val="Indenta"/>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r>
      <w:r>
        <w:tab/>
        <w:t>or</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keepNext/>
      </w:pPr>
      <w:r>
        <w:tab/>
      </w:r>
      <w:r>
        <w:rPr>
          <w:rStyle w:val="CharDefText"/>
        </w:rPr>
        <w:t>State</w:t>
      </w:r>
      <w:r>
        <w:t xml:space="preserve"> includes Territory.</w:t>
      </w:r>
    </w:p>
    <w:p>
      <w:pPr>
        <w:pStyle w:val="Footnotesection"/>
      </w:pPr>
      <w:r>
        <w:tab/>
        <w:t>[Section 65 amended: No. 28 of 2003 s. 65; No. 52 of 2004 s. 14; No. 17 of 2010 s. 19.]</w:t>
      </w:r>
    </w:p>
    <w:p>
      <w:pPr>
        <w:pStyle w:val="Heading5"/>
      </w:pPr>
      <w:bookmarkStart w:id="304" w:name="_Toc107474645"/>
      <w:bookmarkStart w:id="305" w:name="_Toc106984243"/>
      <w:r>
        <w:rPr>
          <w:rStyle w:val="CharSectno"/>
        </w:rPr>
        <w:t>66</w:t>
      </w:r>
      <w:r>
        <w:t>.</w:t>
      </w:r>
      <w:r>
        <w:tab/>
        <w:t>Time for commencing prosecutions</w:t>
      </w:r>
      <w:bookmarkEnd w:id="304"/>
      <w:bookmarkEnd w:id="305"/>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306" w:name="_Toc107474646"/>
      <w:bookmarkStart w:id="307" w:name="_Toc106984244"/>
      <w:r>
        <w:rPr>
          <w:rStyle w:val="CharSectno"/>
        </w:rPr>
        <w:t>67</w:t>
      </w:r>
      <w:r>
        <w:t>.</w:t>
      </w:r>
      <w:r>
        <w:tab/>
        <w:t>Protection from liability for wrongdoing</w:t>
      </w:r>
      <w:bookmarkEnd w:id="306"/>
      <w:bookmarkEnd w:id="307"/>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08" w:name="_Toc107474647"/>
      <w:bookmarkStart w:id="309" w:name="_Toc106984245"/>
      <w:r>
        <w:rPr>
          <w:rStyle w:val="CharSectno"/>
        </w:rPr>
        <w:t>68</w:t>
      </w:r>
      <w:r>
        <w:t>.</w:t>
      </w:r>
      <w:r>
        <w:tab/>
        <w:t xml:space="preserve">Appropriation of </w:t>
      </w:r>
      <w:r>
        <w:rPr>
          <w:snapToGrid w:val="0"/>
        </w:rPr>
        <w:t>Consolidated Account</w:t>
      </w:r>
      <w:bookmarkEnd w:id="308"/>
      <w:bookmarkEnd w:id="309"/>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No. 77 of 2006 s. 4 and 5(1).]</w:t>
      </w:r>
    </w:p>
    <w:p>
      <w:pPr>
        <w:pStyle w:val="Heading5"/>
      </w:pPr>
      <w:bookmarkStart w:id="310" w:name="_Toc107474648"/>
      <w:bookmarkStart w:id="311" w:name="_Toc106984246"/>
      <w:r>
        <w:rPr>
          <w:rStyle w:val="CharSectno"/>
        </w:rPr>
        <w:t>69</w:t>
      </w:r>
      <w:r>
        <w:t>.</w:t>
      </w:r>
      <w:r>
        <w:tab/>
        <w:t>Regulations</w:t>
      </w:r>
      <w:bookmarkEnd w:id="310"/>
      <w:bookmarkEnd w:id="3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pPr>
        <w:pStyle w:val="Footnotesection"/>
      </w:pPr>
      <w:r>
        <w:tab/>
        <w:t>[Section 69 amended: No. 16 of 2017 s. 21.]</w:t>
      </w:r>
    </w:p>
    <w:p>
      <w:pPr>
        <w:pStyle w:val="Heading5"/>
      </w:pPr>
      <w:bookmarkStart w:id="312" w:name="_Toc107474649"/>
      <w:bookmarkStart w:id="313" w:name="_Toc106984247"/>
      <w:r>
        <w:rPr>
          <w:rStyle w:val="CharSectno"/>
        </w:rPr>
        <w:t>70</w:t>
      </w:r>
      <w:r>
        <w:t>.</w:t>
      </w:r>
      <w:r>
        <w:tab/>
        <w:t>Review of Act</w:t>
      </w:r>
      <w:bookmarkEnd w:id="312"/>
      <w:bookmarkEnd w:id="313"/>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314" w:name="_Toc107388111"/>
      <w:bookmarkStart w:id="315" w:name="_Toc107388351"/>
      <w:bookmarkStart w:id="316" w:name="_Toc107474650"/>
      <w:bookmarkStart w:id="317" w:name="_Toc106984125"/>
      <w:bookmarkStart w:id="318" w:name="_Toc106984248"/>
      <w:r>
        <w:rPr>
          <w:rStyle w:val="CharPartNo"/>
        </w:rPr>
        <w:t>Part 5</w:t>
      </w:r>
      <w:r>
        <w:rPr>
          <w:rStyle w:val="CharDivNo"/>
        </w:rPr>
        <w:t> </w:t>
      </w:r>
      <w:r>
        <w:t>—</w:t>
      </w:r>
      <w:r>
        <w:rPr>
          <w:rStyle w:val="CharDivText"/>
        </w:rPr>
        <w:t> </w:t>
      </w:r>
      <w:r>
        <w:rPr>
          <w:rStyle w:val="CharPartText"/>
        </w:rPr>
        <w:t>Transitional provisions</w:t>
      </w:r>
      <w:bookmarkEnd w:id="314"/>
      <w:bookmarkEnd w:id="315"/>
      <w:bookmarkEnd w:id="316"/>
      <w:bookmarkEnd w:id="317"/>
      <w:bookmarkEnd w:id="318"/>
    </w:p>
    <w:p>
      <w:pPr>
        <w:pStyle w:val="Footnoteheading"/>
      </w:pPr>
      <w:r>
        <w:tab/>
        <w:t>[Heading inserted: No. 1 of 2022 s. 13.]</w:t>
      </w:r>
    </w:p>
    <w:p>
      <w:pPr>
        <w:pStyle w:val="Heading5"/>
      </w:pPr>
      <w:bookmarkStart w:id="319" w:name="_Toc107474651"/>
      <w:bookmarkStart w:id="320" w:name="_Toc106984249"/>
      <w:r>
        <w:rPr>
          <w:rStyle w:val="CharSectno"/>
        </w:rPr>
        <w:t>71</w:t>
      </w:r>
      <w:r>
        <w:t>.</w:t>
      </w:r>
      <w:r>
        <w:tab/>
        <w:t xml:space="preserve">Transitional provision for </w:t>
      </w:r>
      <w:r>
        <w:rPr>
          <w:i/>
        </w:rPr>
        <w:t>Finance Legislation Amendment (Emergency Relief) Act 2022</w:t>
      </w:r>
      <w:bookmarkEnd w:id="319"/>
      <w:bookmarkEnd w:id="32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Finance Legislation Amendment (Emergency Relief) Act 2022</w:t>
      </w:r>
      <w:r>
        <w:t xml:space="preserve"> Part 3 comes into operation.</w:t>
      </w:r>
    </w:p>
    <w:p>
      <w:pPr>
        <w:pStyle w:val="Subsection"/>
      </w:pPr>
      <w:r>
        <w:tab/>
        <w:t>(2)</w:t>
      </w:r>
      <w:r>
        <w:tab/>
        <w:t>A grant relief declaration can be made in relation to an emergency declaration (as defined in section 64B(1)) only if the emergency declaration is in force on commencement day or is made on or after commencement day.</w:t>
      </w:r>
    </w:p>
    <w:p>
      <w:pPr>
        <w:pStyle w:val="Footnotesection"/>
      </w:pPr>
      <w:r>
        <w:tab/>
        <w:t>[Section 71 inserted: No. 1 of 2022 s. 13.]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21" w:name="_Toc107388113"/>
      <w:bookmarkStart w:id="322" w:name="_Toc107388353"/>
      <w:bookmarkStart w:id="323" w:name="_Toc107474652"/>
      <w:bookmarkStart w:id="324" w:name="_Toc106984127"/>
      <w:bookmarkStart w:id="325" w:name="_Toc106984250"/>
      <w:r>
        <w:t>Notes</w:t>
      </w:r>
      <w:bookmarkEnd w:id="321"/>
      <w:bookmarkEnd w:id="322"/>
      <w:bookmarkEnd w:id="323"/>
      <w:bookmarkEnd w:id="324"/>
      <w:bookmarkEnd w:id="325"/>
    </w:p>
    <w:p>
      <w:pPr>
        <w:pStyle w:val="nStatement"/>
      </w:pPr>
      <w:r>
        <w:t xml:space="preserve">This is a compilation of the </w:t>
      </w:r>
      <w:r>
        <w:rPr>
          <w:i/>
          <w:noProof/>
        </w:rPr>
        <w:t>First Home Owner Grant Act 2000</w:t>
      </w:r>
      <w:r>
        <w:t xml:space="preserve"> and includes amendments made by other written laws</w:t>
      </w:r>
      <w:r>
        <w:rPr>
          <w:vertAlign w:val="superscript"/>
        </w:rPr>
        <w:t> 1</w:t>
      </w:r>
      <w:r>
        <w:t>. For provisions that have come into operation, and for information about any reprints, see the compilation table. For provisions that have not yet come into operation see the uncommenced provisions table.</w:t>
      </w:r>
    </w:p>
    <w:p>
      <w:pPr>
        <w:pStyle w:val="nHeading3"/>
      </w:pPr>
      <w:bookmarkStart w:id="326" w:name="_Toc107474653"/>
      <w:bookmarkStart w:id="327" w:name="_Toc106984251"/>
      <w:r>
        <w:t>Compilation table</w:t>
      </w:r>
      <w:bookmarkEnd w:id="326"/>
      <w:bookmarkEnd w:id="32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rPr>
            </w:pPr>
            <w:r>
              <w:rPr>
                <w:i/>
              </w:rPr>
              <w:t xml:space="preserve">First Home Owner Grant Act 2000 </w:t>
            </w:r>
          </w:p>
        </w:tc>
        <w:tc>
          <w:tcPr>
            <w:tcW w:w="1134" w:type="dxa"/>
            <w:tcBorders>
              <w:top w:val="single" w:sz="8" w:space="0" w:color="auto"/>
            </w:tcBorders>
          </w:tcPr>
          <w:p>
            <w:pPr>
              <w:pStyle w:val="nTable"/>
              <w:spacing w:after="40"/>
            </w:pPr>
            <w:r>
              <w:t xml:space="preserve">16 of 2000 </w:t>
            </w:r>
          </w:p>
        </w:tc>
        <w:tc>
          <w:tcPr>
            <w:tcW w:w="1134" w:type="dxa"/>
            <w:tcBorders>
              <w:top w:val="single" w:sz="8" w:space="0" w:color="auto"/>
            </w:tcBorders>
          </w:tcPr>
          <w:p>
            <w:pPr>
              <w:pStyle w:val="nTable"/>
              <w:spacing w:after="40"/>
            </w:pPr>
            <w:r>
              <w:t xml:space="preserve">9 Jun 2000 </w:t>
            </w:r>
          </w:p>
        </w:tc>
        <w:tc>
          <w:tcPr>
            <w:tcW w:w="2552" w:type="dxa"/>
            <w:tcBorders>
              <w:top w:val="single" w:sz="8" w:space="0" w:color="auto"/>
            </w:tcBorders>
          </w:tcPr>
          <w:p>
            <w:pPr>
              <w:pStyle w:val="nTable"/>
              <w:spacing w:after="40"/>
            </w:pPr>
            <w:r>
              <w:t>1 Jul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2000</w:t>
            </w:r>
          </w:p>
        </w:tc>
        <w:tc>
          <w:tcPr>
            <w:tcW w:w="1134" w:type="dxa"/>
          </w:tcPr>
          <w:p>
            <w:pPr>
              <w:pStyle w:val="nTable"/>
              <w:spacing w:after="40"/>
            </w:pPr>
            <w:r>
              <w:t>61 of 2000</w:t>
            </w:r>
          </w:p>
        </w:tc>
        <w:tc>
          <w:tcPr>
            <w:tcW w:w="1134" w:type="dxa"/>
          </w:tcPr>
          <w:p>
            <w:pPr>
              <w:pStyle w:val="nTable"/>
              <w:spacing w:after="40"/>
            </w:pPr>
            <w:r>
              <w:t>7 Dec 2000</w:t>
            </w:r>
          </w:p>
        </w:tc>
        <w:tc>
          <w:tcPr>
            <w:tcW w:w="2552" w:type="dxa"/>
          </w:tcPr>
          <w:p>
            <w:pPr>
              <w:pStyle w:val="nTable"/>
              <w:spacing w:after="40"/>
            </w:pPr>
            <w:r>
              <w:t>s. 8: 1 Jul 2000 (see s. 2(2));</w:t>
            </w:r>
            <w:r>
              <w:br/>
              <w:t>Act other than s. 8: 7 Dec 2000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2001</w:t>
            </w:r>
            <w:r>
              <w:rPr>
                <w:vertAlign w:val="superscript"/>
              </w:rPr>
              <w:t> 2</w:t>
            </w:r>
          </w:p>
        </w:tc>
        <w:tc>
          <w:tcPr>
            <w:tcW w:w="1134" w:type="dxa"/>
          </w:tcPr>
          <w:p>
            <w:pPr>
              <w:pStyle w:val="nTable"/>
              <w:spacing w:after="40"/>
            </w:pPr>
            <w:r>
              <w:t>14 of 2001</w:t>
            </w:r>
          </w:p>
        </w:tc>
        <w:tc>
          <w:tcPr>
            <w:tcW w:w="1134" w:type="dxa"/>
          </w:tcPr>
          <w:p>
            <w:pPr>
              <w:pStyle w:val="nTable"/>
              <w:spacing w:after="40"/>
            </w:pPr>
            <w:r>
              <w:t>14 Aug 2001</w:t>
            </w:r>
          </w:p>
        </w:tc>
        <w:tc>
          <w:tcPr>
            <w:tcW w:w="2552" w:type="dxa"/>
          </w:tcPr>
          <w:p>
            <w:pPr>
              <w:pStyle w:val="nTable"/>
              <w:spacing w:after="40"/>
            </w:pPr>
            <w:r>
              <w:t>9 Mar 2001 (see s. 2)</w:t>
            </w:r>
          </w:p>
        </w:tc>
      </w:tr>
      <w:tr>
        <w:tblPrEx>
          <w:tblBorders>
            <w:top w:val="none" w:sz="0" w:space="0" w:color="auto"/>
            <w:bottom w:val="none" w:sz="0" w:space="0" w:color="auto"/>
            <w:insideH w:val="none" w:sz="0" w:space="0" w:color="auto"/>
          </w:tblBorders>
        </w:tblPrEx>
        <w:tc>
          <w:tcPr>
            <w:tcW w:w="2268" w:type="dxa"/>
          </w:tcPr>
          <w:p>
            <w:pPr>
              <w:pStyle w:val="nTable"/>
              <w:tabs>
                <w:tab w:val="left" w:pos="1957"/>
              </w:tabs>
              <w:spacing w:after="40"/>
            </w:pPr>
            <w:r>
              <w:rPr>
                <w:i/>
              </w:rPr>
              <w:t>First Home Owner Grant Amendment Act 2003</w:t>
            </w:r>
            <w:r>
              <w:rPr>
                <w:vertAlign w:val="superscript"/>
              </w:rPr>
              <w:t> 3</w:t>
            </w:r>
          </w:p>
        </w:tc>
        <w:tc>
          <w:tcPr>
            <w:tcW w:w="1134" w:type="dxa"/>
          </w:tcPr>
          <w:p>
            <w:pPr>
              <w:pStyle w:val="nTable"/>
              <w:spacing w:after="40"/>
            </w:pPr>
            <w:r>
              <w:t>13 of 2003</w:t>
            </w:r>
          </w:p>
        </w:tc>
        <w:tc>
          <w:tcPr>
            <w:tcW w:w="1134" w:type="dxa"/>
          </w:tcPr>
          <w:p>
            <w:pPr>
              <w:pStyle w:val="nTable"/>
              <w:spacing w:after="40"/>
            </w:pPr>
            <w:r>
              <w:t>17 Apr 2003</w:t>
            </w:r>
          </w:p>
        </w:tc>
        <w:tc>
          <w:tcPr>
            <w:tcW w:w="2552" w:type="dxa"/>
          </w:tcPr>
          <w:p>
            <w:pPr>
              <w:pStyle w:val="nTable"/>
              <w:spacing w:after="40"/>
            </w:pPr>
            <w:r>
              <w:t>s. 5(5): 9 Mar 2001 (see s. 2(3));</w:t>
            </w:r>
            <w:r>
              <w:br/>
              <w:t>s. 5 (except s. 5(5)) and 6: 9 Oct 2001 (see s. 2(2));</w:t>
            </w:r>
            <w:r>
              <w:br/>
              <w:t>Act other than s. 5 and 6: 17 Apr 2003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(Equality of Status) Act 2003</w:t>
            </w:r>
            <w:r>
              <w:t xml:space="preserve"> Pt. 22</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First Home Owner Grant Amendment Act 2004</w:t>
            </w:r>
            <w:r>
              <w:rPr>
                <w:vertAlign w:val="superscript"/>
              </w:rPr>
              <w:t> 4</w:t>
            </w:r>
          </w:p>
        </w:tc>
        <w:tc>
          <w:tcPr>
            <w:tcW w:w="1134" w:type="dxa"/>
          </w:tcPr>
          <w:p>
            <w:pPr>
              <w:pStyle w:val="nTable"/>
              <w:spacing w:after="40"/>
            </w:pPr>
            <w:r>
              <w:t>52 of 2004</w:t>
            </w:r>
          </w:p>
        </w:tc>
        <w:tc>
          <w:tcPr>
            <w:tcW w:w="1134" w:type="dxa"/>
          </w:tcPr>
          <w:p>
            <w:pPr>
              <w:pStyle w:val="nTable"/>
              <w:spacing w:after="40"/>
            </w:pPr>
            <w:r>
              <w:t>18 Nov 2004</w:t>
            </w:r>
          </w:p>
        </w:tc>
        <w:tc>
          <w:tcPr>
            <w:tcW w:w="2552" w:type="dxa"/>
          </w:tcPr>
          <w:p>
            <w:pPr>
              <w:pStyle w:val="nTable"/>
              <w:spacing w:after="40"/>
            </w:pPr>
            <w:r>
              <w:t>Pt. 2 and 3: 1 Jul 2004 (see s. 2(2));</w:t>
            </w:r>
            <w:r>
              <w:br/>
              <w:t>Pt. 1: 18 Nov 2004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keepLines/>
              <w:spacing w:after="40"/>
            </w:pPr>
            <w:r>
              <w:rPr>
                <w:i/>
                <w:iCs/>
              </w:rPr>
              <w:t>First Home Owner Grant Amendment Act 2005</w:t>
            </w:r>
            <w:r>
              <w:rPr>
                <w:iCs/>
                <w:vertAlign w:val="superscript"/>
              </w:rPr>
              <w:t> 6</w:t>
            </w:r>
          </w:p>
        </w:tc>
        <w:tc>
          <w:tcPr>
            <w:tcW w:w="1134" w:type="dxa"/>
          </w:tcPr>
          <w:p>
            <w:pPr>
              <w:pStyle w:val="nTable"/>
              <w:keepNext/>
              <w:keepLines/>
              <w:spacing w:after="40"/>
            </w:pPr>
            <w:r>
              <w:t>26 of 2005</w:t>
            </w:r>
          </w:p>
        </w:tc>
        <w:tc>
          <w:tcPr>
            <w:tcW w:w="1134" w:type="dxa"/>
          </w:tcPr>
          <w:p>
            <w:pPr>
              <w:pStyle w:val="nTable"/>
              <w:keepNext/>
              <w:keepLines/>
              <w:spacing w:after="40"/>
            </w:pPr>
            <w:r>
              <w:t>12 Dec 2005</w:t>
            </w:r>
          </w:p>
        </w:tc>
        <w:tc>
          <w:tcPr>
            <w:tcW w:w="2552" w:type="dxa"/>
          </w:tcPr>
          <w:p>
            <w:pPr>
              <w:pStyle w:val="nTable"/>
              <w:keepNext/>
              <w:keepLines/>
              <w:spacing w:after="40"/>
            </w:pPr>
            <w:r>
              <w:t>s. 4: 1 Jul 2000 (see s. 2(2));</w:t>
            </w:r>
            <w:r>
              <w:br/>
              <w:t>Act other than s. 4: 12 Dec 2005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s. 33</w:t>
            </w:r>
          </w:p>
        </w:tc>
        <w:tc>
          <w:tcPr>
            <w:tcW w:w="1134"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First Home Owner Grant Amendment Act 2009</w:t>
            </w:r>
          </w:p>
        </w:tc>
        <w:tc>
          <w:tcPr>
            <w:tcW w:w="1134" w:type="dxa"/>
          </w:tcPr>
          <w:p>
            <w:pPr>
              <w:pStyle w:val="nTable"/>
              <w:spacing w:after="40"/>
              <w:rPr>
                <w:snapToGrid w:val="0"/>
              </w:rPr>
            </w:pPr>
            <w:r>
              <w:rPr>
                <w:snapToGrid w:val="0"/>
              </w:rPr>
              <w:t>27 of 2009</w:t>
            </w:r>
          </w:p>
        </w:tc>
        <w:tc>
          <w:tcPr>
            <w:tcW w:w="1134" w:type="dxa"/>
          </w:tcPr>
          <w:p>
            <w:pPr>
              <w:pStyle w:val="nTable"/>
              <w:spacing w:after="40"/>
              <w:rPr>
                <w:snapToGrid w:val="0"/>
              </w:rPr>
            </w:pPr>
            <w:r>
              <w:t>17 Nov 2009</w:t>
            </w:r>
          </w:p>
        </w:tc>
        <w:tc>
          <w:tcPr>
            <w:tcW w:w="2552"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and Repeal Act 2010</w:t>
            </w:r>
            <w:r>
              <w:rPr>
                <w:iCs/>
                <w:snapToGrid w:val="0"/>
              </w:rPr>
              <w:t xml:space="preserve"> Pt. 3</w:t>
            </w:r>
          </w:p>
        </w:tc>
        <w:tc>
          <w:tcPr>
            <w:tcW w:w="1134" w:type="dxa"/>
          </w:tcPr>
          <w:p>
            <w:pPr>
              <w:pStyle w:val="nTable"/>
              <w:spacing w:after="40"/>
              <w:rPr>
                <w:snapToGrid w:val="0"/>
              </w:rPr>
            </w:pPr>
            <w:r>
              <w:rPr>
                <w:snapToGrid w:val="0"/>
              </w:rP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26 Jun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2012</w:t>
            </w:r>
            <w:r>
              <w:rPr>
                <w:iCs/>
                <w:snapToGrid w:val="0"/>
              </w:rPr>
              <w:t xml:space="preserve"> Pt. 3</w:t>
            </w:r>
          </w:p>
        </w:tc>
        <w:tc>
          <w:tcPr>
            <w:tcW w:w="1134" w:type="dxa"/>
          </w:tcPr>
          <w:p>
            <w:pPr>
              <w:pStyle w:val="nTable"/>
              <w:spacing w:after="40"/>
              <w:rPr>
                <w:snapToGrid w:val="0"/>
              </w:rPr>
            </w:pPr>
            <w:r>
              <w:rPr>
                <w:snapToGrid w:val="0"/>
              </w:rPr>
              <w:t>29 of 2012</w:t>
            </w:r>
          </w:p>
        </w:tc>
        <w:tc>
          <w:tcPr>
            <w:tcW w:w="1134" w:type="dxa"/>
          </w:tcPr>
          <w:p>
            <w:pPr>
              <w:pStyle w:val="nTable"/>
              <w:spacing w:after="40"/>
            </w:pPr>
            <w:r>
              <w:t>3 Sep 2012</w:t>
            </w:r>
          </w:p>
        </w:tc>
        <w:tc>
          <w:tcPr>
            <w:tcW w:w="2552" w:type="dxa"/>
          </w:tcPr>
          <w:p>
            <w:pPr>
              <w:pStyle w:val="nTable"/>
              <w:spacing w:after="40"/>
              <w:rPr>
                <w:snapToGrid w:val="0"/>
              </w:rPr>
            </w:pPr>
            <w:r>
              <w:rPr>
                <w:snapToGrid w:val="0"/>
              </w:rPr>
              <w:t>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(No. 2) 2012</w:t>
            </w:r>
            <w:r>
              <w:rPr>
                <w:iCs/>
                <w:snapToGrid w:val="0"/>
              </w:rPr>
              <w:t xml:space="preserve"> Pt. 3</w:t>
            </w:r>
          </w:p>
        </w:tc>
        <w:tc>
          <w:tcPr>
            <w:tcW w:w="1134" w:type="dxa"/>
          </w:tcPr>
          <w:p>
            <w:pPr>
              <w:pStyle w:val="nTable"/>
              <w:spacing w:after="40"/>
              <w:rPr>
                <w:snapToGrid w:val="0"/>
              </w:rPr>
            </w:pPr>
            <w:r>
              <w:rPr>
                <w:snapToGrid w:val="0"/>
              </w:rP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Revenue Laws Amendment Act 2013</w:t>
            </w:r>
            <w:r>
              <w:rPr>
                <w:snapToGrid w:val="0"/>
              </w:rPr>
              <w:t xml:space="preserve"> Pt. 4</w:t>
            </w:r>
          </w:p>
        </w:tc>
        <w:tc>
          <w:tcPr>
            <w:tcW w:w="1134" w:type="dxa"/>
          </w:tcPr>
          <w:p>
            <w:pPr>
              <w:pStyle w:val="nTable"/>
              <w:spacing w:after="40"/>
              <w:rPr>
                <w:snapToGrid w:val="0"/>
              </w:rPr>
            </w:pPr>
            <w:r>
              <w:rPr>
                <w:snapToGrid w:val="0"/>
              </w:rPr>
              <w:t>10 of 2013</w:t>
            </w:r>
          </w:p>
        </w:tc>
        <w:tc>
          <w:tcPr>
            <w:tcW w:w="1134" w:type="dxa"/>
          </w:tcPr>
          <w:p>
            <w:pPr>
              <w:pStyle w:val="nTable"/>
              <w:spacing w:after="40"/>
            </w:pPr>
            <w:r>
              <w:t>24 Sep 2013</w:t>
            </w:r>
          </w:p>
        </w:tc>
        <w:tc>
          <w:tcPr>
            <w:tcW w:w="2552" w:type="dxa"/>
          </w:tcPr>
          <w:p>
            <w:pPr>
              <w:pStyle w:val="nTable"/>
              <w:spacing w:after="40"/>
              <w:rPr>
                <w:snapToGrid w:val="0"/>
              </w:rPr>
            </w:pPr>
            <w:r>
              <w:rPr>
                <w:snapToGrid w:val="0"/>
              </w:rPr>
              <w:t>25 Sep 2013 (see s. 2(c)(ii))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2015</w:t>
            </w:r>
            <w:r>
              <w:rPr>
                <w:snapToGrid w:val="0"/>
              </w:rPr>
              <w:t xml:space="preserve"> Pt. 2 Div. 1</w:t>
            </w:r>
          </w:p>
        </w:tc>
        <w:tc>
          <w:tcPr>
            <w:tcW w:w="1134" w:type="dxa"/>
          </w:tcPr>
          <w:p>
            <w:pPr>
              <w:pStyle w:val="nTable"/>
              <w:spacing w:after="40"/>
              <w:rPr>
                <w:snapToGrid w:val="0"/>
              </w:rPr>
            </w:pPr>
            <w:r>
              <w:rPr>
                <w:snapToGrid w:val="0"/>
              </w:rPr>
              <w:t>27 of 2015</w:t>
            </w:r>
          </w:p>
        </w:tc>
        <w:tc>
          <w:tcPr>
            <w:tcW w:w="1134" w:type="dxa"/>
          </w:tcPr>
          <w:p>
            <w:pPr>
              <w:pStyle w:val="nTable"/>
              <w:spacing w:after="40"/>
            </w:pPr>
            <w:r>
              <w:t>2 Oct 2015</w:t>
            </w:r>
          </w:p>
        </w:tc>
        <w:tc>
          <w:tcPr>
            <w:tcW w:w="2552" w:type="dxa"/>
          </w:tcPr>
          <w:p>
            <w:pPr>
              <w:pStyle w:val="nTable"/>
              <w:spacing w:after="40"/>
              <w:rPr>
                <w:snapToGrid w:val="0"/>
              </w:rPr>
            </w:pPr>
            <w:r>
              <w:rPr>
                <w:snapToGrid w:val="0"/>
              </w:rPr>
              <w:t>3 Oct 2015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First Home Owner Grant Amendment Act 2017</w:t>
            </w:r>
          </w:p>
        </w:tc>
        <w:tc>
          <w:tcPr>
            <w:tcW w:w="1134" w:type="dxa"/>
          </w:tcPr>
          <w:p>
            <w:pPr>
              <w:pStyle w:val="nTable"/>
              <w:spacing w:after="40"/>
              <w:rPr>
                <w:snapToGrid w:val="0"/>
              </w:rPr>
            </w:pPr>
            <w:r>
              <w:rPr>
                <w:snapToGrid w:val="0"/>
              </w:rPr>
              <w:t>16 of 2017</w:t>
            </w:r>
          </w:p>
        </w:tc>
        <w:tc>
          <w:tcPr>
            <w:tcW w:w="1134" w:type="dxa"/>
          </w:tcPr>
          <w:p>
            <w:pPr>
              <w:pStyle w:val="nTable"/>
              <w:spacing w:after="40"/>
            </w:pPr>
            <w:r>
              <w:t>5 Dec 2017</w:t>
            </w:r>
          </w:p>
        </w:tc>
        <w:tc>
          <w:tcPr>
            <w:tcW w:w="2552" w:type="dxa"/>
          </w:tcPr>
          <w:p>
            <w:pPr>
              <w:pStyle w:val="nTable"/>
              <w:spacing w:after="40"/>
              <w:rPr>
                <w:snapToGrid w:val="0"/>
              </w:rPr>
            </w:pPr>
            <w:r>
              <w:rPr>
                <w:snapToGrid w:val="0"/>
              </w:rPr>
              <w:t>s. 8-16: 1 Jan 2017 (see s. 2(b));</w:t>
            </w:r>
            <w:r>
              <w:rPr>
                <w:snapToGrid w:val="0"/>
              </w:rPr>
              <w:br/>
              <w:t>s. 1 and 2: 5 Dec 2017 (see s. 2(a));</w:t>
            </w:r>
            <w:r>
              <w:rPr>
                <w:snapToGrid w:val="0"/>
              </w:rPr>
              <w:br/>
              <w:t>Act other than s. 1, 2 and 8</w:t>
            </w:r>
            <w:r>
              <w:rPr>
                <w:snapToGrid w:val="0"/>
              </w:rPr>
              <w:noBreakHyphen/>
              <w:t>16: 6 Dec 2017 (see s. 2(c))</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First Home Owner Grant Act 2000</w:t>
            </w:r>
            <w:r>
              <w:rPr>
                <w:b/>
                <w:snapToGrid w:val="0"/>
              </w:rPr>
              <w:t xml:space="preserve"> as at 4 May 2018</w:t>
            </w:r>
            <w:r>
              <w:rPr>
                <w:snapToGrid w:val="0"/>
              </w:rPr>
              <w:br/>
              <w:t>(includes amendments listed above)</w:t>
            </w:r>
          </w:p>
        </w:tc>
      </w:tr>
      <w:tr>
        <w:trPr>
          <w:cantSplit/>
        </w:trPr>
        <w:tc>
          <w:tcPr>
            <w:tcW w:w="2268" w:type="dxa"/>
            <w:tcBorders>
              <w:top w:val="nil"/>
              <w:bottom w:val="nil"/>
            </w:tcBorders>
          </w:tcPr>
          <w:p>
            <w:pPr>
              <w:pStyle w:val="nTable"/>
              <w:spacing w:after="40"/>
            </w:pPr>
            <w:r>
              <w:rPr>
                <w:i/>
              </w:rPr>
              <w:t>Strata Titles Amendment Act 2018</w:t>
            </w:r>
            <w:r>
              <w:t xml:space="preserve"> Pt. 3 Div. 7</w:t>
            </w:r>
          </w:p>
        </w:tc>
        <w:tc>
          <w:tcPr>
            <w:tcW w:w="1134" w:type="dxa"/>
            <w:tcBorders>
              <w:top w:val="nil"/>
              <w:bottom w:val="nil"/>
            </w:tcBorders>
          </w:tcPr>
          <w:p>
            <w:pPr>
              <w:pStyle w:val="nTable"/>
              <w:spacing w:after="40"/>
              <w:rPr>
                <w:snapToGrid w:val="0"/>
              </w:rPr>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1 May 2020 (see s. 2(b) and SL 2020/39 cl. 2)</w:t>
            </w:r>
          </w:p>
        </w:tc>
      </w:tr>
      <w:tr>
        <w:trPr>
          <w:cantSplit/>
        </w:trPr>
        <w:tc>
          <w:tcPr>
            <w:tcW w:w="2268" w:type="dxa"/>
            <w:tcBorders>
              <w:top w:val="nil"/>
              <w:bottom w:val="nil"/>
            </w:tcBorders>
          </w:tcPr>
          <w:p>
            <w:pPr>
              <w:pStyle w:val="nTable"/>
              <w:spacing w:after="40"/>
              <w:rPr>
                <w:i/>
              </w:rPr>
            </w:pPr>
            <w:r>
              <w:rPr>
                <w:i/>
              </w:rPr>
              <w:t>Community Titles Act 2018</w:t>
            </w:r>
            <w:r>
              <w:t xml:space="preserve"> Pt. 14 Div. 9</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rPr>
          <w:cantSplit/>
        </w:trPr>
        <w:tc>
          <w:tcPr>
            <w:tcW w:w="2268" w:type="dxa"/>
            <w:tcBorders>
              <w:top w:val="nil"/>
              <w:bottom w:val="nil"/>
            </w:tcBorders>
          </w:tcPr>
          <w:p>
            <w:pPr>
              <w:pStyle w:val="nTable"/>
              <w:spacing w:after="40"/>
            </w:pPr>
            <w:r>
              <w:rPr>
                <w:i/>
              </w:rPr>
              <w:t>Finance Legislation Amendment (Emergency Relief) Act 2022</w:t>
            </w:r>
            <w:r>
              <w:t xml:space="preserve"> Pt. 3</w:t>
            </w:r>
          </w:p>
        </w:tc>
        <w:tc>
          <w:tcPr>
            <w:tcW w:w="1134" w:type="dxa"/>
            <w:tcBorders>
              <w:top w:val="nil"/>
              <w:bottom w:val="nil"/>
            </w:tcBorders>
          </w:tcPr>
          <w:p>
            <w:pPr>
              <w:pStyle w:val="nTable"/>
              <w:spacing w:after="40"/>
            </w:pPr>
            <w:r>
              <w:t>1 of 2022</w:t>
            </w:r>
          </w:p>
        </w:tc>
        <w:tc>
          <w:tcPr>
            <w:tcW w:w="1134" w:type="dxa"/>
            <w:tcBorders>
              <w:top w:val="nil"/>
              <w:bottom w:val="nil"/>
            </w:tcBorders>
          </w:tcPr>
          <w:p>
            <w:pPr>
              <w:pStyle w:val="nTable"/>
              <w:spacing w:after="40"/>
            </w:pPr>
            <w:r>
              <w:t>21 Feb 2022</w:t>
            </w:r>
          </w:p>
        </w:tc>
        <w:tc>
          <w:tcPr>
            <w:tcW w:w="2552" w:type="dxa"/>
            <w:tcBorders>
              <w:top w:val="nil"/>
              <w:bottom w:val="nil"/>
            </w:tcBorders>
          </w:tcPr>
          <w:p>
            <w:pPr>
              <w:pStyle w:val="nTable"/>
              <w:spacing w:after="40"/>
            </w:pPr>
            <w:r>
              <w:t>22 Feb 2022 (see s. 2(b))</w:t>
            </w:r>
          </w:p>
        </w:tc>
      </w:tr>
      <w:tr>
        <w:trPr>
          <w:cantSplit/>
          <w:ins w:id="328" w:author="Master Repository Process" w:date="2022-06-30T14:33:00Z"/>
        </w:trPr>
        <w:tc>
          <w:tcPr>
            <w:tcW w:w="2268" w:type="dxa"/>
            <w:tcBorders>
              <w:top w:val="nil"/>
              <w:bottom w:val="single" w:sz="4" w:space="0" w:color="auto"/>
            </w:tcBorders>
          </w:tcPr>
          <w:p>
            <w:pPr>
              <w:pStyle w:val="nTable"/>
              <w:spacing w:after="40"/>
              <w:rPr>
                <w:ins w:id="329" w:author="Master Repository Process" w:date="2022-06-30T14:33:00Z"/>
                <w:i/>
              </w:rPr>
            </w:pPr>
            <w:ins w:id="330" w:author="Master Repository Process" w:date="2022-06-30T14:33:00Z">
              <w:r>
                <w:rPr>
                  <w:i/>
                </w:rPr>
                <w:t>Legal Profession Uniform Law Application Act 2022</w:t>
              </w:r>
              <w:r>
                <w:t xml:space="preserve"> s. 424</w:t>
              </w:r>
            </w:ins>
          </w:p>
        </w:tc>
        <w:tc>
          <w:tcPr>
            <w:tcW w:w="1134" w:type="dxa"/>
            <w:tcBorders>
              <w:top w:val="nil"/>
              <w:bottom w:val="single" w:sz="4" w:space="0" w:color="auto"/>
            </w:tcBorders>
          </w:tcPr>
          <w:p>
            <w:pPr>
              <w:pStyle w:val="nTable"/>
              <w:spacing w:after="40"/>
              <w:rPr>
                <w:ins w:id="331" w:author="Master Repository Process" w:date="2022-06-30T14:33:00Z"/>
              </w:rPr>
            </w:pPr>
            <w:ins w:id="332" w:author="Master Repository Process" w:date="2022-06-30T14:33:00Z">
              <w:r>
                <w:t>9 of 2022</w:t>
              </w:r>
            </w:ins>
          </w:p>
        </w:tc>
        <w:tc>
          <w:tcPr>
            <w:tcW w:w="1134" w:type="dxa"/>
            <w:tcBorders>
              <w:top w:val="nil"/>
              <w:bottom w:val="single" w:sz="4" w:space="0" w:color="auto"/>
            </w:tcBorders>
          </w:tcPr>
          <w:p>
            <w:pPr>
              <w:pStyle w:val="nTable"/>
              <w:spacing w:after="40"/>
              <w:rPr>
                <w:ins w:id="333" w:author="Master Repository Process" w:date="2022-06-30T14:33:00Z"/>
              </w:rPr>
            </w:pPr>
            <w:ins w:id="334" w:author="Master Repository Process" w:date="2022-06-30T14:33:00Z">
              <w:r>
                <w:t>14 Apr 2022</w:t>
              </w:r>
            </w:ins>
          </w:p>
        </w:tc>
        <w:tc>
          <w:tcPr>
            <w:tcW w:w="2552" w:type="dxa"/>
            <w:tcBorders>
              <w:top w:val="nil"/>
              <w:bottom w:val="single" w:sz="4" w:space="0" w:color="auto"/>
            </w:tcBorders>
          </w:tcPr>
          <w:p>
            <w:pPr>
              <w:pStyle w:val="nTable"/>
              <w:spacing w:after="40"/>
              <w:rPr>
                <w:ins w:id="335" w:author="Master Repository Process" w:date="2022-06-30T14:33:00Z"/>
              </w:rPr>
            </w:pPr>
            <w:ins w:id="336" w:author="Master Repository Process" w:date="2022-06-30T14:33:00Z">
              <w:r>
                <w:rPr>
                  <w:snapToGrid w:val="0"/>
                </w:rPr>
                <w:t>1 Jul 2022 (see s. 2(c) and SL 2022/113 cl. 2)</w:t>
              </w:r>
            </w:ins>
          </w:p>
        </w:tc>
      </w:tr>
    </w:tbl>
    <w:p>
      <w:pPr>
        <w:pStyle w:val="nHeading3"/>
      </w:pPr>
      <w:bookmarkStart w:id="337" w:name="_Toc107474654"/>
      <w:bookmarkStart w:id="338" w:name="_Toc106984252"/>
      <w:r>
        <w:t>Uncommenced provisions table</w:t>
      </w:r>
      <w:bookmarkEnd w:id="337"/>
      <w:bookmarkEnd w:id="33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del w:id="339" w:author="Master Repository Process" w:date="2022-06-30T14:33:00Z"/>
        </w:trPr>
        <w:tc>
          <w:tcPr>
            <w:tcW w:w="2268" w:type="dxa"/>
            <w:tcBorders>
              <w:bottom w:val="nil"/>
            </w:tcBorders>
          </w:tcPr>
          <w:p>
            <w:pPr>
              <w:pStyle w:val="nTable"/>
              <w:spacing w:after="40"/>
              <w:rPr>
                <w:del w:id="340" w:author="Master Repository Process" w:date="2022-06-30T14:33:00Z"/>
              </w:rPr>
            </w:pPr>
            <w:del w:id="341" w:author="Master Repository Process" w:date="2022-06-30T14:33:00Z">
              <w:r>
                <w:rPr>
                  <w:i/>
                </w:rPr>
                <w:delText>Legal Profession Uniform Law Application Act 2022</w:delText>
              </w:r>
              <w:r>
                <w:delText xml:space="preserve"> s. 424</w:delText>
              </w:r>
            </w:del>
          </w:p>
        </w:tc>
        <w:tc>
          <w:tcPr>
            <w:tcW w:w="1134" w:type="dxa"/>
            <w:tcBorders>
              <w:bottom w:val="nil"/>
            </w:tcBorders>
          </w:tcPr>
          <w:p>
            <w:pPr>
              <w:pStyle w:val="nTable"/>
              <w:spacing w:after="40"/>
              <w:rPr>
                <w:del w:id="342" w:author="Master Repository Process" w:date="2022-06-30T14:33:00Z"/>
              </w:rPr>
            </w:pPr>
            <w:del w:id="343" w:author="Master Repository Process" w:date="2022-06-30T14:33:00Z">
              <w:r>
                <w:delText>9 of 2022</w:delText>
              </w:r>
            </w:del>
          </w:p>
        </w:tc>
        <w:tc>
          <w:tcPr>
            <w:tcW w:w="1134" w:type="dxa"/>
            <w:tcBorders>
              <w:bottom w:val="nil"/>
            </w:tcBorders>
          </w:tcPr>
          <w:p>
            <w:pPr>
              <w:pStyle w:val="nTable"/>
              <w:spacing w:after="40"/>
              <w:rPr>
                <w:del w:id="344" w:author="Master Repository Process" w:date="2022-06-30T14:33:00Z"/>
              </w:rPr>
            </w:pPr>
            <w:del w:id="345" w:author="Master Repository Process" w:date="2022-06-30T14:33:00Z">
              <w:r>
                <w:delText>14 Apr 2022</w:delText>
              </w:r>
            </w:del>
          </w:p>
        </w:tc>
        <w:tc>
          <w:tcPr>
            <w:tcW w:w="2552" w:type="dxa"/>
            <w:tcBorders>
              <w:bottom w:val="nil"/>
            </w:tcBorders>
          </w:tcPr>
          <w:p>
            <w:pPr>
              <w:pStyle w:val="nTable"/>
              <w:spacing w:after="40"/>
              <w:rPr>
                <w:del w:id="346" w:author="Master Repository Process" w:date="2022-06-30T14:33:00Z"/>
              </w:rPr>
            </w:pPr>
            <w:del w:id="347" w:author="Master Repository Process" w:date="2022-06-30T14:33:00Z">
              <w:r>
                <w:delText>To be proclaimed (see s. 2(c))</w:delText>
              </w:r>
            </w:del>
          </w:p>
        </w:tc>
      </w:tr>
      <w:tr>
        <w:tc>
          <w:tcPr>
            <w:tcW w:w="2268" w:type="dxa"/>
            <w:tcBorders>
              <w:top w:val="nil"/>
            </w:tcBorders>
          </w:tcPr>
          <w:p>
            <w:pPr>
              <w:pStyle w:val="nTable"/>
              <w:spacing w:after="40"/>
            </w:pPr>
            <w:r>
              <w:rPr>
                <w:i/>
              </w:rPr>
              <w:t>Transfer of Land Amendment Act 2022</w:t>
            </w:r>
            <w:r>
              <w:t xml:space="preserve"> Pt. 3 Div. 5</w:t>
            </w:r>
          </w:p>
        </w:tc>
        <w:tc>
          <w:tcPr>
            <w:tcW w:w="1134" w:type="dxa"/>
            <w:tcBorders>
              <w:top w:val="nil"/>
            </w:tcBorders>
          </w:tcPr>
          <w:p>
            <w:pPr>
              <w:pStyle w:val="nTable"/>
              <w:spacing w:after="40"/>
            </w:pPr>
            <w:r>
              <w:t>21 of 2022</w:t>
            </w:r>
          </w:p>
        </w:tc>
        <w:tc>
          <w:tcPr>
            <w:tcW w:w="1134" w:type="dxa"/>
            <w:tcBorders>
              <w:top w:val="nil"/>
            </w:tcBorders>
          </w:tcPr>
          <w:p>
            <w:pPr>
              <w:pStyle w:val="nTable"/>
              <w:spacing w:after="40"/>
            </w:pPr>
            <w:r>
              <w:t>24 Jun 2022</w:t>
            </w:r>
          </w:p>
        </w:tc>
        <w:tc>
          <w:tcPr>
            <w:tcW w:w="2552" w:type="dxa"/>
            <w:tcBorders>
              <w:top w:val="nil"/>
            </w:tcBorders>
          </w:tcPr>
          <w:p>
            <w:pPr>
              <w:pStyle w:val="nTable"/>
              <w:spacing w:after="40"/>
            </w:pPr>
            <w:r>
              <w:t>To be proclaimed (see s. 2(b))</w:t>
            </w:r>
          </w:p>
        </w:tc>
      </w:tr>
    </w:tbl>
    <w:p>
      <w:pPr>
        <w:pStyle w:val="nHeading3"/>
      </w:pPr>
      <w:bookmarkStart w:id="348" w:name="_Toc107474655"/>
      <w:bookmarkStart w:id="349" w:name="_Toc106984253"/>
      <w:r>
        <w:t>Other notes</w:t>
      </w:r>
      <w:bookmarkEnd w:id="348"/>
      <w:bookmarkEnd w:id="349"/>
    </w:p>
    <w:p>
      <w:pPr>
        <w:pStyle w:val="nNote"/>
        <w:rPr>
          <w:snapToGrid w:val="0"/>
        </w:rPr>
      </w:pPr>
      <w:r>
        <w:rPr>
          <w:snapToGrid w:val="0"/>
          <w:vertAlign w:val="superscript"/>
        </w:rPr>
        <w:t>1</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Note"/>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Note"/>
      </w:pPr>
      <w:r>
        <w:rPr>
          <w:vertAlign w:val="superscript"/>
        </w:rPr>
        <w:t>3</w:t>
      </w:r>
      <w:r>
        <w:tab/>
        <w:t xml:space="preserve">The </w:t>
      </w:r>
      <w:r>
        <w:rPr>
          <w:i/>
        </w:rPr>
        <w:t>First Home Owner Grant Amendment Act 2003</w:t>
      </w:r>
      <w:r>
        <w:t xml:space="preserve"> s. 10 is a savings provision of no further effect.</w:t>
      </w:r>
    </w:p>
    <w:p>
      <w:pPr>
        <w:pStyle w:val="nNote"/>
      </w:pPr>
      <w:r>
        <w:rPr>
          <w:vertAlign w:val="superscript"/>
        </w:rPr>
        <w:t>4</w:t>
      </w:r>
      <w:r>
        <w:tab/>
        <w:t xml:space="preserve">The </w:t>
      </w:r>
      <w:r>
        <w:rPr>
          <w:i/>
        </w:rPr>
        <w:t>First Home Owner Grant Amendment Act 2004</w:t>
      </w:r>
      <w:r>
        <w:t xml:space="preserve"> Pt. 3 is a transitional provision of no further effect.</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6</w:t>
      </w:r>
      <w:r>
        <w:tab/>
        <w:t xml:space="preserve">The </w:t>
      </w:r>
      <w:r>
        <w:rPr>
          <w:i/>
          <w:iCs/>
        </w:rPr>
        <w:t>First Home Owner Grant Amendment Act 2005</w:t>
      </w:r>
      <w:r>
        <w:t xml:space="preserve"> Pt. 3 reads as follows:</w:t>
      </w:r>
    </w:p>
    <w:p>
      <w:pPr>
        <w:pStyle w:val="BlankOpen"/>
      </w:pPr>
    </w:p>
    <w:p>
      <w:pPr>
        <w:pStyle w:val="nzHeading2"/>
      </w:pPr>
      <w:r>
        <w:t>Part 3 — 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1" w:name="Coversheet"/>
    <w:bookmarkEnd w:id="3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0" w:name="Compilation"/>
    <w:bookmarkEnd w:id="3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B6F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8040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508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D07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10B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93519"/>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 w:name="WAFER_20180219103948" w:val="RemoveTocBookmarks,RemoveUnusedBookmarks,RemoveLanguageTags,UsedStyles,ResetPageSize,RemoveCustomizations"/>
    <w:docVar w:name="WAFER_20180219103948_GUID" w:val="2f6df3e5-5528-4378-a3a7-f2148848d9e0"/>
    <w:docVar w:name="WAFER_20181121093020" w:val="RemoveTocBookmarks,RemoveUnusedBookmarks,RemoveLanguageTags,UsedStyles,ResetPageSize"/>
    <w:docVar w:name="WAFER_20181121093020_GUID" w:val="a4c5a6d3-3dec-422b-b98a-767726637333"/>
    <w:docVar w:name="WAFER_202002131348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843_GUID" w:val="659f9505-a886-4b93-b7de-aee305f5d2df"/>
    <w:docVar w:name="WAFER_202002200917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731_GUID" w:val="f36fbd2f-ac2f-4c6d-a427-2f4354394479"/>
    <w:docVar w:name="WAFER_2021061511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647_GUID" w:val="f48c3e85-d894-4d6f-8c52-1201c38b372b"/>
    <w:docVar w:name="WAFER_20210623103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38_GUID" w:val="d4fac422-8b37-4792-83ea-41b324bca40b"/>
    <w:docVar w:name="WAFER_2022021812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8124222_GUID" w:val="3e2ca8af-e1bf-4119-8709-03463e0816d9"/>
    <w:docVar w:name="WAFER_202204081549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23_GUID" w:val="0fee467c-34b5-4aff-9d61-3124988c4cbc"/>
    <w:docVar w:name="WAFER_202206241656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33_GUID" w:val="0b8137a4-9fb8-45bd-ac4d-a1b08e8564ea"/>
    <w:docVar w:name="WAFER_202206290935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3519_GUID" w:val="9e8bd8d4-54e1-44b2-a41c-ef53825a15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BD7AD6-0B92-4690-B0A1-4340C11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21757</Words>
  <Characters>103351</Characters>
  <Application>Microsoft Office Word</Application>
  <DocSecurity>0</DocSecurity>
  <Lines>2793</Lines>
  <Paragraphs>1507</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123601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03-g0-00 - 03-h0-00</dc:title>
  <dc:subject/>
  <dc:creator/>
  <cp:keywords/>
  <dc:description/>
  <cp:lastModifiedBy>Master Repository Process</cp:lastModifiedBy>
  <cp:revision>2</cp:revision>
  <cp:lastPrinted>2018-11-21T03:28:00Z</cp:lastPrinted>
  <dcterms:created xsi:type="dcterms:W3CDTF">2022-06-30T06:33:00Z</dcterms:created>
  <dcterms:modified xsi:type="dcterms:W3CDTF">2022-06-30T06:34:00Z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edAsAt">
    <vt:filetime>2018-05-03T16:00:00Z</vt:filetime>
  </property>
  <property fmtid="{D5CDD505-2E9C-101B-9397-08002B2CF9AE}" pid="6" name="ReprintNo">
    <vt:lpwstr>3</vt:lpwstr>
  </property>
  <property fmtid="{D5CDD505-2E9C-101B-9397-08002B2CF9AE}" pid="7" name="CommencementDate">
    <vt:lpwstr>20220701</vt:lpwstr>
  </property>
  <property fmtid="{D5CDD505-2E9C-101B-9397-08002B2CF9AE}" pid="8" name="FromSuffix">
    <vt:lpwstr>03-g0-00</vt:lpwstr>
  </property>
  <property fmtid="{D5CDD505-2E9C-101B-9397-08002B2CF9AE}" pid="9" name="FromAsAtDate">
    <vt:lpwstr>24 Jun 2022</vt:lpwstr>
  </property>
  <property fmtid="{D5CDD505-2E9C-101B-9397-08002B2CF9AE}" pid="10" name="ToSuffix">
    <vt:lpwstr>03-h0-00</vt:lpwstr>
  </property>
  <property fmtid="{D5CDD505-2E9C-101B-9397-08002B2CF9AE}" pid="11" name="ToAsAtDate">
    <vt:lpwstr>01 Jul 2022</vt:lpwstr>
  </property>
</Properties>
</file>