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07-m0-00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07-n0-00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NameofActReg"/>
        <w:spacing w:before="680" w:after="800"/>
      </w:pPr>
      <w:r>
        <w:lastRenderedPageBreak/>
        <w:t>Spent Convictions Act 1988</w:t>
      </w:r>
    </w:p>
    <w:p>
      <w:pPr>
        <w:pStyle w:val="LongTitle"/>
        <w:rPr>
          <w:snapToGrid w:val="0"/>
        </w:rPr>
      </w:pPr>
      <w:r>
        <w:rPr>
          <w:snapToGrid w:val="0"/>
        </w:rPr>
        <w:t>A</w:t>
      </w:r>
      <w:bookmarkStart w:id="1" w:name="_GoBack"/>
      <w:bookmarkEnd w:id="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No. 84 of 2004 s. 80.]</w:t>
      </w:r>
    </w:p>
    <w:p>
      <w:pPr>
        <w:pStyle w:val="Heading2"/>
      </w:pPr>
      <w:bookmarkStart w:id="2" w:name="_Toc100308603"/>
      <w:bookmarkStart w:id="3" w:name="_Toc100308928"/>
      <w:bookmarkStart w:id="4" w:name="_Toc100309548"/>
      <w:bookmarkStart w:id="5" w:name="_Toc100565508"/>
      <w:bookmarkStart w:id="6" w:name="_Toc107323901"/>
      <w:bookmarkStart w:id="7" w:name="_Toc10749685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07496857"/>
      <w:bookmarkStart w:id="9" w:name="_Toc100565509"/>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w:t>
      </w:r>
    </w:p>
    <w:p>
      <w:pPr>
        <w:pStyle w:val="Heading5"/>
        <w:rPr>
          <w:snapToGrid w:val="0"/>
        </w:rPr>
      </w:pPr>
      <w:bookmarkStart w:id="10" w:name="_Toc107496858"/>
      <w:bookmarkStart w:id="11" w:name="_Toc100565510"/>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12" w:name="_Toc107496859"/>
      <w:bookmarkStart w:id="13" w:name="_Toc100565511"/>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vertAlign w:val="superscript"/>
        </w:rPr>
        <w:t> 1</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vertAlign w:val="superscript"/>
        </w:rPr>
        <w:t> 1</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[Section 3 amended: No. 78 of 1995 s. 120.]</w:t>
      </w:r>
    </w:p>
    <w:p>
      <w:pPr>
        <w:pStyle w:val="Heading5"/>
        <w:spacing w:before="240"/>
        <w:rPr>
          <w:snapToGrid w:val="0"/>
        </w:rPr>
      </w:pPr>
      <w:bookmarkStart w:id="14" w:name="_Toc107496860"/>
      <w:bookmarkStart w:id="15" w:name="_Toc100565512"/>
      <w:r>
        <w:rPr>
          <w:rStyle w:val="CharSectno"/>
        </w:rPr>
        <w:t>4</w:t>
      </w:r>
      <w:r>
        <w:rPr>
          <w:snapToGrid w:val="0"/>
        </w:rPr>
        <w:t>.</w:t>
      </w:r>
      <w:r>
        <w:rPr>
          <w:snapToGrid w:val="0"/>
        </w:rPr>
        <w:tab/>
        <w:t>Convictions to which Act does not apply</w:t>
      </w:r>
      <w:bookmarkEnd w:id="14"/>
      <w:bookmarkEnd w:id="15"/>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No. 78 of 1995 s. 121.]</w:t>
      </w:r>
    </w:p>
    <w:p>
      <w:pPr>
        <w:pStyle w:val="Heading5"/>
        <w:keepNext w:val="0"/>
        <w:keepLines w:val="0"/>
        <w:spacing w:before="240"/>
        <w:rPr>
          <w:snapToGrid w:val="0"/>
        </w:rPr>
      </w:pPr>
      <w:bookmarkStart w:id="16" w:name="_Toc107496861"/>
      <w:bookmarkStart w:id="17" w:name="_Toc100565513"/>
      <w:r>
        <w:rPr>
          <w:rStyle w:val="CharSectno"/>
        </w:rPr>
        <w:t>5</w:t>
      </w:r>
      <w:r>
        <w:rPr>
          <w:snapToGrid w:val="0"/>
        </w:rPr>
        <w:t>.</w:t>
      </w:r>
      <w:r>
        <w:rPr>
          <w:snapToGrid w:val="0"/>
        </w:rPr>
        <w:tab/>
        <w:t>Act binds Crown</w:t>
      </w:r>
      <w:bookmarkEnd w:id="16"/>
      <w:bookmarkEnd w:id="17"/>
    </w:p>
    <w:p>
      <w:pPr>
        <w:pStyle w:val="Subsection"/>
        <w:spacing w:before="100"/>
        <w:rPr>
          <w:snapToGrid w:val="0"/>
        </w:rPr>
      </w:pPr>
      <w:r>
        <w:rPr>
          <w:snapToGrid w:val="0"/>
        </w:rPr>
        <w:tab/>
      </w:r>
      <w:r>
        <w:rPr>
          <w:snapToGrid w:val="0"/>
        </w:rPr>
        <w:tab/>
        <w:t>This Act binds the Crown.</w:t>
      </w:r>
    </w:p>
    <w:p>
      <w:pPr>
        <w:pStyle w:val="Heading2"/>
      </w:pPr>
      <w:bookmarkStart w:id="18" w:name="_Toc100308609"/>
      <w:bookmarkStart w:id="19" w:name="_Toc100308934"/>
      <w:bookmarkStart w:id="20" w:name="_Toc100309554"/>
      <w:bookmarkStart w:id="21" w:name="_Toc100565514"/>
      <w:bookmarkStart w:id="22" w:name="_Toc107323907"/>
      <w:bookmarkStart w:id="23" w:name="_Toc107496862"/>
      <w:r>
        <w:rPr>
          <w:rStyle w:val="CharPartNo"/>
        </w:rPr>
        <w:t>Part 2</w:t>
      </w:r>
      <w:r>
        <w:rPr>
          <w:rStyle w:val="CharDivNo"/>
        </w:rPr>
        <w:t> </w:t>
      </w:r>
      <w:r>
        <w:t>—</w:t>
      </w:r>
      <w:r>
        <w:rPr>
          <w:rStyle w:val="CharDivText"/>
        </w:rPr>
        <w:t> </w:t>
      </w:r>
      <w:r>
        <w:rPr>
          <w:rStyle w:val="CharPartText"/>
        </w:rPr>
        <w:t>Requirements for convictions to become spent</w:t>
      </w:r>
      <w:bookmarkEnd w:id="18"/>
      <w:bookmarkEnd w:id="19"/>
      <w:bookmarkEnd w:id="20"/>
      <w:bookmarkEnd w:id="21"/>
      <w:bookmarkEnd w:id="22"/>
      <w:bookmarkEnd w:id="23"/>
    </w:p>
    <w:p>
      <w:pPr>
        <w:pStyle w:val="Heading5"/>
        <w:rPr>
          <w:snapToGrid w:val="0"/>
        </w:rPr>
      </w:pPr>
      <w:bookmarkStart w:id="24" w:name="_Toc107496863"/>
      <w:bookmarkStart w:id="25" w:name="_Toc100565515"/>
      <w:r>
        <w:rPr>
          <w:rStyle w:val="CharSectno"/>
        </w:rPr>
        <w:t>6</w:t>
      </w:r>
      <w:r>
        <w:rPr>
          <w:snapToGrid w:val="0"/>
        </w:rPr>
        <w:t>.</w:t>
      </w:r>
      <w:r>
        <w:rPr>
          <w:snapToGrid w:val="0"/>
        </w:rPr>
        <w:tab/>
        <w:t>Serious convictions</w:t>
      </w:r>
      <w:bookmarkEnd w:id="24"/>
      <w:bookmarkEnd w:id="25"/>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No. 24 of 1989 s. 3.]</w:t>
      </w:r>
    </w:p>
    <w:p>
      <w:pPr>
        <w:pStyle w:val="Heading5"/>
        <w:rPr>
          <w:snapToGrid w:val="0"/>
        </w:rPr>
      </w:pPr>
      <w:bookmarkStart w:id="26" w:name="_Toc107496864"/>
      <w:bookmarkStart w:id="27" w:name="_Toc100565516"/>
      <w:r>
        <w:rPr>
          <w:rStyle w:val="CharSectno"/>
        </w:rPr>
        <w:t>7</w:t>
      </w:r>
      <w:r>
        <w:rPr>
          <w:snapToGrid w:val="0"/>
        </w:rPr>
        <w:t>.</w:t>
      </w:r>
      <w:r>
        <w:rPr>
          <w:snapToGrid w:val="0"/>
        </w:rPr>
        <w:tab/>
        <w:t>Lesser convictions</w:t>
      </w:r>
      <w:bookmarkEnd w:id="26"/>
      <w:bookmarkEnd w:id="27"/>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28" w:name="_Toc107496865"/>
      <w:bookmarkStart w:id="29" w:name="_Toc100565517"/>
      <w:r>
        <w:rPr>
          <w:rStyle w:val="CharSectno"/>
        </w:rPr>
        <w:t>8</w:t>
      </w:r>
      <w:r>
        <w:rPr>
          <w:snapToGrid w:val="0"/>
        </w:rPr>
        <w:t>.</w:t>
      </w:r>
      <w:r>
        <w:rPr>
          <w:snapToGrid w:val="0"/>
        </w:rPr>
        <w:tab/>
        <w:t>Convictions in other jurisdictions (Sch. 2)</w:t>
      </w:r>
      <w:bookmarkEnd w:id="28"/>
      <w:bookmarkEnd w:id="29"/>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30" w:name="_Toc107496866"/>
      <w:bookmarkStart w:id="31" w:name="_Toc100565518"/>
      <w:r>
        <w:rPr>
          <w:rStyle w:val="CharSectno"/>
        </w:rPr>
        <w:t>9</w:t>
      </w:r>
      <w:r>
        <w:rPr>
          <w:snapToGrid w:val="0"/>
        </w:rPr>
        <w:t>.</w:t>
      </w:r>
      <w:r>
        <w:rPr>
          <w:snapToGrid w:val="0"/>
        </w:rPr>
        <w:tab/>
        <w:t>Term used: serious conviction</w:t>
      </w:r>
      <w:bookmarkEnd w:id="30"/>
      <w:bookmarkEnd w:id="31"/>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32" w:name="_Toc107496867"/>
      <w:bookmarkStart w:id="33" w:name="_Toc100565519"/>
      <w:r>
        <w:rPr>
          <w:rStyle w:val="CharSectno"/>
        </w:rPr>
        <w:t>10</w:t>
      </w:r>
      <w:r>
        <w:rPr>
          <w:snapToGrid w:val="0"/>
        </w:rPr>
        <w:t>.</w:t>
      </w:r>
      <w:r>
        <w:rPr>
          <w:snapToGrid w:val="0"/>
        </w:rPr>
        <w:tab/>
        <w:t>Term used: lesser conviction</w:t>
      </w:r>
      <w:bookmarkEnd w:id="32"/>
      <w:bookmarkEnd w:id="33"/>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34" w:name="_Toc107496868"/>
      <w:bookmarkStart w:id="35" w:name="_Toc100565520"/>
      <w:r>
        <w:rPr>
          <w:rStyle w:val="CharSectno"/>
        </w:rPr>
        <w:t>11</w:t>
      </w:r>
      <w:r>
        <w:rPr>
          <w:snapToGrid w:val="0"/>
        </w:rPr>
        <w:t>.</w:t>
      </w:r>
      <w:r>
        <w:rPr>
          <w:snapToGrid w:val="0"/>
        </w:rPr>
        <w:tab/>
        <w:t>P</w:t>
      </w:r>
      <w:r>
        <w:t>rescribed period, defined</w:t>
      </w:r>
      <w:bookmarkEnd w:id="34"/>
      <w:bookmarkEnd w:id="35"/>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No. 45 of 2010 s. 10; No. 45 of 2011 s. 13; No. 56 of 2011 s. 13.]</w:t>
      </w:r>
    </w:p>
    <w:p>
      <w:pPr>
        <w:pStyle w:val="Heading2"/>
      </w:pPr>
      <w:bookmarkStart w:id="36" w:name="_Toc100308616"/>
      <w:bookmarkStart w:id="37" w:name="_Toc100308941"/>
      <w:bookmarkStart w:id="38" w:name="_Toc100309561"/>
      <w:bookmarkStart w:id="39" w:name="_Toc100565521"/>
      <w:bookmarkStart w:id="40" w:name="_Toc107323914"/>
      <w:bookmarkStart w:id="41" w:name="_Toc107496869"/>
      <w:r>
        <w:rPr>
          <w:rStyle w:val="CharPartNo"/>
        </w:rPr>
        <w:t>Part 3</w:t>
      </w:r>
      <w:r>
        <w:t> — </w:t>
      </w:r>
      <w:r>
        <w:rPr>
          <w:rStyle w:val="CharPartText"/>
        </w:rPr>
        <w:t>Effect of a conviction becoming spent</w:t>
      </w:r>
      <w:bookmarkEnd w:id="36"/>
      <w:bookmarkEnd w:id="37"/>
      <w:bookmarkEnd w:id="38"/>
      <w:bookmarkEnd w:id="39"/>
      <w:bookmarkEnd w:id="40"/>
      <w:bookmarkEnd w:id="41"/>
    </w:p>
    <w:p>
      <w:pPr>
        <w:pStyle w:val="Heading3"/>
        <w:spacing w:before="260"/>
      </w:pPr>
      <w:bookmarkStart w:id="42" w:name="_Toc100308617"/>
      <w:bookmarkStart w:id="43" w:name="_Toc100308942"/>
      <w:bookmarkStart w:id="44" w:name="_Toc100309562"/>
      <w:bookmarkStart w:id="45" w:name="_Toc100565522"/>
      <w:bookmarkStart w:id="46" w:name="_Toc107323915"/>
      <w:bookmarkStart w:id="47" w:name="_Toc107496870"/>
      <w:r>
        <w:rPr>
          <w:rStyle w:val="CharDivNo"/>
        </w:rPr>
        <w:t>Division 1</w:t>
      </w:r>
      <w:r>
        <w:rPr>
          <w:snapToGrid w:val="0"/>
        </w:rPr>
        <w:t> — </w:t>
      </w:r>
      <w:r>
        <w:rPr>
          <w:rStyle w:val="CharDivText"/>
        </w:rPr>
        <w:t>Application</w:t>
      </w:r>
      <w:bookmarkEnd w:id="42"/>
      <w:bookmarkEnd w:id="43"/>
      <w:bookmarkEnd w:id="44"/>
      <w:bookmarkEnd w:id="45"/>
      <w:bookmarkEnd w:id="46"/>
      <w:bookmarkEnd w:id="47"/>
    </w:p>
    <w:p>
      <w:pPr>
        <w:pStyle w:val="Heading5"/>
        <w:spacing w:before="240"/>
        <w:rPr>
          <w:snapToGrid w:val="0"/>
        </w:rPr>
      </w:pPr>
      <w:bookmarkStart w:id="48" w:name="_Toc107496871"/>
      <w:bookmarkStart w:id="49" w:name="_Toc100565523"/>
      <w:r>
        <w:rPr>
          <w:rStyle w:val="CharSectno"/>
        </w:rPr>
        <w:t>12</w:t>
      </w:r>
      <w:r>
        <w:rPr>
          <w:snapToGrid w:val="0"/>
        </w:rPr>
        <w:t>.</w:t>
      </w:r>
      <w:r>
        <w:rPr>
          <w:snapToGrid w:val="0"/>
        </w:rPr>
        <w:tab/>
        <w:t>Application of Part 3</w:t>
      </w:r>
      <w:bookmarkEnd w:id="48"/>
      <w:bookmarkEnd w:id="49"/>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vertAlign w:val="superscript"/>
        </w:rPr>
        <w:t> 1</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vertAlign w:val="superscript"/>
        </w:rPr>
        <w:t> 3</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No. 78 of 1995 s. 122; No. 10 of 1998 s. 65(1).]</w:t>
      </w:r>
    </w:p>
    <w:p>
      <w:pPr>
        <w:pStyle w:val="Heading5"/>
        <w:spacing w:before="240"/>
        <w:rPr>
          <w:snapToGrid w:val="0"/>
        </w:rPr>
      </w:pPr>
      <w:bookmarkStart w:id="50" w:name="_Toc107496872"/>
      <w:bookmarkStart w:id="51" w:name="_Toc100565524"/>
      <w:r>
        <w:rPr>
          <w:rStyle w:val="CharSectno"/>
        </w:rPr>
        <w:t>13</w:t>
      </w:r>
      <w:r>
        <w:rPr>
          <w:snapToGrid w:val="0"/>
        </w:rPr>
        <w:t>.</w:t>
      </w:r>
      <w:r>
        <w:rPr>
          <w:snapToGrid w:val="0"/>
        </w:rPr>
        <w:tab/>
        <w:t>Effect of Part 3 on other laws</w:t>
      </w:r>
      <w:bookmarkEnd w:id="50"/>
      <w:bookmarkEnd w:id="51"/>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52" w:name="_Toc100308620"/>
      <w:bookmarkStart w:id="53" w:name="_Toc100308945"/>
      <w:bookmarkStart w:id="54" w:name="_Toc100309565"/>
      <w:bookmarkStart w:id="55" w:name="_Toc100565525"/>
      <w:bookmarkStart w:id="56" w:name="_Toc107323918"/>
      <w:bookmarkStart w:id="57" w:name="_Toc107496873"/>
      <w:r>
        <w:rPr>
          <w:rStyle w:val="CharDivNo"/>
        </w:rPr>
        <w:t>Division 2</w:t>
      </w:r>
      <w:r>
        <w:rPr>
          <w:snapToGrid w:val="0"/>
        </w:rPr>
        <w:t> — </w:t>
      </w:r>
      <w:r>
        <w:rPr>
          <w:rStyle w:val="CharDivText"/>
        </w:rPr>
        <w:t>Exceptions</w:t>
      </w:r>
      <w:bookmarkEnd w:id="52"/>
      <w:bookmarkEnd w:id="53"/>
      <w:bookmarkEnd w:id="54"/>
      <w:bookmarkEnd w:id="55"/>
      <w:bookmarkEnd w:id="56"/>
      <w:bookmarkEnd w:id="57"/>
    </w:p>
    <w:p>
      <w:pPr>
        <w:pStyle w:val="Heading5"/>
        <w:spacing w:before="160"/>
        <w:rPr>
          <w:snapToGrid w:val="0"/>
        </w:rPr>
      </w:pPr>
      <w:bookmarkStart w:id="58" w:name="_Toc107496874"/>
      <w:bookmarkStart w:id="59" w:name="_Toc100565526"/>
      <w:r>
        <w:rPr>
          <w:rStyle w:val="CharSectno"/>
        </w:rPr>
        <w:t>14</w:t>
      </w:r>
      <w:r>
        <w:t>.</w:t>
      </w:r>
      <w:r>
        <w:rPr>
          <w:snapToGrid w:val="0"/>
        </w:rPr>
        <w:tab/>
        <w:t>Div. 4 does not affect certain matters</w:t>
      </w:r>
      <w:bookmarkEnd w:id="58"/>
      <w:bookmarkEnd w:id="59"/>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60" w:name="_Toc107496875"/>
      <w:bookmarkStart w:id="61" w:name="_Toc100565527"/>
      <w:r>
        <w:rPr>
          <w:rStyle w:val="CharSectno"/>
        </w:rPr>
        <w:t>15</w:t>
      </w:r>
      <w:r>
        <w:rPr>
          <w:snapToGrid w:val="0"/>
        </w:rPr>
        <w:t>.</w:t>
      </w:r>
      <w:r>
        <w:rPr>
          <w:snapToGrid w:val="0"/>
        </w:rPr>
        <w:tab/>
        <w:t>Bail decisions not affected by s. 25, 26 or 27</w:t>
      </w:r>
      <w:bookmarkEnd w:id="60"/>
      <w:bookmarkEnd w:id="61"/>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62" w:name="_Toc107496876"/>
      <w:bookmarkStart w:id="63" w:name="_Toc100565528"/>
      <w:r>
        <w:rPr>
          <w:rStyle w:val="CharSectno"/>
        </w:rPr>
        <w:t>16</w:t>
      </w:r>
      <w:r>
        <w:rPr>
          <w:snapToGrid w:val="0"/>
        </w:rPr>
        <w:t>.</w:t>
      </w:r>
      <w:r>
        <w:rPr>
          <w:snapToGrid w:val="0"/>
        </w:rPr>
        <w:tab/>
        <w:t>Further exceptions to Part 3</w:t>
      </w:r>
      <w:bookmarkEnd w:id="62"/>
      <w:bookmarkEnd w:id="63"/>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64" w:name="_Toc100308624"/>
      <w:bookmarkStart w:id="65" w:name="_Toc100308949"/>
      <w:bookmarkStart w:id="66" w:name="_Toc100309569"/>
      <w:bookmarkStart w:id="67" w:name="_Toc100565529"/>
      <w:bookmarkStart w:id="68" w:name="_Toc107323922"/>
      <w:bookmarkStart w:id="69" w:name="_Toc107496877"/>
      <w:r>
        <w:rPr>
          <w:rStyle w:val="CharDivNo"/>
        </w:rPr>
        <w:t>Division 3</w:t>
      </w:r>
      <w:r>
        <w:rPr>
          <w:snapToGrid w:val="0"/>
        </w:rPr>
        <w:t> — </w:t>
      </w:r>
      <w:r>
        <w:rPr>
          <w:rStyle w:val="CharDivText"/>
        </w:rPr>
        <w:t>Discrimination on ground of spent conviction</w:t>
      </w:r>
      <w:bookmarkEnd w:id="64"/>
      <w:bookmarkEnd w:id="65"/>
      <w:bookmarkEnd w:id="66"/>
      <w:bookmarkEnd w:id="67"/>
      <w:bookmarkEnd w:id="68"/>
      <w:bookmarkEnd w:id="69"/>
    </w:p>
    <w:p>
      <w:pPr>
        <w:pStyle w:val="Heading5"/>
        <w:spacing w:before="180"/>
        <w:rPr>
          <w:snapToGrid w:val="0"/>
        </w:rPr>
      </w:pPr>
      <w:bookmarkStart w:id="70" w:name="_Toc107496878"/>
      <w:bookmarkStart w:id="71" w:name="_Toc100565530"/>
      <w:r>
        <w:rPr>
          <w:rStyle w:val="CharSectno"/>
        </w:rPr>
        <w:t>17</w:t>
      </w:r>
      <w:r>
        <w:rPr>
          <w:snapToGrid w:val="0"/>
        </w:rPr>
        <w:t>.</w:t>
      </w:r>
      <w:r>
        <w:rPr>
          <w:snapToGrid w:val="0"/>
        </w:rPr>
        <w:tab/>
        <w:t>Terms used</w:t>
      </w:r>
      <w:bookmarkEnd w:id="70"/>
      <w:bookmarkEnd w:id="71"/>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72" w:name="_Toc107496879"/>
      <w:bookmarkStart w:id="73" w:name="_Toc100565531"/>
      <w:r>
        <w:rPr>
          <w:rStyle w:val="CharSectno"/>
        </w:rPr>
        <w:t>18</w:t>
      </w:r>
      <w:r>
        <w:rPr>
          <w:snapToGrid w:val="0"/>
        </w:rPr>
        <w:t>.</w:t>
      </w:r>
      <w:r>
        <w:rPr>
          <w:snapToGrid w:val="0"/>
        </w:rPr>
        <w:tab/>
        <w:t>Job applicants and employees, discrimination against</w:t>
      </w:r>
      <w:bookmarkEnd w:id="72"/>
      <w:bookmarkEnd w:id="73"/>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74" w:name="_Toc107496880"/>
      <w:bookmarkStart w:id="75" w:name="_Toc100565532"/>
      <w:r>
        <w:rPr>
          <w:rStyle w:val="CharSectno"/>
        </w:rPr>
        <w:t>19</w:t>
      </w:r>
      <w:r>
        <w:rPr>
          <w:snapToGrid w:val="0"/>
        </w:rPr>
        <w:t>.</w:t>
      </w:r>
      <w:r>
        <w:rPr>
          <w:snapToGrid w:val="0"/>
        </w:rPr>
        <w:tab/>
        <w:t>Commission agents, discrimination against</w:t>
      </w:r>
      <w:bookmarkEnd w:id="74"/>
      <w:bookmarkEnd w:id="75"/>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76" w:name="_Toc107496881"/>
      <w:bookmarkStart w:id="77" w:name="_Toc100565533"/>
      <w:r>
        <w:rPr>
          <w:rStyle w:val="CharSectno"/>
        </w:rPr>
        <w:t>20</w:t>
      </w:r>
      <w:r>
        <w:rPr>
          <w:snapToGrid w:val="0"/>
        </w:rPr>
        <w:t>.</w:t>
      </w:r>
      <w:r>
        <w:rPr>
          <w:snapToGrid w:val="0"/>
        </w:rPr>
        <w:tab/>
        <w:t>Contract workers, discrimination against</w:t>
      </w:r>
      <w:bookmarkEnd w:id="76"/>
      <w:bookmarkEnd w:id="77"/>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78" w:name="_Toc107496882"/>
      <w:bookmarkStart w:id="79" w:name="_Toc100565534"/>
      <w:r>
        <w:rPr>
          <w:rStyle w:val="CharSectno"/>
        </w:rPr>
        <w:t>21</w:t>
      </w:r>
      <w:r>
        <w:rPr>
          <w:snapToGrid w:val="0"/>
        </w:rPr>
        <w:t>.</w:t>
      </w:r>
      <w:r>
        <w:rPr>
          <w:snapToGrid w:val="0"/>
        </w:rPr>
        <w:tab/>
        <w:t>Organisations of workers and employers, discrimination by</w:t>
      </w:r>
      <w:bookmarkEnd w:id="78"/>
      <w:bookmarkEnd w:id="79"/>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80" w:name="_Toc107496883"/>
      <w:bookmarkStart w:id="81" w:name="_Toc100565535"/>
      <w:r>
        <w:rPr>
          <w:rStyle w:val="CharSectno"/>
        </w:rPr>
        <w:t>22</w:t>
      </w:r>
      <w:r>
        <w:rPr>
          <w:snapToGrid w:val="0"/>
        </w:rPr>
        <w:t>.</w:t>
      </w:r>
      <w:r>
        <w:rPr>
          <w:snapToGrid w:val="0"/>
        </w:rPr>
        <w:tab/>
        <w:t>Authorities that confer authorisations and qualifications, discrimination by</w:t>
      </w:r>
      <w:bookmarkEnd w:id="80"/>
      <w:bookmarkEnd w:id="81"/>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82" w:name="_Toc107496884"/>
      <w:bookmarkStart w:id="83" w:name="_Toc100565536"/>
      <w:r>
        <w:rPr>
          <w:rStyle w:val="CharSectno"/>
        </w:rPr>
        <w:t>23</w:t>
      </w:r>
      <w:r>
        <w:rPr>
          <w:snapToGrid w:val="0"/>
        </w:rPr>
        <w:t>.</w:t>
      </w:r>
      <w:r>
        <w:rPr>
          <w:snapToGrid w:val="0"/>
        </w:rPr>
        <w:tab/>
        <w:t>Employment agencies, discrimination by</w:t>
      </w:r>
      <w:bookmarkEnd w:id="82"/>
      <w:bookmarkEnd w:id="83"/>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84" w:name="_Toc107496885"/>
      <w:bookmarkStart w:id="85" w:name="_Toc100565537"/>
      <w:r>
        <w:rPr>
          <w:rStyle w:val="CharSectno"/>
        </w:rPr>
        <w:t>24</w:t>
      </w:r>
      <w:r>
        <w:rPr>
          <w:snapToGrid w:val="0"/>
        </w:rPr>
        <w:t>.</w:t>
      </w:r>
      <w:r>
        <w:rPr>
          <w:snapToGrid w:val="0"/>
        </w:rPr>
        <w:tab/>
        <w:t>Enforcement of this Division</w:t>
      </w:r>
      <w:bookmarkEnd w:id="84"/>
      <w:bookmarkEnd w:id="85"/>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86" w:name="_Toc100308633"/>
      <w:bookmarkStart w:id="87" w:name="_Toc100308958"/>
      <w:bookmarkStart w:id="88" w:name="_Toc100309578"/>
      <w:bookmarkStart w:id="89" w:name="_Toc100565538"/>
      <w:bookmarkStart w:id="90" w:name="_Toc107323931"/>
      <w:bookmarkStart w:id="91" w:name="_Toc107496886"/>
      <w:r>
        <w:rPr>
          <w:rStyle w:val="CharDivNo"/>
        </w:rPr>
        <w:t>Division 4</w:t>
      </w:r>
      <w:r>
        <w:rPr>
          <w:snapToGrid w:val="0"/>
        </w:rPr>
        <w:t> — </w:t>
      </w:r>
      <w:r>
        <w:rPr>
          <w:rStyle w:val="CharDivText"/>
        </w:rPr>
        <w:t>Other effects</w:t>
      </w:r>
      <w:bookmarkEnd w:id="86"/>
      <w:bookmarkEnd w:id="87"/>
      <w:bookmarkEnd w:id="88"/>
      <w:bookmarkEnd w:id="89"/>
      <w:bookmarkEnd w:id="90"/>
      <w:bookmarkEnd w:id="91"/>
    </w:p>
    <w:p>
      <w:pPr>
        <w:pStyle w:val="Heading5"/>
        <w:rPr>
          <w:snapToGrid w:val="0"/>
        </w:rPr>
      </w:pPr>
      <w:bookmarkStart w:id="92" w:name="_Toc107496887"/>
      <w:bookmarkStart w:id="93" w:name="_Toc100565539"/>
      <w:r>
        <w:rPr>
          <w:rStyle w:val="CharSectno"/>
        </w:rPr>
        <w:t>25</w:t>
      </w:r>
      <w:r>
        <w:rPr>
          <w:snapToGrid w:val="0"/>
        </w:rPr>
        <w:t>.</w:t>
      </w:r>
      <w:r>
        <w:rPr>
          <w:snapToGrid w:val="0"/>
        </w:rPr>
        <w:tab/>
        <w:t>Interpretation of written laws</w:t>
      </w:r>
      <w:bookmarkEnd w:id="92"/>
      <w:bookmarkEnd w:id="93"/>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94" w:name="_Toc107496888"/>
      <w:bookmarkStart w:id="95" w:name="_Toc100565540"/>
      <w:r>
        <w:rPr>
          <w:rStyle w:val="CharSectno"/>
        </w:rPr>
        <w:t>26</w:t>
      </w:r>
      <w:r>
        <w:rPr>
          <w:snapToGrid w:val="0"/>
        </w:rPr>
        <w:t>.</w:t>
      </w:r>
      <w:r>
        <w:rPr>
          <w:snapToGrid w:val="0"/>
        </w:rPr>
        <w:tab/>
        <w:t>Assessment of character under written law</w:t>
      </w:r>
      <w:bookmarkEnd w:id="94"/>
      <w:bookmarkEnd w:id="95"/>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96" w:name="_Toc107496889"/>
      <w:bookmarkStart w:id="97" w:name="_Toc100565541"/>
      <w:r>
        <w:rPr>
          <w:rStyle w:val="CharSectno"/>
        </w:rPr>
        <w:t>27</w:t>
      </w:r>
      <w:r>
        <w:rPr>
          <w:snapToGrid w:val="0"/>
        </w:rPr>
        <w:t>.</w:t>
      </w:r>
      <w:r>
        <w:rPr>
          <w:snapToGrid w:val="0"/>
        </w:rPr>
        <w:tab/>
        <w:t>Disclosure or acknowledgment of spent convictions</w:t>
      </w:r>
      <w:bookmarkEnd w:id="96"/>
      <w:bookmarkEnd w:id="97"/>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98" w:name="_Toc107496890"/>
      <w:bookmarkStart w:id="99" w:name="_Toc100565542"/>
      <w:r>
        <w:rPr>
          <w:rStyle w:val="CharSectno"/>
        </w:rPr>
        <w:t>28</w:t>
      </w:r>
      <w:r>
        <w:rPr>
          <w:snapToGrid w:val="0"/>
        </w:rPr>
        <w:t>.</w:t>
      </w:r>
      <w:r>
        <w:rPr>
          <w:snapToGrid w:val="0"/>
        </w:rPr>
        <w:tab/>
        <w:t>Unlawful access to criminal records</w:t>
      </w:r>
      <w:bookmarkEnd w:id="98"/>
      <w:bookmarkEnd w:id="99"/>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or a person with disability;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No. 7 of 2010 s. 27; No. 48 of 2020 s. 85.]</w:t>
      </w:r>
    </w:p>
    <w:p>
      <w:pPr>
        <w:pStyle w:val="Heading2"/>
      </w:pPr>
      <w:bookmarkStart w:id="100" w:name="_Toc100308638"/>
      <w:bookmarkStart w:id="101" w:name="_Toc100308963"/>
      <w:bookmarkStart w:id="102" w:name="_Toc100309583"/>
      <w:bookmarkStart w:id="103" w:name="_Toc100565543"/>
      <w:bookmarkStart w:id="104" w:name="_Toc107323936"/>
      <w:bookmarkStart w:id="105" w:name="_Toc107496891"/>
      <w:r>
        <w:rPr>
          <w:rStyle w:val="CharPartNo"/>
        </w:rPr>
        <w:t>Part 4</w:t>
      </w:r>
      <w:r>
        <w:rPr>
          <w:rStyle w:val="CharDivNo"/>
        </w:rPr>
        <w:t> </w:t>
      </w:r>
      <w:r>
        <w:t>—</w:t>
      </w:r>
      <w:r>
        <w:rPr>
          <w:rStyle w:val="CharDivText"/>
        </w:rPr>
        <w:t> </w:t>
      </w:r>
      <w:r>
        <w:rPr>
          <w:rStyle w:val="CharPartText"/>
        </w:rPr>
        <w:t>Miscellaneous</w:t>
      </w:r>
      <w:bookmarkEnd w:id="100"/>
      <w:bookmarkEnd w:id="101"/>
      <w:bookmarkEnd w:id="102"/>
      <w:bookmarkEnd w:id="103"/>
      <w:bookmarkEnd w:id="104"/>
      <w:bookmarkEnd w:id="105"/>
    </w:p>
    <w:p>
      <w:pPr>
        <w:pStyle w:val="Heading5"/>
        <w:rPr>
          <w:snapToGrid w:val="0"/>
        </w:rPr>
      </w:pPr>
      <w:bookmarkStart w:id="106" w:name="_Toc107496892"/>
      <w:bookmarkStart w:id="107" w:name="_Toc100565544"/>
      <w:r>
        <w:rPr>
          <w:rStyle w:val="CharSectno"/>
        </w:rPr>
        <w:t>29</w:t>
      </w:r>
      <w:r>
        <w:rPr>
          <w:snapToGrid w:val="0"/>
        </w:rPr>
        <w:t>.</w:t>
      </w:r>
      <w:r>
        <w:rPr>
          <w:snapToGrid w:val="0"/>
        </w:rPr>
        <w:tab/>
      </w:r>
      <w:r>
        <w:rPr>
          <w:i/>
          <w:snapToGrid w:val="0"/>
        </w:rPr>
        <w:t>Equal Opportunity Act 1984</w:t>
      </w:r>
      <w:r>
        <w:rPr>
          <w:snapToGrid w:val="0"/>
        </w:rPr>
        <w:t>, application of</w:t>
      </w:r>
      <w:bookmarkEnd w:id="106"/>
      <w:bookmarkEnd w:id="107"/>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08" w:name="_Toc107496893"/>
      <w:bookmarkStart w:id="109" w:name="_Toc100565545"/>
      <w:r>
        <w:rPr>
          <w:rStyle w:val="CharSectno"/>
        </w:rPr>
        <w:t>30</w:t>
      </w:r>
      <w:r>
        <w:rPr>
          <w:snapToGrid w:val="0"/>
        </w:rPr>
        <w:t>.</w:t>
      </w:r>
      <w:r>
        <w:rPr>
          <w:snapToGrid w:val="0"/>
        </w:rPr>
        <w:tab/>
        <w:t>Spent conviction not revived after parole or early release cancelled</w:t>
      </w:r>
      <w:bookmarkEnd w:id="108"/>
      <w:bookmarkEnd w:id="109"/>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4</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vertAlign w:val="superscript"/>
        </w:rPr>
        <w:t> 2</w:t>
      </w:r>
      <w:r>
        <w:rPr>
          <w:snapToGrid w:val="0"/>
        </w:rPr>
        <w:t>.</w:t>
      </w:r>
    </w:p>
    <w:p>
      <w:pPr>
        <w:pStyle w:val="Footnotesection"/>
      </w:pPr>
      <w:r>
        <w:tab/>
        <w:t>[Section 30 inserted: No. 78 of 1995 s. 123; amended: No. 50 of 2003 s. 29(3).]</w:t>
      </w:r>
    </w:p>
    <w:p>
      <w:pPr>
        <w:pStyle w:val="Heading5"/>
        <w:rPr>
          <w:snapToGrid w:val="0"/>
        </w:rPr>
      </w:pPr>
      <w:bookmarkStart w:id="110" w:name="_Toc107496894"/>
      <w:bookmarkStart w:id="111" w:name="_Toc100565546"/>
      <w:r>
        <w:rPr>
          <w:rStyle w:val="CharSectno"/>
        </w:rPr>
        <w:t>31</w:t>
      </w:r>
      <w:r>
        <w:rPr>
          <w:snapToGrid w:val="0"/>
        </w:rPr>
        <w:t>.</w:t>
      </w:r>
      <w:r>
        <w:rPr>
          <w:snapToGrid w:val="0"/>
        </w:rPr>
        <w:tab/>
        <w:t>Prerogative of mercy not affected</w:t>
      </w:r>
      <w:bookmarkEnd w:id="110"/>
      <w:bookmarkEnd w:id="111"/>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12" w:name="_Toc107496895"/>
      <w:bookmarkStart w:id="113" w:name="_Toc100565547"/>
      <w:r>
        <w:rPr>
          <w:rStyle w:val="CharSectno"/>
        </w:rPr>
        <w:t>32</w:t>
      </w:r>
      <w:r>
        <w:rPr>
          <w:snapToGrid w:val="0"/>
        </w:rPr>
        <w:t>.</w:t>
      </w:r>
      <w:r>
        <w:rPr>
          <w:snapToGrid w:val="0"/>
        </w:rPr>
        <w:tab/>
        <w:t>Act applies to convictions incurred before commencement</w:t>
      </w:r>
      <w:bookmarkEnd w:id="112"/>
      <w:bookmarkEnd w:id="113"/>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14" w:name="_Toc107496896"/>
      <w:bookmarkStart w:id="115" w:name="_Toc100565548"/>
      <w:r>
        <w:rPr>
          <w:rStyle w:val="CharSectno"/>
        </w:rPr>
        <w:t>33</w:t>
      </w:r>
      <w:r>
        <w:rPr>
          <w:snapToGrid w:val="0"/>
        </w:rPr>
        <w:t>.</w:t>
      </w:r>
      <w:r>
        <w:rPr>
          <w:snapToGrid w:val="0"/>
        </w:rPr>
        <w:tab/>
        <w:t>Regulations</w:t>
      </w:r>
      <w:bookmarkEnd w:id="114"/>
      <w:bookmarkEnd w:id="11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16" w:name="_Toc100308644"/>
      <w:bookmarkStart w:id="117" w:name="_Toc100308969"/>
      <w:bookmarkStart w:id="118" w:name="_Toc100309589"/>
      <w:bookmarkStart w:id="119" w:name="_Toc100565549"/>
      <w:bookmarkStart w:id="120" w:name="_Toc107323942"/>
      <w:bookmarkStart w:id="121" w:name="_Toc107496897"/>
      <w:r>
        <w:rPr>
          <w:rStyle w:val="CharSchNo"/>
        </w:rPr>
        <w:t>Schedule 1</w:t>
      </w:r>
      <w:r>
        <w:t> — </w:t>
      </w:r>
      <w:r>
        <w:rPr>
          <w:rStyle w:val="CharSchText"/>
        </w:rPr>
        <w:t>Provisions relating to application under section 6(1)</w:t>
      </w:r>
      <w:bookmarkEnd w:id="116"/>
      <w:bookmarkEnd w:id="117"/>
      <w:bookmarkEnd w:id="118"/>
      <w:bookmarkEnd w:id="119"/>
      <w:bookmarkEnd w:id="120"/>
      <w:bookmarkEnd w:id="121"/>
    </w:p>
    <w:p>
      <w:pPr>
        <w:pStyle w:val="yShoulderClause"/>
        <w:rPr>
          <w:snapToGrid w:val="0"/>
        </w:rPr>
      </w:pPr>
      <w:r>
        <w:rPr>
          <w:snapToGrid w:val="0"/>
        </w:rPr>
        <w:t>[s. 6(3)]</w:t>
      </w:r>
    </w:p>
    <w:p>
      <w:pPr>
        <w:pStyle w:val="yFootnoteheading"/>
      </w:pPr>
      <w:r>
        <w:tab/>
        <w:t>[Heading amended: No. 19 of 2010 s. 4.]</w:t>
      </w:r>
    </w:p>
    <w:p>
      <w:pPr>
        <w:pStyle w:val="yHeading5"/>
      </w:pPr>
      <w:bookmarkStart w:id="122" w:name="_Toc107496898"/>
      <w:bookmarkStart w:id="123" w:name="_Toc100565550"/>
      <w:r>
        <w:rPr>
          <w:rStyle w:val="CharSClsNo"/>
        </w:rPr>
        <w:t>1</w:t>
      </w:r>
      <w:r>
        <w:t>.</w:t>
      </w:r>
      <w:r>
        <w:tab/>
        <w:t>Application under s. 6(1)</w:t>
      </w:r>
      <w:bookmarkEnd w:id="122"/>
      <w:bookmarkEnd w:id="123"/>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24" w:name="_Toc107496899"/>
      <w:bookmarkStart w:id="125" w:name="_Toc100565551"/>
      <w:r>
        <w:rPr>
          <w:rStyle w:val="CharSClsNo"/>
        </w:rPr>
        <w:t>2</w:t>
      </w:r>
      <w:r>
        <w:rPr>
          <w:snapToGrid w:val="0"/>
        </w:rPr>
        <w:t xml:space="preserve">. </w:t>
      </w:r>
      <w:r>
        <w:rPr>
          <w:snapToGrid w:val="0"/>
        </w:rPr>
        <w:tab/>
        <w:t>Parties to application</w:t>
      </w:r>
      <w:bookmarkEnd w:id="124"/>
      <w:bookmarkEnd w:id="125"/>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26" w:name="_Toc107496900"/>
      <w:bookmarkStart w:id="127" w:name="_Toc100565552"/>
      <w:r>
        <w:rPr>
          <w:rStyle w:val="CharSClsNo"/>
        </w:rPr>
        <w:t>3</w:t>
      </w:r>
      <w:r>
        <w:rPr>
          <w:snapToGrid w:val="0"/>
        </w:rPr>
        <w:t xml:space="preserve">. </w:t>
      </w:r>
      <w:r>
        <w:rPr>
          <w:snapToGrid w:val="0"/>
        </w:rPr>
        <w:tab/>
        <w:t>Hearing of application</w:t>
      </w:r>
      <w:bookmarkEnd w:id="126"/>
      <w:bookmarkEnd w:id="127"/>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28" w:name="_Toc107496901"/>
      <w:bookmarkStart w:id="129" w:name="_Toc100565553"/>
      <w:r>
        <w:rPr>
          <w:rStyle w:val="CharSClsNo"/>
        </w:rPr>
        <w:t>4</w:t>
      </w:r>
      <w:r>
        <w:rPr>
          <w:snapToGrid w:val="0"/>
        </w:rPr>
        <w:t xml:space="preserve">. </w:t>
      </w:r>
      <w:r>
        <w:rPr>
          <w:snapToGrid w:val="0"/>
        </w:rPr>
        <w:tab/>
        <w:t>Rules of evidence not to apply</w:t>
      </w:r>
      <w:bookmarkEnd w:id="128"/>
      <w:bookmarkEnd w:id="129"/>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30" w:name="_Toc107496902"/>
      <w:bookmarkStart w:id="131" w:name="_Toc100565554"/>
      <w:r>
        <w:rPr>
          <w:rStyle w:val="CharSClsNo"/>
        </w:rPr>
        <w:t>5</w:t>
      </w:r>
      <w:r>
        <w:rPr>
          <w:snapToGrid w:val="0"/>
        </w:rPr>
        <w:t xml:space="preserve">. </w:t>
      </w:r>
      <w:r>
        <w:rPr>
          <w:snapToGrid w:val="0"/>
        </w:rPr>
        <w:tab/>
        <w:t>Powers of judge and officers</w:t>
      </w:r>
      <w:bookmarkEnd w:id="130"/>
      <w:bookmarkEnd w:id="131"/>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32" w:name="_Toc107496903"/>
      <w:bookmarkStart w:id="133" w:name="_Toc100565555"/>
      <w:r>
        <w:rPr>
          <w:rStyle w:val="CharSClsNo"/>
        </w:rPr>
        <w:t>6</w:t>
      </w:r>
      <w:r>
        <w:rPr>
          <w:snapToGrid w:val="0"/>
        </w:rPr>
        <w:t xml:space="preserve">. </w:t>
      </w:r>
      <w:r>
        <w:rPr>
          <w:snapToGrid w:val="0"/>
        </w:rPr>
        <w:tab/>
        <w:t>Witnesses</w:t>
      </w:r>
      <w:bookmarkEnd w:id="132"/>
      <w:bookmarkEnd w:id="133"/>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34" w:name="_Toc107496904"/>
      <w:bookmarkStart w:id="135" w:name="_Toc100565556"/>
      <w:r>
        <w:rPr>
          <w:rStyle w:val="CharSClsNo"/>
        </w:rPr>
        <w:t>7</w:t>
      </w:r>
      <w:r>
        <w:rPr>
          <w:snapToGrid w:val="0"/>
        </w:rPr>
        <w:t xml:space="preserve">. </w:t>
      </w:r>
      <w:r>
        <w:rPr>
          <w:snapToGrid w:val="0"/>
        </w:rPr>
        <w:tab/>
        <w:t>Alternatives to holding hearing</w:t>
      </w:r>
      <w:bookmarkEnd w:id="134"/>
      <w:bookmarkEnd w:id="135"/>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36" w:name="_Toc107496905"/>
      <w:bookmarkStart w:id="137" w:name="_Toc100565557"/>
      <w:r>
        <w:rPr>
          <w:rStyle w:val="CharSClsNo"/>
        </w:rPr>
        <w:t>8</w:t>
      </w:r>
      <w:r>
        <w:rPr>
          <w:snapToGrid w:val="0"/>
        </w:rPr>
        <w:t xml:space="preserve">. </w:t>
      </w:r>
      <w:r>
        <w:rPr>
          <w:snapToGrid w:val="0"/>
        </w:rPr>
        <w:tab/>
        <w:t>Costs</w:t>
      </w:r>
      <w:bookmarkEnd w:id="136"/>
      <w:bookmarkEnd w:id="137"/>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38" w:name="_Toc107496906"/>
      <w:bookmarkStart w:id="139" w:name="_Toc100565558"/>
      <w:r>
        <w:rPr>
          <w:rStyle w:val="CharSClsNo"/>
        </w:rPr>
        <w:t>9</w:t>
      </w:r>
      <w:r>
        <w:rPr>
          <w:snapToGrid w:val="0"/>
        </w:rPr>
        <w:t xml:space="preserve">. </w:t>
      </w:r>
      <w:r>
        <w:rPr>
          <w:snapToGrid w:val="0"/>
        </w:rPr>
        <w:tab/>
        <w:t>Court order to be sent to applicant and police</w:t>
      </w:r>
      <w:bookmarkEnd w:id="138"/>
      <w:bookmarkEnd w:id="139"/>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40" w:name="_Toc100308654"/>
      <w:bookmarkStart w:id="141" w:name="_Toc100308979"/>
      <w:bookmarkStart w:id="142" w:name="_Toc100309599"/>
      <w:bookmarkStart w:id="143" w:name="_Toc100565559"/>
      <w:bookmarkStart w:id="144" w:name="_Toc107323952"/>
      <w:bookmarkStart w:id="145" w:name="_Toc107496907"/>
      <w:r>
        <w:rPr>
          <w:rStyle w:val="CharSchNo"/>
        </w:rPr>
        <w:t>Schedule 2</w:t>
      </w:r>
      <w:r>
        <w:t> — </w:t>
      </w:r>
      <w:r>
        <w:rPr>
          <w:rStyle w:val="CharSchText"/>
        </w:rPr>
        <w:t>Convictions in other jurisdictions</w:t>
      </w:r>
      <w:bookmarkEnd w:id="140"/>
      <w:bookmarkEnd w:id="141"/>
      <w:bookmarkEnd w:id="142"/>
      <w:bookmarkEnd w:id="143"/>
      <w:bookmarkEnd w:id="144"/>
      <w:bookmarkEnd w:id="145"/>
    </w:p>
    <w:p>
      <w:pPr>
        <w:pStyle w:val="yShoulderClause"/>
        <w:rPr>
          <w:snapToGrid w:val="0"/>
        </w:rPr>
      </w:pPr>
      <w:r>
        <w:rPr>
          <w:snapToGrid w:val="0"/>
        </w:rPr>
        <w:t>[s. 8]</w:t>
      </w:r>
    </w:p>
    <w:p>
      <w:pPr>
        <w:pStyle w:val="yFootnoteheading"/>
      </w:pPr>
      <w:r>
        <w:tab/>
        <w:t>[Heading amended: No. 19 of 2010 s. 4.]</w:t>
      </w:r>
    </w:p>
    <w:p>
      <w:pPr>
        <w:pStyle w:val="yHeading5"/>
        <w:rPr>
          <w:snapToGrid w:val="0"/>
        </w:rPr>
      </w:pPr>
      <w:bookmarkStart w:id="146" w:name="_Toc107496908"/>
      <w:bookmarkStart w:id="147" w:name="_Toc100565560"/>
      <w:r>
        <w:rPr>
          <w:rStyle w:val="CharSClsNo"/>
        </w:rPr>
        <w:t>1</w:t>
      </w:r>
      <w:r>
        <w:rPr>
          <w:snapToGrid w:val="0"/>
        </w:rPr>
        <w:t xml:space="preserve">. </w:t>
      </w:r>
      <w:r>
        <w:rPr>
          <w:snapToGrid w:val="0"/>
        </w:rPr>
        <w:tab/>
        <w:t>Queensland</w:t>
      </w:r>
      <w:bookmarkEnd w:id="146"/>
      <w:bookmarkEnd w:id="147"/>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48" w:name="_Toc107496909"/>
      <w:bookmarkStart w:id="149" w:name="_Toc100565561"/>
      <w:r>
        <w:rPr>
          <w:rStyle w:val="CharSClsNo"/>
        </w:rPr>
        <w:t>2</w:t>
      </w:r>
      <w:r>
        <w:rPr>
          <w:snapToGrid w:val="0"/>
        </w:rPr>
        <w:t xml:space="preserve">. </w:t>
      </w:r>
      <w:r>
        <w:rPr>
          <w:snapToGrid w:val="0"/>
        </w:rPr>
        <w:tab/>
        <w:t>Commonwealth and Norfolk Island</w:t>
      </w:r>
      <w:bookmarkEnd w:id="148"/>
      <w:bookmarkEnd w:id="149"/>
    </w:p>
    <w:p>
      <w:pPr>
        <w:pStyle w:val="ySubsection"/>
        <w:rPr>
          <w:snapToGrid w:val="0"/>
        </w:rPr>
      </w:pPr>
      <w:r>
        <w:rPr>
          <w:snapToGrid w:val="0"/>
        </w:rPr>
        <w:tab/>
      </w:r>
      <w:r>
        <w:rPr>
          <w:snapToGrid w:val="0"/>
        </w:rPr>
        <w:tab/>
        <w:t>A conviction for an offence against Commonwealth law or a law of Norfolk Island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Gazette 26 Jun 1992 p. 2715.]</w:t>
      </w:r>
    </w:p>
    <w:p>
      <w:pPr>
        <w:pStyle w:val="yHeading5"/>
        <w:rPr>
          <w:snapToGrid w:val="0"/>
        </w:rPr>
      </w:pPr>
      <w:bookmarkStart w:id="150" w:name="_Toc107496910"/>
      <w:bookmarkStart w:id="151" w:name="_Toc100565562"/>
      <w:r>
        <w:rPr>
          <w:rStyle w:val="CharSClsNo"/>
        </w:rPr>
        <w:t>3</w:t>
      </w:r>
      <w:r>
        <w:rPr>
          <w:snapToGrid w:val="0"/>
        </w:rPr>
        <w:t xml:space="preserve">. </w:t>
      </w:r>
      <w:r>
        <w:rPr>
          <w:snapToGrid w:val="0"/>
        </w:rPr>
        <w:tab/>
      </w:r>
      <w:r>
        <w:rPr>
          <w:rStyle w:val="CharSClsNo"/>
        </w:rPr>
        <w:t>New</w:t>
      </w:r>
      <w:r>
        <w:rPr>
          <w:snapToGrid w:val="0"/>
        </w:rPr>
        <w:t xml:space="preserve"> South Wales</w:t>
      </w:r>
      <w:bookmarkEnd w:id="150"/>
      <w:bookmarkEnd w:id="151"/>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[Clause 3 inserted: Gazette 26 Jun 1992 p. 2715.]</w:t>
      </w:r>
    </w:p>
    <w:p>
      <w:pPr>
        <w:pStyle w:val="yScheduleHeading"/>
      </w:pPr>
      <w:bookmarkStart w:id="152" w:name="_Toc100308658"/>
      <w:bookmarkStart w:id="153" w:name="_Toc100308983"/>
      <w:bookmarkStart w:id="154" w:name="_Toc100309603"/>
      <w:bookmarkStart w:id="155" w:name="_Toc100565563"/>
      <w:bookmarkStart w:id="156" w:name="_Toc107323956"/>
      <w:bookmarkStart w:id="157" w:name="_Toc107496911"/>
      <w:r>
        <w:rPr>
          <w:rStyle w:val="CharSchNo"/>
        </w:rPr>
        <w:t>Schedule 3</w:t>
      </w:r>
      <w:r>
        <w:t> — </w:t>
      </w:r>
      <w:r>
        <w:rPr>
          <w:rStyle w:val="CharSchText"/>
        </w:rPr>
        <w:t>Exceptions to Part 3</w:t>
      </w:r>
      <w:bookmarkEnd w:id="152"/>
      <w:bookmarkEnd w:id="153"/>
      <w:bookmarkEnd w:id="154"/>
      <w:bookmarkEnd w:id="155"/>
      <w:bookmarkEnd w:id="156"/>
      <w:bookmarkEnd w:id="157"/>
    </w:p>
    <w:p>
      <w:pPr>
        <w:pStyle w:val="yShoulderClause"/>
        <w:rPr>
          <w:snapToGrid w:val="0"/>
        </w:rPr>
      </w:pPr>
      <w:r>
        <w:rPr>
          <w:snapToGrid w:val="0"/>
        </w:rPr>
        <w:t>[s. 16 and 33]</w:t>
      </w:r>
    </w:p>
    <w:p>
      <w:pPr>
        <w:pStyle w:val="yFootnoteheading"/>
        <w:rPr>
          <w:b/>
          <w:snapToGrid w:val="0"/>
        </w:rPr>
      </w:pPr>
      <w:r>
        <w:tab/>
        <w:t>[Heading inserted: Gazette 26 Jun 1992 p. 2716; amended: No. 19 of 2010 s. 4.]</w:t>
      </w:r>
    </w:p>
    <w:p>
      <w:pPr>
        <w:pStyle w:val="yHeading5"/>
        <w:spacing w:before="240"/>
        <w:rPr>
          <w:snapToGrid w:val="0"/>
        </w:rPr>
      </w:pPr>
      <w:bookmarkStart w:id="158" w:name="_Toc107496912"/>
      <w:bookmarkStart w:id="159" w:name="_Toc100565564"/>
      <w:r>
        <w:rPr>
          <w:rStyle w:val="CharSClsNo"/>
        </w:rPr>
        <w:t>1</w:t>
      </w:r>
      <w:r>
        <w:rPr>
          <w:snapToGrid w:val="0"/>
        </w:rPr>
        <w:t>.</w:t>
      </w:r>
      <w:r>
        <w:rPr>
          <w:snapToGrid w:val="0"/>
        </w:rPr>
        <w:tab/>
      </w:r>
      <w:r>
        <w:t>Exceptions as to all spent convictions</w:t>
      </w:r>
      <w:bookmarkEnd w:id="158"/>
      <w:bookmarkEnd w:id="159"/>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5</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5</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5</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 </w:t>
            </w:r>
          </w:p>
          <w:p>
            <w:pPr>
              <w:pStyle w:val="yTableNAm"/>
              <w:tabs>
                <w:tab w:val="left" w:pos="1041"/>
              </w:tabs>
              <w:ind w:left="1041" w:hanging="1041"/>
            </w:pPr>
            <w:r>
              <w:tab/>
              <w:t>(a)</w:t>
            </w:r>
            <w:r>
              <w:tab/>
              <w:t xml:space="preserve">holds, or is applying for, a provider approval under the </w:t>
            </w:r>
            <w:r>
              <w:rPr>
                <w:i/>
              </w:rPr>
              <w:t>Education and Care Services National Law (Western Australia)</w:t>
            </w:r>
            <w:r>
              <w:t>; or</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1117" w:hanging="1117"/>
            </w:pPr>
            <w:r>
              <w:tab/>
              <w:t>(b)</w:t>
            </w:r>
            <w:r>
              <w:tab/>
              <w:t xml:space="preserve">has, or will have, management or control of an education and care service operated, or to be operated, by a person that — </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w:t>
            </w:r>
            <w:r>
              <w:tab/>
              <w:t>is not an individual; and</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(ii)</w:t>
            </w:r>
            <w:r>
              <w:tab/>
              <w:t xml:space="preserve">holds, or is applying for, a provider approval under the </w:t>
            </w:r>
            <w:r>
              <w:rPr>
                <w:i/>
              </w:rPr>
              <w:t>Education and Care Services National Law (Western Australia)</w:t>
            </w:r>
            <w:r>
              <w:t>.</w:t>
            </w:r>
          </w:p>
        </w:tc>
        <w:tc>
          <w:tcPr>
            <w:tcW w:w="1465" w:type="dxa"/>
          </w:tcPr>
          <w:p>
            <w:pPr>
              <w:pStyle w:val="yTableNAm"/>
            </w:pPr>
          </w:p>
        </w:tc>
      </w:tr>
      <w:tr>
        <w:trPr>
          <w:gridBefore w:val="1"/>
          <w:wBefore w:w="6" w:type="dxa"/>
        </w:trPr>
        <w:tc>
          <w:tcPr>
            <w:tcW w:w="4618" w:type="dxa"/>
            <w:tcBorders>
              <w:bottom w:val="single" w:sz="4" w:space="0" w:color="auto"/>
            </w:tcBorders>
          </w:tcPr>
          <w:p>
            <w:pPr>
              <w:pStyle w:val="yTableNAm"/>
              <w:keepNext/>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keepNext/>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szCs w:val="22"/>
              </w:rPr>
              <w:t xml:space="preserve">Legal Profession </w:t>
            </w:r>
            <w:del w:id="160" w:author="Master Repository Process" w:date="2022-06-30T16:08:00Z">
              <w:r>
                <w:rPr>
                  <w:i/>
                </w:rPr>
                <w:delText>Act 2008</w:delText>
              </w:r>
              <w:r>
                <w:delText>.</w:delText>
              </w:r>
            </w:del>
            <w:ins w:id="161" w:author="Master Repository Process" w:date="2022-06-30T16:08:00Z">
              <w:r>
                <w:rPr>
                  <w:i/>
                  <w:szCs w:val="22"/>
                </w:rPr>
                <w:t>Uniform Law (WA)</w:t>
              </w:r>
              <w:r>
                <w:rPr>
                  <w:szCs w:val="22"/>
                </w:rPr>
                <w:t>.</w:t>
              </w:r>
            </w:ins>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szCs w:val="22"/>
              </w:rPr>
              <w:t xml:space="preserve">Legal Profession </w:t>
            </w:r>
            <w:del w:id="162" w:author="Master Repository Process" w:date="2022-06-30T16:08:00Z">
              <w:r>
                <w:rPr>
                  <w:i/>
                </w:rPr>
                <w:delText>Act 2008</w:delText>
              </w:r>
            </w:del>
            <w:ins w:id="163" w:author="Master Repository Process" w:date="2022-06-30T16:08:00Z">
              <w:r>
                <w:rPr>
                  <w:i/>
                  <w:szCs w:val="22"/>
                </w:rPr>
                <w:t>Uniform Law (WA)</w:t>
              </w:r>
            </w:ins>
            <w:r>
              <w:rPr>
                <w:szCs w:val="22"/>
              </w:rPr>
              <w:t xml:space="preserve"> section</w:t>
            </w:r>
            <w:del w:id="164" w:author="Master Repository Process" w:date="2022-06-30T16:08:00Z">
              <w:r>
                <w:delText xml:space="preserve"> 23</w:delText>
              </w:r>
            </w:del>
            <w:ins w:id="165" w:author="Master Repository Process" w:date="2022-06-30T16:08:00Z">
              <w:r>
                <w:rPr>
                  <w:szCs w:val="22"/>
                </w:rPr>
                <w:t> 21</w:t>
              </w:r>
            </w:ins>
            <w:r>
              <w:rPr>
                <w:szCs w:val="22"/>
              </w:rPr>
              <w:t>.</w:t>
            </w:r>
          </w:p>
        </w:tc>
      </w:tr>
      <w:tr>
        <w:tc>
          <w:tcPr>
            <w:tcW w:w="851" w:type="dxa"/>
          </w:tcPr>
          <w:p>
            <w:pPr>
              <w:pStyle w:val="yTableNAm"/>
            </w:pPr>
            <w:r>
              <w:t>3.</w:t>
            </w:r>
          </w:p>
        </w:tc>
        <w:tc>
          <w:tcPr>
            <w:tcW w:w="5386" w:type="dxa"/>
          </w:tcPr>
          <w:p>
            <w:pPr>
              <w:pStyle w:val="yTableNAm"/>
            </w:pPr>
            <w:r>
              <w:t xml:space="preserve">A person who is </w:t>
            </w:r>
            <w:del w:id="166" w:author="Master Repository Process" w:date="2022-06-30T16:08:00Z">
              <w:r>
                <w:delText>an Australian</w:delText>
              </w:r>
            </w:del>
            <w:ins w:id="167" w:author="Master Repository Process" w:date="2022-06-30T16:08:00Z">
              <w:r>
                <w:rPr>
                  <w:szCs w:val="22"/>
                </w:rPr>
                <w:t>a</w:t>
              </w:r>
            </w:ins>
            <w:r>
              <w:rPr>
                <w:szCs w:val="22"/>
              </w:rPr>
              <w:t xml:space="preserve"> lawyer</w:t>
            </w:r>
            <w:del w:id="168" w:author="Master Repository Process" w:date="2022-06-30T16:08:00Z">
              <w:r>
                <w:delText xml:space="preserve"> within the meaning of the </w:delText>
              </w:r>
              <w:r>
                <w:rPr>
                  <w:i/>
                </w:rPr>
                <w:delText>Legal Profession Act 2008</w:delText>
              </w:r>
            </w:del>
            <w:r>
              <w:rPr>
                <w:szCs w:val="22"/>
              </w:rPr>
              <w:t>.</w:t>
            </w:r>
          </w:p>
        </w:tc>
      </w:tr>
      <w:tr>
        <w:tc>
          <w:tcPr>
            <w:tcW w:w="851" w:type="dxa"/>
          </w:tcPr>
          <w:p>
            <w:pPr>
              <w:pStyle w:val="yTableNAm"/>
            </w:pPr>
            <w:r>
              <w:t>4.</w:t>
            </w:r>
          </w:p>
        </w:tc>
        <w:tc>
          <w:tcPr>
            <w:tcW w:w="5386" w:type="dxa"/>
          </w:tcPr>
          <w:p>
            <w:pPr>
              <w:pStyle w:val="yTableNAm"/>
            </w:pPr>
            <w:r>
              <w:t xml:space="preserve">A </w:t>
            </w:r>
            <w:del w:id="169" w:author="Master Repository Process" w:date="2022-06-30T16:08:00Z">
              <w:r>
                <w:delText xml:space="preserve">person </w:delText>
              </w:r>
            </w:del>
            <w:ins w:id="170" w:author="Master Repository Process" w:date="2022-06-30T16:08:00Z">
              <w:r>
                <w:rPr>
                  <w:szCs w:val="22"/>
                </w:rPr>
                <w:t xml:space="preserve">foreign lawyer </w:t>
              </w:r>
            </w:ins>
            <w:r>
              <w:rPr>
                <w:szCs w:val="22"/>
              </w:rPr>
              <w:t xml:space="preserve">who applies for </w:t>
            </w:r>
            <w:ins w:id="171" w:author="Master Repository Process" w:date="2022-06-30T16:08:00Z">
              <w:r>
                <w:rPr>
                  <w:szCs w:val="22"/>
                </w:rPr>
                <w:t xml:space="preserve">an Australian </w:t>
              </w:r>
            </w:ins>
            <w:r>
              <w:rPr>
                <w:szCs w:val="22"/>
              </w:rPr>
              <w:t xml:space="preserve">registration </w:t>
            </w:r>
            <w:del w:id="172" w:author="Master Repository Process" w:date="2022-06-30T16:08:00Z">
              <w:r>
                <w:delText xml:space="preserve">as a locally registered foreign lawyer </w:delText>
              </w:r>
            </w:del>
            <w:ins w:id="173" w:author="Master Repository Process" w:date="2022-06-30T16:08:00Z">
              <w:r>
                <w:rPr>
                  <w:szCs w:val="22"/>
                </w:rPr>
                <w:t xml:space="preserve">certificate </w:t>
              </w:r>
            </w:ins>
            <w:r>
              <w:rPr>
                <w:szCs w:val="22"/>
              </w:rPr>
              <w:t xml:space="preserve">under the </w:t>
            </w:r>
            <w:r>
              <w:rPr>
                <w:i/>
                <w:szCs w:val="22"/>
              </w:rPr>
              <w:t xml:space="preserve">Legal Profession </w:t>
            </w:r>
            <w:del w:id="174" w:author="Master Repository Process" w:date="2022-06-30T16:08:00Z">
              <w:r>
                <w:rPr>
                  <w:i/>
                </w:rPr>
                <w:delText>Act 2008</w:delText>
              </w:r>
              <w:r>
                <w:delText>.</w:delText>
              </w:r>
            </w:del>
            <w:ins w:id="175" w:author="Master Repository Process" w:date="2022-06-30T16:08:00Z">
              <w:r>
                <w:rPr>
                  <w:i/>
                  <w:szCs w:val="22"/>
                </w:rPr>
                <w:t>Uniform Law (WA)</w:t>
              </w:r>
              <w:r>
                <w:rPr>
                  <w:szCs w:val="22"/>
                </w:rPr>
                <w:t>.</w:t>
              </w:r>
            </w:ins>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szCs w:val="22"/>
              </w:rPr>
              <w:t xml:space="preserve">Legal Profession </w:t>
            </w:r>
            <w:del w:id="176" w:author="Master Repository Process" w:date="2022-06-30T16:08:00Z">
              <w:r>
                <w:rPr>
                  <w:i/>
                </w:rPr>
                <w:delText>Act 2008</w:delText>
              </w:r>
              <w:r>
                <w:delText>.</w:delText>
              </w:r>
            </w:del>
            <w:ins w:id="177" w:author="Master Repository Process" w:date="2022-06-30T16:08:00Z">
              <w:r>
                <w:rPr>
                  <w:i/>
                  <w:szCs w:val="22"/>
                </w:rPr>
                <w:t>Uniform Law (WA)</w:t>
              </w:r>
              <w:r>
                <w:rPr>
                  <w:szCs w:val="22"/>
                </w:rPr>
                <w:t>.</w:t>
              </w:r>
            </w:ins>
          </w:p>
        </w:tc>
      </w:tr>
    </w:tbl>
    <w:p>
      <w:pPr>
        <w:pStyle w:val="ySubsection"/>
      </w:pPr>
      <w:bookmarkStart w:id="178" w:name="_Hlk107321776"/>
      <w:r>
        <w:tab/>
        <w:t>(13)</w:t>
      </w:r>
      <w:r>
        <w:tab/>
        <w:t>The exception in subclause (12) extends to</w:t>
      </w:r>
      <w:del w:id="179" w:author="Master Repository Process" w:date="2022-06-30T16:08:00Z">
        <w:r>
          <w:delText> </w:delText>
        </w:r>
      </w:del>
      <w:ins w:id="180" w:author="Master Repository Process" w:date="2022-06-30T16:08:00Z">
        <w:r>
          <w:t xml:space="preserve"> </w:t>
        </w:r>
      </w:ins>
      <w:r>
        <w:t xml:space="preserve">— </w:t>
      </w:r>
    </w:p>
    <w:p>
      <w:pPr>
        <w:pStyle w:val="yIndenta"/>
      </w:pPr>
      <w:r>
        <w:tab/>
        <w:t>(a)</w:t>
      </w:r>
      <w:r>
        <w:tab/>
        <w:t xml:space="preserve">the Legal Practice Board established under the </w:t>
      </w:r>
      <w:r>
        <w:rPr>
          <w:i/>
          <w:szCs w:val="22"/>
        </w:rPr>
        <w:t xml:space="preserve">Legal Profession </w:t>
      </w:r>
      <w:ins w:id="181" w:author="Master Repository Process" w:date="2022-06-30T16:08:00Z">
        <w:r>
          <w:rPr>
            <w:i/>
            <w:szCs w:val="22"/>
          </w:rPr>
          <w:t xml:space="preserve">Uniform Law Application </w:t>
        </w:r>
      </w:ins>
      <w:r>
        <w:rPr>
          <w:i/>
          <w:szCs w:val="22"/>
        </w:rPr>
        <w:t>Act </w:t>
      </w:r>
      <w:del w:id="182" w:author="Master Repository Process" w:date="2022-06-30T16:08:00Z">
        <w:r>
          <w:rPr>
            <w:i/>
          </w:rPr>
          <w:delText>2008</w:delText>
        </w:r>
      </w:del>
      <w:ins w:id="183" w:author="Master Repository Process" w:date="2022-06-30T16:08:00Z">
        <w:r>
          <w:rPr>
            <w:i/>
            <w:szCs w:val="22"/>
          </w:rPr>
          <w:t>2022</w:t>
        </w:r>
      </w:ins>
      <w:r>
        <w:rPr>
          <w:szCs w:val="22"/>
        </w:rPr>
        <w:t xml:space="preserve"> section</w:t>
      </w:r>
      <w:del w:id="184" w:author="Master Repository Process" w:date="2022-06-30T16:08:00Z">
        <w:r>
          <w:delText xml:space="preserve"> 534;</w:delText>
        </w:r>
      </w:del>
      <w:ins w:id="185" w:author="Master Repository Process" w:date="2022-06-30T16:08:00Z">
        <w:r>
          <w:rPr>
            <w:szCs w:val="22"/>
          </w:rPr>
          <w:t> 30(1);</w:t>
        </w:r>
      </w:ins>
      <w:r>
        <w:rPr>
          <w:szCs w:val="22"/>
        </w:rPr>
        <w:t xml:space="preserve"> and</w:t>
      </w:r>
    </w:p>
    <w:p>
      <w:pPr>
        <w:pStyle w:val="yIndenta"/>
      </w:pPr>
      <w:r>
        <w:tab/>
        <w:t>(b)</w:t>
      </w:r>
      <w:r>
        <w:tab/>
        <w:t xml:space="preserve">the Legal </w:t>
      </w:r>
      <w:del w:id="186" w:author="Master Repository Process" w:date="2022-06-30T16:08:00Z">
        <w:r>
          <w:delText>Profession</w:delText>
        </w:r>
      </w:del>
      <w:ins w:id="187" w:author="Master Repository Process" w:date="2022-06-30T16:08:00Z">
        <w:r>
          <w:t>Services and</w:t>
        </w:r>
      </w:ins>
      <w:r>
        <w:t xml:space="preserve"> Complaints Committee established under the </w:t>
      </w:r>
      <w:r>
        <w:rPr>
          <w:i/>
          <w:szCs w:val="22"/>
        </w:rPr>
        <w:t xml:space="preserve">Legal Profession </w:t>
      </w:r>
      <w:ins w:id="188" w:author="Master Repository Process" w:date="2022-06-30T16:08:00Z">
        <w:r>
          <w:rPr>
            <w:i/>
            <w:szCs w:val="22"/>
          </w:rPr>
          <w:t xml:space="preserve">Uniform Law Application </w:t>
        </w:r>
      </w:ins>
      <w:r>
        <w:rPr>
          <w:i/>
          <w:szCs w:val="22"/>
        </w:rPr>
        <w:t>Act </w:t>
      </w:r>
      <w:del w:id="189" w:author="Master Repository Process" w:date="2022-06-30T16:08:00Z">
        <w:r>
          <w:rPr>
            <w:i/>
          </w:rPr>
          <w:delText>2008</w:delText>
        </w:r>
      </w:del>
      <w:ins w:id="190" w:author="Master Repository Process" w:date="2022-06-30T16:08:00Z">
        <w:r>
          <w:rPr>
            <w:i/>
            <w:szCs w:val="22"/>
          </w:rPr>
          <w:t>2022</w:t>
        </w:r>
      </w:ins>
      <w:r>
        <w:rPr>
          <w:szCs w:val="22"/>
        </w:rPr>
        <w:t xml:space="preserve"> section</w:t>
      </w:r>
      <w:del w:id="191" w:author="Master Repository Process" w:date="2022-06-30T16:08:00Z">
        <w:r>
          <w:delText xml:space="preserve"> 555.</w:delText>
        </w:r>
      </w:del>
      <w:ins w:id="192" w:author="Master Repository Process" w:date="2022-06-30T16:08:00Z">
        <w:r>
          <w:rPr>
            <w:szCs w:val="22"/>
          </w:rPr>
          <w:t> 57(1).</w:t>
        </w:r>
      </w:ins>
    </w:p>
    <w:bookmarkEnd w:id="178"/>
    <w:p>
      <w:pPr>
        <w:pStyle w:val="yFootnotesection"/>
        <w:keepLines w:val="0"/>
      </w:pPr>
      <w:r>
        <w:tab/>
        <w:t>[Clause 1 inserted: Gazette 26 Jun 1992 p. 2716; amended: Act No. 104 of 1994 s. 236; No. 78 of 1995 s. 124; No. 27 of 1996 s. 96; Gazette 27 Feb 1998 p. 1035; 9 Oct 1998 p. 5594; Act No. 43 of 1999 s. 20; No. 47 of 1999 s. 38; Gazette 2 Jun 2000 p. 2667; 28 Jul 2000 p. 4013; 17 Aug 2001 p. 4346; 1 Feb 2002 p. 517; Act No. 48 of 2003 s. 62 (as amended: No. 78 of 2003 s. 35(13)); No. 50 of 2003 s. 29(3); No. 78 of 2003 s. 74(2); No. 59 of 2004 s. 141; Gazette 26 Nov 2004 p. 5312</w:t>
      </w:r>
      <w:r>
        <w:noBreakHyphen/>
        <w:t>13; 31 May 2005 p. 2414</w:t>
      </w:r>
      <w:r>
        <w:noBreakHyphen/>
        <w:t>19; 24 Oct 2006 p. 4491</w:t>
      </w:r>
      <w:r>
        <w:noBreakHyphen/>
        <w:t>2; Act No. 41 of 2006 s. 96; No. 65 of 2006 s. 70; No. 4 of 2008 s. 82; No. 8 of 2008 s. 19; No. 42 of 2009 s. 23; Gazette 18 Aug 2009 p. 3239; 29 Jan 2010 p. 197-9; Act No. 11 of 2012 s. 50; No. 16 of 2012 s. 169; Gazette 17 May 2013 p. 1984; Act No. 25 of 2014 s. 86; No. 35 of 2014 s. 39; No. 3 of 2015 s. 18; Gazette 6 Mar 2015 p. 815</w:t>
      </w:r>
      <w:r>
        <w:noBreakHyphen/>
        <w:t>16; Act No. 11 of 2016 s. 303; No. 19 of 2016 s. 190; No. 41 of 2016 s. 24; No. 18 of 2018 s. </w:t>
      </w:r>
      <w:del w:id="193" w:author="Master Repository Process" w:date="2022-06-30T16:08:00Z">
        <w:r>
          <w:delText>92</w:delText>
        </w:r>
      </w:del>
      <w:ins w:id="194" w:author="Master Repository Process" w:date="2022-06-30T16:08:00Z">
        <w:r>
          <w:t>92; No. 9 of 2022 s. 398</w:t>
        </w:r>
      </w:ins>
      <w:r>
        <w:t>.]</w:t>
      </w:r>
    </w:p>
    <w:p>
      <w:pPr>
        <w:pStyle w:val="yHeading5"/>
        <w:rPr>
          <w:snapToGrid w:val="0"/>
        </w:rPr>
      </w:pPr>
      <w:bookmarkStart w:id="195" w:name="_Toc107496913"/>
      <w:bookmarkStart w:id="196" w:name="_Toc100565565"/>
      <w:r>
        <w:rPr>
          <w:rStyle w:val="CharSClsNo"/>
        </w:rPr>
        <w:t>2</w:t>
      </w:r>
      <w:r>
        <w:rPr>
          <w:snapToGrid w:val="0"/>
        </w:rPr>
        <w:t xml:space="preserve">. </w:t>
      </w:r>
      <w:r>
        <w:rPr>
          <w:snapToGrid w:val="0"/>
        </w:rPr>
        <w:tab/>
        <w:t>Exceptions as to spent convictions for certain offences in order to protect children</w:t>
      </w:r>
      <w:bookmarkEnd w:id="195"/>
      <w:bookmarkEnd w:id="196"/>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keepNext/>
              <w:rPr>
                <w:b/>
                <w:bCs/>
              </w:rPr>
            </w:pPr>
            <w:r>
              <w:rPr>
                <w:b/>
                <w:bCs/>
              </w:rPr>
              <w:t>Person excepted</w:t>
            </w:r>
          </w:p>
        </w:tc>
        <w:tc>
          <w:tcPr>
            <w:tcW w:w="1504" w:type="dxa"/>
            <w:tcBorders>
              <w:top w:val="single" w:sz="4" w:space="0" w:color="auto"/>
              <w:bottom w:val="single" w:sz="4" w:space="0" w:color="auto"/>
            </w:tcBorders>
          </w:tcPr>
          <w:p>
            <w:pPr>
              <w:pStyle w:val="yTableNAm"/>
              <w:keepNext/>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r>
        <w:trPr>
          <w:cantSplit/>
        </w:trPr>
        <w:tc>
          <w:tcPr>
            <w:tcW w:w="6237" w:type="dxa"/>
          </w:tcPr>
          <w:p>
            <w:pPr>
              <w:pStyle w:val="yTableNAm"/>
              <w:ind w:left="568" w:hanging="568"/>
            </w:pPr>
            <w:r>
              <w:t>3.</w:t>
            </w:r>
            <w:r>
              <w:tab/>
            </w:r>
            <w:r>
              <w:rPr>
                <w:szCs w:val="22"/>
              </w:rPr>
              <w:t xml:space="preserve">A person who is disclosing information where the </w:t>
            </w:r>
            <w:r>
              <w:rPr>
                <w:i/>
                <w:iCs/>
                <w:szCs w:val="22"/>
              </w:rPr>
              <w:t xml:space="preserve">Working with Children (Criminal Record Checking) Act 2004 </w:t>
            </w:r>
            <w:r>
              <w:rPr>
                <w:iCs/>
                <w:szCs w:val="22"/>
              </w:rPr>
              <w:t xml:space="preserve">section 39A </w:t>
            </w:r>
            <w:r>
              <w:rPr>
                <w:szCs w:val="22"/>
              </w:rPr>
              <w:t>applies.</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yIndenta"/>
      </w:pPr>
      <w:r>
        <w:tab/>
        <w:t>(a)</w:t>
      </w:r>
      <w:r>
        <w:tab/>
        <w:t xml:space="preserve">the CEO as defined in the </w:t>
      </w:r>
      <w:r>
        <w:rPr>
          <w:i/>
        </w:rPr>
        <w:t>Working with Children (Criminal Record Checking) Act 2004</w:t>
      </w:r>
      <w:r>
        <w:t xml:space="preserve"> section 4; or</w:t>
      </w:r>
    </w:p>
    <w:p>
      <w:pPr>
        <w:pStyle w:val="yIndenta"/>
      </w:pPr>
      <w:r>
        <w:tab/>
        <w:t>(b)</w:t>
      </w:r>
      <w:r>
        <w:tab/>
        <w:t xml:space="preserve">a corresponding authority as defined in the </w:t>
      </w:r>
      <w:r>
        <w:rPr>
          <w:i/>
        </w:rPr>
        <w:t>Working with Children (Criminal Record Checking) Act 2004</w:t>
      </w:r>
      <w:r>
        <w:t xml:space="preserve"> section 37(1) and that agency is a person prescribed under section 28(2).</w:t>
      </w:r>
    </w:p>
    <w:p>
      <w:pPr>
        <w:pStyle w:val="yFootnotesection"/>
      </w:pPr>
      <w:r>
        <w:tab/>
        <w:t>[Clause 2 inserted: Gazette 26 Jun 1992 p. 2716</w:t>
      </w:r>
      <w:r>
        <w:noBreakHyphen/>
        <w:t>17; amended: Act No. 9 of 1994 s. 145; No. 10 of 1998 s. 65(2); No. 36 of 1999 s. 247; Gazette 30 Dec 2003 p. 5727; 26 Nov 2004 p. 5313; 31 May 2005 p. 2420; 24 Oct 2006 p. 4492; Act No. 7 of 2010 s. 28; No. 48 of 2020 s. 86(1) and (2).]</w:t>
      </w:r>
    </w:p>
    <w:p>
      <w:pPr>
        <w:pStyle w:val="yHeading5"/>
      </w:pPr>
      <w:bookmarkStart w:id="197" w:name="_Toc107496914"/>
      <w:bookmarkStart w:id="198" w:name="_Toc100565566"/>
      <w:r>
        <w:rPr>
          <w:rStyle w:val="CharSClsNo"/>
        </w:rPr>
        <w:t>3</w:t>
      </w:r>
      <w:r>
        <w:t>.</w:t>
      </w:r>
      <w:r>
        <w:tab/>
        <w:t xml:space="preserve">Exceptions as to spent convictions relating to the </w:t>
      </w:r>
      <w:r>
        <w:rPr>
          <w:iCs/>
        </w:rPr>
        <w:t>protection of people with disability</w:t>
      </w:r>
      <w:bookmarkEnd w:id="197"/>
      <w:bookmarkEnd w:id="198"/>
    </w:p>
    <w:p>
      <w:pPr>
        <w:pStyle w:val="ySubsection"/>
      </w:pPr>
      <w:r>
        <w:tab/>
        <w:t>(1)</w:t>
      </w:r>
      <w:r>
        <w:tab/>
        <w:t>The persons specified in the Table to this subclause are excepted from the provisions of sections 27 and 28 in respect of all spent convictions.</w:t>
      </w:r>
    </w:p>
    <w:p>
      <w:pPr>
        <w:pStyle w:val="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yTableNAm"/>
              <w:ind w:left="567" w:hanging="567"/>
            </w:pPr>
            <w:r>
              <w:t>1.</w:t>
            </w:r>
            <w:r>
              <w:tab/>
              <w:t xml:space="preserve">A person in respect of whom the </w:t>
            </w:r>
            <w:r>
              <w:rPr>
                <w:i/>
              </w:rPr>
              <w:t>National Disability Insurance Scheme (Worker Screening) Act 2020</w:t>
            </w:r>
            <w:r>
              <w:t xml:space="preserve"> section 33 applies.</w:t>
            </w:r>
          </w:p>
        </w:tc>
      </w:tr>
      <w:tr>
        <w:trPr>
          <w:cantSplit/>
        </w:trPr>
        <w:tc>
          <w:tcPr>
            <w:tcW w:w="6095" w:type="dxa"/>
            <w:noWrap/>
          </w:tcPr>
          <w:p>
            <w:pPr>
              <w:pStyle w:val="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ySubsection"/>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yIndenta"/>
      </w:pPr>
      <w:r>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pPr>
        <w:pStyle w:val="ySubsection"/>
      </w:pPr>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p>
    <w:p>
      <w:pPr>
        <w:pStyle w:val="yIndenta"/>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yIndenta"/>
      </w:pPr>
      <w:r>
        <w:tab/>
        <w:t>(b)</w:t>
      </w:r>
      <w:r>
        <w:tab/>
        <w:t xml:space="preserve">an interstate screening agency as defined in the </w:t>
      </w:r>
      <w:r>
        <w:rPr>
          <w:i/>
        </w:rPr>
        <w:t>National Disability Insurance Scheme (Worker Screening) Act 2020</w:t>
      </w:r>
      <w:r>
        <w:rPr>
          <w:i/>
          <w:iCs/>
        </w:rPr>
        <w:t xml:space="preserve"> </w:t>
      </w:r>
      <w:r>
        <w:t>section 5(1) and that agency is a person prescribed under section 28(2).</w:t>
      </w:r>
    </w:p>
    <w:p>
      <w:pPr>
        <w:pStyle w:val="yFootnotesection"/>
      </w:pPr>
      <w:r>
        <w:tab/>
        <w:t>[Clause 3 inserted: No. 48 of 2020 s. 86(3).]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00" w:name="_Toc100308662"/>
      <w:bookmarkStart w:id="201" w:name="_Toc100308987"/>
      <w:bookmarkStart w:id="202" w:name="_Toc100309607"/>
      <w:bookmarkStart w:id="203" w:name="_Toc100565567"/>
      <w:bookmarkStart w:id="204" w:name="_Toc107323960"/>
      <w:bookmarkStart w:id="205" w:name="_Toc107496915"/>
      <w:r>
        <w:t>Notes</w:t>
      </w:r>
      <w:bookmarkEnd w:id="200"/>
      <w:bookmarkEnd w:id="201"/>
      <w:bookmarkEnd w:id="202"/>
      <w:bookmarkEnd w:id="203"/>
      <w:bookmarkEnd w:id="204"/>
      <w:bookmarkEnd w:id="205"/>
    </w:p>
    <w:p>
      <w:pPr>
        <w:pStyle w:val="nStatement"/>
      </w:pPr>
      <w:r>
        <w:t xml:space="preserve">This is a compilation of the </w:t>
      </w:r>
      <w:r>
        <w:rPr>
          <w:i/>
          <w:noProof/>
        </w:rPr>
        <w:t>Spent Convictions Act 1988</w:t>
      </w:r>
      <w:r>
        <w:t xml:space="preserve"> and includes amendments made by other written laws</w:t>
      </w:r>
      <w:ins w:id="206" w:author="Master Repository Process" w:date="2022-06-30T16:08:00Z">
        <w:r>
          <w:rPr>
            <w:vertAlign w:val="superscript"/>
          </w:rPr>
          <w:t> 6, 7</w:t>
        </w:r>
      </w:ins>
      <w:r>
        <w:t xml:space="preserve">. For provisions that have come into operation, and for information about any reprints, see the compilation table. </w:t>
      </w:r>
      <w:del w:id="207" w:author="Master Repository Process" w:date="2022-06-30T16:08:00Z">
        <w:r>
          <w:delText>For provisions that have not yet come into operation see the uncommenced provisions table.</w:delText>
        </w:r>
      </w:del>
    </w:p>
    <w:p>
      <w:pPr>
        <w:pStyle w:val="nHeading3"/>
      </w:pPr>
      <w:bookmarkStart w:id="208" w:name="_Toc107496916"/>
      <w:bookmarkStart w:id="209" w:name="_Toc100565568"/>
      <w:r>
        <w:t>Compilation table</w:t>
      </w:r>
      <w:bookmarkEnd w:id="208"/>
      <w:bookmarkEnd w:id="209"/>
    </w:p>
    <w:tbl>
      <w:tblPr>
        <w:tblW w:w="711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6"/>
        <w:gridCol w:w="1108"/>
        <w:gridCol w:w="25"/>
        <w:gridCol w:w="43"/>
        <w:gridCol w:w="8"/>
        <w:gridCol w:w="1058"/>
        <w:gridCol w:w="25"/>
        <w:gridCol w:w="56"/>
        <w:gridCol w:w="2471"/>
        <w:gridCol w:w="23"/>
      </w:tblGrid>
      <w:tr>
        <w:trPr>
          <w:gridAfter w:val="1"/>
          <w:wAfter w:w="2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4"/>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Act 1988</w:t>
            </w:r>
          </w:p>
        </w:tc>
        <w:tc>
          <w:tcPr>
            <w:tcW w:w="1133" w:type="dxa"/>
            <w:gridSpan w:val="2"/>
          </w:tcPr>
          <w:p>
            <w:pPr>
              <w:pStyle w:val="nTable"/>
              <w:spacing w:after="40"/>
            </w:pPr>
            <w:r>
              <w:t>55 of 1988</w:t>
            </w:r>
          </w:p>
        </w:tc>
        <w:tc>
          <w:tcPr>
            <w:tcW w:w="1134" w:type="dxa"/>
            <w:gridSpan w:val="4"/>
          </w:tcPr>
          <w:p>
            <w:pPr>
              <w:pStyle w:val="nTable"/>
              <w:spacing w:after="40"/>
            </w:pPr>
            <w:r>
              <w:t>8 Dec 1988</w:t>
            </w:r>
          </w:p>
        </w:tc>
        <w:tc>
          <w:tcPr>
            <w:tcW w:w="2550" w:type="dxa"/>
            <w:gridSpan w:val="3"/>
          </w:tcPr>
          <w:p>
            <w:pPr>
              <w:pStyle w:val="nTable"/>
              <w:spacing w:after="40"/>
            </w:pPr>
            <w:r>
              <w:t>s. 1 and 2: 8 Dec 1988;</w:t>
            </w:r>
            <w:r>
              <w:br/>
              <w:t xml:space="preserve">Act other than s. 1 and 2: 1 Jul 1992 (see s.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Amendment Act 1989</w:t>
            </w:r>
          </w:p>
        </w:tc>
        <w:tc>
          <w:tcPr>
            <w:tcW w:w="1133" w:type="dxa"/>
            <w:gridSpan w:val="2"/>
          </w:tcPr>
          <w:p>
            <w:pPr>
              <w:pStyle w:val="nTable"/>
              <w:spacing w:after="40"/>
            </w:pPr>
            <w:r>
              <w:t>24 of 1989</w:t>
            </w:r>
          </w:p>
        </w:tc>
        <w:tc>
          <w:tcPr>
            <w:tcW w:w="1134" w:type="dxa"/>
            <w:gridSpan w:val="4"/>
          </w:tcPr>
          <w:p>
            <w:pPr>
              <w:pStyle w:val="nTable"/>
              <w:spacing w:after="40"/>
            </w:pPr>
            <w:r>
              <w:t>8 Dec 1989</w:t>
            </w:r>
          </w:p>
        </w:tc>
        <w:tc>
          <w:tcPr>
            <w:tcW w:w="2550" w:type="dxa"/>
            <w:gridSpan w:val="3"/>
          </w:tcPr>
          <w:p>
            <w:pPr>
              <w:pStyle w:val="nTable"/>
              <w:spacing w:after="40"/>
            </w:pPr>
            <w:r>
              <w:t>8 Dec 1989 (see s. 2)</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Regulations 1992 </w:t>
            </w:r>
            <w:r>
              <w:t>published:</w:t>
            </w:r>
            <w:r>
              <w:rPr>
                <w:i/>
              </w:rPr>
              <w:t xml:space="preserve"> Gazette</w:t>
            </w:r>
            <w:r>
              <w:t xml:space="preserve"> 26 Jun 1992 p. 2715</w:t>
            </w:r>
            <w:r>
              <w:noBreakHyphen/>
              <w:t>22</w:t>
            </w:r>
          </w:p>
        </w:tc>
        <w:tc>
          <w:tcPr>
            <w:tcW w:w="2550" w:type="dxa"/>
            <w:gridSpan w:val="3"/>
          </w:tcPr>
          <w:p>
            <w:pPr>
              <w:pStyle w:val="nTable"/>
              <w:spacing w:after="40"/>
            </w:pPr>
            <w:r>
              <w:t xml:space="preserve">1 Jul 1992 (see r.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Adoption Act 1994</w:t>
            </w:r>
            <w:r>
              <w:t xml:space="preserve"> s. 145 </w:t>
            </w:r>
          </w:p>
        </w:tc>
        <w:tc>
          <w:tcPr>
            <w:tcW w:w="1133" w:type="dxa"/>
            <w:gridSpan w:val="2"/>
          </w:tcPr>
          <w:p>
            <w:pPr>
              <w:pStyle w:val="nTable"/>
              <w:spacing w:after="40"/>
            </w:pPr>
            <w:r>
              <w:t>9 of 1994</w:t>
            </w:r>
          </w:p>
        </w:tc>
        <w:tc>
          <w:tcPr>
            <w:tcW w:w="1134" w:type="dxa"/>
            <w:gridSpan w:val="4"/>
          </w:tcPr>
          <w:p>
            <w:pPr>
              <w:pStyle w:val="nTable"/>
              <w:spacing w:after="40"/>
            </w:pPr>
            <w:r>
              <w:t>15 Apr 1994</w:t>
            </w:r>
          </w:p>
        </w:tc>
        <w:tc>
          <w:tcPr>
            <w:tcW w:w="2550" w:type="dxa"/>
            <w:gridSpan w:val="3"/>
          </w:tcPr>
          <w:p>
            <w:pPr>
              <w:pStyle w:val="nTable"/>
              <w:spacing w:after="40"/>
            </w:pPr>
            <w:r>
              <w:t xml:space="preserve">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(Amendment of Act, Schedule 3) Regulations 1994 </w:t>
            </w:r>
            <w:r>
              <w:t>published:</w:t>
            </w:r>
            <w:r>
              <w:rPr>
                <w:i/>
              </w:rPr>
              <w:t xml:space="preserve"> Gazette</w:t>
            </w:r>
            <w:r>
              <w:t xml:space="preserve"> 12 Jul 1994 p. 3365</w:t>
            </w:r>
            <w:r>
              <w:noBreakHyphen/>
              <w:t>6</w:t>
            </w:r>
          </w:p>
        </w:tc>
        <w:tc>
          <w:tcPr>
            <w:tcW w:w="2550" w:type="dxa"/>
            <w:gridSpan w:val="3"/>
          </w:tcPr>
          <w:p>
            <w:pPr>
              <w:pStyle w:val="nTable"/>
              <w:spacing w:after="40"/>
            </w:pPr>
            <w:r>
              <w:t>12 Jul 1994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Young Offenders Act 1994</w:t>
            </w:r>
            <w:r>
              <w:t xml:space="preserve"> s. 236 </w:t>
            </w:r>
          </w:p>
        </w:tc>
        <w:tc>
          <w:tcPr>
            <w:tcW w:w="1133" w:type="dxa"/>
            <w:gridSpan w:val="2"/>
          </w:tcPr>
          <w:p>
            <w:pPr>
              <w:pStyle w:val="nTable"/>
              <w:spacing w:after="40"/>
            </w:pPr>
            <w:r>
              <w:t>104 of 1994</w:t>
            </w:r>
          </w:p>
        </w:tc>
        <w:tc>
          <w:tcPr>
            <w:tcW w:w="1134" w:type="dxa"/>
            <w:gridSpan w:val="4"/>
          </w:tcPr>
          <w:p>
            <w:pPr>
              <w:pStyle w:val="nTable"/>
              <w:spacing w:after="40"/>
            </w:pPr>
            <w:r>
              <w:t>11 Jan 1995</w:t>
            </w:r>
          </w:p>
        </w:tc>
        <w:tc>
          <w:tcPr>
            <w:tcW w:w="2550" w:type="dxa"/>
            <w:gridSpan w:val="3"/>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Sentencing (Consequential Provisions) Act 1995 </w:t>
            </w:r>
            <w:r>
              <w:t>Pt. 74</w:t>
            </w:r>
          </w:p>
        </w:tc>
        <w:tc>
          <w:tcPr>
            <w:tcW w:w="1133" w:type="dxa"/>
            <w:gridSpan w:val="2"/>
          </w:tcPr>
          <w:p>
            <w:pPr>
              <w:pStyle w:val="nTable"/>
              <w:spacing w:after="40"/>
            </w:pPr>
            <w:r>
              <w:t>78 of 1995</w:t>
            </w:r>
          </w:p>
        </w:tc>
        <w:tc>
          <w:tcPr>
            <w:tcW w:w="1134" w:type="dxa"/>
            <w:gridSpan w:val="4"/>
          </w:tcPr>
          <w:p>
            <w:pPr>
              <w:pStyle w:val="nTable"/>
              <w:spacing w:after="40"/>
            </w:pPr>
            <w:r>
              <w:t>16 Jan 1996</w:t>
            </w:r>
          </w:p>
        </w:tc>
        <w:tc>
          <w:tcPr>
            <w:tcW w:w="2550" w:type="dxa"/>
            <w:gridSpan w:val="3"/>
          </w:tcPr>
          <w:p>
            <w:pPr>
              <w:pStyle w:val="nTable"/>
              <w:spacing w:after="40"/>
            </w:pPr>
            <w:r>
              <w:t xml:space="preserve">4 Nov 1996 (see s. 2(1) and </w:t>
            </w:r>
            <w:r>
              <w:rPr>
                <w:i/>
              </w:rPr>
              <w:t>Gazette</w:t>
            </w:r>
            <w:r>
              <w:t xml:space="preserve"> 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Security and Related Activities (Control) Act 1996</w:t>
            </w:r>
            <w:r>
              <w:t xml:space="preserve"> s. 96</w:t>
            </w:r>
          </w:p>
        </w:tc>
        <w:tc>
          <w:tcPr>
            <w:tcW w:w="1133" w:type="dxa"/>
            <w:gridSpan w:val="2"/>
          </w:tcPr>
          <w:p>
            <w:pPr>
              <w:pStyle w:val="nTable"/>
              <w:spacing w:after="40"/>
            </w:pPr>
            <w:r>
              <w:t>27 of 1996</w:t>
            </w:r>
          </w:p>
        </w:tc>
        <w:tc>
          <w:tcPr>
            <w:tcW w:w="1134" w:type="dxa"/>
            <w:gridSpan w:val="4"/>
          </w:tcPr>
          <w:p>
            <w:pPr>
              <w:pStyle w:val="nTable"/>
              <w:spacing w:after="40"/>
            </w:pPr>
            <w:r>
              <w:t>22 Jul 1996</w:t>
            </w:r>
          </w:p>
        </w:tc>
        <w:tc>
          <w:tcPr>
            <w:tcW w:w="2550" w:type="dxa"/>
            <w:gridSpan w:val="3"/>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1998 </w:t>
            </w:r>
            <w:r>
              <w:t>published:</w:t>
            </w:r>
            <w:r>
              <w:rPr>
                <w:i/>
              </w:rPr>
              <w:t xml:space="preserve"> Gazette</w:t>
            </w:r>
            <w:r>
              <w:t xml:space="preserve"> 27 Feb 1998 p. 1035</w:t>
            </w:r>
          </w:p>
        </w:tc>
        <w:tc>
          <w:tcPr>
            <w:tcW w:w="2550" w:type="dxa"/>
            <w:gridSpan w:val="3"/>
          </w:tcPr>
          <w:p>
            <w:pPr>
              <w:pStyle w:val="nTable"/>
              <w:spacing w:after="40"/>
            </w:pPr>
            <w:r>
              <w:t>27 Feb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Statutes (Repeals and Minor Amendments) Act (No. 2) 1998 </w:t>
            </w:r>
            <w:r>
              <w:t>s. 65</w:t>
            </w:r>
          </w:p>
        </w:tc>
        <w:tc>
          <w:tcPr>
            <w:tcW w:w="1133" w:type="dxa"/>
            <w:gridSpan w:val="2"/>
          </w:tcPr>
          <w:p>
            <w:pPr>
              <w:pStyle w:val="nTable"/>
              <w:spacing w:after="40"/>
            </w:pPr>
            <w:r>
              <w:t>10 of 1998</w:t>
            </w:r>
          </w:p>
        </w:tc>
        <w:tc>
          <w:tcPr>
            <w:tcW w:w="1134" w:type="dxa"/>
            <w:gridSpan w:val="4"/>
          </w:tcPr>
          <w:p>
            <w:pPr>
              <w:pStyle w:val="nTable"/>
              <w:spacing w:after="40"/>
            </w:pPr>
            <w:r>
              <w:t>30 Apr 1998</w:t>
            </w:r>
          </w:p>
        </w:tc>
        <w:tc>
          <w:tcPr>
            <w:tcW w:w="2550" w:type="dxa"/>
            <w:gridSpan w:val="3"/>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1998 </w:t>
            </w:r>
            <w:r>
              <w:t>published:</w:t>
            </w:r>
            <w:r>
              <w:rPr>
                <w:i/>
              </w:rPr>
              <w:t xml:space="preserve"> Gazette </w:t>
            </w:r>
            <w:r>
              <w:t>5 May 1998 p. 2331</w:t>
            </w:r>
          </w:p>
        </w:tc>
        <w:tc>
          <w:tcPr>
            <w:tcW w:w="2550" w:type="dxa"/>
            <w:gridSpan w:val="3"/>
          </w:tcPr>
          <w:p>
            <w:pPr>
              <w:pStyle w:val="nTable"/>
              <w:spacing w:after="40"/>
            </w:pPr>
            <w:r>
              <w:t>5 May 1998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3) 1998 </w:t>
            </w:r>
            <w:r>
              <w:t>published:</w:t>
            </w:r>
            <w:r>
              <w:rPr>
                <w:i/>
              </w:rPr>
              <w:t xml:space="preserve"> Gazette </w:t>
            </w:r>
            <w:r>
              <w:t>9 Oct 1998 p. 5593</w:t>
            </w:r>
            <w:r>
              <w:noBreakHyphen/>
              <w:t>4</w:t>
            </w:r>
            <w:r>
              <w:rPr>
                <w:i/>
              </w:rPr>
              <w:t xml:space="preserve"> </w:t>
            </w:r>
          </w:p>
        </w:tc>
        <w:tc>
          <w:tcPr>
            <w:tcW w:w="2550" w:type="dxa"/>
            <w:gridSpan w:val="3"/>
          </w:tcPr>
          <w:p>
            <w:pPr>
              <w:pStyle w:val="nTable"/>
              <w:spacing w:after="40"/>
            </w:pPr>
            <w:r>
              <w:t>9 Oct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School Education Act 1999 </w:t>
            </w:r>
            <w:r>
              <w:t>s. 247</w:t>
            </w:r>
          </w:p>
        </w:tc>
        <w:tc>
          <w:tcPr>
            <w:tcW w:w="1133" w:type="dxa"/>
            <w:gridSpan w:val="2"/>
          </w:tcPr>
          <w:p>
            <w:pPr>
              <w:pStyle w:val="nTable"/>
              <w:spacing w:after="40"/>
            </w:pPr>
            <w:r>
              <w:t>36 of 1999</w:t>
            </w:r>
          </w:p>
        </w:tc>
        <w:tc>
          <w:tcPr>
            <w:tcW w:w="1134" w:type="dxa"/>
            <w:gridSpan w:val="4"/>
          </w:tcPr>
          <w:p>
            <w:pPr>
              <w:pStyle w:val="nTable"/>
              <w:spacing w:after="40"/>
            </w:pPr>
            <w:r>
              <w:t>2 Nov 1999</w:t>
            </w:r>
          </w:p>
        </w:tc>
        <w:tc>
          <w:tcPr>
            <w:tcW w:w="2550" w:type="dxa"/>
            <w:gridSpan w:val="3"/>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Prisons Amendment Act 1999 </w:t>
            </w:r>
            <w:r>
              <w:t>s. 20</w:t>
            </w:r>
          </w:p>
        </w:tc>
        <w:tc>
          <w:tcPr>
            <w:tcW w:w="1133" w:type="dxa"/>
            <w:gridSpan w:val="2"/>
          </w:tcPr>
          <w:p>
            <w:pPr>
              <w:pStyle w:val="nTable"/>
              <w:spacing w:after="40"/>
            </w:pPr>
            <w:r>
              <w:t>43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Court Security and Custodial Services (Consequential Provisions) Act 1999 </w:t>
            </w:r>
            <w:r>
              <w:t>Pt. 11</w:t>
            </w:r>
          </w:p>
        </w:tc>
        <w:tc>
          <w:tcPr>
            <w:tcW w:w="1133" w:type="dxa"/>
            <w:gridSpan w:val="2"/>
          </w:tcPr>
          <w:p>
            <w:pPr>
              <w:pStyle w:val="nTable"/>
              <w:spacing w:after="40"/>
            </w:pPr>
            <w:r>
              <w:t>47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Spent Convictions (Act Amendment) Regulations 2000</w:t>
            </w:r>
            <w:r>
              <w:t xml:space="preserve"> published:</w:t>
            </w:r>
            <w:r>
              <w:rPr>
                <w:i/>
              </w:rPr>
              <w:t xml:space="preserve"> Gazette</w:t>
            </w:r>
            <w:r>
              <w:t xml:space="preserve"> 2 Jun 2000 p. 2667</w:t>
            </w:r>
          </w:p>
        </w:tc>
        <w:tc>
          <w:tcPr>
            <w:tcW w:w="2550" w:type="dxa"/>
            <w:gridSpan w:val="3"/>
          </w:tcPr>
          <w:p>
            <w:pPr>
              <w:pStyle w:val="nTable"/>
              <w:spacing w:after="40"/>
            </w:pPr>
            <w:r>
              <w:t>2 Jun 2000</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2000 </w:t>
            </w:r>
            <w:r>
              <w:t>published:</w:t>
            </w:r>
            <w:r>
              <w:rPr>
                <w:i/>
              </w:rPr>
              <w:t xml:space="preserve"> Gazette </w:t>
            </w:r>
            <w:r>
              <w:t>28 Jul 2000 p. 4013</w:t>
            </w:r>
          </w:p>
        </w:tc>
        <w:tc>
          <w:tcPr>
            <w:tcW w:w="2550" w:type="dxa"/>
            <w:gridSpan w:val="3"/>
          </w:tcPr>
          <w:p>
            <w:pPr>
              <w:pStyle w:val="nTable"/>
              <w:spacing w:after="40"/>
            </w:pPr>
            <w:r>
              <w:t>28 Jul 2000</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(correction:</w:t>
            </w:r>
            <w:r>
              <w:rPr>
                <w:i/>
              </w:rPr>
              <w:t xml:space="preserve"> Gazette</w:t>
            </w:r>
            <w:r>
              <w:t xml:space="preserve"> 6 Oct 2000 p. 5591)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Spent Convictions (Act Amendment) Regulations (No. 2) 2001</w:t>
            </w:r>
            <w:r>
              <w:t xml:space="preserve"> published:</w:t>
            </w:r>
            <w:r>
              <w:rPr>
                <w:i/>
              </w:rPr>
              <w:t xml:space="preserve"> Gazette</w:t>
            </w:r>
            <w:r>
              <w:t xml:space="preserve"> 17 Aug 2001 p. 4346</w:t>
            </w:r>
          </w:p>
        </w:tc>
        <w:tc>
          <w:tcPr>
            <w:tcW w:w="2550" w:type="dxa"/>
            <w:gridSpan w:val="3"/>
          </w:tcPr>
          <w:p>
            <w:pPr>
              <w:pStyle w:val="nTable"/>
              <w:spacing w:after="40"/>
            </w:pPr>
            <w:r>
              <w:t>17 Aug 2001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(No. 3) 2001 </w:t>
            </w:r>
            <w:r>
              <w:t>published:</w:t>
            </w:r>
            <w:r>
              <w:rPr>
                <w:i/>
              </w:rPr>
              <w:t xml:space="preserve"> Gazette</w:t>
            </w:r>
            <w:r>
              <w:t xml:space="preserve"> 1 Feb 2002 p. 517</w:t>
            </w:r>
          </w:p>
        </w:tc>
        <w:tc>
          <w:tcPr>
            <w:tcW w:w="2550" w:type="dxa"/>
            <w:gridSpan w:val="3"/>
          </w:tcPr>
          <w:p>
            <w:pPr>
              <w:pStyle w:val="nTable"/>
              <w:spacing w:after="40"/>
            </w:pPr>
            <w:r>
              <w:t>1 Feb 2002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Act 2003</w:t>
            </w:r>
            <w:r>
              <w:t xml:space="preserve"> s. 62</w:t>
            </w:r>
          </w:p>
        </w:tc>
        <w:tc>
          <w:tcPr>
            <w:tcW w:w="1133" w:type="dxa"/>
            <w:gridSpan w:val="2"/>
          </w:tcPr>
          <w:p>
            <w:pPr>
              <w:pStyle w:val="nTable"/>
              <w:keepLines/>
              <w:spacing w:after="40"/>
            </w:pPr>
            <w:r>
              <w:t>48 of 2003 (as amended by No. 78 of 2003 s. 35(13))</w:t>
            </w:r>
          </w:p>
        </w:tc>
        <w:tc>
          <w:tcPr>
            <w:tcW w:w="1134" w:type="dxa"/>
            <w:gridSpan w:val="4"/>
          </w:tcPr>
          <w:p>
            <w:pPr>
              <w:pStyle w:val="nTable"/>
              <w:keepLines/>
              <w:spacing w:after="40"/>
            </w:pPr>
            <w:r>
              <w:t>3 Jul 2003</w:t>
            </w:r>
          </w:p>
        </w:tc>
        <w:tc>
          <w:tcPr>
            <w:tcW w:w="2550"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 xml:space="preserve">Sentencing Legislation Amendment and Repeal Act 2003 </w:t>
            </w:r>
            <w:r>
              <w:t>s. 29(3)</w:t>
            </w:r>
          </w:p>
        </w:tc>
        <w:tc>
          <w:tcPr>
            <w:tcW w:w="1133" w:type="dxa"/>
            <w:gridSpan w:val="2"/>
          </w:tcPr>
          <w:p>
            <w:pPr>
              <w:pStyle w:val="nTable"/>
              <w:keepLines/>
              <w:spacing w:after="40"/>
            </w:pPr>
            <w:r>
              <w:t>50 of 2003</w:t>
            </w:r>
          </w:p>
        </w:tc>
        <w:tc>
          <w:tcPr>
            <w:tcW w:w="1134" w:type="dxa"/>
            <w:gridSpan w:val="4"/>
          </w:tcPr>
          <w:p>
            <w:pPr>
              <w:pStyle w:val="nTable"/>
              <w:keepLines/>
              <w:spacing w:after="40"/>
            </w:pPr>
            <w:r>
              <w:t>9 Jul 2003</w:t>
            </w:r>
          </w:p>
        </w:tc>
        <w:tc>
          <w:tcPr>
            <w:tcW w:w="2550" w:type="dxa"/>
            <w:gridSpan w:val="3"/>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Amendment and Repeal Act 2003</w:t>
            </w:r>
            <w:r>
              <w:t xml:space="preserve"> s. 74(2)</w:t>
            </w:r>
          </w:p>
        </w:tc>
        <w:tc>
          <w:tcPr>
            <w:tcW w:w="1133" w:type="dxa"/>
            <w:gridSpan w:val="2"/>
          </w:tcPr>
          <w:p>
            <w:pPr>
              <w:pStyle w:val="nTable"/>
              <w:keepLines/>
              <w:spacing w:after="40"/>
            </w:pPr>
            <w:r>
              <w:t>78 of 2003</w:t>
            </w:r>
          </w:p>
        </w:tc>
        <w:tc>
          <w:tcPr>
            <w:tcW w:w="1134" w:type="dxa"/>
            <w:gridSpan w:val="4"/>
          </w:tcPr>
          <w:p>
            <w:pPr>
              <w:pStyle w:val="nTable"/>
              <w:keepLines/>
              <w:spacing w:after="40"/>
            </w:pPr>
            <w:r>
              <w:t>22 Dec 2003</w:t>
            </w:r>
          </w:p>
        </w:tc>
        <w:tc>
          <w:tcPr>
            <w:tcW w:w="2550" w:type="dxa"/>
            <w:gridSpan w:val="3"/>
          </w:tcPr>
          <w:p>
            <w:pPr>
              <w:pStyle w:val="nTable"/>
              <w:keepLines/>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2003 </w:t>
            </w:r>
            <w:r>
              <w:t>published:</w:t>
            </w:r>
            <w:r>
              <w:rPr>
                <w:i/>
              </w:rPr>
              <w:t xml:space="preserve"> Gazette</w:t>
            </w:r>
            <w:r>
              <w:t xml:space="preserve"> 30 Dec 2003 p. 5726</w:t>
            </w:r>
            <w:r>
              <w:noBreakHyphen/>
              <w:t>7</w:t>
            </w:r>
          </w:p>
        </w:tc>
        <w:tc>
          <w:tcPr>
            <w:tcW w:w="2550" w:type="dxa"/>
            <w:gridSpan w:val="3"/>
          </w:tcPr>
          <w:p>
            <w:pPr>
              <w:pStyle w:val="nTable"/>
              <w:keepLines/>
              <w:spacing w:after="40"/>
            </w:pPr>
            <w:r>
              <w:t>30 Dec 2003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Courts Legislation Amendment and Repeal Act 2004 </w:t>
            </w:r>
            <w:r>
              <w:rPr>
                <w:snapToGrid w:val="0"/>
              </w:rPr>
              <w:t>s. 141</w:t>
            </w:r>
          </w:p>
        </w:tc>
        <w:tc>
          <w:tcPr>
            <w:tcW w:w="1133" w:type="dxa"/>
            <w:gridSpan w:val="2"/>
          </w:tcPr>
          <w:p>
            <w:pPr>
              <w:pStyle w:val="nTable"/>
              <w:keepLines/>
              <w:spacing w:after="40"/>
            </w:pPr>
            <w:r>
              <w:rPr>
                <w:snapToGrid w:val="0"/>
              </w:rPr>
              <w:t>59 of 2004</w:t>
            </w:r>
          </w:p>
        </w:tc>
        <w:tc>
          <w:tcPr>
            <w:tcW w:w="1134" w:type="dxa"/>
            <w:gridSpan w:val="4"/>
          </w:tcPr>
          <w:p>
            <w:pPr>
              <w:pStyle w:val="nTable"/>
              <w:keepLines/>
              <w:spacing w:after="40"/>
            </w:pPr>
            <w:r>
              <w:rPr>
                <w:snapToGrid w:val="0"/>
              </w:rPr>
              <w:t>23 Nov 2004</w:t>
            </w:r>
          </w:p>
        </w:tc>
        <w:tc>
          <w:tcPr>
            <w:tcW w:w="2550" w:type="dxa"/>
            <w:gridSpan w:val="3"/>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snapToGrid w:val="0"/>
              </w:rPr>
            </w:pPr>
            <w:r>
              <w:rPr>
                <w:i/>
              </w:rPr>
              <w:t xml:space="preserve">Spent Convictions (Act Amendment) Regulations 2004 </w:t>
            </w:r>
            <w:r>
              <w:t>published:</w:t>
            </w:r>
            <w:r>
              <w:rPr>
                <w:i/>
              </w:rPr>
              <w:t xml:space="preserve"> Gazette </w:t>
            </w:r>
            <w:r>
              <w:t>26 Nov 2004 p. 5312</w:t>
            </w:r>
            <w:r>
              <w:noBreakHyphen/>
              <w:t>13</w:t>
            </w:r>
          </w:p>
        </w:tc>
        <w:tc>
          <w:tcPr>
            <w:tcW w:w="2550" w:type="dxa"/>
            <w:gridSpan w:val="3"/>
          </w:tcPr>
          <w:p>
            <w:pPr>
              <w:pStyle w:val="nTable"/>
              <w:keepLines/>
              <w:spacing w:after="40"/>
              <w:rPr>
                <w:snapToGrid w:val="0"/>
              </w:rPr>
            </w:pPr>
            <w:r>
              <w:t>26 Nov 2004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gridSpan w:val="2"/>
          </w:tcPr>
          <w:p>
            <w:pPr>
              <w:pStyle w:val="nTable"/>
              <w:keepLines/>
              <w:spacing w:after="40"/>
              <w:rPr>
                <w:snapToGrid w:val="0"/>
              </w:rPr>
            </w:pPr>
            <w:r>
              <w:rPr>
                <w:snapToGrid w:val="0"/>
              </w:rPr>
              <w:t>84 of 2004</w:t>
            </w:r>
          </w:p>
        </w:tc>
        <w:tc>
          <w:tcPr>
            <w:tcW w:w="1134" w:type="dxa"/>
            <w:gridSpan w:val="4"/>
          </w:tcPr>
          <w:p>
            <w:pPr>
              <w:pStyle w:val="nTable"/>
              <w:keepLines/>
              <w:spacing w:after="40"/>
              <w:rPr>
                <w:snapToGrid w:val="0"/>
              </w:rPr>
            </w:pPr>
            <w:r>
              <w:t>16 Dec 2004</w:t>
            </w:r>
          </w:p>
        </w:tc>
        <w:tc>
          <w:tcPr>
            <w:tcW w:w="2550" w:type="dxa"/>
            <w:gridSpan w:val="3"/>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w:t>
            </w:r>
            <w:r>
              <w:rPr>
                <w:i/>
                <w:snapToGrid w:val="0"/>
              </w:rPr>
              <w:t xml:space="preserve"> 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2005 </w:t>
            </w:r>
            <w:r>
              <w:t>published:</w:t>
            </w:r>
            <w:r>
              <w:rPr>
                <w:i/>
              </w:rPr>
              <w:t xml:space="preserve"> Gazette </w:t>
            </w:r>
            <w:r>
              <w:t>31 May 2005 p. 2413</w:t>
            </w:r>
            <w:r>
              <w:noBreakHyphen/>
              <w:t>20</w:t>
            </w:r>
          </w:p>
        </w:tc>
        <w:tc>
          <w:tcPr>
            <w:tcW w:w="2550" w:type="dxa"/>
            <w:gridSpan w:val="3"/>
          </w:tcPr>
          <w:p>
            <w:pPr>
              <w:pStyle w:val="nTable"/>
              <w:keepLines/>
              <w:spacing w:after="40"/>
              <w:rPr>
                <w:snapToGrid w:val="0"/>
              </w:rPr>
            </w:pPr>
            <w:r>
              <w:t>31 May 2005</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2005 </w:t>
            </w:r>
            <w:r>
              <w:t>published:</w:t>
            </w:r>
            <w:r>
              <w:rPr>
                <w:i/>
              </w:rPr>
              <w:t xml:space="preserve"> Gazette </w:t>
            </w:r>
            <w:r>
              <w:t>4 Nov 2005 p. 5319</w:t>
            </w:r>
            <w:r>
              <w:noBreakHyphen/>
              <w:t>20</w:t>
            </w:r>
          </w:p>
        </w:tc>
        <w:tc>
          <w:tcPr>
            <w:tcW w:w="2550" w:type="dxa"/>
            <w:gridSpan w:val="3"/>
          </w:tcPr>
          <w:p>
            <w:pPr>
              <w:pStyle w:val="nTable"/>
              <w:keepLines/>
              <w:spacing w:after="40"/>
              <w:rPr>
                <w:snapToGrid w:val="0"/>
              </w:rPr>
            </w:pPr>
            <w:r>
              <w:t>4 Nov 2005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Parole and Sentencing Legislation Amendment Act 2006 </w:t>
            </w:r>
            <w:r>
              <w:rPr>
                <w:snapToGrid w:val="0"/>
              </w:rPr>
              <w:t>s. 96</w:t>
            </w:r>
          </w:p>
        </w:tc>
        <w:tc>
          <w:tcPr>
            <w:tcW w:w="1133" w:type="dxa"/>
            <w:gridSpan w:val="2"/>
          </w:tcPr>
          <w:p>
            <w:pPr>
              <w:pStyle w:val="nTable"/>
              <w:keepLines/>
              <w:spacing w:after="40"/>
            </w:pPr>
            <w:r>
              <w:t>41 of 2006</w:t>
            </w:r>
          </w:p>
        </w:tc>
        <w:tc>
          <w:tcPr>
            <w:tcW w:w="1134" w:type="dxa"/>
            <w:gridSpan w:val="4"/>
          </w:tcPr>
          <w:p>
            <w:pPr>
              <w:pStyle w:val="nTable"/>
              <w:keepLines/>
              <w:spacing w:after="40"/>
            </w:pPr>
            <w:r>
              <w:t>22 Sep 2006</w:t>
            </w:r>
          </w:p>
        </w:tc>
        <w:tc>
          <w:tcPr>
            <w:tcW w:w="2550" w:type="dxa"/>
            <w:gridSpan w:val="3"/>
          </w:tcPr>
          <w:p>
            <w:pPr>
              <w:pStyle w:val="nTable"/>
              <w:keepLines/>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2006 </w:t>
            </w:r>
            <w:r>
              <w:t>published:</w:t>
            </w:r>
            <w:r>
              <w:rPr>
                <w:i/>
              </w:rPr>
              <w:t xml:space="preserve"> Gazette </w:t>
            </w:r>
            <w:r>
              <w:t>24 Oct 2006 p. 4491</w:t>
            </w:r>
            <w:r>
              <w:noBreakHyphen/>
              <w:t>2</w:t>
            </w:r>
          </w:p>
        </w:tc>
        <w:tc>
          <w:tcPr>
            <w:tcW w:w="2550" w:type="dxa"/>
            <w:gridSpan w:val="3"/>
          </w:tcPr>
          <w:p>
            <w:pPr>
              <w:pStyle w:val="nTable"/>
              <w:keepLines/>
              <w:spacing w:after="40"/>
            </w:pPr>
            <w:r>
              <w:t>24 Oct 2006</w:t>
            </w:r>
          </w:p>
        </w:tc>
      </w:tr>
      <w:tr>
        <w:tblPrEx>
          <w:tblBorders>
            <w:top w:val="single" w:sz="4" w:space="0" w:color="auto"/>
            <w:bottom w:val="single" w:sz="4" w:space="0" w:color="auto"/>
            <w:insideH w:val="single" w:sz="4" w:space="0" w:color="auto"/>
          </w:tblBorders>
        </w:tblPrEx>
        <w:trPr>
          <w:gridBefore w:val="1"/>
          <w:wBefore w:w="28" w:type="dxa"/>
        </w:trPr>
        <w:tc>
          <w:tcPr>
            <w:tcW w:w="2266" w:type="dxa"/>
            <w:gridSpan w:val="2"/>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gridSpan w:val="2"/>
            <w:tcBorders>
              <w:top w:val="nil"/>
              <w:bottom w:val="nil"/>
            </w:tcBorders>
          </w:tcPr>
          <w:p>
            <w:pPr>
              <w:pStyle w:val="nTable"/>
              <w:spacing w:after="40"/>
              <w:rPr>
                <w:snapToGrid w:val="0"/>
              </w:rPr>
            </w:pPr>
            <w:r>
              <w:rPr>
                <w:snapToGrid w:val="0"/>
              </w:rPr>
              <w:t>65 of 2006</w:t>
            </w:r>
          </w:p>
        </w:tc>
        <w:tc>
          <w:tcPr>
            <w:tcW w:w="1134" w:type="dxa"/>
            <w:gridSpan w:val="4"/>
            <w:tcBorders>
              <w:top w:val="nil"/>
              <w:bottom w:val="nil"/>
            </w:tcBorders>
          </w:tcPr>
          <w:p>
            <w:pPr>
              <w:pStyle w:val="nTable"/>
              <w:spacing w:after="40"/>
              <w:rPr>
                <w:snapToGrid w:val="0"/>
              </w:rPr>
            </w:pPr>
            <w:r>
              <w:rPr>
                <w:snapToGrid w:val="0"/>
              </w:rPr>
              <w:t>8 Dec 2006</w:t>
            </w:r>
          </w:p>
        </w:tc>
        <w:tc>
          <w:tcPr>
            <w:tcW w:w="2550" w:type="dxa"/>
            <w:gridSpan w:val="3"/>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gridBefore w:val="1"/>
          <w:wBefore w:w="28" w:type="dxa"/>
          <w:cantSplit/>
        </w:trPr>
        <w:tc>
          <w:tcPr>
            <w:tcW w:w="7083" w:type="dxa"/>
            <w:gridSpan w:val="11"/>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rPr>
              <w:t xml:space="preserve">Police Amendment Act 2008 </w:t>
            </w:r>
            <w:r>
              <w:rPr>
                <w:iCs/>
              </w:rPr>
              <w:t>s. 19</w:t>
            </w:r>
          </w:p>
        </w:tc>
        <w:tc>
          <w:tcPr>
            <w:tcW w:w="1133" w:type="dxa"/>
            <w:gridSpan w:val="2"/>
          </w:tcPr>
          <w:p>
            <w:pPr>
              <w:pStyle w:val="nTable"/>
              <w:spacing w:after="40"/>
            </w:pPr>
            <w:r>
              <w:t>8 of 2008</w:t>
            </w:r>
          </w:p>
        </w:tc>
        <w:tc>
          <w:tcPr>
            <w:tcW w:w="1134" w:type="dxa"/>
            <w:gridSpan w:val="4"/>
          </w:tcPr>
          <w:p>
            <w:pPr>
              <w:pStyle w:val="nTable"/>
              <w:spacing w:after="40"/>
            </w:pPr>
            <w:r>
              <w:t>31 Mar 2008</w:t>
            </w:r>
          </w:p>
        </w:tc>
        <w:tc>
          <w:tcPr>
            <w:tcW w:w="2550" w:type="dxa"/>
            <w:gridSpan w:val="3"/>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gridSpan w:val="2"/>
          </w:tcPr>
          <w:p>
            <w:pPr>
              <w:pStyle w:val="nTable"/>
              <w:spacing w:after="40"/>
            </w:pPr>
            <w:r>
              <w:t>4 of 2008</w:t>
            </w:r>
          </w:p>
        </w:tc>
        <w:tc>
          <w:tcPr>
            <w:tcW w:w="1134" w:type="dxa"/>
            <w:gridSpan w:val="4"/>
          </w:tcPr>
          <w:p>
            <w:pPr>
              <w:pStyle w:val="nTable"/>
              <w:spacing w:after="40"/>
            </w:pPr>
            <w:r>
              <w:t>2 Apr 2008</w:t>
            </w:r>
          </w:p>
        </w:tc>
        <w:tc>
          <w:tcPr>
            <w:tcW w:w="2550" w:type="dxa"/>
            <w:gridSpan w:val="3"/>
          </w:tcPr>
          <w:p>
            <w:pPr>
              <w:pStyle w:val="nTable"/>
              <w:keepNext/>
              <w:keepLines/>
              <w:spacing w:after="40"/>
            </w:pPr>
            <w:r>
              <w:t xml:space="preserve">13 Dec 2009 (see s. 2(b) and </w:t>
            </w:r>
            <w:r>
              <w:rPr>
                <w:i/>
                <w:iCs/>
              </w:rPr>
              <w:t>Gazette</w:t>
            </w:r>
            <w:r>
              <w:t xml:space="preserve"> 4 Dec 2009 p. 4919)</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2009</w:t>
            </w:r>
            <w:r>
              <w:t xml:space="preserve"> published:</w:t>
            </w:r>
            <w:r>
              <w:rPr>
                <w:i/>
              </w:rPr>
              <w:t xml:space="preserve"> Gazette</w:t>
            </w:r>
            <w:r>
              <w:t xml:space="preserve"> 18 Aug 2009 p. 3238-9</w:t>
            </w:r>
          </w:p>
        </w:tc>
        <w:tc>
          <w:tcPr>
            <w:tcW w:w="2550" w:type="dxa"/>
            <w:gridSpan w:val="3"/>
          </w:tcPr>
          <w:p>
            <w:pPr>
              <w:pStyle w:val="nTable"/>
              <w:keepNext/>
              <w:keepLines/>
              <w:spacing w:after="40"/>
            </w:pPr>
            <w:r>
              <w:t>r. 1 and 2: 18 Aug 2009 (see r. 2(a));</w:t>
            </w:r>
            <w:r>
              <w:br/>
              <w:t>Regulations other than r. 1 and 2: 19 Aug 2009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iCs/>
                <w:snapToGrid w:val="0"/>
              </w:rPr>
              <w:t>Police Amendment Act 2009</w:t>
            </w:r>
            <w:r>
              <w:rPr>
                <w:iCs/>
                <w:snapToGrid w:val="0"/>
              </w:rPr>
              <w:t xml:space="preserve"> s. 23</w:t>
            </w:r>
          </w:p>
        </w:tc>
        <w:tc>
          <w:tcPr>
            <w:tcW w:w="1133" w:type="dxa"/>
            <w:gridSpan w:val="2"/>
          </w:tcPr>
          <w:p>
            <w:pPr>
              <w:pStyle w:val="nTable"/>
              <w:spacing w:after="40"/>
            </w:pPr>
            <w:r>
              <w:rPr>
                <w:snapToGrid w:val="0"/>
              </w:rPr>
              <w:t>42 of 2009</w:t>
            </w:r>
          </w:p>
        </w:tc>
        <w:tc>
          <w:tcPr>
            <w:tcW w:w="1134" w:type="dxa"/>
            <w:gridSpan w:val="4"/>
          </w:tcPr>
          <w:p>
            <w:pPr>
              <w:pStyle w:val="nTable"/>
              <w:spacing w:after="40"/>
            </w:pPr>
            <w:r>
              <w:rPr>
                <w:snapToGrid w:val="0"/>
              </w:rPr>
              <w:t>3 Dec 2009</w:t>
            </w:r>
          </w:p>
        </w:tc>
        <w:tc>
          <w:tcPr>
            <w:tcW w:w="2550" w:type="dxa"/>
            <w:gridSpan w:val="3"/>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(No. 2) 2009</w:t>
            </w:r>
            <w:r>
              <w:t xml:space="preserve"> published:</w:t>
            </w:r>
            <w:r>
              <w:rPr>
                <w:i/>
              </w:rPr>
              <w:t xml:space="preserve"> Gazette</w:t>
            </w:r>
            <w:r>
              <w:t xml:space="preserve"> 29 Jan 2010 p. 197-9</w:t>
            </w:r>
          </w:p>
        </w:tc>
        <w:tc>
          <w:tcPr>
            <w:tcW w:w="2550" w:type="dxa"/>
            <w:gridSpan w:val="3"/>
          </w:tcPr>
          <w:p>
            <w:pPr>
              <w:pStyle w:val="nTable"/>
              <w:keepNext/>
              <w:keepLines/>
              <w:spacing w:after="40"/>
            </w:pPr>
            <w:r>
              <w:t>r. 1 and 2: 29 Jan 2010 (see r. 2(a));</w:t>
            </w:r>
            <w:r>
              <w:br/>
              <w:t>Regulations other than r. 1 and 2: 30 Jan 2010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gridSpan w:val="2"/>
          </w:tcPr>
          <w:p>
            <w:pPr>
              <w:pStyle w:val="nTable"/>
              <w:spacing w:after="40"/>
              <w:rPr>
                <w:snapToGrid w:val="0"/>
              </w:rPr>
            </w:pPr>
            <w:r>
              <w:rPr>
                <w:snapToGrid w:val="0"/>
              </w:rPr>
              <w:t>7 of 2010</w:t>
            </w:r>
          </w:p>
        </w:tc>
        <w:tc>
          <w:tcPr>
            <w:tcW w:w="1134" w:type="dxa"/>
            <w:gridSpan w:val="4"/>
          </w:tcPr>
          <w:p>
            <w:pPr>
              <w:pStyle w:val="nTable"/>
              <w:spacing w:after="40"/>
              <w:rPr>
                <w:snapToGrid w:val="0"/>
              </w:rPr>
            </w:pPr>
            <w:r>
              <w:rPr>
                <w:snapToGrid w:val="0"/>
              </w:rPr>
              <w:t>27 May 2010</w:t>
            </w:r>
          </w:p>
        </w:tc>
        <w:tc>
          <w:tcPr>
            <w:tcW w:w="2550" w:type="dxa"/>
            <w:gridSpan w:val="3"/>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4"/>
          </w:tcPr>
          <w:p>
            <w:pPr>
              <w:pStyle w:val="nTable"/>
              <w:spacing w:after="40"/>
              <w:rPr>
                <w:snapToGrid w:val="0"/>
              </w:rPr>
            </w:pPr>
            <w:r>
              <w:rPr>
                <w:snapToGrid w:val="0"/>
              </w:rPr>
              <w:t>28 Jun 2010</w:t>
            </w:r>
          </w:p>
        </w:tc>
        <w:tc>
          <w:tcPr>
            <w:tcW w:w="2550"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Cannabis Law Reform Act 2010</w:t>
            </w:r>
            <w:r>
              <w:rPr>
                <w:iCs/>
                <w:snapToGrid w:val="0"/>
              </w:rPr>
              <w:t xml:space="preserve"> Pt. 4</w:t>
            </w:r>
          </w:p>
        </w:tc>
        <w:tc>
          <w:tcPr>
            <w:tcW w:w="1133" w:type="dxa"/>
            <w:gridSpan w:val="2"/>
          </w:tcPr>
          <w:p>
            <w:pPr>
              <w:pStyle w:val="nTable"/>
              <w:spacing w:after="40"/>
              <w:rPr>
                <w:snapToGrid w:val="0"/>
              </w:rPr>
            </w:pPr>
            <w:r>
              <w:rPr>
                <w:snapToGrid w:val="0"/>
              </w:rPr>
              <w:t>45 of 2010</w:t>
            </w:r>
          </w:p>
        </w:tc>
        <w:tc>
          <w:tcPr>
            <w:tcW w:w="1134" w:type="dxa"/>
            <w:gridSpan w:val="4"/>
          </w:tcPr>
          <w:p>
            <w:pPr>
              <w:pStyle w:val="nTable"/>
              <w:spacing w:after="40"/>
              <w:rPr>
                <w:snapToGrid w:val="0"/>
              </w:rPr>
            </w:pPr>
            <w:r>
              <w:rPr>
                <w:snapToGrid w:val="0"/>
              </w:rPr>
              <w:t>28 Oct 2010</w:t>
            </w:r>
          </w:p>
        </w:tc>
        <w:tc>
          <w:tcPr>
            <w:tcW w:w="2550" w:type="dxa"/>
            <w:gridSpan w:val="3"/>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snapToGrid w:val="0"/>
              </w:rPr>
            </w:pPr>
            <w:r>
              <w:rPr>
                <w:i/>
                <w:snapToGrid w:val="0"/>
              </w:rPr>
              <w:t>Misuse of Drugs Amendment Act 2011</w:t>
            </w:r>
            <w:r>
              <w:rPr>
                <w:snapToGrid w:val="0"/>
              </w:rPr>
              <w:t xml:space="preserve"> Pt. 4</w:t>
            </w:r>
          </w:p>
        </w:tc>
        <w:tc>
          <w:tcPr>
            <w:tcW w:w="1133" w:type="dxa"/>
            <w:gridSpan w:val="2"/>
          </w:tcPr>
          <w:p>
            <w:pPr>
              <w:pStyle w:val="nTable"/>
              <w:spacing w:after="40"/>
              <w:rPr>
                <w:snapToGrid w:val="0"/>
              </w:rPr>
            </w:pPr>
            <w:r>
              <w:rPr>
                <w:snapToGrid w:val="0"/>
              </w:rPr>
              <w:t>56 of 2011</w:t>
            </w:r>
          </w:p>
        </w:tc>
        <w:tc>
          <w:tcPr>
            <w:tcW w:w="1134" w:type="dxa"/>
            <w:gridSpan w:val="4"/>
          </w:tcPr>
          <w:p>
            <w:pPr>
              <w:pStyle w:val="nTable"/>
              <w:spacing w:after="40"/>
              <w:rPr>
                <w:snapToGrid w:val="0"/>
              </w:rPr>
            </w:pPr>
            <w:r>
              <w:t>21 Nov 2011</w:t>
            </w:r>
          </w:p>
        </w:tc>
        <w:tc>
          <w:tcPr>
            <w:tcW w:w="2550" w:type="dxa"/>
            <w:gridSpan w:val="3"/>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gridSpan w:val="2"/>
          </w:tcPr>
          <w:p>
            <w:pPr>
              <w:pStyle w:val="nTable"/>
              <w:spacing w:after="40"/>
              <w:rPr>
                <w:snapToGrid w:val="0"/>
              </w:rPr>
            </w:pPr>
            <w:r>
              <w:rPr>
                <w:snapToGrid w:val="0"/>
              </w:rPr>
              <w:t>11 of 2012</w:t>
            </w:r>
          </w:p>
        </w:tc>
        <w:tc>
          <w:tcPr>
            <w:tcW w:w="1134" w:type="dxa"/>
            <w:gridSpan w:val="4"/>
          </w:tcPr>
          <w:p>
            <w:pPr>
              <w:pStyle w:val="nTable"/>
              <w:spacing w:after="40"/>
              <w:rPr>
                <w:snapToGrid w:val="0"/>
              </w:rPr>
            </w:pPr>
            <w:r>
              <w:t>20 Jun 2012</w:t>
            </w:r>
          </w:p>
        </w:tc>
        <w:tc>
          <w:tcPr>
            <w:tcW w:w="2550" w:type="dxa"/>
            <w:gridSpan w:val="3"/>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Teacher Registration Act 2012 s. 169</w:t>
            </w:r>
          </w:p>
        </w:tc>
        <w:tc>
          <w:tcPr>
            <w:tcW w:w="1133" w:type="dxa"/>
            <w:gridSpan w:val="2"/>
            <w:shd w:val="clear" w:color="auto" w:fill="auto"/>
          </w:tcPr>
          <w:p>
            <w:pPr>
              <w:pStyle w:val="nTable"/>
              <w:spacing w:after="40"/>
              <w:rPr>
                <w:snapToGrid w:val="0"/>
              </w:rPr>
            </w:pPr>
            <w:r>
              <w:rPr>
                <w:snapToGrid w:val="0"/>
              </w:rPr>
              <w:t>16 of 2012</w:t>
            </w:r>
          </w:p>
        </w:tc>
        <w:tc>
          <w:tcPr>
            <w:tcW w:w="1134" w:type="dxa"/>
            <w:gridSpan w:val="4"/>
            <w:shd w:val="clear" w:color="auto" w:fill="auto"/>
          </w:tcPr>
          <w:p>
            <w:pPr>
              <w:pStyle w:val="nTable"/>
              <w:spacing w:after="40"/>
            </w:pPr>
            <w:r>
              <w:t>3 Jul 2012</w:t>
            </w:r>
          </w:p>
        </w:tc>
        <w:tc>
          <w:tcPr>
            <w:tcW w:w="2550" w:type="dxa"/>
            <w:gridSpan w:val="3"/>
            <w:shd w:val="clear" w:color="auto" w:fill="auto"/>
          </w:tcPr>
          <w:p>
            <w:pPr>
              <w:pStyle w:val="nTable"/>
              <w:spacing w:after="40"/>
              <w:rPr>
                <w:snapToGrid w:val="0"/>
              </w:rPr>
            </w:pPr>
            <w:r>
              <w:rPr>
                <w:snapToGrid w:val="0"/>
              </w:rPr>
              <w:t>7 Dec 2012 (see s. 2(b) and Gazette 16 Nov 2012 p. 5637)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shd w:val="clear" w:color="auto" w:fill="auto"/>
          </w:tcPr>
          <w:p>
            <w:pPr>
              <w:pStyle w:val="nTable"/>
              <w:spacing w:after="40"/>
            </w:pPr>
            <w:r>
              <w:rPr>
                <w:i/>
              </w:rPr>
              <w:t xml:space="preserve">Spent Convictions (Act Amendment) Regulations 2013 </w:t>
            </w:r>
            <w:r>
              <w:t>published:</w:t>
            </w:r>
            <w:r>
              <w:rPr>
                <w:i/>
              </w:rPr>
              <w:t xml:space="preserve"> Gazette </w:t>
            </w:r>
            <w:r>
              <w:t>17 May 2013 p. 1984</w:t>
            </w:r>
          </w:p>
        </w:tc>
        <w:tc>
          <w:tcPr>
            <w:tcW w:w="2550" w:type="dxa"/>
            <w:gridSpan w:val="3"/>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6" w:type="dxa"/>
            <w:gridSpan w:val="2"/>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4"/>
            <w:tcBorders>
              <w:top w:val="nil"/>
              <w:bottom w:val="nil"/>
            </w:tcBorders>
            <w:shd w:val="clear" w:color="auto" w:fill="auto"/>
          </w:tcPr>
          <w:p>
            <w:pPr>
              <w:pStyle w:val="nTable"/>
              <w:spacing w:after="40"/>
              <w:rPr>
                <w:snapToGrid w:val="0"/>
              </w:rPr>
            </w:pPr>
            <w:r>
              <w:rPr>
                <w:snapToGrid w:val="0"/>
              </w:rPr>
              <w:t>25 of 2014</w:t>
            </w:r>
          </w:p>
        </w:tc>
        <w:tc>
          <w:tcPr>
            <w:tcW w:w="1139" w:type="dxa"/>
            <w:gridSpan w:val="3"/>
            <w:tcBorders>
              <w:top w:val="nil"/>
              <w:bottom w:val="nil"/>
            </w:tcBorders>
            <w:shd w:val="clear" w:color="auto" w:fill="auto"/>
          </w:tcPr>
          <w:p>
            <w:pPr>
              <w:pStyle w:val="nTable"/>
              <w:spacing w:after="40"/>
              <w:rPr>
                <w:snapToGrid w:val="0"/>
              </w:rPr>
            </w:pPr>
            <w:r>
              <w:t>3 Nov 2014</w:t>
            </w:r>
          </w:p>
        </w:tc>
        <w:tc>
          <w:tcPr>
            <w:tcW w:w="2494"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3"/>
            <w:shd w:val="clear" w:color="auto" w:fill="auto"/>
          </w:tcPr>
          <w:p>
            <w:pPr>
              <w:pStyle w:val="nTable"/>
              <w:spacing w:after="40"/>
              <w:rPr>
                <w:snapToGrid w:val="0"/>
              </w:rPr>
            </w:pPr>
            <w:r>
              <w:rPr>
                <w:snapToGrid w:val="0"/>
              </w:rPr>
              <w:t>35 of 2014</w:t>
            </w:r>
          </w:p>
        </w:tc>
        <w:tc>
          <w:tcPr>
            <w:tcW w:w="1147" w:type="dxa"/>
            <w:gridSpan w:val="4"/>
            <w:shd w:val="clear" w:color="auto" w:fill="auto"/>
          </w:tcPr>
          <w:p>
            <w:pPr>
              <w:pStyle w:val="nTable"/>
              <w:spacing w:after="40"/>
            </w:pPr>
            <w:r>
              <w:t>9 Dec 2014</w:t>
            </w:r>
          </w:p>
        </w:tc>
        <w:tc>
          <w:tcPr>
            <w:tcW w:w="2494"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Before w:val="1"/>
          <w:wBefore w:w="28" w:type="dxa"/>
          <w:cantSplit/>
        </w:trPr>
        <w:tc>
          <w:tcPr>
            <w:tcW w:w="4589" w:type="dxa"/>
            <w:gridSpan w:val="9"/>
            <w:shd w:val="clear" w:color="auto" w:fill="auto"/>
          </w:tcPr>
          <w:p>
            <w:pPr>
              <w:pStyle w:val="nTable"/>
              <w:spacing w:after="40"/>
              <w:rPr>
                <w:i/>
              </w:rPr>
            </w:pPr>
            <w:r>
              <w:rPr>
                <w:i/>
              </w:rPr>
              <w:t xml:space="preserve">Spent Convictions (Act Amendment) Regulations 2014 </w:t>
            </w:r>
            <w:r>
              <w:t>published:</w:t>
            </w:r>
            <w:r>
              <w:rPr>
                <w:i/>
              </w:rPr>
              <w:t xml:space="preserve"> Gazette </w:t>
            </w:r>
            <w:r>
              <w:t>6 Mar 2015 p. 815</w:t>
            </w:r>
            <w:r>
              <w:noBreakHyphen/>
              <w:t>16</w:t>
            </w:r>
          </w:p>
        </w:tc>
        <w:tc>
          <w:tcPr>
            <w:tcW w:w="2494" w:type="dxa"/>
            <w:gridSpan w:val="2"/>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gridSpan w:val="2"/>
            <w:shd w:val="clear" w:color="auto" w:fill="auto"/>
          </w:tcPr>
          <w:p>
            <w:pPr>
              <w:pStyle w:val="nTable"/>
              <w:spacing w:after="40"/>
              <w:rPr>
                <w:snapToGrid w:val="0"/>
              </w:rPr>
            </w:pPr>
            <w:r>
              <w:t>3 of 2015</w:t>
            </w:r>
          </w:p>
        </w:tc>
        <w:tc>
          <w:tcPr>
            <w:tcW w:w="1190" w:type="dxa"/>
            <w:gridSpan w:val="5"/>
            <w:shd w:val="clear" w:color="auto" w:fill="auto"/>
          </w:tcPr>
          <w:p>
            <w:pPr>
              <w:pStyle w:val="nTable"/>
              <w:spacing w:after="40"/>
            </w:pPr>
            <w:r>
              <w:t>25 Feb 2015</w:t>
            </w:r>
          </w:p>
        </w:tc>
        <w:tc>
          <w:tcPr>
            <w:tcW w:w="2494" w:type="dxa"/>
            <w:gridSpan w:val="2"/>
            <w:shd w:val="clear" w:color="auto" w:fill="auto"/>
          </w:tcPr>
          <w:p>
            <w:pPr>
              <w:pStyle w:val="nTable"/>
              <w:spacing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gridSpan w:val="2"/>
            <w:shd w:val="clear" w:color="auto" w:fill="auto"/>
          </w:tcPr>
          <w:p>
            <w:pPr>
              <w:pStyle w:val="nTable"/>
              <w:spacing w:after="40"/>
              <w:rPr>
                <w:snapToGrid w:val="0"/>
              </w:rPr>
            </w:pPr>
            <w:r>
              <w:t>11 of 2016</w:t>
            </w:r>
          </w:p>
        </w:tc>
        <w:tc>
          <w:tcPr>
            <w:tcW w:w="1190" w:type="dxa"/>
            <w:gridSpan w:val="5"/>
            <w:shd w:val="clear" w:color="auto" w:fill="auto"/>
          </w:tcPr>
          <w:p>
            <w:pPr>
              <w:pStyle w:val="nTable"/>
              <w:spacing w:after="40"/>
            </w:pPr>
            <w:r>
              <w:t>26 May 2016</w:t>
            </w:r>
          </w:p>
        </w:tc>
        <w:tc>
          <w:tcPr>
            <w:tcW w:w="2494" w:type="dxa"/>
            <w:gridSpan w:val="2"/>
            <w:shd w:val="clear" w:color="auto" w:fill="auto"/>
          </w:tcPr>
          <w:p>
            <w:pPr>
              <w:pStyle w:val="nTable"/>
              <w:spacing w:after="40"/>
              <w:rPr>
                <w:snapToGrid w:val="0"/>
              </w:rPr>
            </w:pPr>
            <w:r>
              <w:t xml:space="preserve">1 Jul 2016 (see s. 2(b) and </w:t>
            </w:r>
            <w:r>
              <w:rPr>
                <w:i/>
              </w:rPr>
              <w:t>Gazette</w:t>
            </w:r>
            <w:r>
              <w:t xml:space="preserve"> 24 Jun 2016 p. 2291)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gridSpan w:val="2"/>
            <w:shd w:val="clear" w:color="auto" w:fill="auto"/>
          </w:tcPr>
          <w:p>
            <w:pPr>
              <w:pStyle w:val="nTable"/>
              <w:spacing w:after="40"/>
            </w:pPr>
            <w:r>
              <w:t>19 of 2016</w:t>
            </w:r>
          </w:p>
        </w:tc>
        <w:tc>
          <w:tcPr>
            <w:tcW w:w="1190" w:type="dxa"/>
            <w:gridSpan w:val="5"/>
            <w:shd w:val="clear" w:color="auto" w:fill="auto"/>
          </w:tcPr>
          <w:p>
            <w:pPr>
              <w:pStyle w:val="nTable"/>
              <w:spacing w:after="40"/>
            </w:pPr>
            <w:r>
              <w:t>25 Jul 2016</w:t>
            </w:r>
          </w:p>
        </w:tc>
        <w:tc>
          <w:tcPr>
            <w:tcW w:w="2494" w:type="dxa"/>
            <w:gridSpan w:val="2"/>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gridSpan w:val="2"/>
            <w:shd w:val="clear" w:color="auto" w:fill="auto"/>
          </w:tcPr>
          <w:p>
            <w:pPr>
              <w:pStyle w:val="nTable"/>
              <w:spacing w:after="40"/>
            </w:pPr>
            <w:r>
              <w:t>41 of 2016</w:t>
            </w:r>
          </w:p>
        </w:tc>
        <w:tc>
          <w:tcPr>
            <w:tcW w:w="1190" w:type="dxa"/>
            <w:gridSpan w:val="5"/>
            <w:shd w:val="clear" w:color="auto" w:fill="auto"/>
          </w:tcPr>
          <w:p>
            <w:pPr>
              <w:pStyle w:val="nTable"/>
              <w:spacing w:after="40"/>
            </w:pPr>
            <w:r>
              <w:t>28 Nov 2016</w:t>
            </w:r>
          </w:p>
        </w:tc>
        <w:tc>
          <w:tcPr>
            <w:tcW w:w="2494" w:type="dxa"/>
            <w:gridSpan w:val="2"/>
            <w:shd w:val="clear" w:color="auto" w:fill="auto"/>
          </w:tcPr>
          <w:p>
            <w:pPr>
              <w:pStyle w:val="nTable"/>
              <w:spacing w:after="40"/>
              <w:rPr>
                <w:snapToGrid w:val="0"/>
              </w:rPr>
            </w:pPr>
            <w:r>
              <w:t xml:space="preserve">1 Jul 2017 (see s. 2(b) and </w:t>
            </w:r>
            <w:r>
              <w:rPr>
                <w:i/>
              </w:rPr>
              <w:t xml:space="preserve">Gazette </w:t>
            </w:r>
            <w:r>
              <w:t>23 Jun 2017 p. 3173)</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snapToGrid w:val="0"/>
              </w:rPr>
            </w:pPr>
            <w:r>
              <w:rPr>
                <w:i/>
              </w:rPr>
              <w:t>Education and Care Services National Law (WA) Amendment Act 2018</w:t>
            </w:r>
            <w:r>
              <w:t xml:space="preserve"> Pt. 3</w:t>
            </w:r>
          </w:p>
        </w:tc>
        <w:tc>
          <w:tcPr>
            <w:tcW w:w="1133" w:type="dxa"/>
            <w:gridSpan w:val="2"/>
            <w:tcBorders>
              <w:top w:val="nil"/>
              <w:bottom w:val="nil"/>
            </w:tcBorders>
            <w:shd w:val="clear" w:color="auto" w:fill="auto"/>
          </w:tcPr>
          <w:p>
            <w:pPr>
              <w:pStyle w:val="nTable"/>
              <w:spacing w:after="40"/>
            </w:pPr>
            <w:r>
              <w:t>18 of 2018</w:t>
            </w:r>
          </w:p>
        </w:tc>
        <w:tc>
          <w:tcPr>
            <w:tcW w:w="1190" w:type="dxa"/>
            <w:gridSpan w:val="5"/>
            <w:tcBorders>
              <w:top w:val="nil"/>
              <w:bottom w:val="nil"/>
            </w:tcBorders>
            <w:shd w:val="clear" w:color="auto" w:fill="auto"/>
          </w:tcPr>
          <w:p>
            <w:pPr>
              <w:pStyle w:val="nTable"/>
              <w:spacing w:after="40"/>
            </w:pPr>
            <w:r>
              <w:t>7 Sep 2018</w:t>
            </w:r>
          </w:p>
        </w:tc>
        <w:tc>
          <w:tcPr>
            <w:tcW w:w="2494" w:type="dxa"/>
            <w:gridSpan w:val="2"/>
            <w:tcBorders>
              <w:top w:val="nil"/>
              <w:bottom w:val="nil"/>
            </w:tcBorders>
            <w:shd w:val="clear" w:color="auto" w:fill="auto"/>
          </w:tcPr>
          <w:p>
            <w:pPr>
              <w:pStyle w:val="nTable"/>
              <w:spacing w:after="40"/>
            </w:pPr>
            <w:r>
              <w:t>1 Oct 2018 (see s. 2(b)(i))</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rPr>
              <w:t xml:space="preserve">National Disability Insurance Scheme (Worker Screening) Act 2020 </w:t>
            </w:r>
            <w:r>
              <w:t>Pt. 7 Div. 1</w:t>
            </w:r>
          </w:p>
        </w:tc>
        <w:tc>
          <w:tcPr>
            <w:tcW w:w="1133" w:type="dxa"/>
            <w:gridSpan w:val="2"/>
            <w:shd w:val="clear" w:color="auto" w:fill="auto"/>
          </w:tcPr>
          <w:p>
            <w:pPr>
              <w:pStyle w:val="nTable"/>
              <w:spacing w:after="40"/>
            </w:pPr>
            <w:r>
              <w:t>48 of 2020</w:t>
            </w:r>
          </w:p>
        </w:tc>
        <w:tc>
          <w:tcPr>
            <w:tcW w:w="1190" w:type="dxa"/>
            <w:gridSpan w:val="5"/>
            <w:shd w:val="clear" w:color="auto" w:fill="auto"/>
          </w:tcPr>
          <w:p>
            <w:pPr>
              <w:pStyle w:val="nTable"/>
              <w:spacing w:after="40"/>
            </w:pPr>
            <w:r>
              <w:t>9 Dec 2020</w:t>
            </w:r>
          </w:p>
        </w:tc>
        <w:tc>
          <w:tcPr>
            <w:tcW w:w="2494" w:type="dxa"/>
            <w:gridSpan w:val="2"/>
            <w:shd w:val="clear" w:color="auto" w:fill="auto"/>
          </w:tcPr>
          <w:p>
            <w:pPr>
              <w:pStyle w:val="nTable"/>
              <w:spacing w:after="40"/>
            </w:pPr>
            <w:r>
              <w:t>1 Feb 2021 (see s. 2(1)(b) and SL 2021/4 cl. 2)</w:t>
            </w:r>
          </w:p>
        </w:tc>
      </w:tr>
    </w:tbl>
    <w:p>
      <w:pPr>
        <w:pStyle w:val="nHeading3"/>
        <w:rPr>
          <w:del w:id="210" w:author="Master Repository Process" w:date="2022-06-30T16:08:00Z"/>
        </w:rPr>
      </w:pPr>
      <w:bookmarkStart w:id="211" w:name="_Toc100565569"/>
      <w:del w:id="212" w:author="Master Repository Process" w:date="2022-06-30T16:08:00Z">
        <w:r>
          <w:delText>Uncommenced provisions table</w:delText>
        </w:r>
        <w:bookmarkEnd w:id="211"/>
      </w:del>
    </w:p>
    <w:p>
      <w:pPr>
        <w:pStyle w:val="nStatement"/>
        <w:keepNext/>
        <w:spacing w:after="240"/>
        <w:rPr>
          <w:del w:id="213" w:author="Master Repository Process" w:date="2022-06-30T16:08:00Z"/>
        </w:rPr>
      </w:pPr>
      <w:del w:id="214" w:author="Master Repository Process" w:date="2022-06-30T16:08: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6"/>
        <w:gridCol w:w="1133"/>
        <w:gridCol w:w="1190"/>
        <w:gridCol w:w="2494"/>
      </w:tblGrid>
      <w:tr>
        <w:trPr>
          <w:tblHeader/>
          <w:del w:id="215" w:author="Master Repository Process" w:date="2022-06-30T16:08:00Z"/>
        </w:trPr>
        <w:tc>
          <w:tcPr>
            <w:tcW w:w="2268" w:type="dxa"/>
          </w:tcPr>
          <w:p>
            <w:pPr>
              <w:pStyle w:val="nTable"/>
              <w:spacing w:after="40"/>
              <w:rPr>
                <w:del w:id="216" w:author="Master Repository Process" w:date="2022-06-30T16:08:00Z"/>
                <w:b/>
              </w:rPr>
            </w:pPr>
            <w:del w:id="217" w:author="Master Repository Process" w:date="2022-06-30T16:08:00Z">
              <w:r>
                <w:rPr>
                  <w:b/>
                </w:rPr>
                <w:delText>Short title</w:delText>
              </w:r>
            </w:del>
          </w:p>
        </w:tc>
        <w:tc>
          <w:tcPr>
            <w:tcW w:w="1134" w:type="dxa"/>
          </w:tcPr>
          <w:p>
            <w:pPr>
              <w:pStyle w:val="nTable"/>
              <w:spacing w:after="40"/>
              <w:rPr>
                <w:del w:id="218" w:author="Master Repository Process" w:date="2022-06-30T16:08:00Z"/>
                <w:b/>
              </w:rPr>
            </w:pPr>
            <w:del w:id="219" w:author="Master Repository Process" w:date="2022-06-30T16:08:00Z">
              <w:r>
                <w:rPr>
                  <w:b/>
                </w:rPr>
                <w:delText>Number and year</w:delText>
              </w:r>
            </w:del>
          </w:p>
        </w:tc>
        <w:tc>
          <w:tcPr>
            <w:tcW w:w="1134" w:type="dxa"/>
          </w:tcPr>
          <w:p>
            <w:pPr>
              <w:pStyle w:val="nTable"/>
              <w:spacing w:after="40"/>
              <w:rPr>
                <w:del w:id="220" w:author="Master Repository Process" w:date="2022-06-30T16:08:00Z"/>
                <w:b/>
              </w:rPr>
            </w:pPr>
            <w:del w:id="221" w:author="Master Repository Process" w:date="2022-06-30T16:08:00Z">
              <w:r>
                <w:rPr>
                  <w:b/>
                </w:rPr>
                <w:delText>Assent</w:delText>
              </w:r>
            </w:del>
          </w:p>
        </w:tc>
        <w:tc>
          <w:tcPr>
            <w:tcW w:w="2552" w:type="dxa"/>
          </w:tcPr>
          <w:p>
            <w:pPr>
              <w:pStyle w:val="nTable"/>
              <w:spacing w:after="40"/>
              <w:rPr>
                <w:del w:id="222" w:author="Master Repository Process" w:date="2022-06-30T16:08:00Z"/>
                <w:b/>
              </w:rPr>
            </w:pPr>
            <w:del w:id="223" w:author="Master Repository Process" w:date="2022-06-30T16:08:00Z">
              <w:r>
                <w:rPr>
                  <w:b/>
                </w:rPr>
                <w:delText>Commencement</w:delText>
              </w:r>
            </w:del>
          </w:p>
        </w:tc>
      </w:tr>
      <w:tr>
        <w:tblPrEx>
          <w:tblBorders>
            <w:top w:val="none" w:sz="0" w:space="0" w:color="auto"/>
            <w:bottom w:val="none" w:sz="0" w:space="0" w:color="auto"/>
            <w:insideH w:val="none" w:sz="0" w:space="0" w:color="auto"/>
          </w:tblBorders>
        </w:tblPrEx>
        <w:trPr>
          <w:cantSplit/>
        </w:trPr>
        <w:tc>
          <w:tcPr>
            <w:tcW w:w="2266" w:type="dxa"/>
            <w:tcBorders>
              <w:bottom w:val="single" w:sz="4" w:space="0" w:color="auto"/>
            </w:tcBorders>
            <w:shd w:val="clear" w:color="auto" w:fill="auto"/>
          </w:tcPr>
          <w:p>
            <w:pPr>
              <w:pStyle w:val="nTable"/>
              <w:spacing w:after="40"/>
              <w:ind w:right="113"/>
              <w:rPr>
                <w:i/>
              </w:rPr>
            </w:pPr>
            <w:r>
              <w:rPr>
                <w:i/>
              </w:rPr>
              <w:t>Legal Profession Uniform Law Application Act 2022</w:t>
            </w:r>
            <w:r>
              <w:t xml:space="preserve"> Pt. 17 Div. 19</w:t>
            </w:r>
          </w:p>
        </w:tc>
        <w:tc>
          <w:tcPr>
            <w:tcW w:w="1133" w:type="dxa"/>
            <w:tcBorders>
              <w:bottom w:val="single" w:sz="4" w:space="0" w:color="auto"/>
            </w:tcBorders>
            <w:shd w:val="clear" w:color="auto" w:fill="auto"/>
          </w:tcPr>
          <w:p>
            <w:pPr>
              <w:pStyle w:val="nTable"/>
              <w:spacing w:after="40"/>
            </w:pPr>
            <w:r>
              <w:t>9 of 2022</w:t>
            </w:r>
          </w:p>
        </w:tc>
        <w:tc>
          <w:tcPr>
            <w:tcW w:w="1190" w:type="dxa"/>
            <w:tcBorders>
              <w:bottom w:val="single" w:sz="4" w:space="0" w:color="auto"/>
            </w:tcBorders>
            <w:shd w:val="clear" w:color="auto" w:fill="auto"/>
          </w:tcPr>
          <w:p>
            <w:pPr>
              <w:pStyle w:val="nTable"/>
              <w:spacing w:after="40"/>
            </w:pPr>
            <w:r>
              <w:t>14 Apr 2022</w:t>
            </w:r>
          </w:p>
        </w:tc>
        <w:tc>
          <w:tcPr>
            <w:tcW w:w="2494" w:type="dxa"/>
            <w:tcBorders>
              <w:bottom w:val="single" w:sz="4" w:space="0" w:color="auto"/>
            </w:tcBorders>
            <w:shd w:val="clear" w:color="auto" w:fill="auto"/>
          </w:tcPr>
          <w:p>
            <w:pPr>
              <w:pStyle w:val="nTable"/>
              <w:spacing w:after="40"/>
            </w:pPr>
            <w:del w:id="224" w:author="Master Repository Process" w:date="2022-06-30T16:08:00Z">
              <w:r>
                <w:delText>To be proclaimed</w:delText>
              </w:r>
            </w:del>
            <w:ins w:id="225" w:author="Master Repository Process" w:date="2022-06-30T16:08:00Z">
              <w:r>
                <w:rPr>
                  <w:snapToGrid w:val="0"/>
                </w:rPr>
                <w:t>1 Jul 2022</w:t>
              </w:r>
            </w:ins>
            <w:r>
              <w:rPr>
                <w:snapToGrid w:val="0"/>
              </w:rPr>
              <w:t xml:space="preserve"> (see</w:t>
            </w:r>
            <w:del w:id="226" w:author="Master Repository Process" w:date="2022-06-30T16:08:00Z">
              <w:r>
                <w:delText> </w:delText>
              </w:r>
            </w:del>
            <w:ins w:id="227" w:author="Master Repository Process" w:date="2022-06-30T16:08:00Z">
              <w:r>
                <w:rPr>
                  <w:snapToGrid w:val="0"/>
                </w:rPr>
                <w:t xml:space="preserve"> </w:t>
              </w:r>
            </w:ins>
            <w:r>
              <w:rPr>
                <w:snapToGrid w:val="0"/>
              </w:rPr>
              <w:t>s. 2(c</w:t>
            </w:r>
            <w:del w:id="228" w:author="Master Repository Process" w:date="2022-06-30T16:08:00Z">
              <w:r>
                <w:delText>))</w:delText>
              </w:r>
            </w:del>
            <w:ins w:id="229" w:author="Master Repository Process" w:date="2022-06-30T16:08:00Z">
              <w:r>
                <w:rPr>
                  <w:snapToGrid w:val="0"/>
                </w:rPr>
                <w:t>) and SL 2022/113 cl. 2)</w:t>
              </w:r>
            </w:ins>
          </w:p>
        </w:tc>
      </w:tr>
    </w:tbl>
    <w:p>
      <w:pPr>
        <w:pStyle w:val="nHeading3"/>
      </w:pPr>
      <w:bookmarkStart w:id="230" w:name="_Toc107496917"/>
      <w:bookmarkStart w:id="231" w:name="_Toc100565570"/>
      <w:r>
        <w:t>Other notes</w:t>
      </w:r>
      <w:bookmarkEnd w:id="230"/>
      <w:bookmarkEnd w:id="231"/>
    </w:p>
    <w:p>
      <w:pPr>
        <w:pStyle w:val="nNote"/>
        <w:spacing w:before="160"/>
        <w:rPr>
          <w:snapToGrid w:val="0"/>
        </w:rPr>
      </w:pPr>
      <w:r>
        <w:rPr>
          <w:snapToGrid w:val="0"/>
          <w:vertAlign w:val="superscript"/>
        </w:rPr>
        <w:t>1</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Note"/>
        <w:rPr>
          <w:snapToGrid w:val="0"/>
        </w:rPr>
      </w:pPr>
      <w:r>
        <w:rPr>
          <w:snapToGrid w:val="0"/>
          <w:vertAlign w:val="superscript"/>
        </w:rPr>
        <w:t>2</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Note"/>
        <w:rPr>
          <w:snapToGrid w:val="0"/>
        </w:rPr>
      </w:pPr>
      <w:r>
        <w:rPr>
          <w:snapToGrid w:val="0"/>
          <w:vertAlign w:val="superscript"/>
        </w:rPr>
        <w:t>3</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Note"/>
      </w:pPr>
      <w:r>
        <w:rPr>
          <w:snapToGrid w:val="0"/>
          <w:vertAlign w:val="superscript"/>
        </w:rPr>
        <w:t>4</w:t>
      </w:r>
      <w:r>
        <w:rPr>
          <w:snapToGrid w:val="0"/>
        </w:rPr>
        <w:tab/>
        <w:t xml:space="preserve">Repealed by the </w:t>
      </w:r>
      <w:r>
        <w:rPr>
          <w:i/>
        </w:rPr>
        <w:t xml:space="preserve">Sentencing Legislation Amendment and Repeal Act 2003 </w:t>
      </w:r>
      <w:r>
        <w:rPr>
          <w:snapToGrid w:val="0"/>
        </w:rPr>
        <w:t>s. 29(1).</w:t>
      </w:r>
    </w:p>
    <w:p>
      <w:pPr>
        <w:pStyle w:val="nNote"/>
        <w:keepLines/>
        <w:rPr>
          <w:iCs/>
          <w:snapToGrid w:val="0"/>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Note"/>
        <w:spacing w:before="120"/>
        <w:rPr>
          <w:snapToGrid w:val="0"/>
        </w:rPr>
      </w:pPr>
      <w:r>
        <w:rPr>
          <w:vertAlign w:val="superscript"/>
        </w:rPr>
        <w:t>6</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Note"/>
      </w:pPr>
      <w:r>
        <w:rPr>
          <w:snapToGrid w:val="0"/>
          <w:vertAlign w:val="superscript"/>
        </w:rPr>
        <w:t>7</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3" w:name="Coversheet"/>
    <w:bookmarkEnd w:id="2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9" w:name="Schedule"/>
    <w:bookmarkEnd w:id="1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C4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3E3C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D45F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BA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C8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10841"/>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 w:name="WAFER_20180927094511" w:val="RemoveTocBookmarks,RemoveUnusedBookmarks,RemoveLanguageTags,UsedStyles,ResetPageSize"/>
    <w:docVar w:name="WAFER_20180927094511_GUID" w:val="01ea5573-389e-4d11-88da-afb15cb2fa77"/>
    <w:docVar w:name="WAFER_20201210102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02858_GUID" w:val="d2b0802a-2269-40a5-b627-654e162fd320"/>
    <w:docVar w:name="WAFER_20210122091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23_GUID" w:val="3fe3a1cd-b9f4-4a5d-8be9-a0ffb21ed810"/>
    <w:docVar w:name="WAFER_20220408110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10841_GUID" w:val="a3843003-3ba7-4d46-91a2-bacec672b1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504FD4-AA5D-4F86-ABBC-2A7890AC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11779</Words>
  <Characters>55244</Characters>
  <Application>Microsoft Office Word</Application>
  <DocSecurity>0</DocSecurity>
  <Lines>1726</Lines>
  <Paragraphs>905</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07-m0-00 - 07-n0-00</dc:title>
  <dc:subject/>
  <dc:creator/>
  <cp:keywords/>
  <dc:description/>
  <cp:lastModifiedBy>Master Repository Process</cp:lastModifiedBy>
  <cp:revision>2</cp:revision>
  <cp:lastPrinted>2015-10-23T03:11:00Z</cp:lastPrinted>
  <dcterms:created xsi:type="dcterms:W3CDTF">2022-06-30T08:07:00Z</dcterms:created>
  <dcterms:modified xsi:type="dcterms:W3CDTF">2022-06-30T08:08:00Z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CommencementDate">
    <vt:lpwstr>20220701</vt:lpwstr>
  </property>
  <property fmtid="{D5CDD505-2E9C-101B-9397-08002B2CF9AE}" pid="8" name="FromSuffix">
    <vt:lpwstr>07-m0-00</vt:lpwstr>
  </property>
  <property fmtid="{D5CDD505-2E9C-101B-9397-08002B2CF9AE}" pid="9" name="FromAsAtDate">
    <vt:lpwstr>14 Apr 2022</vt:lpwstr>
  </property>
  <property fmtid="{D5CDD505-2E9C-101B-9397-08002B2CF9AE}" pid="10" name="ToSuffix">
    <vt:lpwstr>07-n0-00</vt:lpwstr>
  </property>
  <property fmtid="{D5CDD505-2E9C-101B-9397-08002B2CF9AE}" pid="11" name="ToAsAtDate">
    <vt:lpwstr>01 Jul 2022</vt:lpwstr>
  </property>
</Properties>
</file>