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2022</w:t>
      </w:r>
      <w:r>
        <w:fldChar w:fldCharType="end"/>
      </w:r>
      <w:r>
        <w:t xml:space="preserve">, </w:t>
      </w:r>
      <w:r>
        <w:fldChar w:fldCharType="begin"/>
      </w:r>
      <w:r>
        <w:instrText xml:space="preserve"> DocProperty FromSuffix </w:instrText>
      </w:r>
      <w:r>
        <w:fldChar w:fldCharType="separate"/>
      </w:r>
      <w:r>
        <w:t>09-k0-00</w:t>
      </w:r>
      <w:r>
        <w:fldChar w:fldCharType="end"/>
      </w:r>
      <w:r>
        <w:t>] and [</w:t>
      </w:r>
      <w:r>
        <w:fldChar w:fldCharType="begin"/>
      </w:r>
      <w:r>
        <w:instrText xml:space="preserve"> DocProperty ToAsAtDate</w:instrText>
      </w:r>
      <w:r>
        <w:fldChar w:fldCharType="separate"/>
      </w:r>
      <w:r>
        <w:t>01 Sep 2022</w:t>
      </w:r>
      <w:r>
        <w:fldChar w:fldCharType="end"/>
      </w:r>
      <w:r>
        <w:t xml:space="preserve">, </w:t>
      </w:r>
      <w:r>
        <w:fldChar w:fldCharType="begin"/>
      </w:r>
      <w:r>
        <w:instrText xml:space="preserve"> DocProperty ToSuffix</w:instrText>
      </w:r>
      <w:r>
        <w:fldChar w:fldCharType="separate"/>
      </w:r>
      <w:r>
        <w:t>09-l0-00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960"/>
      </w:pPr>
      <w:r>
        <w:t>Bush Fires Act 1954</w:t>
      </w:r>
    </w:p>
    <w:p>
      <w:pPr>
        <w:pStyle w:val="LongTitle"/>
        <w:rPr>
          <w:snapToGrid w:val="0"/>
        </w:rPr>
      </w:pPr>
      <w:r>
        <w:rPr>
          <w:snapToGrid w:val="0"/>
        </w:rPr>
        <w:t>A</w:t>
      </w:r>
      <w:bookmarkStart w:id="1" w:name="_GoBack"/>
      <w:bookmarkEnd w:id="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snapToGrid w:val="0"/>
          <w:vertAlign w:val="superscript"/>
        </w:rPr>
        <w:t>1</w:t>
      </w:r>
      <w:r>
        <w:rPr>
          <w:snapToGrid w:val="0"/>
        </w:rPr>
        <w:t xml:space="preserve"> and for other purposes.</w:t>
      </w:r>
    </w:p>
    <w:p>
      <w:pPr>
        <w:pStyle w:val="Heading2"/>
      </w:pPr>
      <w:bookmarkStart w:id="2" w:name="_Toc112241445"/>
      <w:bookmarkStart w:id="3" w:name="_Toc112242289"/>
      <w:bookmarkStart w:id="4" w:name="_Toc112318602"/>
      <w:bookmarkStart w:id="5" w:name="_Toc111796942"/>
      <w:bookmarkStart w:id="6" w:name="_Toc11179761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pPr>
      <w:r>
        <w:tab/>
        <w:t>[Heading inserted: No. 19 of 2010 s. 43(3)(a).]</w:t>
      </w:r>
    </w:p>
    <w:p>
      <w:pPr>
        <w:pStyle w:val="Heading5"/>
        <w:rPr>
          <w:snapToGrid w:val="0"/>
        </w:rPr>
      </w:pPr>
      <w:bookmarkStart w:id="7" w:name="_Toc112318603"/>
      <w:bookmarkStart w:id="8" w:name="_Toc111797614"/>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w:t>
      </w:r>
    </w:p>
    <w:p>
      <w:pPr>
        <w:pStyle w:val="Ednotesection"/>
      </w:pPr>
      <w:r>
        <w:t>[</w:t>
      </w:r>
      <w:r>
        <w:rPr>
          <w:b/>
        </w:rPr>
        <w:t>2.</w:t>
      </w:r>
      <w:r>
        <w:tab/>
        <w:t>Deleted: No. 8 of 1987 s. 3.]</w:t>
      </w:r>
    </w:p>
    <w:p>
      <w:pPr>
        <w:pStyle w:val="Ednotepart"/>
      </w:pPr>
      <w:r>
        <w:t>[Heading deleted: No. 19 of 2010 s. 43(3)(b).]</w:t>
      </w:r>
    </w:p>
    <w:p>
      <w:pPr>
        <w:pStyle w:val="Heading5"/>
        <w:spacing w:before="180"/>
        <w:rPr>
          <w:snapToGrid w:val="0"/>
        </w:rPr>
      </w:pPr>
      <w:bookmarkStart w:id="9" w:name="_Toc112318604"/>
      <w:bookmarkStart w:id="10" w:name="_Toc111797615"/>
      <w:r>
        <w:rPr>
          <w:rStyle w:val="CharSectno"/>
        </w:rPr>
        <w:t>3</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p>
    <w:p>
      <w:pPr>
        <w:pStyle w:val="Heading5"/>
        <w:spacing w:before="180"/>
        <w:rPr>
          <w:snapToGrid w:val="0"/>
        </w:rPr>
      </w:pPr>
      <w:bookmarkStart w:id="11" w:name="_Toc112318605"/>
      <w:bookmarkStart w:id="12" w:name="_Toc111797616"/>
      <w:r>
        <w:rPr>
          <w:rStyle w:val="CharSectno"/>
        </w:rPr>
        <w:t>4</w:t>
      </w:r>
      <w:r>
        <w:rPr>
          <w:snapToGrid w:val="0"/>
        </w:rPr>
        <w:t>.</w:t>
      </w:r>
      <w:r>
        <w:rPr>
          <w:snapToGrid w:val="0"/>
        </w:rPr>
        <w:tab/>
        <w:t>Saving provisions</w:t>
      </w:r>
      <w:bookmarkEnd w:id="11"/>
      <w:bookmarkEnd w:id="12"/>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No. 38 of 2002 s. 17.]</w:t>
      </w:r>
    </w:p>
    <w:p>
      <w:pPr>
        <w:pStyle w:val="Heading5"/>
        <w:spacing w:before="180"/>
        <w:rPr>
          <w:snapToGrid w:val="0"/>
        </w:rPr>
      </w:pPr>
      <w:bookmarkStart w:id="13" w:name="_Toc112318606"/>
      <w:bookmarkStart w:id="14" w:name="_Toc111797617"/>
      <w:r>
        <w:rPr>
          <w:rStyle w:val="CharSectno"/>
        </w:rPr>
        <w:t>7</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Next/>
      </w:pPr>
      <w:r>
        <w:tab/>
      </w:r>
      <w:r>
        <w:rPr>
          <w:rStyle w:val="CharDefText"/>
        </w:rPr>
        <w:t>authorised CALM Act officer</w:t>
      </w:r>
      <w:r>
        <w:t xml:space="preserve"> means — </w:t>
      </w:r>
    </w:p>
    <w:p>
      <w:pPr>
        <w:pStyle w:val="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No. 11 of 1963 s. 3; No. 65 of 1977 s. 4; No. 112 of 1984 s. 22; No. 60 of 1992 s. 4; No. 14 of 1996 s. 4; No. 42 of 1998 s. 4 and 16; No. 38 of 2002 s. 18; No. 70 of 2003 s. 6; No. 28 of 2006 s. 387; No. 22 of 2012 s. 46 and 69; No. 24 of 2016 s. 312.]</w:t>
      </w:r>
    </w:p>
    <w:p>
      <w:pPr>
        <w:pStyle w:val="Heading2"/>
      </w:pPr>
      <w:bookmarkStart w:id="15" w:name="_Toc112241450"/>
      <w:bookmarkStart w:id="16" w:name="_Toc112242294"/>
      <w:bookmarkStart w:id="17" w:name="_Toc112318607"/>
      <w:bookmarkStart w:id="18" w:name="_Toc111796947"/>
      <w:bookmarkStart w:id="19" w:name="_Toc111797618"/>
      <w:r>
        <w:rPr>
          <w:rStyle w:val="CharPartNo"/>
        </w:rPr>
        <w:t>Part II</w:t>
      </w:r>
      <w:r>
        <w:rPr>
          <w:rStyle w:val="CharDivNo"/>
        </w:rPr>
        <w:t> </w:t>
      </w:r>
      <w:r>
        <w:t>—</w:t>
      </w:r>
      <w:r>
        <w:rPr>
          <w:rStyle w:val="CharDivText"/>
        </w:rPr>
        <w:t> </w:t>
      </w:r>
      <w:r>
        <w:rPr>
          <w:rStyle w:val="CharPartText"/>
        </w:rPr>
        <w:t>Administration</w:t>
      </w:r>
      <w:bookmarkEnd w:id="15"/>
      <w:bookmarkEnd w:id="16"/>
      <w:bookmarkEnd w:id="17"/>
      <w:bookmarkEnd w:id="18"/>
      <w:bookmarkEnd w:id="19"/>
    </w:p>
    <w:p>
      <w:pPr>
        <w:pStyle w:val="Ednotedivision"/>
      </w:pPr>
      <w:r>
        <w:t>[Division 1 heading deleted: No. 42 of 1998 s. 5.]</w:t>
      </w:r>
    </w:p>
    <w:p>
      <w:pPr>
        <w:pStyle w:val="Ednotesection"/>
        <w:ind w:left="890" w:hanging="890"/>
      </w:pPr>
      <w:r>
        <w:t>[</w:t>
      </w:r>
      <w:r>
        <w:rPr>
          <w:b/>
        </w:rPr>
        <w:t>8.</w:t>
      </w:r>
      <w:r>
        <w:tab/>
        <w:t>Deleted: No. 42 of 1998 s. 6.]</w:t>
      </w:r>
    </w:p>
    <w:p>
      <w:pPr>
        <w:pStyle w:val="Heading5"/>
      </w:pPr>
      <w:bookmarkStart w:id="20" w:name="_Toc112318608"/>
      <w:bookmarkStart w:id="21" w:name="_Toc111797619"/>
      <w:r>
        <w:rPr>
          <w:rStyle w:val="CharSectno"/>
        </w:rPr>
        <w:t>9</w:t>
      </w:r>
      <w:r>
        <w:t>.</w:t>
      </w:r>
      <w:r>
        <w:tab/>
        <w:t>Terms used</w:t>
      </w:r>
      <w:bookmarkEnd w:id="20"/>
      <w:bookmarkEnd w:id="21"/>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No. 25 of 2009 s. 4.]</w:t>
      </w:r>
    </w:p>
    <w:p>
      <w:pPr>
        <w:pStyle w:val="Ednotedivision"/>
      </w:pPr>
      <w:r>
        <w:t>[Division 2 heading deleted: No. 42 of 1998 s. 7.]</w:t>
      </w:r>
    </w:p>
    <w:p>
      <w:pPr>
        <w:pStyle w:val="Heading5"/>
        <w:rPr>
          <w:snapToGrid w:val="0"/>
        </w:rPr>
      </w:pPr>
      <w:bookmarkStart w:id="22" w:name="_Toc112318609"/>
      <w:bookmarkStart w:id="23" w:name="_Toc111797620"/>
      <w:r>
        <w:rPr>
          <w:rStyle w:val="CharSectno"/>
        </w:rPr>
        <w:t>10</w:t>
      </w:r>
      <w:r>
        <w:rPr>
          <w:snapToGrid w:val="0"/>
        </w:rPr>
        <w:t>.</w:t>
      </w:r>
      <w:r>
        <w:rPr>
          <w:snapToGrid w:val="0"/>
        </w:rPr>
        <w:tab/>
        <w:t>Powers of FES Commissioner</w:t>
      </w:r>
      <w:bookmarkEnd w:id="22"/>
      <w:bookmarkEnd w:id="23"/>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No. 65 of 1977 s. 7; No. 42 of 1998 s. 8 and 16; No. 22 of 2012 s. 47 and 69.]</w:t>
      </w:r>
    </w:p>
    <w:p>
      <w:pPr>
        <w:pStyle w:val="Ednotesection"/>
        <w:spacing w:before="180"/>
      </w:pPr>
      <w:r>
        <w:t>[</w:t>
      </w:r>
      <w:r>
        <w:rPr>
          <w:b/>
        </w:rPr>
        <w:t>11, 11A.</w:t>
      </w:r>
      <w:r>
        <w:rPr>
          <w:b/>
        </w:rPr>
        <w:tab/>
      </w:r>
      <w:r>
        <w:t>Deleted: No. 42 of 1998 s. 9.]</w:t>
      </w:r>
    </w:p>
    <w:p>
      <w:pPr>
        <w:pStyle w:val="Heading5"/>
      </w:pPr>
      <w:bookmarkStart w:id="24" w:name="_Toc112318610"/>
      <w:bookmarkStart w:id="25" w:name="_Toc111797621"/>
      <w:r>
        <w:rPr>
          <w:rStyle w:val="CharSectno"/>
        </w:rPr>
        <w:t>12</w:t>
      </w:r>
      <w:r>
        <w:t>.</w:t>
      </w:r>
      <w:r>
        <w:tab/>
        <w:t>Bush fire liaison officers</w:t>
      </w:r>
      <w:bookmarkEnd w:id="24"/>
      <w:bookmarkEnd w:id="25"/>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No. 22 of 2012 s. 48.]</w:t>
      </w:r>
    </w:p>
    <w:p>
      <w:pPr>
        <w:pStyle w:val="Heading5"/>
        <w:spacing w:before="180"/>
        <w:rPr>
          <w:snapToGrid w:val="0"/>
        </w:rPr>
      </w:pPr>
      <w:bookmarkStart w:id="26" w:name="_Toc112318611"/>
      <w:bookmarkStart w:id="27" w:name="_Toc111797622"/>
      <w:r>
        <w:rPr>
          <w:rStyle w:val="CharSectno"/>
        </w:rPr>
        <w:t>13</w:t>
      </w:r>
      <w:r>
        <w:rPr>
          <w:snapToGrid w:val="0"/>
        </w:rPr>
        <w:t>.</w:t>
      </w:r>
      <w:r>
        <w:rPr>
          <w:snapToGrid w:val="0"/>
        </w:rPr>
        <w:tab/>
        <w:t>Duties and powers of bush fire liaison officers</w:t>
      </w:r>
      <w:bookmarkEnd w:id="26"/>
      <w:bookmarkEnd w:id="27"/>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No. 65 of 1977 s. 10; amended: No. 42 of 1998 s. 16; No. 38 of 2002 s. 19; No. 25 of 2009 s. 5; No. 22 of 2012 s. 69.]</w:t>
      </w:r>
    </w:p>
    <w:p>
      <w:pPr>
        <w:pStyle w:val="Heading5"/>
      </w:pPr>
      <w:bookmarkStart w:id="28" w:name="_Toc112318612"/>
      <w:bookmarkStart w:id="29" w:name="_Toc111797623"/>
      <w:r>
        <w:rPr>
          <w:rStyle w:val="CharSectno"/>
        </w:rPr>
        <w:t>14A</w:t>
      </w:r>
      <w:r>
        <w:t>.</w:t>
      </w:r>
      <w:r>
        <w:tab/>
        <w:t xml:space="preserve">Powers and duties under section 13 not affected by certain powers under </w:t>
      </w:r>
      <w:r>
        <w:rPr>
          <w:i/>
          <w:iCs/>
        </w:rPr>
        <w:t>Emergency Management Act 2005</w:t>
      </w:r>
      <w:bookmarkEnd w:id="28"/>
      <w:bookmarkEnd w:id="29"/>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No. 25 of 2009 s. 6.]</w:t>
      </w:r>
    </w:p>
    <w:p>
      <w:pPr>
        <w:pStyle w:val="Heading5"/>
      </w:pPr>
      <w:bookmarkStart w:id="30" w:name="_Toc112318613"/>
      <w:bookmarkStart w:id="31" w:name="_Toc111797624"/>
      <w:r>
        <w:rPr>
          <w:rStyle w:val="CharSectno"/>
        </w:rPr>
        <w:t>14B</w:t>
      </w:r>
      <w:r>
        <w:t>.</w:t>
      </w:r>
      <w:r>
        <w:tab/>
        <w:t>Powers of authorised persons and police officers during authorised periods</w:t>
      </w:r>
      <w:bookmarkEnd w:id="30"/>
      <w:bookmarkEnd w:id="31"/>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No. 25 of 2009 s. 6; amended: No. 22 of 2012 s. 49 and 69; No. 8 of 2012 s. 47.]</w:t>
      </w:r>
    </w:p>
    <w:p>
      <w:pPr>
        <w:pStyle w:val="Heading5"/>
      </w:pPr>
      <w:bookmarkStart w:id="32" w:name="_Toc112318614"/>
      <w:bookmarkStart w:id="33" w:name="_Toc111797625"/>
      <w:r>
        <w:rPr>
          <w:rStyle w:val="CharSectno"/>
        </w:rPr>
        <w:t>14C</w:t>
      </w:r>
      <w:r>
        <w:t>.</w:t>
      </w:r>
      <w:r>
        <w:tab/>
        <w:t>Failure to comply with directions</w:t>
      </w:r>
      <w:bookmarkEnd w:id="32"/>
      <w:bookmarkEnd w:id="33"/>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No. 25 of 2009 s. 6; amended: No. 22 of 2012 s. 69.]</w:t>
      </w:r>
    </w:p>
    <w:p>
      <w:pPr>
        <w:pStyle w:val="Heading5"/>
        <w:rPr>
          <w:snapToGrid w:val="0"/>
        </w:rPr>
      </w:pPr>
      <w:bookmarkStart w:id="34" w:name="_Toc112318615"/>
      <w:bookmarkStart w:id="35" w:name="_Toc111797626"/>
      <w:r>
        <w:rPr>
          <w:rStyle w:val="CharSectno"/>
        </w:rPr>
        <w:t>14</w:t>
      </w:r>
      <w:r>
        <w:rPr>
          <w:snapToGrid w:val="0"/>
        </w:rPr>
        <w:t>.</w:t>
      </w:r>
      <w:r>
        <w:rPr>
          <w:snapToGrid w:val="0"/>
        </w:rPr>
        <w:tab/>
        <w:t>Certain persons may enter land or building for purposes of Act</w:t>
      </w:r>
      <w:bookmarkEnd w:id="34"/>
      <w:bookmarkEnd w:id="35"/>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No. 11 of 1963 s. 5; No. 65 of 1977 s. 11 and 47; No. 60 of 1992 s. 8; No. 42 of 1998 s. 16; No. 38 of 2002 s. 20; No. 19 of 2010 s. 52(4); No. 22 of 2012 s. 50.]</w:t>
      </w:r>
    </w:p>
    <w:p>
      <w:pPr>
        <w:pStyle w:val="Ednotedivision"/>
      </w:pPr>
      <w:r>
        <w:t>[Divisions 3 and 4 (s. 15</w:t>
      </w:r>
      <w:r>
        <w:noBreakHyphen/>
        <w:t>16E) deleted: No. 42 of 1998 s. 11(1).]</w:t>
      </w:r>
    </w:p>
    <w:p>
      <w:pPr>
        <w:pStyle w:val="Heading2"/>
      </w:pPr>
      <w:bookmarkStart w:id="36" w:name="_Toc112241459"/>
      <w:bookmarkStart w:id="37" w:name="_Toc112242303"/>
      <w:bookmarkStart w:id="38" w:name="_Toc112318616"/>
      <w:bookmarkStart w:id="39" w:name="_Toc111796956"/>
      <w:bookmarkStart w:id="40" w:name="_Toc111797627"/>
      <w:r>
        <w:rPr>
          <w:rStyle w:val="CharPartNo"/>
        </w:rPr>
        <w:t>Part III</w:t>
      </w:r>
      <w:r>
        <w:t> — </w:t>
      </w:r>
      <w:r>
        <w:rPr>
          <w:rStyle w:val="CharPartText"/>
        </w:rPr>
        <w:t>Prevention of bush fires</w:t>
      </w:r>
      <w:bookmarkEnd w:id="36"/>
      <w:bookmarkEnd w:id="37"/>
      <w:bookmarkEnd w:id="38"/>
      <w:bookmarkEnd w:id="39"/>
      <w:bookmarkEnd w:id="40"/>
    </w:p>
    <w:p>
      <w:pPr>
        <w:pStyle w:val="Ednotedivision"/>
        <w:rPr>
          <w:highlight w:val="cyan"/>
        </w:rPr>
      </w:pPr>
      <w:r>
        <w:t>[Division 1 deleted: No. 65 of 1977 s. 12.]</w:t>
      </w:r>
    </w:p>
    <w:p>
      <w:pPr>
        <w:pStyle w:val="Heading3"/>
      </w:pPr>
      <w:bookmarkStart w:id="41" w:name="_Toc112241460"/>
      <w:bookmarkStart w:id="42" w:name="_Toc112242304"/>
      <w:bookmarkStart w:id="43" w:name="_Toc112318617"/>
      <w:bookmarkStart w:id="44" w:name="_Toc111796957"/>
      <w:bookmarkStart w:id="45" w:name="_Toc111797628"/>
      <w:r>
        <w:rPr>
          <w:rStyle w:val="CharDivNo"/>
        </w:rPr>
        <w:t>Division 2</w:t>
      </w:r>
      <w:r>
        <w:rPr>
          <w:snapToGrid w:val="0"/>
        </w:rPr>
        <w:t> — </w:t>
      </w:r>
      <w:r>
        <w:rPr>
          <w:rStyle w:val="CharDivText"/>
        </w:rPr>
        <w:t>Prohibited burning times</w:t>
      </w:r>
      <w:bookmarkEnd w:id="41"/>
      <w:bookmarkEnd w:id="42"/>
      <w:bookmarkEnd w:id="43"/>
      <w:bookmarkEnd w:id="44"/>
      <w:bookmarkEnd w:id="45"/>
    </w:p>
    <w:p>
      <w:pPr>
        <w:pStyle w:val="Heading5"/>
        <w:rPr>
          <w:snapToGrid w:val="0"/>
        </w:rPr>
      </w:pPr>
      <w:bookmarkStart w:id="46" w:name="_Toc112318618"/>
      <w:bookmarkStart w:id="47" w:name="_Toc111797629"/>
      <w:r>
        <w:rPr>
          <w:rStyle w:val="CharSectno"/>
        </w:rPr>
        <w:t>17</w:t>
      </w:r>
      <w:r>
        <w:rPr>
          <w:snapToGrid w:val="0"/>
        </w:rPr>
        <w:t>.</w:t>
      </w:r>
      <w:r>
        <w:rPr>
          <w:snapToGrid w:val="0"/>
        </w:rPr>
        <w:tab/>
        <w:t>Prohibited burning times may be declared by Minister</w:t>
      </w:r>
      <w:bookmarkEnd w:id="46"/>
      <w:bookmarkEnd w:id="47"/>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No. 65 of 1977 s. 13; amended: No. 8 of 1987 s. 8; No. 14 of 1996 s. 4; No. 42 of 1998 s. 16; No. 38 of 2002 s. 21 and 40(1); No. 19 of 2010 s. 52(4); No. 22 of 2012 s. 51 and 69.]</w:t>
      </w:r>
    </w:p>
    <w:p>
      <w:pPr>
        <w:pStyle w:val="Heading3"/>
      </w:pPr>
      <w:bookmarkStart w:id="48" w:name="_Toc112241462"/>
      <w:bookmarkStart w:id="49" w:name="_Toc112242306"/>
      <w:bookmarkStart w:id="50" w:name="_Toc112318619"/>
      <w:bookmarkStart w:id="51" w:name="_Toc111796959"/>
      <w:bookmarkStart w:id="52" w:name="_Toc111797630"/>
      <w:r>
        <w:rPr>
          <w:rStyle w:val="CharDivNo"/>
        </w:rPr>
        <w:t>Division 3</w:t>
      </w:r>
      <w:r>
        <w:rPr>
          <w:snapToGrid w:val="0"/>
        </w:rPr>
        <w:t> — </w:t>
      </w:r>
      <w:r>
        <w:rPr>
          <w:rStyle w:val="CharDivText"/>
        </w:rPr>
        <w:t>Restricted burning times</w:t>
      </w:r>
      <w:bookmarkEnd w:id="48"/>
      <w:bookmarkEnd w:id="49"/>
      <w:bookmarkEnd w:id="50"/>
      <w:bookmarkEnd w:id="51"/>
      <w:bookmarkEnd w:id="52"/>
    </w:p>
    <w:p>
      <w:pPr>
        <w:pStyle w:val="Heading5"/>
        <w:rPr>
          <w:snapToGrid w:val="0"/>
        </w:rPr>
      </w:pPr>
      <w:bookmarkStart w:id="53" w:name="_Toc112318620"/>
      <w:bookmarkStart w:id="54" w:name="_Toc111797631"/>
      <w:r>
        <w:rPr>
          <w:rStyle w:val="CharSectno"/>
        </w:rPr>
        <w:t>18</w:t>
      </w:r>
      <w:r>
        <w:rPr>
          <w:snapToGrid w:val="0"/>
        </w:rPr>
        <w:t>.</w:t>
      </w:r>
      <w:r>
        <w:rPr>
          <w:snapToGrid w:val="0"/>
        </w:rPr>
        <w:tab/>
        <w:t>Restricted burning times may be declared by FES Commissioner</w:t>
      </w:r>
      <w:bookmarkEnd w:id="53"/>
      <w:bookmarkEnd w:id="54"/>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No. 65 of 1977 s. 14; amended: No. 8 of 1987 s. 8; No. 14 of 1996 s. 4; No. 42 of 1998 s. 16; No. 38 of 2002 s. 22, 39 and 40(1); No. 19 of 2010 s. 52(4); No. 22 of 2012 s. 69.]</w:t>
      </w:r>
    </w:p>
    <w:p>
      <w:pPr>
        <w:pStyle w:val="Ednotesection"/>
        <w:spacing w:before="180"/>
      </w:pPr>
      <w:r>
        <w:t>[</w:t>
      </w:r>
      <w:r>
        <w:rPr>
          <w:b/>
        </w:rPr>
        <w:t>19.</w:t>
      </w:r>
      <w:r>
        <w:tab/>
        <w:t>Deleted: No. 65 of 1977 s. 15.]</w:t>
      </w:r>
    </w:p>
    <w:p>
      <w:pPr>
        <w:pStyle w:val="Heading5"/>
        <w:spacing w:before="180"/>
        <w:rPr>
          <w:snapToGrid w:val="0"/>
        </w:rPr>
      </w:pPr>
      <w:bookmarkStart w:id="55" w:name="_Toc112318621"/>
      <w:bookmarkStart w:id="56" w:name="_Toc111797632"/>
      <w:r>
        <w:rPr>
          <w:rStyle w:val="CharSectno"/>
        </w:rPr>
        <w:t>20</w:t>
      </w:r>
      <w:r>
        <w:rPr>
          <w:snapToGrid w:val="0"/>
        </w:rPr>
        <w:t>.</w:t>
      </w:r>
      <w:r>
        <w:rPr>
          <w:snapToGrid w:val="0"/>
        </w:rPr>
        <w:tab/>
        <w:t>Regulations as to restricted burning times</w:t>
      </w:r>
      <w:bookmarkEnd w:id="55"/>
      <w:bookmarkEnd w:id="56"/>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No. 65 of 1977 s. 16.]</w:t>
      </w:r>
    </w:p>
    <w:p>
      <w:pPr>
        <w:pStyle w:val="Heading3"/>
      </w:pPr>
      <w:bookmarkStart w:id="57" w:name="_Toc112241465"/>
      <w:bookmarkStart w:id="58" w:name="_Toc112242309"/>
      <w:bookmarkStart w:id="59" w:name="_Toc112318622"/>
      <w:bookmarkStart w:id="60" w:name="_Toc111796962"/>
      <w:bookmarkStart w:id="61" w:name="_Toc111797633"/>
      <w:r>
        <w:rPr>
          <w:rStyle w:val="CharDivNo"/>
        </w:rPr>
        <w:t>Division 4</w:t>
      </w:r>
      <w:r>
        <w:t> — </w:t>
      </w:r>
      <w:r>
        <w:rPr>
          <w:rStyle w:val="CharDivText"/>
        </w:rPr>
        <w:t>Total fire ban</w:t>
      </w:r>
      <w:bookmarkEnd w:id="57"/>
      <w:bookmarkEnd w:id="58"/>
      <w:bookmarkEnd w:id="59"/>
      <w:bookmarkEnd w:id="60"/>
      <w:bookmarkEnd w:id="61"/>
    </w:p>
    <w:p>
      <w:pPr>
        <w:pStyle w:val="Footnoteheading"/>
        <w:spacing w:before="100"/>
      </w:pPr>
      <w:r>
        <w:tab/>
        <w:t>[Heading inserted: No. 25 of 2009 s. 7.]</w:t>
      </w:r>
    </w:p>
    <w:p>
      <w:pPr>
        <w:pStyle w:val="Heading5"/>
      </w:pPr>
      <w:bookmarkStart w:id="62" w:name="_Toc112318623"/>
      <w:bookmarkStart w:id="63" w:name="_Toc111797634"/>
      <w:r>
        <w:rPr>
          <w:rStyle w:val="CharSectno"/>
        </w:rPr>
        <w:t>21</w:t>
      </w:r>
      <w:r>
        <w:t>.</w:t>
      </w:r>
      <w:r>
        <w:tab/>
        <w:t>Terms used</w:t>
      </w:r>
      <w:bookmarkEnd w:id="62"/>
      <w:bookmarkEnd w:id="63"/>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No. 25 of 2009 s. 7.]</w:t>
      </w:r>
    </w:p>
    <w:p>
      <w:pPr>
        <w:pStyle w:val="Heading5"/>
      </w:pPr>
      <w:bookmarkStart w:id="64" w:name="_Toc112318624"/>
      <w:bookmarkStart w:id="65" w:name="_Toc111797635"/>
      <w:r>
        <w:rPr>
          <w:rStyle w:val="CharSectno"/>
        </w:rPr>
        <w:t>22A</w:t>
      </w:r>
      <w:r>
        <w:t>.</w:t>
      </w:r>
      <w:r>
        <w:tab/>
        <w:t>Minister may declare total fire ban</w:t>
      </w:r>
      <w:bookmarkEnd w:id="64"/>
      <w:bookmarkEnd w:id="65"/>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No. 25 of 2009 s. 7.]</w:t>
      </w:r>
    </w:p>
    <w:p>
      <w:pPr>
        <w:pStyle w:val="Heading5"/>
      </w:pPr>
      <w:bookmarkStart w:id="66" w:name="_Toc112318625"/>
      <w:bookmarkStart w:id="67" w:name="_Toc111797636"/>
      <w:r>
        <w:rPr>
          <w:rStyle w:val="CharSectno"/>
        </w:rPr>
        <w:t>22B</w:t>
      </w:r>
      <w:r>
        <w:t>.</w:t>
      </w:r>
      <w:r>
        <w:tab/>
        <w:t>Lighting of fires prohibited during total fire ban</w:t>
      </w:r>
      <w:bookmarkEnd w:id="66"/>
      <w:bookmarkEnd w:id="67"/>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No. 25 of 2009 s. 7.]</w:t>
      </w:r>
    </w:p>
    <w:p>
      <w:pPr>
        <w:pStyle w:val="Heading5"/>
      </w:pPr>
      <w:bookmarkStart w:id="68" w:name="_Toc112318626"/>
      <w:bookmarkStart w:id="69" w:name="_Toc111797637"/>
      <w:r>
        <w:rPr>
          <w:rStyle w:val="CharSectno"/>
        </w:rPr>
        <w:t>22C</w:t>
      </w:r>
      <w:r>
        <w:t>.</w:t>
      </w:r>
      <w:r>
        <w:tab/>
        <w:t>Power of Minister to exempt from provisions of section 22B</w:t>
      </w:r>
      <w:bookmarkEnd w:id="68"/>
      <w:bookmarkEnd w:id="69"/>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No. 25 of 2009 s. 7; amended: No. 22 of 2012 s. 52.]</w:t>
      </w:r>
    </w:p>
    <w:p>
      <w:pPr>
        <w:pStyle w:val="Heading3"/>
        <w:keepLines/>
        <w:spacing w:before="220"/>
      </w:pPr>
      <w:bookmarkStart w:id="70" w:name="_Toc112241470"/>
      <w:bookmarkStart w:id="71" w:name="_Toc112242314"/>
      <w:bookmarkStart w:id="72" w:name="_Toc112318627"/>
      <w:bookmarkStart w:id="73" w:name="_Toc111796967"/>
      <w:bookmarkStart w:id="74" w:name="_Toc111797638"/>
      <w:r>
        <w:rPr>
          <w:rStyle w:val="CharDivNo"/>
        </w:rPr>
        <w:t>Division 5</w:t>
      </w:r>
      <w:r>
        <w:rPr>
          <w:snapToGrid w:val="0"/>
        </w:rPr>
        <w:t> — </w:t>
      </w:r>
      <w:r>
        <w:rPr>
          <w:rStyle w:val="CharDivText"/>
        </w:rPr>
        <w:t>Burning during prohibited times and restricted times</w:t>
      </w:r>
      <w:bookmarkEnd w:id="70"/>
      <w:bookmarkEnd w:id="71"/>
      <w:bookmarkEnd w:id="72"/>
      <w:bookmarkEnd w:id="73"/>
      <w:bookmarkEnd w:id="74"/>
    </w:p>
    <w:p>
      <w:pPr>
        <w:pStyle w:val="Heading5"/>
        <w:spacing w:before="160"/>
        <w:rPr>
          <w:snapToGrid w:val="0"/>
        </w:rPr>
      </w:pPr>
      <w:bookmarkStart w:id="75" w:name="_Toc112318628"/>
      <w:bookmarkStart w:id="76" w:name="_Toc111797639"/>
      <w:r>
        <w:rPr>
          <w:rStyle w:val="CharSectno"/>
        </w:rPr>
        <w:t>22</w:t>
      </w:r>
      <w:r>
        <w:rPr>
          <w:snapToGrid w:val="0"/>
        </w:rPr>
        <w:t>.</w:t>
      </w:r>
      <w:r>
        <w:rPr>
          <w:snapToGrid w:val="0"/>
        </w:rPr>
        <w:tab/>
        <w:t>Burning on exempt land and land adjoining exempt land</w:t>
      </w:r>
      <w:bookmarkEnd w:id="75"/>
      <w:bookmarkEnd w:id="76"/>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No. 11 of 1963 s. 9; No. 94 of 1972 s. 4 (as amended: No. 83 of 1973 s. 3); No. 65 of 1977 s. 17; No. 51 of 1979 s. 5; No. 14 of 1996 s. 4; No. 19 of 2010 s. 52(4).]</w:t>
      </w:r>
    </w:p>
    <w:p>
      <w:pPr>
        <w:pStyle w:val="Heading5"/>
        <w:spacing w:before="180"/>
        <w:rPr>
          <w:snapToGrid w:val="0"/>
        </w:rPr>
      </w:pPr>
      <w:bookmarkStart w:id="77" w:name="_Toc112318629"/>
      <w:bookmarkStart w:id="78" w:name="_Toc111797640"/>
      <w:r>
        <w:rPr>
          <w:rStyle w:val="CharSectno"/>
        </w:rPr>
        <w:t>23</w:t>
      </w:r>
      <w:r>
        <w:rPr>
          <w:snapToGrid w:val="0"/>
        </w:rPr>
        <w:t>.</w:t>
      </w:r>
      <w:r>
        <w:rPr>
          <w:snapToGrid w:val="0"/>
        </w:rPr>
        <w:tab/>
        <w:t>Burning during prohibited burning times</w:t>
      </w:r>
      <w:bookmarkEnd w:id="77"/>
      <w:bookmarkEnd w:id="78"/>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No. 65 of 1977 s. 18; amended: No. 14 of 1996 s. 4.]</w:t>
      </w:r>
    </w:p>
    <w:p>
      <w:pPr>
        <w:pStyle w:val="Heading5"/>
        <w:rPr>
          <w:snapToGrid w:val="0"/>
        </w:rPr>
      </w:pPr>
      <w:bookmarkStart w:id="79" w:name="_Toc112318630"/>
      <w:bookmarkStart w:id="80" w:name="_Toc111797641"/>
      <w:r>
        <w:rPr>
          <w:rStyle w:val="CharSectno"/>
        </w:rPr>
        <w:t>24</w:t>
      </w:r>
      <w:r>
        <w:rPr>
          <w:snapToGrid w:val="0"/>
        </w:rPr>
        <w:t>.</w:t>
      </w:r>
      <w:r>
        <w:rPr>
          <w:snapToGrid w:val="0"/>
        </w:rPr>
        <w:tab/>
        <w:t>Bush on land growing subterranean clover may be burnt during prohibited burning times</w:t>
      </w:r>
      <w:bookmarkEnd w:id="79"/>
      <w:bookmarkEnd w:id="80"/>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No. 94 of 1972 s. 4 (as amended: No. 83 of 1973 s. 3); No. 65 of 1977 s. 19; No. 51 of 1979 s. 5; No. 14 of 1996 s. 4.]</w:t>
      </w:r>
    </w:p>
    <w:p>
      <w:pPr>
        <w:pStyle w:val="Heading5"/>
        <w:rPr>
          <w:snapToGrid w:val="0"/>
        </w:rPr>
      </w:pPr>
      <w:bookmarkStart w:id="81" w:name="_Toc112318631"/>
      <w:bookmarkStart w:id="82" w:name="_Toc111797642"/>
      <w:r>
        <w:rPr>
          <w:rStyle w:val="CharSectno"/>
        </w:rPr>
        <w:t>24A</w:t>
      </w:r>
      <w:r>
        <w:rPr>
          <w:snapToGrid w:val="0"/>
        </w:rPr>
        <w:t>.</w:t>
      </w:r>
      <w:r>
        <w:rPr>
          <w:snapToGrid w:val="0"/>
        </w:rPr>
        <w:tab/>
        <w:t>Bush on land in prescribed irrigation areas may be burnt during prohibited times for purpose of germinating clover</w:t>
      </w:r>
      <w:bookmarkEnd w:id="81"/>
      <w:bookmarkEnd w:id="82"/>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No. 35 of 1957 s. 4; amended: No. 11 of 1963 s. 10; No. 19 of 2010 s. 52(4).]</w:t>
      </w:r>
    </w:p>
    <w:p>
      <w:pPr>
        <w:pStyle w:val="Heading5"/>
        <w:rPr>
          <w:snapToGrid w:val="0"/>
        </w:rPr>
      </w:pPr>
      <w:bookmarkStart w:id="83" w:name="_Toc112318632"/>
      <w:bookmarkStart w:id="84" w:name="_Toc111797643"/>
      <w:r>
        <w:rPr>
          <w:rStyle w:val="CharSectno"/>
        </w:rPr>
        <w:t>24B</w:t>
      </w:r>
      <w:r>
        <w:rPr>
          <w:snapToGrid w:val="0"/>
        </w:rPr>
        <w:t>.</w:t>
      </w:r>
      <w:r>
        <w:rPr>
          <w:snapToGrid w:val="0"/>
        </w:rPr>
        <w:tab/>
        <w:t>Production of permit to burn may be required</w:t>
      </w:r>
      <w:bookmarkEnd w:id="83"/>
      <w:bookmarkEnd w:id="84"/>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No. 11 of 1963 s. 11; amended: No. 113 of 1965 s. 8(1); No. 65 of 1977 s. 20 and 47; No. 51 of 1979 s. 5; No. 8 of 1987 s. 8; No. 14 of 1996 s. 4; No. 42 of 1998 s. 16; No. 22 of 2012 s. 53.]</w:t>
      </w:r>
    </w:p>
    <w:p>
      <w:pPr>
        <w:pStyle w:val="Heading5"/>
        <w:spacing w:before="180"/>
      </w:pPr>
      <w:bookmarkStart w:id="85" w:name="_Toc112318633"/>
      <w:bookmarkStart w:id="86" w:name="_Toc111797644"/>
      <w:r>
        <w:rPr>
          <w:rStyle w:val="CharSectno"/>
        </w:rPr>
        <w:t>24C</w:t>
      </w:r>
      <w:r>
        <w:t>.</w:t>
      </w:r>
      <w:r>
        <w:tab/>
        <w:t>Terms used</w:t>
      </w:r>
      <w:bookmarkEnd w:id="85"/>
      <w:bookmarkEnd w:id="86"/>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w:t>
      </w:r>
      <w:del w:id="87" w:author="Master Repository Process" w:date="2022-08-25T16:02:00Z">
        <w:r>
          <w:delText>, means —</w:delText>
        </w:r>
      </w:del>
      <w:ins w:id="88" w:author="Master Repository Process" w:date="2022-08-25T16:02:00Z">
        <w:r>
          <w:t xml:space="preserve"> — </w:t>
        </w:r>
      </w:ins>
    </w:p>
    <w:p>
      <w:pPr>
        <w:pStyle w:val="Defpara"/>
        <w:rPr>
          <w:ins w:id="89" w:author="Master Repository Process" w:date="2022-08-25T16:02:00Z"/>
        </w:rPr>
      </w:pPr>
      <w:r>
        <w:tab/>
        <w:t>(a)</w:t>
      </w:r>
      <w:r>
        <w:tab/>
      </w:r>
      <w:ins w:id="90" w:author="Master Repository Process" w:date="2022-08-25T16:02:00Z">
        <w:r>
          <w:t xml:space="preserve">means — </w:t>
        </w:r>
      </w:ins>
    </w:p>
    <w:p>
      <w:pPr>
        <w:pStyle w:val="Defsubpara"/>
      </w:pPr>
      <w:ins w:id="91" w:author="Master Repository Process" w:date="2022-08-25T16:02:00Z">
        <w:r>
          <w:tab/>
          <w:t>(i)</w:t>
        </w:r>
        <w:r>
          <w:tab/>
        </w:r>
      </w:ins>
      <w:r>
        <w:t>the restricted burning times</w:t>
      </w:r>
      <w:ins w:id="92" w:author="Master Repository Process" w:date="2022-08-25T16:02:00Z">
        <w:r>
          <w:t xml:space="preserve"> for that place</w:t>
        </w:r>
      </w:ins>
      <w:r>
        <w:t>; and</w:t>
      </w:r>
    </w:p>
    <w:p>
      <w:pPr>
        <w:pStyle w:val="Defsubpara"/>
      </w:pPr>
      <w:r>
        <w:tab/>
        <w:t>(</w:t>
      </w:r>
      <w:del w:id="93" w:author="Master Repository Process" w:date="2022-08-25T16:02:00Z">
        <w:r>
          <w:delText>b</w:delText>
        </w:r>
      </w:del>
      <w:ins w:id="94" w:author="Master Repository Process" w:date="2022-08-25T16:02:00Z">
        <w:r>
          <w:t>ii</w:t>
        </w:r>
      </w:ins>
      <w:r>
        <w:t>)</w:t>
      </w:r>
      <w:r>
        <w:tab/>
        <w:t>the prohibited burning times</w:t>
      </w:r>
      <w:del w:id="95" w:author="Master Repository Process" w:date="2022-08-25T16:02:00Z">
        <w:r>
          <w:delText>,</w:delText>
        </w:r>
      </w:del>
      <w:ins w:id="96" w:author="Master Repository Process" w:date="2022-08-25T16:02:00Z">
        <w:r>
          <w:t xml:space="preserve"> for that place; </w:t>
        </w:r>
      </w:ins>
    </w:p>
    <w:p>
      <w:pPr>
        <w:pStyle w:val="Defpara"/>
        <w:rPr>
          <w:ins w:id="97" w:author="Master Repository Process" w:date="2022-08-25T16:02:00Z"/>
        </w:rPr>
      </w:pPr>
      <w:r>
        <w:tab/>
      </w:r>
      <w:del w:id="98" w:author="Master Repository Process" w:date="2022-08-25T16:02:00Z">
        <w:r>
          <w:delText xml:space="preserve">for that place </w:delText>
        </w:r>
      </w:del>
      <w:ins w:id="99" w:author="Master Repository Process" w:date="2022-08-25T16:02:00Z">
        <w:r>
          <w:tab/>
        </w:r>
      </w:ins>
      <w:r>
        <w:t>but</w:t>
      </w:r>
      <w:del w:id="100" w:author="Master Repository Process" w:date="2022-08-25T16:02:00Z">
        <w:r>
          <w:delText xml:space="preserve"> excluding</w:delText>
        </w:r>
      </w:del>
    </w:p>
    <w:p>
      <w:pPr>
        <w:pStyle w:val="Defpara"/>
      </w:pPr>
      <w:ins w:id="101" w:author="Master Repository Process" w:date="2022-08-25T16:02:00Z">
        <w:r>
          <w:tab/>
          <w:t>(b)</w:t>
        </w:r>
        <w:r>
          <w:tab/>
          <w:t>does not include</w:t>
        </w:r>
      </w:ins>
      <w:r>
        <w:t xml:space="preserve"> any time when there is in force a fire danger forecast issued for that place by the Bureau of Meteorology in Perth of “catastrophic”, “extreme</w:t>
      </w:r>
      <w:del w:id="102" w:author="Master Repository Process" w:date="2022-08-25T16:02:00Z">
        <w:r>
          <w:delText>”, “severe</w:delText>
        </w:r>
      </w:del>
      <w:r>
        <w:t>” or “</w:t>
      </w:r>
      <w:del w:id="103" w:author="Master Repository Process" w:date="2022-08-25T16:02:00Z">
        <w:r>
          <w:delText xml:space="preserve">very </w:delText>
        </w:r>
      </w:del>
      <w:r>
        <w:t>high”;</w:t>
      </w:r>
    </w:p>
    <w:p>
      <w:pPr>
        <w:pStyle w:val="Defstart"/>
      </w:pPr>
      <w:r>
        <w:tab/>
      </w:r>
      <w:r>
        <w:rPr>
          <w:rStyle w:val="CharDefText"/>
        </w:rPr>
        <w:t>rubbish tip</w:t>
      </w:r>
      <w:r>
        <w:t xml:space="preserve"> means disposal premises as defined in the </w:t>
      </w:r>
      <w:r>
        <w:rPr>
          <w:i/>
        </w:rPr>
        <w:t>Waste Avoidance and Resource Recovery Levy Act 2007</w:t>
      </w:r>
      <w:r>
        <w:t xml:space="preserve"> section 3;</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No. 38 of 2002 s. 24; amended: No. 25 of 2009 s. 8; No. 40 of 2020 s. 114(2</w:t>
      </w:r>
      <w:del w:id="104" w:author="Master Repository Process" w:date="2022-08-25T16:02:00Z">
        <w:r>
          <w:delText>).]</w:delText>
        </w:r>
      </w:del>
      <w:ins w:id="105" w:author="Master Repository Process" w:date="2022-08-25T16:02:00Z">
        <w:r>
          <w:t>); No. 26 of 2022 s. 4.]</w:t>
        </w:r>
      </w:ins>
    </w:p>
    <w:p>
      <w:pPr>
        <w:pStyle w:val="Heading5"/>
        <w:spacing w:before="180"/>
      </w:pPr>
      <w:bookmarkStart w:id="106" w:name="_Toc112318634"/>
      <w:bookmarkStart w:id="107" w:name="_Toc111797645"/>
      <w:r>
        <w:rPr>
          <w:rStyle w:val="CharSectno"/>
        </w:rPr>
        <w:t>24D</w:t>
      </w:r>
      <w:r>
        <w:t>.</w:t>
      </w:r>
      <w:r>
        <w:tab/>
        <w:t xml:space="preserve">Burning garden refuse prohibited if fire danger </w:t>
      </w:r>
      <w:del w:id="108" w:author="Master Repository Process" w:date="2022-08-25T16:02:00Z">
        <w:r>
          <w:delText xml:space="preserve">very </w:delText>
        </w:r>
      </w:del>
      <w:r>
        <w:t>high to</w:t>
      </w:r>
      <w:del w:id="109" w:author="Master Repository Process" w:date="2022-08-25T16:02:00Z">
        <w:r>
          <w:delText> </w:delText>
        </w:r>
      </w:del>
      <w:ins w:id="110" w:author="Master Repository Process" w:date="2022-08-25T16:02:00Z">
        <w:r>
          <w:t xml:space="preserve"> </w:t>
        </w:r>
      </w:ins>
      <w:r>
        <w:t>catastrophic</w:t>
      </w:r>
      <w:bookmarkEnd w:id="106"/>
      <w:bookmarkEnd w:id="107"/>
    </w:p>
    <w:p>
      <w:pPr>
        <w:pStyle w:val="Subsection"/>
      </w:pPr>
      <w:r>
        <w:tab/>
      </w:r>
      <w:r>
        <w:tab/>
        <w:t>A person must not burn garden refuse at any place at any time when there is in force a fire danger forecast issued for that place by the Bureau of Meteorology in Perth of “catastrophic”, “extreme</w:t>
      </w:r>
      <w:del w:id="111" w:author="Master Repository Process" w:date="2022-08-25T16:02:00Z">
        <w:r>
          <w:delText>”, “severe</w:delText>
        </w:r>
      </w:del>
      <w:r>
        <w:t>” or “</w:t>
      </w:r>
      <w:del w:id="112" w:author="Master Repository Process" w:date="2022-08-25T16:02:00Z">
        <w:r>
          <w:delText xml:space="preserve">very </w:delText>
        </w:r>
      </w:del>
      <w:r>
        <w:t>high”.</w:t>
      </w:r>
    </w:p>
    <w:p>
      <w:pPr>
        <w:pStyle w:val="Penstart"/>
      </w:pPr>
      <w:r>
        <w:tab/>
        <w:t>Penalty: $3 000.</w:t>
      </w:r>
    </w:p>
    <w:p>
      <w:pPr>
        <w:pStyle w:val="Footnotesection"/>
      </w:pPr>
      <w:r>
        <w:tab/>
        <w:t>[Section 24D inserted: No. 38 of 2002 s. 24; amended: No. 25 of 2009 s. </w:t>
      </w:r>
      <w:del w:id="113" w:author="Master Repository Process" w:date="2022-08-25T16:02:00Z">
        <w:r>
          <w:delText>9</w:delText>
        </w:r>
      </w:del>
      <w:ins w:id="114" w:author="Master Repository Process" w:date="2022-08-25T16:02:00Z">
        <w:r>
          <w:t>9; No. 26 of 2022 s. 5</w:t>
        </w:r>
      </w:ins>
      <w:r>
        <w:t>.]</w:t>
      </w:r>
    </w:p>
    <w:p>
      <w:pPr>
        <w:pStyle w:val="Heading5"/>
        <w:spacing w:before="180"/>
      </w:pPr>
      <w:bookmarkStart w:id="115" w:name="_Toc112318635"/>
      <w:bookmarkStart w:id="116" w:name="_Toc111797646"/>
      <w:r>
        <w:rPr>
          <w:rStyle w:val="CharSectno"/>
        </w:rPr>
        <w:t>24E</w:t>
      </w:r>
      <w:r>
        <w:t>.</w:t>
      </w:r>
      <w:r>
        <w:tab/>
        <w:t>Burning of garden refuse at rubbish tips</w:t>
      </w:r>
      <w:bookmarkEnd w:id="115"/>
      <w:bookmarkEnd w:id="116"/>
    </w:p>
    <w:p>
      <w:pPr>
        <w:pStyle w:val="Subsection"/>
        <w:keepNext/>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keepNext/>
      </w:pPr>
      <w:r>
        <w:tab/>
        <w:t>(3)</w:t>
      </w:r>
      <w:r>
        <w:tab/>
        <w:t>In a notice under subsection (2) the Minister —</w:t>
      </w:r>
    </w:p>
    <w:p>
      <w:pPr>
        <w:pStyle w:val="Indenta"/>
        <w:keepNext/>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keepNext/>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keepNext/>
      </w:pPr>
      <w:r>
        <w:tab/>
        <w:t>(4)</w:t>
      </w:r>
      <w:r>
        <w:tab/>
        <w:t>The Minister may vary or cancel a notice under this section by publishing a further notice.</w:t>
      </w:r>
    </w:p>
    <w:p>
      <w:pPr>
        <w:pStyle w:val="Footnotesection"/>
      </w:pPr>
      <w:r>
        <w:tab/>
        <w:t>[Section 24E inserted: No. 38 of 2002 s. 24; amended: No. 22 of 2012 s. 54.]</w:t>
      </w:r>
    </w:p>
    <w:p>
      <w:pPr>
        <w:pStyle w:val="Heading5"/>
      </w:pPr>
      <w:bookmarkStart w:id="117" w:name="_Toc112318636"/>
      <w:bookmarkStart w:id="118" w:name="_Toc111797647"/>
      <w:r>
        <w:rPr>
          <w:rStyle w:val="CharSectno"/>
        </w:rPr>
        <w:t>24F</w:t>
      </w:r>
      <w:r>
        <w:t>.</w:t>
      </w:r>
      <w:r>
        <w:tab/>
        <w:t>Burning garden refuse during limited burning times</w:t>
      </w:r>
      <w:bookmarkEnd w:id="117"/>
      <w:bookmarkEnd w:id="118"/>
    </w:p>
    <w:p>
      <w:pPr>
        <w:pStyle w:val="Subsection"/>
        <w:keepNext/>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keepNext/>
      </w:pPr>
      <w:r>
        <w:tab/>
        <w:t>(b)</w:t>
      </w:r>
      <w:r>
        <w:tab/>
        <w:t>on the ground in accordance with subsection (3).</w:t>
      </w:r>
    </w:p>
    <w:p>
      <w:pPr>
        <w:pStyle w:val="Penstart"/>
      </w:pPr>
      <w:r>
        <w:tab/>
        <w:t>Penalty: $3 000.</w:t>
      </w:r>
    </w:p>
    <w:p>
      <w:pPr>
        <w:pStyle w:val="Subsection"/>
        <w:keepNext/>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Lines/>
      </w:pPr>
      <w:r>
        <w:tab/>
        <w:t>(i)</w:t>
      </w:r>
      <w:r>
        <w:tab/>
        <w:t>the incinerator is situated 2 m or more away from any building or fence; or</w:t>
      </w:r>
    </w:p>
    <w:p>
      <w:pPr>
        <w:pStyle w:val="Indenti"/>
        <w:keepNext/>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keepNext/>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keepNext/>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No. 38 of 2002 s. 24.]</w:t>
      </w:r>
    </w:p>
    <w:p>
      <w:pPr>
        <w:pStyle w:val="Heading5"/>
        <w:spacing w:before="260"/>
      </w:pPr>
      <w:bookmarkStart w:id="119" w:name="_Toc112318637"/>
      <w:bookmarkStart w:id="120" w:name="_Toc111797648"/>
      <w:r>
        <w:rPr>
          <w:rStyle w:val="CharSectno"/>
        </w:rPr>
        <w:t>24G</w:t>
      </w:r>
      <w:r>
        <w:t>.</w:t>
      </w:r>
      <w:r>
        <w:tab/>
        <w:t>Minister or local government may further restrict burning of garden refuse</w:t>
      </w:r>
      <w:bookmarkEnd w:id="119"/>
      <w:bookmarkEnd w:id="120"/>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keepNext/>
        <w:spacing w:before="180"/>
      </w:pPr>
      <w:r>
        <w:tab/>
        <w:t>(3)</w:t>
      </w:r>
      <w:r>
        <w:tab/>
        <w:t>A person must not burn garden refuse contrary to a prohibition or restriction imposed under this section.</w:t>
      </w:r>
    </w:p>
    <w:p>
      <w:pPr>
        <w:pStyle w:val="Penstart"/>
      </w:pPr>
      <w:r>
        <w:tab/>
        <w:t>Penalty: $3 000.</w:t>
      </w:r>
    </w:p>
    <w:p>
      <w:pPr>
        <w:pStyle w:val="Subsection"/>
        <w:keepNext/>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keepNext/>
      </w:pPr>
      <w:r>
        <w:tab/>
        <w:t>(c)</w:t>
      </w:r>
      <w:r>
        <w:tab/>
        <w:t>the period during which,</w:t>
      </w:r>
    </w:p>
    <w:p>
      <w:pPr>
        <w:pStyle w:val="Subsection"/>
        <w:spacing w:before="180"/>
      </w:pPr>
      <w:r>
        <w:tab/>
      </w:r>
      <w:r>
        <w:tab/>
        <w:t>the notice applies.</w:t>
      </w:r>
    </w:p>
    <w:p>
      <w:pPr>
        <w:pStyle w:val="Subsection"/>
        <w:keepNext/>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No. 38 of 2002 s. 24; amended: No. 22 of 2012 s. 55.]</w:t>
      </w:r>
    </w:p>
    <w:p>
      <w:pPr>
        <w:pStyle w:val="Heading5"/>
        <w:spacing w:before="240"/>
        <w:rPr>
          <w:snapToGrid w:val="0"/>
        </w:rPr>
      </w:pPr>
      <w:bookmarkStart w:id="121" w:name="_Toc112318638"/>
      <w:bookmarkStart w:id="122" w:name="_Toc111797649"/>
      <w:r>
        <w:rPr>
          <w:rStyle w:val="CharSectno"/>
        </w:rPr>
        <w:t>25</w:t>
      </w:r>
      <w:r>
        <w:rPr>
          <w:snapToGrid w:val="0"/>
        </w:rPr>
        <w:t>.</w:t>
      </w:r>
      <w:r>
        <w:rPr>
          <w:snapToGrid w:val="0"/>
        </w:rPr>
        <w:tab/>
        <w:t>No fire to be lit in open air unless certain precautions taken</w:t>
      </w:r>
      <w:bookmarkEnd w:id="121"/>
      <w:bookmarkEnd w:id="122"/>
    </w:p>
    <w:p>
      <w:pPr>
        <w:pStyle w:val="Subsection"/>
        <w:keepNext/>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“catastrophic”, “extreme</w:t>
      </w:r>
      <w:del w:id="123" w:author="Master Repository Process" w:date="2022-08-25T16:02:00Z">
        <w:r>
          <w:delText>”, “severe</w:delText>
        </w:r>
      </w:del>
      <w:r>
        <w:t>” or “</w:t>
      </w:r>
      <w:del w:id="124" w:author="Master Repository Process" w:date="2022-08-25T16:02:00Z">
        <w:r>
          <w:delText xml:space="preserve">very </w:delText>
        </w:r>
      </w:del>
      <w:r>
        <w:t xml:space="preserve">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keepNext/>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keepNext/>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keepNext/>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keepNext/>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keepNext/>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keepNext/>
        <w:rPr>
          <w:snapToGrid w:val="0"/>
        </w:rPr>
      </w:pPr>
      <w:r>
        <w:rPr>
          <w:snapToGrid w:val="0"/>
        </w:rPr>
        <w:tab/>
        <w:t>(2)</w:t>
      </w:r>
      <w:r>
        <w:rPr>
          <w:snapToGrid w:val="0"/>
        </w:rPr>
        <w:tab/>
        <w:t>A person who contravenes a provision of this section is guilty of an offence.</w:t>
      </w:r>
    </w:p>
    <w:p>
      <w:pPr>
        <w:pStyle w:val="Penstart"/>
        <w:keepNext/>
        <w:rPr>
          <w:snapToGrid w:val="0"/>
        </w:rPr>
      </w:pPr>
      <w:r>
        <w:rPr>
          <w:snapToGrid w:val="0"/>
        </w:rPr>
        <w:tab/>
        <w:t>Penalty: $3 000.</w:t>
      </w:r>
    </w:p>
    <w:p>
      <w:pPr>
        <w:pStyle w:val="Footnotesection"/>
        <w:ind w:left="890" w:hanging="890"/>
      </w:pPr>
      <w:r>
        <w:tab/>
        <w:t>[Section 25 amended: No. 11 of 1963 s. 12; No. 15 of 1965 s. 2; No. 113 of 1965 s. 8(1); No. 101 of 1969 s. 5; No. 67 of 1970 s. 2; No. 94 of 1972 s. 4 (as amended: No. 83 of 1973 s. 3); No. 65 of 1977 s. 21, 47 and 48; No. 51 of 1979 s. 5; No. 8 of 1987 s. 8; No. 60 of 1992 s. 23; No. 14 of 1996 s. 4; No. 57 of 1997 s. 26(1); No. 10 of 1998 s. 20(1); No. 38 of 2002 s. 25, 39 and 40; No. 25 of 2009 s. 10; No. 19 of 2010 s. 52(4</w:t>
      </w:r>
      <w:del w:id="125" w:author="Master Repository Process" w:date="2022-08-25T16:02:00Z">
        <w:r>
          <w:delText>).]</w:delText>
        </w:r>
      </w:del>
      <w:ins w:id="126" w:author="Master Repository Process" w:date="2022-08-25T16:02:00Z">
        <w:r>
          <w:t>); No. 26 of 2022 s. 6.]</w:t>
        </w:r>
      </w:ins>
    </w:p>
    <w:p>
      <w:pPr>
        <w:pStyle w:val="Heading5"/>
        <w:rPr>
          <w:snapToGrid w:val="0"/>
        </w:rPr>
      </w:pPr>
      <w:bookmarkStart w:id="127" w:name="_Toc112318639"/>
      <w:bookmarkStart w:id="128" w:name="_Toc111797650"/>
      <w:r>
        <w:rPr>
          <w:rStyle w:val="CharSectno"/>
        </w:rPr>
        <w:t>25A</w:t>
      </w:r>
      <w:r>
        <w:rPr>
          <w:snapToGrid w:val="0"/>
        </w:rPr>
        <w:t>.</w:t>
      </w:r>
      <w:r>
        <w:rPr>
          <w:snapToGrid w:val="0"/>
        </w:rPr>
        <w:tab/>
        <w:t>Power of Minister to exempt from provisions of section 25</w:t>
      </w:r>
      <w:bookmarkEnd w:id="127"/>
      <w:bookmarkEnd w:id="128"/>
    </w:p>
    <w:p>
      <w:pPr>
        <w:pStyle w:val="Subsection"/>
        <w:keepNext/>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keepNext/>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keepNext/>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keepNext/>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keepNext/>
        <w:rPr>
          <w:snapToGrid w:val="0"/>
        </w:rPr>
      </w:pPr>
      <w:r>
        <w:rPr>
          <w:snapToGrid w:val="0"/>
        </w:rPr>
        <w:tab/>
        <w:t>Penalty: $10 000.</w:t>
      </w:r>
    </w:p>
    <w:p>
      <w:pPr>
        <w:pStyle w:val="Footnotesection"/>
        <w:ind w:left="890" w:hanging="890"/>
      </w:pPr>
      <w:r>
        <w:tab/>
        <w:t>[Section 25A inserted: No. 15 of 1965 s. 3; amended: No. 113 of 1965 s. 8(1); No. 65 of 1977 s. 22 and 48; No. 8 of 1987 s. 8; No. 14 of 1996 s. 4; No. 42 of 1998 s. 16; No. 38 of 2002 s. 26 and 39; No. 22 of 2012 s. 56.]</w:t>
      </w:r>
    </w:p>
    <w:p>
      <w:pPr>
        <w:pStyle w:val="Ednotesection"/>
        <w:ind w:left="890" w:hanging="890"/>
      </w:pPr>
      <w:r>
        <w:t>[</w:t>
      </w:r>
      <w:r>
        <w:rPr>
          <w:b/>
        </w:rPr>
        <w:t>25B.</w:t>
      </w:r>
      <w:r>
        <w:tab/>
        <w:t>Deleted: No. 38 of 2002 s. 27(1).]</w:t>
      </w:r>
    </w:p>
    <w:p>
      <w:pPr>
        <w:pStyle w:val="Heading5"/>
        <w:rPr>
          <w:snapToGrid w:val="0"/>
        </w:rPr>
      </w:pPr>
      <w:bookmarkStart w:id="129" w:name="_Toc112318640"/>
      <w:bookmarkStart w:id="130" w:name="_Toc111797651"/>
      <w:r>
        <w:rPr>
          <w:rStyle w:val="CharSectno"/>
        </w:rPr>
        <w:t>26</w:t>
      </w:r>
      <w:r>
        <w:rPr>
          <w:snapToGrid w:val="0"/>
        </w:rPr>
        <w:t>.</w:t>
      </w:r>
      <w:r>
        <w:rPr>
          <w:snapToGrid w:val="0"/>
        </w:rPr>
        <w:tab/>
        <w:t>Burning of plants to eradicate disease during prohibited burning times</w:t>
      </w:r>
      <w:bookmarkEnd w:id="129"/>
      <w:bookmarkEnd w:id="130"/>
    </w:p>
    <w:p>
      <w:pPr>
        <w:pStyle w:val="Subsection"/>
        <w:keepNext/>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keepNext/>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keepNext/>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No. 35 of 1957 s. 5; No. 113 of 1965 s. 8(1); No. 65 of 1977 s. 23 and 48;  No. 24 of 2007 s. 28(2); No. 38 of 2002 s. 39.]</w:t>
      </w:r>
    </w:p>
    <w:p>
      <w:pPr>
        <w:pStyle w:val="Heading5"/>
        <w:spacing w:before="180"/>
        <w:rPr>
          <w:snapToGrid w:val="0"/>
        </w:rPr>
      </w:pPr>
      <w:bookmarkStart w:id="131" w:name="_Toc112318641"/>
      <w:bookmarkStart w:id="132" w:name="_Toc111797652"/>
      <w:r>
        <w:rPr>
          <w:rStyle w:val="CharSectno"/>
        </w:rPr>
        <w:t>26A</w:t>
      </w:r>
      <w:r>
        <w:rPr>
          <w:snapToGrid w:val="0"/>
        </w:rPr>
        <w:t>.</w:t>
      </w:r>
      <w:r>
        <w:rPr>
          <w:snapToGrid w:val="0"/>
        </w:rPr>
        <w:tab/>
        <w:t>Burning of declared plants during prohibited burning times</w:t>
      </w:r>
      <w:bookmarkEnd w:id="131"/>
      <w:bookmarkEnd w:id="132"/>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keepNext/>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keepNext/>
        <w:rPr>
          <w:snapToGrid w:val="0"/>
        </w:rPr>
      </w:pPr>
      <w:r>
        <w:rPr>
          <w:snapToGrid w:val="0"/>
        </w:rPr>
        <w:tab/>
        <w:t>Penalty: A fine not exceeding $2 000.</w:t>
      </w:r>
    </w:p>
    <w:p>
      <w:pPr>
        <w:pStyle w:val="Footnotesection"/>
        <w:keepLines w:val="0"/>
        <w:ind w:left="890" w:hanging="890"/>
      </w:pPr>
      <w:r>
        <w:tab/>
        <w:t>[Section 26A inserted: No. 65 of 1977 s. 24; amended: No. 38 of 2002 s. 39; No. 24 of 2007 s. 28(3).]</w:t>
      </w:r>
    </w:p>
    <w:p>
      <w:pPr>
        <w:pStyle w:val="Heading3"/>
        <w:spacing w:before="200"/>
      </w:pPr>
      <w:bookmarkStart w:id="133" w:name="_Toc112241485"/>
      <w:bookmarkStart w:id="134" w:name="_Toc112242329"/>
      <w:bookmarkStart w:id="135" w:name="_Toc112318642"/>
      <w:bookmarkStart w:id="136" w:name="_Toc111796982"/>
      <w:bookmarkStart w:id="137" w:name="_Toc111797653"/>
      <w:r>
        <w:rPr>
          <w:rStyle w:val="CharDivNo"/>
        </w:rPr>
        <w:t>Division 6</w:t>
      </w:r>
      <w:r>
        <w:rPr>
          <w:snapToGrid w:val="0"/>
        </w:rPr>
        <w:t> — </w:t>
      </w:r>
      <w:r>
        <w:rPr>
          <w:rStyle w:val="CharDivText"/>
        </w:rPr>
        <w:t>General restrictions, prohibitions and offences</w:t>
      </w:r>
      <w:bookmarkEnd w:id="133"/>
      <w:bookmarkEnd w:id="134"/>
      <w:bookmarkEnd w:id="135"/>
      <w:bookmarkEnd w:id="136"/>
      <w:bookmarkEnd w:id="137"/>
    </w:p>
    <w:p>
      <w:pPr>
        <w:pStyle w:val="Heading5"/>
        <w:spacing w:before="180"/>
        <w:rPr>
          <w:snapToGrid w:val="0"/>
        </w:rPr>
      </w:pPr>
      <w:bookmarkStart w:id="138" w:name="_Toc112318643"/>
      <w:bookmarkStart w:id="139" w:name="_Toc111797654"/>
      <w:r>
        <w:rPr>
          <w:rStyle w:val="CharSectno"/>
        </w:rPr>
        <w:t>27</w:t>
      </w:r>
      <w:r>
        <w:rPr>
          <w:snapToGrid w:val="0"/>
        </w:rPr>
        <w:t>.</w:t>
      </w:r>
      <w:r>
        <w:rPr>
          <w:snapToGrid w:val="0"/>
        </w:rPr>
        <w:tab/>
        <w:t>Prohibition on use of tractors or engines except under certain conditions</w:t>
      </w:r>
      <w:bookmarkEnd w:id="138"/>
      <w:bookmarkEnd w:id="139"/>
    </w:p>
    <w:p>
      <w:pPr>
        <w:pStyle w:val="Subsection"/>
        <w:keepNext/>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keepNext/>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keepNext/>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keepNext/>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keepNext/>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Next/>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keepNext/>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keepNext/>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No. 11 of 1963 s. 13; No. 65 of 1977 s. 25; No. 51 of 1979 s. 2; No. 95 of 1981 s. 2; No. 8 of 1987 s. 8; No. 14 of 1996 s. 4; No. 38 of 2002 s. 39.]</w:t>
      </w:r>
    </w:p>
    <w:p>
      <w:pPr>
        <w:pStyle w:val="Heading5"/>
        <w:rPr>
          <w:snapToGrid w:val="0"/>
        </w:rPr>
      </w:pPr>
      <w:bookmarkStart w:id="140" w:name="_Toc112318644"/>
      <w:bookmarkStart w:id="141" w:name="_Toc111797655"/>
      <w:r>
        <w:rPr>
          <w:rStyle w:val="CharSectno"/>
        </w:rPr>
        <w:t>27A</w:t>
      </w:r>
      <w:r>
        <w:rPr>
          <w:snapToGrid w:val="0"/>
        </w:rPr>
        <w:t>.</w:t>
      </w:r>
      <w:r>
        <w:rPr>
          <w:snapToGrid w:val="0"/>
        </w:rPr>
        <w:tab/>
        <w:t>Regulation of blasting and matters likely to create bush fire danger</w:t>
      </w:r>
      <w:bookmarkEnd w:id="140"/>
      <w:bookmarkEnd w:id="141"/>
    </w:p>
    <w:p>
      <w:pPr>
        <w:pStyle w:val="Subsection"/>
        <w:keepNext/>
        <w:rPr>
          <w:snapToGrid w:val="0"/>
        </w:rPr>
      </w:pPr>
      <w:r>
        <w:rPr>
          <w:snapToGrid w:val="0"/>
        </w:rPr>
        <w:tab/>
        <w:t>(1)</w:t>
      </w:r>
      <w:r>
        <w:rPr>
          <w:snapToGrid w:val="0"/>
        </w:rPr>
        <w:tab/>
        <w:t>The Governor may make regulations —</w:t>
      </w:r>
    </w:p>
    <w:p>
      <w:pPr>
        <w:pStyle w:val="Indenta"/>
        <w:keepNext/>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keepNext/>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keepNext/>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No. 35 of 1957 s. 6; amended: No. 113 of 1965 s. 8; No. 65 of 1977 s. 26 and 48; No. 8 of 1987 s. 8(1); No. 38 of 2002 s. 39 and 40(2).]</w:t>
      </w:r>
    </w:p>
    <w:p>
      <w:pPr>
        <w:pStyle w:val="Heading5"/>
        <w:rPr>
          <w:snapToGrid w:val="0"/>
        </w:rPr>
      </w:pPr>
      <w:bookmarkStart w:id="142" w:name="_Toc112318645"/>
      <w:bookmarkStart w:id="143" w:name="_Toc111797656"/>
      <w:r>
        <w:rPr>
          <w:rStyle w:val="CharSectno"/>
        </w:rPr>
        <w:t>27B</w:t>
      </w:r>
      <w:r>
        <w:rPr>
          <w:snapToGrid w:val="0"/>
        </w:rPr>
        <w:t>.</w:t>
      </w:r>
      <w:r>
        <w:rPr>
          <w:snapToGrid w:val="0"/>
        </w:rPr>
        <w:tab/>
        <w:t>False alarms</w:t>
      </w:r>
      <w:bookmarkEnd w:id="142"/>
      <w:bookmarkEnd w:id="143"/>
    </w:p>
    <w:p>
      <w:pPr>
        <w:pStyle w:val="Subsection"/>
        <w:keepNext/>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No. 35 of 1957 s. 6; amended: No. 113 of 1965 s. 8(1); No. 65 of 1977 s. 47 and 48; No. 8 of 1987 s. 8; No. 14 of 1996 s. 4; No. 42 of 1998 s. 16; No. 38 of 2002 s. 39 and 40(2); No. 22 of 2012 s. 57 and 69.]</w:t>
      </w:r>
    </w:p>
    <w:p>
      <w:pPr>
        <w:pStyle w:val="Heading5"/>
        <w:rPr>
          <w:snapToGrid w:val="0"/>
        </w:rPr>
      </w:pPr>
      <w:bookmarkStart w:id="144" w:name="_Toc112318646"/>
      <w:bookmarkStart w:id="145" w:name="_Toc111797657"/>
      <w:r>
        <w:rPr>
          <w:rStyle w:val="CharSectno"/>
        </w:rPr>
        <w:t>27C</w:t>
      </w:r>
      <w:r>
        <w:rPr>
          <w:snapToGrid w:val="0"/>
        </w:rPr>
        <w:t>.</w:t>
      </w:r>
      <w:r>
        <w:rPr>
          <w:snapToGrid w:val="0"/>
        </w:rPr>
        <w:tab/>
        <w:t>Vandalism</w:t>
      </w:r>
      <w:bookmarkEnd w:id="144"/>
      <w:bookmarkEnd w:id="145"/>
    </w:p>
    <w:p>
      <w:pPr>
        <w:pStyle w:val="Subsection"/>
        <w:keepNext/>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No. 35 of 1957 s. 6; amended: No. 8 of 1987 s. 8; No. 14 of 1996 s. 4; No. 42 of 1998 s. 16; No. 38 of 2002 s. 39; No. 22 of 2012 s. 69.]</w:t>
      </w:r>
    </w:p>
    <w:p>
      <w:pPr>
        <w:pStyle w:val="Heading5"/>
        <w:rPr>
          <w:snapToGrid w:val="0"/>
        </w:rPr>
      </w:pPr>
      <w:bookmarkStart w:id="146" w:name="_Toc112318647"/>
      <w:bookmarkStart w:id="147" w:name="_Toc111797658"/>
      <w:r>
        <w:rPr>
          <w:rStyle w:val="CharSectno"/>
        </w:rPr>
        <w:t>27D</w:t>
      </w:r>
      <w:r>
        <w:rPr>
          <w:snapToGrid w:val="0"/>
        </w:rPr>
        <w:t>.</w:t>
      </w:r>
      <w:r>
        <w:rPr>
          <w:snapToGrid w:val="0"/>
        </w:rPr>
        <w:tab/>
        <w:t>Requirements for carriage and deposit of incendiary material</w:t>
      </w:r>
      <w:bookmarkEnd w:id="146"/>
      <w:bookmarkEnd w:id="147"/>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keepNext/>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keepNext/>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keepNext/>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No. 101 of 1969 s. 7; amended: No. 94 of 1972 s. 4 (as amended: No. 83 of 1973 s. 3); No. 65 of 1977 s. 47 and 48; No. 8 of 1987 s. 8; No. 14 of 1996 s. 4; No. 38 of 2002 s. 40(1).]</w:t>
      </w:r>
    </w:p>
    <w:p>
      <w:pPr>
        <w:pStyle w:val="Heading5"/>
        <w:rPr>
          <w:snapToGrid w:val="0"/>
        </w:rPr>
      </w:pPr>
      <w:bookmarkStart w:id="148" w:name="_Toc112318648"/>
      <w:bookmarkStart w:id="149" w:name="_Toc111797659"/>
      <w:r>
        <w:rPr>
          <w:rStyle w:val="CharSectno"/>
        </w:rPr>
        <w:t>28</w:t>
      </w:r>
      <w:r>
        <w:rPr>
          <w:snapToGrid w:val="0"/>
        </w:rPr>
        <w:t>.</w:t>
      </w:r>
      <w:r>
        <w:rPr>
          <w:snapToGrid w:val="0"/>
        </w:rPr>
        <w:tab/>
        <w:t>Occupier of land to extinguish bush fire occurring on own land</w:t>
      </w:r>
      <w:bookmarkEnd w:id="148"/>
      <w:bookmarkEnd w:id="149"/>
    </w:p>
    <w:p>
      <w:pPr>
        <w:pStyle w:val="Subsection"/>
        <w:keepNext/>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keepNext/>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keepNext/>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keepNext/>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No. 11 of 1963 s. 14; No. 113 of 1965 s. 8(1); No. 94 of 1972 s. 4 (as amended: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No. 65 of 1977 s. 28.]</w:t>
      </w:r>
    </w:p>
    <w:p>
      <w:pPr>
        <w:pStyle w:val="Heading5"/>
        <w:spacing w:before="240"/>
        <w:rPr>
          <w:snapToGrid w:val="0"/>
        </w:rPr>
      </w:pPr>
      <w:bookmarkStart w:id="150" w:name="_Toc112318649"/>
      <w:bookmarkStart w:id="151" w:name="_Toc111797660"/>
      <w:r>
        <w:rPr>
          <w:rStyle w:val="CharSectno"/>
        </w:rPr>
        <w:t>30</w:t>
      </w:r>
      <w:r>
        <w:rPr>
          <w:snapToGrid w:val="0"/>
        </w:rPr>
        <w:t>.</w:t>
      </w:r>
      <w:r>
        <w:rPr>
          <w:snapToGrid w:val="0"/>
        </w:rPr>
        <w:tab/>
        <w:t>Disposal of burning cigarettes etc.</w:t>
      </w:r>
      <w:bookmarkEnd w:id="150"/>
      <w:bookmarkEnd w:id="151"/>
    </w:p>
    <w:p>
      <w:pPr>
        <w:pStyle w:val="Subsection"/>
        <w:keepNext/>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keepNext/>
        <w:spacing w:before="120"/>
        <w:rPr>
          <w:snapToGrid w:val="0"/>
        </w:rPr>
      </w:pPr>
      <w:r>
        <w:rPr>
          <w:snapToGrid w:val="0"/>
        </w:rPr>
        <w:tab/>
        <w:t>Penalty: $5 000.</w:t>
      </w:r>
    </w:p>
    <w:p>
      <w:pPr>
        <w:pStyle w:val="Footnotesection"/>
      </w:pPr>
      <w:r>
        <w:tab/>
        <w:t>[Section 30 inserted: No. 65 of 1977 s. 29; amended: No. 8 of 1987 s. 8; No. 38 of 2002 s. 39.]</w:t>
      </w:r>
    </w:p>
    <w:p>
      <w:pPr>
        <w:pStyle w:val="Ednotesection"/>
      </w:pPr>
      <w:r>
        <w:t>[</w:t>
      </w:r>
      <w:r>
        <w:rPr>
          <w:b/>
        </w:rPr>
        <w:t>31.</w:t>
      </w:r>
      <w:r>
        <w:tab/>
        <w:t>Deleted: No. 65 of 1977 s. 30.]</w:t>
      </w:r>
    </w:p>
    <w:p>
      <w:pPr>
        <w:pStyle w:val="Heading5"/>
        <w:spacing w:before="240"/>
        <w:rPr>
          <w:snapToGrid w:val="0"/>
        </w:rPr>
      </w:pPr>
      <w:bookmarkStart w:id="152" w:name="_Toc112318650"/>
      <w:bookmarkStart w:id="153" w:name="_Toc111797661"/>
      <w:r>
        <w:rPr>
          <w:rStyle w:val="CharSectno"/>
        </w:rPr>
        <w:t>32</w:t>
      </w:r>
      <w:r>
        <w:rPr>
          <w:snapToGrid w:val="0"/>
        </w:rPr>
        <w:t>.</w:t>
      </w:r>
      <w:r>
        <w:rPr>
          <w:snapToGrid w:val="0"/>
        </w:rPr>
        <w:tab/>
        <w:t>Offences of lighting or attempting to light fire likely to injure</w:t>
      </w:r>
      <w:bookmarkEnd w:id="152"/>
      <w:bookmarkEnd w:id="153"/>
    </w:p>
    <w:p>
      <w:pPr>
        <w:pStyle w:val="Subsection"/>
        <w:keepNext/>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keepNext/>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keepNext/>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keepNext/>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keepNext/>
      </w:pPr>
      <w:r>
        <w:tab/>
        <w:t>Penalty: Imprisonment for 20 years.</w:t>
      </w:r>
    </w:p>
    <w:p>
      <w:pPr>
        <w:pStyle w:val="Footnotesection"/>
      </w:pPr>
      <w:r>
        <w:tab/>
        <w:t>[Section 32 amended: No. 113 of 1965 s. 8(1); No. 65 of 1977 s. 31 and 48; No. 8 of 1987 s. 8; No. 101 of 1990 s. 56; No. 4 of 2004 s. 58; No. 25 of 2009 s. 11; No. 43 of 2009 s. 4.]</w:t>
      </w:r>
    </w:p>
    <w:p>
      <w:pPr>
        <w:pStyle w:val="Heading5"/>
        <w:rPr>
          <w:snapToGrid w:val="0"/>
        </w:rPr>
      </w:pPr>
      <w:bookmarkStart w:id="154" w:name="_Toc112318651"/>
      <w:bookmarkStart w:id="155" w:name="_Toc111797662"/>
      <w:r>
        <w:rPr>
          <w:rStyle w:val="CharSectno"/>
        </w:rPr>
        <w:t>33</w:t>
      </w:r>
      <w:r>
        <w:rPr>
          <w:snapToGrid w:val="0"/>
        </w:rPr>
        <w:t>.</w:t>
      </w:r>
      <w:r>
        <w:rPr>
          <w:snapToGrid w:val="0"/>
        </w:rPr>
        <w:tab/>
        <w:t>Local government may require occupier of land to plough or clear fire</w:t>
      </w:r>
      <w:r>
        <w:rPr>
          <w:snapToGrid w:val="0"/>
        </w:rPr>
        <w:noBreakHyphen/>
        <w:t>break</w:t>
      </w:r>
      <w:bookmarkEnd w:id="154"/>
      <w:bookmarkEnd w:id="155"/>
    </w:p>
    <w:p>
      <w:pPr>
        <w:pStyle w:val="Subsection"/>
        <w:keepNext/>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keepNext/>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keepNext/>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keepNext/>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keepNext/>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keepNext/>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keepNex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No. 11 of 1963 s. 15; No. 113 of 1965 s. 8(1); No. 65 of 1977 s. 32 and 48; No. 51 of 1979 s. 3 and 5; No. 8 of 1987 s. 8; No. 14 of 1996 s. 4; No. 38 of 2002 s. 28 and 39; No. 70 of 2003 s. 7; No. 19 of 2010 s. 52(4).]</w:t>
      </w:r>
    </w:p>
    <w:p>
      <w:pPr>
        <w:pStyle w:val="Heading5"/>
        <w:rPr>
          <w:snapToGrid w:val="0"/>
        </w:rPr>
      </w:pPr>
      <w:bookmarkStart w:id="156" w:name="_Toc112318652"/>
      <w:bookmarkStart w:id="157" w:name="_Toc111797663"/>
      <w:r>
        <w:rPr>
          <w:rStyle w:val="CharSectno"/>
        </w:rPr>
        <w:t>34</w:t>
      </w:r>
      <w:r>
        <w:rPr>
          <w:snapToGrid w:val="0"/>
        </w:rPr>
        <w:t>.</w:t>
      </w:r>
      <w:r>
        <w:rPr>
          <w:snapToGrid w:val="0"/>
        </w:rPr>
        <w:tab/>
        <w:t>Burning on Crown lands</w:t>
      </w:r>
      <w:bookmarkEnd w:id="156"/>
      <w:bookmarkEnd w:id="157"/>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keepNext/>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keepNext/>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keepNext/>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keepNext/>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No. 11 of 1963 s. 16; No. 94 of 1972 s. 4 (as amended: No. 83 of 1973 s. 3); No. 65 of 1977 s. 33; No. 51 of 1979 s. 5; No. 14 of 1996 s. 4; No. 42 of 1998 s. 16; No. 28 of 2006 s. 389; No. 19 of 2010 s. 52(4); No. 22 of 2012 s. 69.]</w:t>
      </w:r>
    </w:p>
    <w:p>
      <w:pPr>
        <w:pStyle w:val="Heading5"/>
        <w:rPr>
          <w:snapToGrid w:val="0"/>
        </w:rPr>
      </w:pPr>
      <w:bookmarkStart w:id="158" w:name="_Toc112318653"/>
      <w:bookmarkStart w:id="159" w:name="_Toc111797664"/>
      <w:r>
        <w:rPr>
          <w:rStyle w:val="CharSectno"/>
        </w:rPr>
        <w:t>35</w:t>
      </w:r>
      <w:r>
        <w:rPr>
          <w:snapToGrid w:val="0"/>
        </w:rPr>
        <w:t>.</w:t>
      </w:r>
      <w:r>
        <w:rPr>
          <w:snapToGrid w:val="0"/>
        </w:rPr>
        <w:tab/>
        <w:t>Powers of FES Commissioner on default by local government</w:t>
      </w:r>
      <w:bookmarkEnd w:id="158"/>
      <w:bookmarkEnd w:id="159"/>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No. 65 of 1977 s. 34 and 47; No. 60 of 1992 s. 11; No. 14 of 1996 s. 4; No. 42 of 1998 s. 16; No. 19 of 2010 s. 52(4); No. 22 of 2012 s. 59 and 69.]</w:t>
      </w:r>
    </w:p>
    <w:p>
      <w:pPr>
        <w:pStyle w:val="Heading3"/>
      </w:pPr>
      <w:bookmarkStart w:id="160" w:name="_Toc112241497"/>
      <w:bookmarkStart w:id="161" w:name="_Toc112242341"/>
      <w:bookmarkStart w:id="162" w:name="_Toc112318654"/>
      <w:bookmarkStart w:id="163" w:name="_Toc111796994"/>
      <w:bookmarkStart w:id="164" w:name="_Toc111797665"/>
      <w:r>
        <w:rPr>
          <w:rStyle w:val="CharDivNo"/>
        </w:rPr>
        <w:t>Division 7</w:t>
      </w:r>
      <w:r>
        <w:t> — </w:t>
      </w:r>
      <w:r>
        <w:rPr>
          <w:rStyle w:val="CharDivText"/>
        </w:rPr>
        <w:t>Bush fire risk treatment standards</w:t>
      </w:r>
      <w:bookmarkEnd w:id="160"/>
      <w:bookmarkEnd w:id="161"/>
      <w:bookmarkEnd w:id="162"/>
      <w:bookmarkEnd w:id="163"/>
      <w:bookmarkEnd w:id="164"/>
    </w:p>
    <w:p>
      <w:pPr>
        <w:pStyle w:val="Footnoteheading"/>
        <w:keepNext/>
      </w:pPr>
      <w:r>
        <w:tab/>
        <w:t>[Heading inserted: No. 27 of 2016 s. 4.]</w:t>
      </w:r>
    </w:p>
    <w:p>
      <w:pPr>
        <w:pStyle w:val="Heading5"/>
      </w:pPr>
      <w:bookmarkStart w:id="165" w:name="_Toc112318655"/>
      <w:bookmarkStart w:id="166" w:name="_Toc111797666"/>
      <w:r>
        <w:rPr>
          <w:rStyle w:val="CharSectno"/>
        </w:rPr>
        <w:t>35AA</w:t>
      </w:r>
      <w:r>
        <w:t>.</w:t>
      </w:r>
      <w:r>
        <w:tab/>
        <w:t>FES Commissioner may make bush fire risk treatment standards</w:t>
      </w:r>
      <w:bookmarkEnd w:id="165"/>
      <w:bookmarkEnd w:id="166"/>
    </w:p>
    <w:p>
      <w:pPr>
        <w:pStyle w:val="Subsection"/>
        <w:keepNext/>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keepNext/>
      </w:pPr>
      <w:r>
        <w:tab/>
        <w:t>(2)</w:t>
      </w:r>
      <w:r>
        <w:tab/>
        <w:t xml:space="preserve">The measures that may be specified in bush fire risk treatment standards are — </w:t>
      </w:r>
    </w:p>
    <w:p>
      <w:pPr>
        <w:pStyle w:val="Indenta"/>
      </w:pPr>
      <w:r>
        <w:tab/>
        <w:t>(a)</w:t>
      </w:r>
      <w:r>
        <w:tab/>
        <w:t>all or any of the things mentioned in section 33(1)(a) and</w:t>
      </w:r>
      <w:del w:id="167" w:author="Master Repository Process" w:date="2022-08-25T16:02:00Z">
        <w:r>
          <w:delText xml:space="preserve"> </w:delText>
        </w:r>
      </w:del>
      <w:ins w:id="168" w:author="Master Repository Process" w:date="2022-08-25T16:02:00Z">
        <w:r>
          <w:t> </w:t>
        </w:r>
      </w:ins>
      <w:r>
        <w:t>(b); and</w:t>
      </w:r>
    </w:p>
    <w:p>
      <w:pPr>
        <w:pStyle w:val="Indenta"/>
      </w:pPr>
      <w:r>
        <w:tab/>
        <w:t>(b)</w:t>
      </w:r>
      <w:r>
        <w:tab/>
        <w:t>any other measures the FES Commissioner considers appropriate.</w:t>
      </w:r>
    </w:p>
    <w:p>
      <w:pPr>
        <w:pStyle w:val="Subsection"/>
        <w:keepNext/>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keepNext/>
      </w:pPr>
      <w:r>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keepNext/>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No. 27 of 2016 s. 4.]</w:t>
      </w:r>
    </w:p>
    <w:p>
      <w:pPr>
        <w:pStyle w:val="Heading5"/>
      </w:pPr>
      <w:bookmarkStart w:id="169" w:name="_Toc112318656"/>
      <w:bookmarkStart w:id="170" w:name="_Toc111797667"/>
      <w:r>
        <w:rPr>
          <w:rStyle w:val="CharSectno"/>
        </w:rPr>
        <w:t>35AB</w:t>
      </w:r>
      <w:r>
        <w:t>.</w:t>
      </w:r>
      <w:r>
        <w:tab/>
        <w:t>Compliance with bush fire risk treatment standards</w:t>
      </w:r>
      <w:bookmarkEnd w:id="169"/>
      <w:bookmarkEnd w:id="170"/>
    </w:p>
    <w:p>
      <w:pPr>
        <w:pStyle w:val="Subsection"/>
        <w:keepNext/>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keepNext/>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keepNext/>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No. 27 of 2016 s. 4.]</w:t>
      </w:r>
    </w:p>
    <w:p>
      <w:pPr>
        <w:pStyle w:val="Heading2"/>
      </w:pPr>
      <w:bookmarkStart w:id="171" w:name="_Toc112241500"/>
      <w:bookmarkStart w:id="172" w:name="_Toc112242344"/>
      <w:bookmarkStart w:id="173" w:name="_Toc112318657"/>
      <w:bookmarkStart w:id="174" w:name="_Toc111796997"/>
      <w:bookmarkStart w:id="175" w:name="_Toc111797668"/>
      <w:r>
        <w:rPr>
          <w:rStyle w:val="CharPartNo"/>
        </w:rPr>
        <w:t>Part IV</w:t>
      </w:r>
      <w:r>
        <w:t> — </w:t>
      </w:r>
      <w:r>
        <w:rPr>
          <w:rStyle w:val="CharPartText"/>
        </w:rPr>
        <w:t>Control and extinguishment of bush fires</w:t>
      </w:r>
      <w:bookmarkEnd w:id="171"/>
      <w:bookmarkEnd w:id="172"/>
      <w:bookmarkEnd w:id="173"/>
      <w:bookmarkEnd w:id="174"/>
      <w:bookmarkEnd w:id="175"/>
    </w:p>
    <w:p>
      <w:pPr>
        <w:pStyle w:val="Heading3"/>
      </w:pPr>
      <w:bookmarkStart w:id="176" w:name="_Toc112241501"/>
      <w:bookmarkStart w:id="177" w:name="_Toc112242345"/>
      <w:bookmarkStart w:id="178" w:name="_Toc112318658"/>
      <w:bookmarkStart w:id="179" w:name="_Toc111796998"/>
      <w:bookmarkStart w:id="180" w:name="_Toc111797669"/>
      <w:r>
        <w:rPr>
          <w:rStyle w:val="CharDivNo"/>
        </w:rPr>
        <w:t>Division 1</w:t>
      </w:r>
      <w:r>
        <w:rPr>
          <w:snapToGrid w:val="0"/>
        </w:rPr>
        <w:t> — </w:t>
      </w:r>
      <w:r>
        <w:rPr>
          <w:rStyle w:val="CharDivText"/>
        </w:rPr>
        <w:t>Local governments</w:t>
      </w:r>
      <w:bookmarkEnd w:id="176"/>
      <w:bookmarkEnd w:id="177"/>
      <w:bookmarkEnd w:id="178"/>
      <w:bookmarkEnd w:id="179"/>
      <w:bookmarkEnd w:id="180"/>
    </w:p>
    <w:p>
      <w:pPr>
        <w:pStyle w:val="Footnoteheading"/>
        <w:ind w:left="890"/>
        <w:rPr>
          <w:snapToGrid w:val="0"/>
        </w:rPr>
      </w:pPr>
      <w:r>
        <w:rPr>
          <w:snapToGrid w:val="0"/>
        </w:rPr>
        <w:tab/>
        <w:t>[Heading amended: No. 14 of 1996 s. 4.]</w:t>
      </w:r>
    </w:p>
    <w:p>
      <w:pPr>
        <w:pStyle w:val="Heading5"/>
        <w:rPr>
          <w:snapToGrid w:val="0"/>
        </w:rPr>
      </w:pPr>
      <w:bookmarkStart w:id="181" w:name="_Toc112318659"/>
      <w:bookmarkStart w:id="182" w:name="_Toc111797670"/>
      <w:r>
        <w:rPr>
          <w:rStyle w:val="CharSectno"/>
        </w:rPr>
        <w:t>35A</w:t>
      </w:r>
      <w:r>
        <w:rPr>
          <w:snapToGrid w:val="0"/>
        </w:rPr>
        <w:t>.</w:t>
      </w:r>
      <w:r>
        <w:rPr>
          <w:snapToGrid w:val="0"/>
        </w:rPr>
        <w:tab/>
        <w:t>Terms used</w:t>
      </w:r>
      <w:bookmarkEnd w:id="181"/>
      <w:bookmarkEnd w:id="18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No. 60 of 1992 s. 18; amended: No. 14 of 1996 s. 4; No. 27 of 2016 s. 5, No. 28 of 2016 s. 4.]</w:t>
      </w:r>
    </w:p>
    <w:p>
      <w:pPr>
        <w:pStyle w:val="Heading5"/>
        <w:rPr>
          <w:snapToGrid w:val="0"/>
        </w:rPr>
      </w:pPr>
      <w:bookmarkStart w:id="183" w:name="_Toc112318660"/>
      <w:bookmarkStart w:id="184" w:name="_Toc111797671"/>
      <w:r>
        <w:rPr>
          <w:rStyle w:val="CharSectno"/>
        </w:rPr>
        <w:t>36</w:t>
      </w:r>
      <w:r>
        <w:rPr>
          <w:snapToGrid w:val="0"/>
        </w:rPr>
        <w:t>.</w:t>
      </w:r>
      <w:r>
        <w:rPr>
          <w:snapToGrid w:val="0"/>
        </w:rPr>
        <w:tab/>
        <w:t>Local government may expend moneys in connection with control and extinguishment of bush fires</w:t>
      </w:r>
      <w:bookmarkEnd w:id="183"/>
      <w:bookmarkEnd w:id="184"/>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No. 11 of 1963 s. 17; No. 51 of 1979 s. 5; No. 60 of 1992 s. 19; No. 14 of 1996 s. 4; No. 57 of 1997 s. 26(2).]</w:t>
      </w:r>
    </w:p>
    <w:p>
      <w:pPr>
        <w:pStyle w:val="Ednotesection"/>
        <w:rPr>
          <w:b/>
        </w:rPr>
      </w:pPr>
      <w:r>
        <w:t>[</w:t>
      </w:r>
      <w:r>
        <w:rPr>
          <w:b/>
        </w:rPr>
        <w:t>37.</w:t>
      </w:r>
      <w:r>
        <w:tab/>
        <w:t>Deleted: No. 28 of 2016 s. 5.]</w:t>
      </w:r>
    </w:p>
    <w:p>
      <w:pPr>
        <w:pStyle w:val="Heading5"/>
        <w:spacing w:before="240"/>
        <w:rPr>
          <w:snapToGrid w:val="0"/>
        </w:rPr>
      </w:pPr>
      <w:bookmarkStart w:id="185" w:name="_Toc112318661"/>
      <w:bookmarkStart w:id="186" w:name="_Toc111797672"/>
      <w:r>
        <w:rPr>
          <w:rStyle w:val="CharSectno"/>
        </w:rPr>
        <w:t>38</w:t>
      </w:r>
      <w:r>
        <w:rPr>
          <w:snapToGrid w:val="0"/>
        </w:rPr>
        <w:t>.</w:t>
      </w:r>
      <w:r>
        <w:rPr>
          <w:snapToGrid w:val="0"/>
        </w:rPr>
        <w:tab/>
        <w:t>Local government may appoint bush fire control officer</w:t>
      </w:r>
      <w:bookmarkEnd w:id="185"/>
      <w:bookmarkEnd w:id="186"/>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r>
        <w:t>FES Commissioner</w:t>
      </w:r>
      <w:r>
        <w:rPr>
          <w:snapToGrid w:val="0"/>
        </w:rPr>
        <w:t xml:space="preserve">, by the </w:t>
      </w:r>
      <w:r>
        <w:t>FES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keepNext/>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keepNext/>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“catastrophic”, “extreme</w:t>
      </w:r>
      <w:del w:id="187" w:author="Master Repository Process" w:date="2022-08-25T16:02:00Z">
        <w:r>
          <w:delText>”, “severe</w:delText>
        </w:r>
      </w:del>
      <w:r>
        <w:t>” or “</w:t>
      </w:r>
      <w:del w:id="188" w:author="Master Repository Process" w:date="2022-08-25T16:02:00Z">
        <w:r>
          <w:delText xml:space="preserve">very </w:delText>
        </w:r>
      </w:del>
      <w:r>
        <w:t xml:space="preserve">high”, </w:t>
      </w:r>
      <w:r>
        <w:rPr>
          <w:snapToGrid w:val="0"/>
        </w:rPr>
        <w:t xml:space="preserve">and upon the authority being given the person, if </w:t>
      </w:r>
      <w:del w:id="189" w:author="Master Repository Process" w:date="2022-08-25T16:02:00Z">
        <w:r>
          <w:rPr>
            <w:snapToGrid w:val="0"/>
          </w:rPr>
          <w:delText>he</w:delText>
        </w:r>
      </w:del>
      <w:ins w:id="190" w:author="Master Repository Process" w:date="2022-08-25T16:02:00Z">
        <w:r>
          <w:t>the person</w:t>
        </w:r>
      </w:ins>
      <w:r>
        <w:t xml:space="preserve"> </w:t>
      </w:r>
      <w:r>
        <w:rPr>
          <w:snapToGrid w:val="0"/>
        </w:rPr>
        <w:t>has otherwise complied with the conditions prescribed for the purposes of section 18, may burn the bush.</w:t>
      </w:r>
    </w:p>
    <w:p>
      <w:pPr>
        <w:pStyle w:val="Subsection"/>
        <w:keepNext/>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del w:id="191" w:author="Master Repository Process" w:date="2022-08-25T16:02:00Z">
        <w:r>
          <w:delText>).]</w:delText>
        </w:r>
      </w:del>
      <w:ins w:id="192" w:author="Master Repository Process" w:date="2022-08-25T16:02:00Z">
        <w:r>
          <w:t>); No. 26 of 2022 s. 7.]</w:t>
        </w:r>
      </w:ins>
    </w:p>
    <w:p>
      <w:pPr>
        <w:pStyle w:val="Heading5"/>
        <w:spacing w:before="180"/>
      </w:pPr>
      <w:bookmarkStart w:id="193" w:name="_Toc112318662"/>
      <w:bookmarkStart w:id="194" w:name="_Toc111797673"/>
      <w:r>
        <w:rPr>
          <w:rStyle w:val="CharSectno"/>
        </w:rPr>
        <w:t>38A</w:t>
      </w:r>
      <w:r>
        <w:t>.</w:t>
      </w:r>
      <w:r>
        <w:tab/>
        <w:t>FES Commissioner may designate person employed in Department as Chief Bush Fire Control Officer</w:t>
      </w:r>
      <w:bookmarkEnd w:id="193"/>
      <w:bookmarkEnd w:id="194"/>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keepNext/>
      </w:pPr>
      <w:r>
        <w:tab/>
        <w:t>(b)</w:t>
      </w:r>
      <w:r>
        <w:tab/>
        <w:t>the references in those subsections to the local government were references to the FES Commissioner.</w:t>
      </w:r>
    </w:p>
    <w:p>
      <w:pPr>
        <w:pStyle w:val="Footnotesection"/>
        <w:keepLines w:val="0"/>
        <w:spacing w:before="80"/>
        <w:ind w:left="890" w:hanging="890"/>
      </w:pPr>
      <w:r>
        <w:tab/>
        <w:t>[Section 38A inserted: No. 38 of 2002 s. 30; amended: No. 19 of 2010 s. 52(4); No. 22 of 2012 s. 61 and 69.]</w:t>
      </w:r>
    </w:p>
    <w:p>
      <w:pPr>
        <w:pStyle w:val="Heading5"/>
        <w:rPr>
          <w:snapToGrid w:val="0"/>
        </w:rPr>
      </w:pPr>
      <w:bookmarkStart w:id="195" w:name="_Toc112318663"/>
      <w:bookmarkStart w:id="196" w:name="_Toc111797674"/>
      <w:r>
        <w:rPr>
          <w:rStyle w:val="CharSectno"/>
        </w:rPr>
        <w:t>39</w:t>
      </w:r>
      <w:r>
        <w:rPr>
          <w:snapToGrid w:val="0"/>
        </w:rPr>
        <w:t>.</w:t>
      </w:r>
      <w:r>
        <w:rPr>
          <w:snapToGrid w:val="0"/>
        </w:rPr>
        <w:tab/>
        <w:t>Special powers of bush fire control officers</w:t>
      </w:r>
      <w:bookmarkEnd w:id="195"/>
      <w:bookmarkEnd w:id="196"/>
    </w:p>
    <w:p>
      <w:pPr>
        <w:pStyle w:val="Subsection"/>
        <w:keepNext/>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keepNext/>
        <w:spacing w:before="120"/>
      </w:pPr>
      <w:r>
        <w:tab/>
        <w:t>[(2)</w:t>
      </w:r>
      <w:r>
        <w:tab/>
        <w:t>deleted]</w:t>
      </w:r>
    </w:p>
    <w:p>
      <w:pPr>
        <w:pStyle w:val="Footnotesection"/>
        <w:ind w:left="890" w:hanging="890"/>
      </w:pPr>
      <w:r>
        <w:tab/>
        <w:t>[Section 39 amended: No. 11 of 1963 s. 19; No. 51 of 1979 s. 5; No. 8 of 1987 s. 4; No. 14 of 1996 s. 4; No. 38 of 2002 s. 31 and 40; No. 25 of 2009 s. 13; No. 22 of 2012 s. 62.]</w:t>
      </w:r>
    </w:p>
    <w:p>
      <w:pPr>
        <w:pStyle w:val="Heading5"/>
        <w:rPr>
          <w:snapToGrid w:val="0"/>
        </w:rPr>
      </w:pPr>
      <w:bookmarkStart w:id="197" w:name="_Toc112318664"/>
      <w:bookmarkStart w:id="198" w:name="_Toc111797675"/>
      <w:r>
        <w:rPr>
          <w:rStyle w:val="CharSectno"/>
        </w:rPr>
        <w:t>39A</w:t>
      </w:r>
      <w:r>
        <w:rPr>
          <w:snapToGrid w:val="0"/>
        </w:rPr>
        <w:t>.</w:t>
      </w:r>
      <w:r>
        <w:rPr>
          <w:snapToGrid w:val="0"/>
        </w:rPr>
        <w:tab/>
        <w:t>Duties of bush fire authorities on outbreak of fire</w:t>
      </w:r>
      <w:bookmarkEnd w:id="197"/>
      <w:bookmarkEnd w:id="198"/>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keepNext/>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keepNext/>
        <w:rPr>
          <w:snapToGrid w:val="0"/>
        </w:rPr>
      </w:pPr>
      <w:r>
        <w:rPr>
          <w:snapToGrid w:val="0"/>
        </w:rPr>
        <w:tab/>
        <w:t>(d)</w:t>
      </w:r>
      <w:r>
        <w:rPr>
          <w:snapToGrid w:val="0"/>
        </w:rPr>
        <w:tab/>
        <w:t>are declared in the regulations to be bush fires to which this section applies.</w:t>
      </w:r>
    </w:p>
    <w:p>
      <w:pPr>
        <w:pStyle w:val="Footnotesection"/>
      </w:pPr>
      <w:r>
        <w:tab/>
        <w:t>[Section 39A inserted: No. 35 of 1957 s. 8; amended: No. 51 of 1979 s. 5; No. 14 of 1996 s. 4.]</w:t>
      </w:r>
    </w:p>
    <w:p>
      <w:pPr>
        <w:pStyle w:val="Heading5"/>
        <w:spacing w:before="280"/>
        <w:rPr>
          <w:snapToGrid w:val="0"/>
        </w:rPr>
      </w:pPr>
      <w:bookmarkStart w:id="199" w:name="_Toc112318665"/>
      <w:bookmarkStart w:id="200" w:name="_Toc111797676"/>
      <w:r>
        <w:rPr>
          <w:rStyle w:val="CharSectno"/>
        </w:rPr>
        <w:t>40</w:t>
      </w:r>
      <w:r>
        <w:rPr>
          <w:snapToGrid w:val="0"/>
        </w:rPr>
        <w:t>.</w:t>
      </w:r>
      <w:r>
        <w:rPr>
          <w:snapToGrid w:val="0"/>
        </w:rPr>
        <w:tab/>
        <w:t>Local governments may join in appointing and employing bush fire control officers</w:t>
      </w:r>
      <w:bookmarkEnd w:id="199"/>
      <w:bookmarkEnd w:id="200"/>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keepNext/>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No. 14 of 1996 s. 4.]</w:t>
      </w:r>
    </w:p>
    <w:p>
      <w:pPr>
        <w:pStyle w:val="Heading3"/>
      </w:pPr>
      <w:bookmarkStart w:id="201" w:name="_Toc112241509"/>
      <w:bookmarkStart w:id="202" w:name="_Toc112242353"/>
      <w:bookmarkStart w:id="203" w:name="_Toc112318666"/>
      <w:bookmarkStart w:id="204" w:name="_Toc111797006"/>
      <w:bookmarkStart w:id="205" w:name="_Toc111797677"/>
      <w:r>
        <w:rPr>
          <w:rStyle w:val="CharDivNo"/>
        </w:rPr>
        <w:t>Division 2</w:t>
      </w:r>
      <w:r>
        <w:rPr>
          <w:snapToGrid w:val="0"/>
        </w:rPr>
        <w:t> — </w:t>
      </w:r>
      <w:r>
        <w:rPr>
          <w:rStyle w:val="CharDivText"/>
        </w:rPr>
        <w:t>Bush fire brigades</w:t>
      </w:r>
      <w:bookmarkEnd w:id="201"/>
      <w:bookmarkEnd w:id="202"/>
      <w:bookmarkEnd w:id="203"/>
      <w:bookmarkEnd w:id="204"/>
      <w:bookmarkEnd w:id="205"/>
    </w:p>
    <w:p>
      <w:pPr>
        <w:pStyle w:val="Heading5"/>
        <w:spacing w:before="280"/>
        <w:rPr>
          <w:snapToGrid w:val="0"/>
        </w:rPr>
      </w:pPr>
      <w:bookmarkStart w:id="206" w:name="_Toc112318667"/>
      <w:bookmarkStart w:id="207" w:name="_Toc111797678"/>
      <w:r>
        <w:rPr>
          <w:rStyle w:val="CharSectno"/>
        </w:rPr>
        <w:t>41</w:t>
      </w:r>
      <w:r>
        <w:rPr>
          <w:snapToGrid w:val="0"/>
        </w:rPr>
        <w:t>.</w:t>
      </w:r>
      <w:r>
        <w:rPr>
          <w:snapToGrid w:val="0"/>
        </w:rPr>
        <w:tab/>
        <w:t>Bush fire brigades</w:t>
      </w:r>
      <w:bookmarkEnd w:id="206"/>
      <w:bookmarkEnd w:id="207"/>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keepNext/>
        <w:keepLines/>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No. 65 of 1977 s. 37; amended: No. 60 of 1992 s. 22; No. 14 of 1996 s. 4; No. 38 of 2002 s. 32; No. 22 of 2012 s. 69.]</w:t>
      </w:r>
    </w:p>
    <w:p>
      <w:pPr>
        <w:pStyle w:val="Heading5"/>
        <w:spacing w:before="200"/>
        <w:rPr>
          <w:snapToGrid w:val="0"/>
        </w:rPr>
      </w:pPr>
      <w:bookmarkStart w:id="208" w:name="_Toc112318668"/>
      <w:bookmarkStart w:id="209" w:name="_Toc111797679"/>
      <w:r>
        <w:rPr>
          <w:rStyle w:val="CharSectno"/>
        </w:rPr>
        <w:t>42</w:t>
      </w:r>
      <w:r>
        <w:rPr>
          <w:snapToGrid w:val="0"/>
        </w:rPr>
        <w:t>.</w:t>
      </w:r>
      <w:r>
        <w:rPr>
          <w:snapToGrid w:val="0"/>
        </w:rPr>
        <w:tab/>
        <w:t>Local governments may join in establishing bush fire brigade</w:t>
      </w:r>
      <w:bookmarkEnd w:id="208"/>
      <w:bookmarkEnd w:id="209"/>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keepNext/>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No. 14 of 1996 s. 4; No. 38 of 2002 s. 33.]</w:t>
      </w:r>
    </w:p>
    <w:p>
      <w:pPr>
        <w:pStyle w:val="Heading5"/>
      </w:pPr>
      <w:bookmarkStart w:id="210" w:name="_Toc112318669"/>
      <w:bookmarkStart w:id="211" w:name="_Toc111797680"/>
      <w:r>
        <w:rPr>
          <w:rStyle w:val="CharSectno"/>
        </w:rPr>
        <w:t>42A</w:t>
      </w:r>
      <w:r>
        <w:t>.</w:t>
      </w:r>
      <w:r>
        <w:tab/>
        <w:t>Constitution of bush fire brigade</w:t>
      </w:r>
      <w:bookmarkEnd w:id="210"/>
      <w:bookmarkEnd w:id="211"/>
    </w:p>
    <w:p>
      <w:pPr>
        <w:pStyle w:val="Subsection"/>
        <w:keepNext/>
      </w:pPr>
      <w:r>
        <w:tab/>
      </w:r>
      <w:r>
        <w:tab/>
        <w:t>Any group of persons, however constituted and whether incorporated or not, may be established as a bush fire brigade under section 41(1) or 42(1).</w:t>
      </w:r>
    </w:p>
    <w:p>
      <w:pPr>
        <w:pStyle w:val="Footnotesection"/>
      </w:pPr>
      <w:r>
        <w:tab/>
        <w:t>[Section 42A inserted: No. 38 of 2002 s. 34.]</w:t>
      </w:r>
    </w:p>
    <w:p>
      <w:pPr>
        <w:pStyle w:val="Heading5"/>
        <w:rPr>
          <w:snapToGrid w:val="0"/>
        </w:rPr>
      </w:pPr>
      <w:bookmarkStart w:id="212" w:name="_Toc112318670"/>
      <w:bookmarkStart w:id="213" w:name="_Toc111797681"/>
      <w:r>
        <w:rPr>
          <w:rStyle w:val="CharSectno"/>
        </w:rPr>
        <w:t>43</w:t>
      </w:r>
      <w:r>
        <w:rPr>
          <w:snapToGrid w:val="0"/>
        </w:rPr>
        <w:t>.</w:t>
      </w:r>
      <w:r>
        <w:rPr>
          <w:snapToGrid w:val="0"/>
        </w:rPr>
        <w:tab/>
        <w:t>Election and duties of officers of bush fire brigades</w:t>
      </w:r>
      <w:bookmarkEnd w:id="212"/>
      <w:bookmarkEnd w:id="213"/>
    </w:p>
    <w:p>
      <w:pPr>
        <w:pStyle w:val="Subsection"/>
        <w:keepNext/>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No. 51 of 1979 s. 5; No. 14 of 1996 s. 4.]</w:t>
      </w:r>
    </w:p>
    <w:p>
      <w:pPr>
        <w:pStyle w:val="Heading5"/>
        <w:rPr>
          <w:snapToGrid w:val="0"/>
        </w:rPr>
      </w:pPr>
      <w:bookmarkStart w:id="214" w:name="_Toc112318671"/>
      <w:bookmarkStart w:id="215" w:name="_Toc111797682"/>
      <w:r>
        <w:rPr>
          <w:rStyle w:val="CharSectno"/>
        </w:rPr>
        <w:t>44</w:t>
      </w:r>
      <w:r>
        <w:rPr>
          <w:snapToGrid w:val="0"/>
        </w:rPr>
        <w:t>.</w:t>
      </w:r>
      <w:r>
        <w:rPr>
          <w:snapToGrid w:val="0"/>
        </w:rPr>
        <w:tab/>
        <w:t>Powers and authorities of officers of bush fire brigade</w:t>
      </w:r>
      <w:bookmarkEnd w:id="214"/>
      <w:bookmarkEnd w:id="215"/>
    </w:p>
    <w:p>
      <w:pPr>
        <w:pStyle w:val="Subsection"/>
        <w:keepNext/>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keepNext/>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keepNext/>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No. 35 of 1957 s. 9; No. 14 of 1996 s. 4; No. 25 of 2009 s. 14; No. 19 of 2010 s. 52(4); No. 17 of 2014 s. 17(4).]</w:t>
      </w:r>
    </w:p>
    <w:p>
      <w:pPr>
        <w:pStyle w:val="Heading5"/>
      </w:pPr>
      <w:bookmarkStart w:id="216" w:name="_Toc112318672"/>
      <w:bookmarkStart w:id="217" w:name="_Toc111797683"/>
      <w:r>
        <w:rPr>
          <w:rStyle w:val="CharSectno"/>
        </w:rPr>
        <w:t>45A</w:t>
      </w:r>
      <w:r>
        <w:t>.</w:t>
      </w:r>
      <w:r>
        <w:tab/>
        <w:t>Requests to authorised CALM Act officers to take control of bush fires</w:t>
      </w:r>
      <w:bookmarkEnd w:id="216"/>
      <w:bookmarkEnd w:id="217"/>
    </w:p>
    <w:p>
      <w:pPr>
        <w:pStyle w:val="Subsection"/>
        <w:keepNext/>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keepNext/>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keepNext/>
        <w:rPr>
          <w:snapToGrid w:val="0"/>
        </w:rPr>
      </w:pPr>
      <w:r>
        <w:tab/>
        <w:t>(2)</w:t>
      </w:r>
      <w:r>
        <w:tab/>
        <w:t xml:space="preserve">If the authorised CALM Act officer </w:t>
      </w:r>
      <w:r>
        <w:rPr>
          <w:snapToGrid w:val="0"/>
        </w:rPr>
        <w:t>agrees to take control of all operations in relation to the bush fire —</w:t>
      </w:r>
    </w:p>
    <w:p>
      <w:pPr>
        <w:pStyle w:val="Indenta"/>
        <w:keepNext/>
      </w:pPr>
      <w:r>
        <w:tab/>
        <w:t>(a)</w:t>
      </w:r>
      <w:r>
        <w:tab/>
        <w:t>the officer —</w:t>
      </w:r>
    </w:p>
    <w:p>
      <w:pPr>
        <w:pStyle w:val="Indenti"/>
      </w:pPr>
      <w:r>
        <w:tab/>
        <w:t>(i)</w:t>
      </w:r>
      <w:r>
        <w:tab/>
        <w:t>must inform the FES Commissioner of having done so; and</w:t>
      </w:r>
    </w:p>
    <w:p>
      <w:pPr>
        <w:pStyle w:val="Indenti"/>
        <w:keepNext/>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No. 25 of 2009 s. 15; amended: No. 22 of 2012 s. 69.]</w:t>
      </w:r>
    </w:p>
    <w:p>
      <w:pPr>
        <w:pStyle w:val="Heading5"/>
        <w:spacing w:before="200"/>
        <w:rPr>
          <w:snapToGrid w:val="0"/>
        </w:rPr>
      </w:pPr>
      <w:bookmarkStart w:id="218" w:name="_Toc112318673"/>
      <w:bookmarkStart w:id="219" w:name="_Toc111797684"/>
      <w:r>
        <w:rPr>
          <w:rStyle w:val="CharSectno"/>
        </w:rPr>
        <w:t>45</w:t>
      </w:r>
      <w:r>
        <w:rPr>
          <w:snapToGrid w:val="0"/>
        </w:rPr>
        <w:t>.</w:t>
      </w:r>
      <w:r>
        <w:rPr>
          <w:snapToGrid w:val="0"/>
        </w:rPr>
        <w:tab/>
        <w:t>Powers and authorities exercisable by authorised CALM Act officers</w:t>
      </w:r>
      <w:bookmarkEnd w:id="218"/>
      <w:bookmarkEnd w:id="219"/>
    </w:p>
    <w:p>
      <w:pPr>
        <w:pStyle w:val="Subsection"/>
        <w:keepNext/>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keepNex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keepNext/>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keepNex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keepNext/>
      </w:pPr>
      <w:r>
        <w:tab/>
        <w:t>(2)</w:t>
      </w:r>
      <w:r>
        <w:tab/>
        <w:t>If —</w:t>
      </w:r>
    </w:p>
    <w:p>
      <w:pPr>
        <w:pStyle w:val="Indenta"/>
      </w:pPr>
      <w:r>
        <w:tab/>
        <w:t>(a)</w:t>
      </w:r>
      <w:r>
        <w:tab/>
        <w:t>an authorised CALM Act officer is present at a bush fire burning on land; and</w:t>
      </w:r>
    </w:p>
    <w:p>
      <w:pPr>
        <w:pStyle w:val="Indenta"/>
        <w:keepNext/>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keepNext/>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keepNext/>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No. 11 of 1963 s. 20; No. 8 of 1987 s. 5; No. 38 of 2002 s. 40(1); No. 25 of 2009 s. 16; No. 22 of 2012 s. 69.]</w:t>
      </w:r>
    </w:p>
    <w:p>
      <w:pPr>
        <w:pStyle w:val="Heading5"/>
        <w:rPr>
          <w:snapToGrid w:val="0"/>
        </w:rPr>
      </w:pPr>
      <w:bookmarkStart w:id="220" w:name="_Toc112318674"/>
      <w:bookmarkStart w:id="221" w:name="_Toc111797685"/>
      <w:r>
        <w:rPr>
          <w:rStyle w:val="CharSectno"/>
        </w:rPr>
        <w:t>46</w:t>
      </w:r>
      <w:r>
        <w:rPr>
          <w:snapToGrid w:val="0"/>
        </w:rPr>
        <w:t>.</w:t>
      </w:r>
      <w:r>
        <w:rPr>
          <w:snapToGrid w:val="0"/>
        </w:rPr>
        <w:tab/>
        <w:t>Bush fire control officer or forest officer may postpone lighting fire</w:t>
      </w:r>
      <w:bookmarkEnd w:id="220"/>
      <w:bookmarkEnd w:id="221"/>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keepNext/>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No. 11 of 1963 s. 21; No. 113 of 1965 s. 8(1); No. 94 of 1972 s. 4 (as amended: No. 83 of 1973 s. 3); No. 65 of 1977 s. 48; No. 8 of 1987 s. 8; No. 78 of 1995 s. 147; No. 14 of 1996 s. 4; No. 38 of 2002 s. 39 and 40(1); No. 19 of 2010 s. 52(4).]</w:t>
      </w:r>
    </w:p>
    <w:p>
      <w:pPr>
        <w:pStyle w:val="Heading5"/>
        <w:rPr>
          <w:snapToGrid w:val="0"/>
        </w:rPr>
      </w:pPr>
      <w:bookmarkStart w:id="222" w:name="_Toc112318675"/>
      <w:bookmarkStart w:id="223" w:name="_Toc111797686"/>
      <w:r>
        <w:rPr>
          <w:rStyle w:val="CharSectno"/>
        </w:rPr>
        <w:t>47</w:t>
      </w:r>
      <w:r>
        <w:rPr>
          <w:snapToGrid w:val="0"/>
        </w:rPr>
        <w:t>.</w:t>
      </w:r>
      <w:r>
        <w:rPr>
          <w:snapToGrid w:val="0"/>
        </w:rPr>
        <w:tab/>
        <w:t>Fire</w:t>
      </w:r>
      <w:r>
        <w:rPr>
          <w:snapToGrid w:val="0"/>
        </w:rPr>
        <w:noBreakHyphen/>
        <w:t>break not to be lit when bush fire burning</w:t>
      </w:r>
      <w:bookmarkEnd w:id="222"/>
      <w:bookmarkEnd w:id="223"/>
    </w:p>
    <w:p>
      <w:pPr>
        <w:pStyle w:val="Subsection"/>
        <w:keepNext/>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No. 8 of 1987 s. 6; No. 25 of 2009 s. 17.]</w:t>
      </w:r>
    </w:p>
    <w:p>
      <w:pPr>
        <w:pStyle w:val="Heading2"/>
      </w:pPr>
      <w:bookmarkStart w:id="224" w:name="_Toc112241519"/>
      <w:bookmarkStart w:id="225" w:name="_Toc112242363"/>
      <w:bookmarkStart w:id="226" w:name="_Toc112318676"/>
      <w:bookmarkStart w:id="227" w:name="_Toc111797016"/>
      <w:bookmarkStart w:id="228" w:name="_Toc111797687"/>
      <w:r>
        <w:rPr>
          <w:rStyle w:val="CharPartNo"/>
        </w:rPr>
        <w:t>Part V</w:t>
      </w:r>
      <w:r>
        <w:rPr>
          <w:rStyle w:val="CharDivNo"/>
        </w:rPr>
        <w:t> </w:t>
      </w:r>
      <w:r>
        <w:t>—</w:t>
      </w:r>
      <w:r>
        <w:rPr>
          <w:rStyle w:val="CharDivText"/>
        </w:rPr>
        <w:t> </w:t>
      </w:r>
      <w:r>
        <w:rPr>
          <w:rStyle w:val="CharPartText"/>
        </w:rPr>
        <w:t>Miscellaneous</w:t>
      </w:r>
      <w:bookmarkEnd w:id="224"/>
      <w:bookmarkEnd w:id="225"/>
      <w:bookmarkEnd w:id="226"/>
      <w:bookmarkEnd w:id="227"/>
      <w:bookmarkEnd w:id="228"/>
    </w:p>
    <w:p>
      <w:pPr>
        <w:pStyle w:val="Heading5"/>
      </w:pPr>
      <w:bookmarkStart w:id="229" w:name="_Toc112318677"/>
      <w:bookmarkStart w:id="230" w:name="_Toc111797688"/>
      <w:r>
        <w:rPr>
          <w:rStyle w:val="CharSectno"/>
        </w:rPr>
        <w:t>48</w:t>
      </w:r>
      <w:r>
        <w:t>.</w:t>
      </w:r>
      <w:r>
        <w:tab/>
        <w:t>Delegation by local governments</w:t>
      </w:r>
      <w:bookmarkEnd w:id="229"/>
      <w:bookmarkEnd w:id="230"/>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No. 38 of 2002 s. 35.]</w:t>
      </w:r>
    </w:p>
    <w:p>
      <w:pPr>
        <w:pStyle w:val="Ednotesection"/>
      </w:pPr>
      <w:r>
        <w:t>[</w:t>
      </w:r>
      <w:r>
        <w:rPr>
          <w:b/>
        </w:rPr>
        <w:t>49.</w:t>
      </w:r>
      <w:r>
        <w:tab/>
        <w:t>Deleted: No. 2 of 1996 s. 61.]</w:t>
      </w:r>
    </w:p>
    <w:p>
      <w:pPr>
        <w:pStyle w:val="Heading5"/>
        <w:rPr>
          <w:snapToGrid w:val="0"/>
        </w:rPr>
      </w:pPr>
      <w:bookmarkStart w:id="231" w:name="_Toc112318678"/>
      <w:bookmarkStart w:id="232" w:name="_Toc111797689"/>
      <w:r>
        <w:rPr>
          <w:rStyle w:val="CharSectno"/>
        </w:rPr>
        <w:t>50</w:t>
      </w:r>
      <w:r>
        <w:rPr>
          <w:snapToGrid w:val="0"/>
        </w:rPr>
        <w:t>.</w:t>
      </w:r>
      <w:r>
        <w:rPr>
          <w:snapToGrid w:val="0"/>
        </w:rPr>
        <w:tab/>
        <w:t>Records to be maintained by local governments</w:t>
      </w:r>
      <w:bookmarkEnd w:id="231"/>
      <w:bookmarkEnd w:id="232"/>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No. 113 of 1965 s. 8(1); No. 65 of 1977 s. 39; No. 14 of 1996 s. 4; No. 42 of 1998 s. 16; No. 38 of 2002 s. 39; No. 22 of 2012 s. 69.]</w:t>
      </w:r>
    </w:p>
    <w:p>
      <w:pPr>
        <w:pStyle w:val="Heading5"/>
        <w:rPr>
          <w:snapToGrid w:val="0"/>
        </w:rPr>
      </w:pPr>
      <w:bookmarkStart w:id="233" w:name="_Toc112318679"/>
      <w:bookmarkStart w:id="234" w:name="_Toc111797690"/>
      <w:r>
        <w:rPr>
          <w:rStyle w:val="CharSectno"/>
        </w:rPr>
        <w:t>51</w:t>
      </w:r>
      <w:r>
        <w:rPr>
          <w:snapToGrid w:val="0"/>
        </w:rPr>
        <w:t>.</w:t>
      </w:r>
      <w:r>
        <w:rPr>
          <w:snapToGrid w:val="0"/>
        </w:rPr>
        <w:tab/>
        <w:t>Saving of remedies</w:t>
      </w:r>
      <w:bookmarkEnd w:id="233"/>
      <w:bookmarkEnd w:id="234"/>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No. 42 of 1998 s. 12; No. 22 of 2012 s. 63.]</w:t>
      </w:r>
    </w:p>
    <w:p>
      <w:pPr>
        <w:pStyle w:val="Heading5"/>
        <w:spacing w:before="240"/>
        <w:rPr>
          <w:snapToGrid w:val="0"/>
        </w:rPr>
      </w:pPr>
      <w:bookmarkStart w:id="235" w:name="_Toc112318680"/>
      <w:bookmarkStart w:id="236" w:name="_Toc111797691"/>
      <w:r>
        <w:rPr>
          <w:rStyle w:val="CharSectno"/>
        </w:rPr>
        <w:t>52</w:t>
      </w:r>
      <w:r>
        <w:rPr>
          <w:snapToGrid w:val="0"/>
        </w:rPr>
        <w:t>.</w:t>
      </w:r>
      <w:r>
        <w:rPr>
          <w:snapToGrid w:val="0"/>
        </w:rPr>
        <w:tab/>
        <w:t>Approved area may be declared</w:t>
      </w:r>
      <w:bookmarkEnd w:id="235"/>
      <w:bookmarkEnd w:id="236"/>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No. 14 of 1996 s. 4.]</w:t>
      </w:r>
    </w:p>
    <w:p>
      <w:pPr>
        <w:pStyle w:val="Heading5"/>
        <w:spacing w:before="240"/>
        <w:rPr>
          <w:snapToGrid w:val="0"/>
        </w:rPr>
      </w:pPr>
      <w:bookmarkStart w:id="237" w:name="_Toc112318681"/>
      <w:bookmarkStart w:id="238" w:name="_Toc111797692"/>
      <w:r>
        <w:rPr>
          <w:rStyle w:val="CharSectno"/>
        </w:rPr>
        <w:t>53</w:t>
      </w:r>
      <w:r>
        <w:rPr>
          <w:snapToGrid w:val="0"/>
        </w:rPr>
        <w:t>.</w:t>
      </w:r>
      <w:r>
        <w:rPr>
          <w:snapToGrid w:val="0"/>
        </w:rPr>
        <w:tab/>
        <w:t>Reduction in insurance premium of crops in approved area</w:t>
      </w:r>
      <w:bookmarkEnd w:id="237"/>
      <w:bookmarkEnd w:id="238"/>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No. 113 of 1965 s. 8(1); No. 65 of 1977 s. 40 and 48; No. 38 of 2002 s. 39.]</w:t>
      </w:r>
    </w:p>
    <w:p>
      <w:pPr>
        <w:pStyle w:val="Heading5"/>
        <w:spacing w:before="240"/>
        <w:rPr>
          <w:snapToGrid w:val="0"/>
        </w:rPr>
      </w:pPr>
      <w:bookmarkStart w:id="239" w:name="_Toc112318682"/>
      <w:bookmarkStart w:id="240" w:name="_Toc111797693"/>
      <w:r>
        <w:rPr>
          <w:rStyle w:val="CharSectno"/>
        </w:rPr>
        <w:t>54</w:t>
      </w:r>
      <w:r>
        <w:rPr>
          <w:snapToGrid w:val="0"/>
        </w:rPr>
        <w:t>.</w:t>
      </w:r>
      <w:r>
        <w:rPr>
          <w:snapToGrid w:val="0"/>
        </w:rPr>
        <w:tab/>
        <w:t>Approved area may be cancelled</w:t>
      </w:r>
      <w:bookmarkEnd w:id="239"/>
      <w:bookmarkEnd w:id="240"/>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No. 11 of 1963 s. 22; No. 14 of 1996 s. 4; No. 42 of 1998 s. 16; No. 22 of 2012 s. 69.]</w:t>
      </w:r>
    </w:p>
    <w:p>
      <w:pPr>
        <w:pStyle w:val="Ednotesection"/>
        <w:ind w:left="890" w:hanging="890"/>
      </w:pPr>
      <w:r>
        <w:t>[</w:t>
      </w:r>
      <w:r>
        <w:rPr>
          <w:b/>
        </w:rPr>
        <w:t>55.</w:t>
      </w:r>
      <w:r>
        <w:tab/>
        <w:t>Deleted: No. 22 of 2012 s. 64.]</w:t>
      </w:r>
    </w:p>
    <w:p>
      <w:pPr>
        <w:pStyle w:val="Heading5"/>
        <w:spacing w:before="240"/>
        <w:rPr>
          <w:snapToGrid w:val="0"/>
        </w:rPr>
      </w:pPr>
      <w:bookmarkStart w:id="241" w:name="_Toc112318683"/>
      <w:bookmarkStart w:id="242" w:name="_Toc111797694"/>
      <w:r>
        <w:rPr>
          <w:rStyle w:val="CharSectno"/>
        </w:rPr>
        <w:t>56</w:t>
      </w:r>
      <w:r>
        <w:rPr>
          <w:snapToGrid w:val="0"/>
        </w:rPr>
        <w:t>.</w:t>
      </w:r>
      <w:r>
        <w:rPr>
          <w:snapToGrid w:val="0"/>
        </w:rPr>
        <w:tab/>
        <w:t>Duties of police officers, bush fire control officers etc.</w:t>
      </w:r>
      <w:bookmarkEnd w:id="241"/>
      <w:bookmarkEnd w:id="242"/>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243" w:name="_Toc112318684"/>
      <w:bookmarkStart w:id="244" w:name="_Toc111797695"/>
      <w:r>
        <w:rPr>
          <w:rStyle w:val="CharSectno"/>
        </w:rPr>
        <w:t>57</w:t>
      </w:r>
      <w:r>
        <w:rPr>
          <w:snapToGrid w:val="0"/>
        </w:rPr>
        <w:t>.</w:t>
      </w:r>
      <w:r>
        <w:rPr>
          <w:snapToGrid w:val="0"/>
        </w:rPr>
        <w:tab/>
        <w:t>Obstructing officers</w:t>
      </w:r>
      <w:bookmarkEnd w:id="243"/>
      <w:bookmarkEnd w:id="244"/>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No. 11 of 1963 s. 24; No. 113 of 1965 s. 8(1); No. 65 of 1977 s. 48; No. 8 of 1987 s. 8; No. 60 of 1992 s. 13; No. 78 of 1995 s. 147; No. 42 of 1998 s. 16; No. 38 of 2002 s. 39 and 40(1); No. 22 of 2012 s. 66.]</w:t>
      </w:r>
    </w:p>
    <w:p>
      <w:pPr>
        <w:pStyle w:val="Heading5"/>
        <w:rPr>
          <w:snapToGrid w:val="0"/>
        </w:rPr>
      </w:pPr>
      <w:bookmarkStart w:id="245" w:name="_Toc112318685"/>
      <w:bookmarkStart w:id="246" w:name="_Toc111797696"/>
      <w:r>
        <w:rPr>
          <w:rStyle w:val="CharSectno"/>
        </w:rPr>
        <w:t>58</w:t>
      </w:r>
      <w:r>
        <w:rPr>
          <w:snapToGrid w:val="0"/>
        </w:rPr>
        <w:t>.</w:t>
      </w:r>
      <w:r>
        <w:rPr>
          <w:snapToGrid w:val="0"/>
        </w:rPr>
        <w:tab/>
        <w:t>General penalty and recovery of expenses incurred</w:t>
      </w:r>
      <w:bookmarkEnd w:id="245"/>
      <w:bookmarkEnd w:id="246"/>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FES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247" w:name="_Toc112318686"/>
      <w:bookmarkStart w:id="248" w:name="_Toc111797697"/>
      <w:r>
        <w:rPr>
          <w:rStyle w:val="CharSectno"/>
        </w:rPr>
        <w:t>59</w:t>
      </w:r>
      <w:r>
        <w:rPr>
          <w:snapToGrid w:val="0"/>
        </w:rPr>
        <w:t>.</w:t>
      </w:r>
      <w:r>
        <w:rPr>
          <w:snapToGrid w:val="0"/>
        </w:rPr>
        <w:tab/>
        <w:t>Prosecution of offences</w:t>
      </w:r>
      <w:bookmarkEnd w:id="247"/>
      <w:bookmarkEnd w:id="248"/>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No. 35 of 1957 s. 10; No. 11 of 1963 s. 25; No. 65 of 1977 s. 41; No. 14 of 1996 s. 4; No. 42 of 1998 s. 16; No. 38 of 2002 s. 36 and 40(1); No. 59 of 2004 s. 141; No. 19 of 2010 s. 52(4); No. 22 of 2012 s. 67.]</w:t>
      </w:r>
    </w:p>
    <w:p>
      <w:pPr>
        <w:pStyle w:val="Heading5"/>
        <w:rPr>
          <w:snapToGrid w:val="0"/>
        </w:rPr>
      </w:pPr>
      <w:bookmarkStart w:id="249" w:name="_Toc112318687"/>
      <w:bookmarkStart w:id="250" w:name="_Toc111797698"/>
      <w:r>
        <w:rPr>
          <w:rStyle w:val="CharSectno"/>
        </w:rPr>
        <w:t>59A</w:t>
      </w:r>
      <w:r>
        <w:rPr>
          <w:snapToGrid w:val="0"/>
        </w:rPr>
        <w:t>.</w:t>
      </w:r>
      <w:r>
        <w:rPr>
          <w:snapToGrid w:val="0"/>
        </w:rPr>
        <w:tab/>
        <w:t>Alternative procedure — infringement notices</w:t>
      </w:r>
      <w:bookmarkEnd w:id="249"/>
      <w:bookmarkEnd w:id="250"/>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No. 65 of 1977 s. 42; amended: No. 8 of 1987 s. 8; No. 14 of 1996 s. 4; No. 38 of 2002 s. 37 and 39; No. 84 of 2004 s. 80.]</w:t>
      </w:r>
    </w:p>
    <w:p>
      <w:pPr>
        <w:pStyle w:val="Heading5"/>
        <w:rPr>
          <w:snapToGrid w:val="0"/>
        </w:rPr>
      </w:pPr>
      <w:bookmarkStart w:id="251" w:name="_Toc112318688"/>
      <w:bookmarkStart w:id="252" w:name="_Toc111797699"/>
      <w:r>
        <w:rPr>
          <w:rStyle w:val="CharSectno"/>
        </w:rPr>
        <w:t>60</w:t>
      </w:r>
      <w:r>
        <w:rPr>
          <w:snapToGrid w:val="0"/>
        </w:rPr>
        <w:t>.</w:t>
      </w:r>
      <w:r>
        <w:rPr>
          <w:snapToGrid w:val="0"/>
        </w:rPr>
        <w:tab/>
        <w:t>Assisting to commit an offence</w:t>
      </w:r>
      <w:bookmarkEnd w:id="251"/>
      <w:bookmarkEnd w:id="252"/>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253" w:name="_Toc112318689"/>
      <w:bookmarkStart w:id="254" w:name="_Toc111797700"/>
      <w:r>
        <w:rPr>
          <w:rStyle w:val="CharSectno"/>
        </w:rPr>
        <w:t>61</w:t>
      </w:r>
      <w:r>
        <w:rPr>
          <w:snapToGrid w:val="0"/>
        </w:rPr>
        <w:t>.</w:t>
      </w:r>
      <w:r>
        <w:rPr>
          <w:snapToGrid w:val="0"/>
        </w:rPr>
        <w:tab/>
        <w:t>Regulations</w:t>
      </w:r>
      <w:bookmarkEnd w:id="253"/>
      <w:bookmarkEnd w:id="254"/>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No. 113 of 1965 s. 8(1); No. 65 of 1977 s. 48; No. 8 of 1987 s. 8; No. 38 of 2002 s. 39.]</w:t>
      </w:r>
    </w:p>
    <w:p>
      <w:pPr>
        <w:pStyle w:val="Heading5"/>
        <w:rPr>
          <w:snapToGrid w:val="0"/>
        </w:rPr>
      </w:pPr>
      <w:bookmarkStart w:id="255" w:name="_Toc112318690"/>
      <w:bookmarkStart w:id="256" w:name="_Toc111797701"/>
      <w:r>
        <w:rPr>
          <w:rStyle w:val="CharSectno"/>
        </w:rPr>
        <w:t>62</w:t>
      </w:r>
      <w:r>
        <w:rPr>
          <w:snapToGrid w:val="0"/>
        </w:rPr>
        <w:t>.</w:t>
      </w:r>
      <w:r>
        <w:rPr>
          <w:snapToGrid w:val="0"/>
        </w:rPr>
        <w:tab/>
        <w:t>Local government may make local laws</w:t>
      </w:r>
      <w:bookmarkEnd w:id="255"/>
      <w:bookmarkEnd w:id="256"/>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No. 14 of 1996 s. 4.]</w:t>
      </w:r>
    </w:p>
    <w:p>
      <w:pPr>
        <w:pStyle w:val="Heading5"/>
        <w:rPr>
          <w:snapToGrid w:val="0"/>
        </w:rPr>
      </w:pPr>
      <w:bookmarkStart w:id="257" w:name="_Toc112318691"/>
      <w:bookmarkStart w:id="258" w:name="_Toc111797702"/>
      <w:r>
        <w:rPr>
          <w:rStyle w:val="CharSectno"/>
        </w:rPr>
        <w:t>62A</w:t>
      </w:r>
      <w:r>
        <w:rPr>
          <w:snapToGrid w:val="0"/>
        </w:rPr>
        <w:t>.</w:t>
      </w:r>
      <w:r>
        <w:rPr>
          <w:snapToGrid w:val="0"/>
        </w:rPr>
        <w:tab/>
        <w:t>Governor may amend or repeal local laws</w:t>
      </w:r>
      <w:bookmarkEnd w:id="257"/>
      <w:bookmarkEnd w:id="258"/>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No. 14 of 1996 s. 4.]</w:t>
      </w:r>
    </w:p>
    <w:p>
      <w:pPr>
        <w:pStyle w:val="Ednotesection"/>
        <w:spacing w:before="160"/>
        <w:ind w:left="890" w:hanging="890"/>
      </w:pPr>
      <w:r>
        <w:t>[</w:t>
      </w:r>
      <w:r>
        <w:rPr>
          <w:b/>
        </w:rPr>
        <w:t>63.</w:t>
      </w:r>
      <w:r>
        <w:tab/>
        <w:t>Deleted: No. 42 of 1998 s. 13.]</w:t>
      </w:r>
    </w:p>
    <w:p>
      <w:pPr>
        <w:pStyle w:val="Heading5"/>
        <w:spacing w:before="180"/>
        <w:rPr>
          <w:snapToGrid w:val="0"/>
        </w:rPr>
      </w:pPr>
      <w:bookmarkStart w:id="259" w:name="_Toc112318692"/>
      <w:bookmarkStart w:id="260" w:name="_Toc111797703"/>
      <w:r>
        <w:rPr>
          <w:rStyle w:val="CharSectno"/>
        </w:rPr>
        <w:t>64</w:t>
      </w:r>
      <w:r>
        <w:rPr>
          <w:snapToGrid w:val="0"/>
        </w:rPr>
        <w:t>.</w:t>
      </w:r>
      <w:r>
        <w:rPr>
          <w:snapToGrid w:val="0"/>
        </w:rPr>
        <w:tab/>
        <w:t>Prohibitions excluded by certain circumstances</w:t>
      </w:r>
      <w:bookmarkEnd w:id="259"/>
      <w:bookmarkEnd w:id="260"/>
    </w:p>
    <w:p>
      <w:pPr>
        <w:pStyle w:val="Subsection"/>
        <w:tabs>
          <w:tab w:val="left" w:pos="5387"/>
        </w:tabs>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2</w:t>
      </w:r>
      <w:r>
        <w:rPr>
          <w:snapToGrid w:val="0"/>
        </w:rPr>
        <w:t>.</w:t>
      </w:r>
    </w:p>
    <w:p>
      <w:pPr>
        <w:pStyle w:val="Footnotesection"/>
        <w:spacing w:before="100"/>
        <w:ind w:left="890" w:hanging="890"/>
      </w:pPr>
      <w:r>
        <w:tab/>
        <w:t>[Section 64 amended: No. 65 of 1977 s. 43; No. 51 of 1979 s. 5; No. 38 of 2002 s. 38; No. 25 of 2009 s. 18; No. 19 of 2010 s. 52(4).]</w:t>
      </w:r>
    </w:p>
    <w:p>
      <w:pPr>
        <w:pStyle w:val="Heading5"/>
        <w:spacing w:before="180"/>
        <w:rPr>
          <w:snapToGrid w:val="0"/>
        </w:rPr>
      </w:pPr>
      <w:bookmarkStart w:id="261" w:name="_Toc112318693"/>
      <w:bookmarkStart w:id="262" w:name="_Toc111797704"/>
      <w:r>
        <w:rPr>
          <w:rStyle w:val="CharSectno"/>
        </w:rPr>
        <w:t>65</w:t>
      </w:r>
      <w:r>
        <w:rPr>
          <w:snapToGrid w:val="0"/>
        </w:rPr>
        <w:t>.</w:t>
      </w:r>
      <w:r>
        <w:rPr>
          <w:snapToGrid w:val="0"/>
        </w:rPr>
        <w:tab/>
        <w:t>Proof of certain matters</w:t>
      </w:r>
      <w:bookmarkEnd w:id="261"/>
      <w:bookmarkEnd w:id="262"/>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263" w:name="_Toc112318694"/>
      <w:bookmarkStart w:id="264" w:name="_Toc111797705"/>
      <w:r>
        <w:rPr>
          <w:rStyle w:val="CharSectno"/>
        </w:rPr>
        <w:t>66</w:t>
      </w:r>
      <w:r>
        <w:rPr>
          <w:snapToGrid w:val="0"/>
        </w:rPr>
        <w:t>.</w:t>
      </w:r>
      <w:r>
        <w:rPr>
          <w:snapToGrid w:val="0"/>
        </w:rPr>
        <w:tab/>
        <w:t>Proof of ownership or occupancy</w:t>
      </w:r>
      <w:bookmarkEnd w:id="263"/>
      <w:bookmarkEnd w:id="264"/>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keepNext/>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No. 11 of 1963 s. 28; amended: No. 14 of 1996 s. 4; No. 81 of 1996 s. 153(1); No. 57 of 1997 s. 26(3); No. 84 of 2004 s. 80; No. 28 of 2006 s. 392; No. 60 of 2006 s. 126</w:t>
      </w:r>
      <w:r>
        <w:rPr>
          <w:spacing w:val="-4"/>
        </w:rPr>
        <w:t>; No. 47 of 2011 s.</w:t>
      </w:r>
      <w:r>
        <w:t> 16.]</w:t>
      </w:r>
    </w:p>
    <w:p>
      <w:pPr>
        <w:pStyle w:val="Heading5"/>
        <w:rPr>
          <w:snapToGrid w:val="0"/>
        </w:rPr>
      </w:pPr>
      <w:bookmarkStart w:id="265" w:name="_Toc112318695"/>
      <w:bookmarkStart w:id="266" w:name="_Toc111797706"/>
      <w:r>
        <w:rPr>
          <w:rStyle w:val="CharSectno"/>
        </w:rPr>
        <w:t>67</w:t>
      </w:r>
      <w:r>
        <w:rPr>
          <w:snapToGrid w:val="0"/>
        </w:rPr>
        <w:t>.</w:t>
      </w:r>
      <w:r>
        <w:rPr>
          <w:snapToGrid w:val="0"/>
        </w:rPr>
        <w:tab/>
        <w:t>Advisory committees</w:t>
      </w:r>
      <w:bookmarkEnd w:id="265"/>
      <w:bookmarkEnd w:id="266"/>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No. 11 of 1963 s. 28; amended: No. 67 of 1970 s. 5; No. 65 of 1977 s. 45; No. 14 of 1996 s. 4.]</w:t>
      </w:r>
    </w:p>
    <w:p>
      <w:pPr>
        <w:pStyle w:val="Heading5"/>
        <w:rPr>
          <w:snapToGrid w:val="0"/>
        </w:rPr>
      </w:pPr>
      <w:bookmarkStart w:id="267" w:name="_Toc112318696"/>
      <w:bookmarkStart w:id="268" w:name="_Toc111797707"/>
      <w:r>
        <w:rPr>
          <w:rStyle w:val="CharSectno"/>
        </w:rPr>
        <w:t>68</w:t>
      </w:r>
      <w:r>
        <w:rPr>
          <w:snapToGrid w:val="0"/>
        </w:rPr>
        <w:t>.</w:t>
      </w:r>
      <w:r>
        <w:rPr>
          <w:snapToGrid w:val="0"/>
        </w:rPr>
        <w:tab/>
        <w:t>Regional advisory committees</w:t>
      </w:r>
      <w:bookmarkEnd w:id="267"/>
      <w:bookmarkEnd w:id="268"/>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No. 65 of 1977 s. 46; amended: No. 14 of 1996 s. 4.]</w:t>
      </w:r>
    </w:p>
    <w:p>
      <w:pPr>
        <w:pStyle w:val="Ednotesection"/>
      </w:pPr>
      <w:r>
        <w:t>[</w:t>
      </w:r>
      <w:r>
        <w:rPr>
          <w:b/>
        </w:rPr>
        <w:t>69.</w:t>
      </w:r>
      <w:r>
        <w:tab/>
        <w:t>Deleted: No. 42 of 1998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69" w:name="_Toc112241540"/>
      <w:bookmarkStart w:id="270" w:name="_Toc112242384"/>
      <w:bookmarkStart w:id="271" w:name="_Toc112318697"/>
      <w:bookmarkStart w:id="272" w:name="_Toc111797037"/>
      <w:bookmarkStart w:id="273" w:name="_Toc111797708"/>
      <w:r>
        <w:t>Notes</w:t>
      </w:r>
      <w:bookmarkEnd w:id="269"/>
      <w:bookmarkEnd w:id="270"/>
      <w:bookmarkEnd w:id="271"/>
      <w:bookmarkEnd w:id="272"/>
      <w:bookmarkEnd w:id="273"/>
    </w:p>
    <w:p>
      <w:pPr>
        <w:pStyle w:val="nStatement"/>
      </w:pPr>
      <w:r>
        <w:t xml:space="preserve">This is a compilation of the </w:t>
      </w:r>
      <w:r>
        <w:rPr>
          <w:i/>
          <w:noProof/>
        </w:rPr>
        <w:t>Bush Fires Act 1954</w:t>
      </w:r>
      <w:r>
        <w:t xml:space="preserve"> and includes amendments made by other written laws. For provisions that have come into operation, and for information about any reprints, see the compilation table.</w:t>
      </w:r>
      <w:del w:id="274" w:author="Master Repository Process" w:date="2022-08-25T16:02:00Z">
        <w:r>
          <w:delText xml:space="preserve"> For provisions that have not yet come into operation see the uncommenced provisions table.</w:delText>
        </w:r>
      </w:del>
    </w:p>
    <w:p>
      <w:pPr>
        <w:pStyle w:val="nHeading3"/>
      </w:pPr>
      <w:bookmarkStart w:id="275" w:name="_Toc112318698"/>
      <w:bookmarkStart w:id="276" w:name="_Toc111797709"/>
      <w:r>
        <w:t>Compilation table</w:t>
      </w:r>
      <w:bookmarkEnd w:id="275"/>
      <w:bookmarkEnd w:id="276"/>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trPr>
          <w:gridAfter w:val="1"/>
          <w:wAfter w:w="9"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1954</w:t>
            </w:r>
          </w:p>
        </w:tc>
        <w:tc>
          <w:tcPr>
            <w:tcW w:w="1139" w:type="dxa"/>
          </w:tcPr>
          <w:p>
            <w:pPr>
              <w:pStyle w:val="nTable"/>
              <w:spacing w:after="40"/>
            </w:pPr>
            <w:r>
              <w:t>53 of 1954</w:t>
            </w:r>
            <w:r>
              <w:br/>
              <w:t>(3 Eliz. II No. 53)</w:t>
            </w:r>
          </w:p>
        </w:tc>
        <w:tc>
          <w:tcPr>
            <w:tcW w:w="1135" w:type="dxa"/>
          </w:tcPr>
          <w:p>
            <w:pPr>
              <w:pStyle w:val="nTable"/>
              <w:spacing w:after="40"/>
            </w:pPr>
            <w:r>
              <w:t>23 Dec 1954</w:t>
            </w:r>
          </w:p>
        </w:tc>
        <w:tc>
          <w:tcPr>
            <w:tcW w:w="2561" w:type="dxa"/>
            <w:gridSpan w:val="2"/>
          </w:tcPr>
          <w:p>
            <w:pPr>
              <w:pStyle w:val="nTable"/>
              <w:spacing w:after="40"/>
            </w:pPr>
            <w:r>
              <w:t xml:space="preserve">29 Apr 1955 (see s. 3 and </w:t>
            </w:r>
            <w:r>
              <w:rPr>
                <w:i/>
              </w:rPr>
              <w:t>Gazette</w:t>
            </w:r>
            <w:r>
              <w:t xml:space="preserve"> 29 Apr 1955 p. 749)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1957</w:t>
            </w:r>
          </w:p>
        </w:tc>
        <w:tc>
          <w:tcPr>
            <w:tcW w:w="1139" w:type="dxa"/>
          </w:tcPr>
          <w:p>
            <w:pPr>
              <w:pStyle w:val="nTable"/>
              <w:spacing w:after="40"/>
            </w:pPr>
            <w:r>
              <w:t>35 of 1957</w:t>
            </w:r>
            <w:r>
              <w:br/>
              <w:t>(6 Eliz. II No. 35)</w:t>
            </w:r>
          </w:p>
        </w:tc>
        <w:tc>
          <w:tcPr>
            <w:tcW w:w="1135" w:type="dxa"/>
          </w:tcPr>
          <w:p>
            <w:pPr>
              <w:pStyle w:val="nTable"/>
              <w:spacing w:after="40"/>
            </w:pPr>
            <w:r>
              <w:t>5 Nov 1957</w:t>
            </w:r>
          </w:p>
        </w:tc>
        <w:tc>
          <w:tcPr>
            <w:tcW w:w="2561"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1958</w:t>
            </w:r>
          </w:p>
        </w:tc>
        <w:tc>
          <w:tcPr>
            <w:tcW w:w="1139" w:type="dxa"/>
          </w:tcPr>
          <w:p>
            <w:pPr>
              <w:pStyle w:val="nTable"/>
              <w:spacing w:after="40"/>
            </w:pPr>
            <w:r>
              <w:t>20 of 1958</w:t>
            </w:r>
            <w:r>
              <w:br/>
              <w:t>(7 Eliz. II No. 20)</w:t>
            </w:r>
          </w:p>
        </w:tc>
        <w:tc>
          <w:tcPr>
            <w:tcW w:w="1135" w:type="dxa"/>
          </w:tcPr>
          <w:p>
            <w:pPr>
              <w:pStyle w:val="nTable"/>
              <w:spacing w:after="40"/>
            </w:pPr>
            <w:r>
              <w:t>22 Oct 1958</w:t>
            </w:r>
          </w:p>
        </w:tc>
        <w:tc>
          <w:tcPr>
            <w:tcW w:w="2561" w:type="dxa"/>
            <w:gridSpan w:val="2"/>
          </w:tcPr>
          <w:p>
            <w:pPr>
              <w:pStyle w:val="nTable"/>
              <w:spacing w:after="40"/>
            </w:pPr>
            <w:r>
              <w:t>22 Oct 1958</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1963</w:t>
            </w:r>
          </w:p>
        </w:tc>
        <w:tc>
          <w:tcPr>
            <w:tcW w:w="1139" w:type="dxa"/>
          </w:tcPr>
          <w:p>
            <w:pPr>
              <w:pStyle w:val="nTable"/>
              <w:spacing w:after="40"/>
            </w:pPr>
            <w:r>
              <w:t>11 of 1963</w:t>
            </w:r>
            <w:r>
              <w:br/>
              <w:t>(12 Eliz. II No. 11)</w:t>
            </w:r>
          </w:p>
        </w:tc>
        <w:tc>
          <w:tcPr>
            <w:tcW w:w="1135" w:type="dxa"/>
          </w:tcPr>
          <w:p>
            <w:pPr>
              <w:pStyle w:val="nTable"/>
              <w:spacing w:after="40"/>
            </w:pPr>
            <w:r>
              <w:t>22 Oct 1963</w:t>
            </w:r>
          </w:p>
        </w:tc>
        <w:tc>
          <w:tcPr>
            <w:tcW w:w="2561" w:type="dxa"/>
            <w:gridSpan w:val="2"/>
          </w:tcPr>
          <w:p>
            <w:pPr>
              <w:pStyle w:val="nTable"/>
              <w:spacing w:after="40"/>
            </w:pPr>
            <w:r>
              <w:t xml:space="preserve">22 Nov 1963 (see s. 2 and </w:t>
            </w:r>
            <w:r>
              <w:rPr>
                <w:i/>
              </w:rPr>
              <w:t>Gazette</w:t>
            </w:r>
            <w:r>
              <w:t xml:space="preserve"> 22 Nov 1963 p. 3618)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1964</w:t>
            </w:r>
          </w:p>
        </w:tc>
        <w:tc>
          <w:tcPr>
            <w:tcW w:w="1139" w:type="dxa"/>
          </w:tcPr>
          <w:p>
            <w:pPr>
              <w:pStyle w:val="nTable"/>
              <w:spacing w:after="40"/>
            </w:pPr>
            <w:r>
              <w:t>23 of 1964</w:t>
            </w:r>
            <w:r>
              <w:br/>
              <w:t>(13 Eliz. II No. 23)</w:t>
            </w:r>
          </w:p>
        </w:tc>
        <w:tc>
          <w:tcPr>
            <w:tcW w:w="1135" w:type="dxa"/>
          </w:tcPr>
          <w:p>
            <w:pPr>
              <w:pStyle w:val="nTable"/>
              <w:spacing w:after="40"/>
            </w:pPr>
            <w:r>
              <w:t>28 Oct 1964</w:t>
            </w:r>
          </w:p>
        </w:tc>
        <w:tc>
          <w:tcPr>
            <w:tcW w:w="2561" w:type="dxa"/>
            <w:gridSpan w:val="2"/>
          </w:tcPr>
          <w:p>
            <w:pPr>
              <w:pStyle w:val="nTable"/>
              <w:spacing w:after="40"/>
            </w:pPr>
            <w:r>
              <w:t>28 Oct 1964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1965</w:t>
            </w:r>
          </w:p>
        </w:tc>
        <w:tc>
          <w:tcPr>
            <w:tcW w:w="1139" w:type="dxa"/>
          </w:tcPr>
          <w:p>
            <w:pPr>
              <w:pStyle w:val="nTable"/>
              <w:spacing w:after="40"/>
            </w:pPr>
            <w:r>
              <w:t>15 of 1965</w:t>
            </w:r>
          </w:p>
        </w:tc>
        <w:tc>
          <w:tcPr>
            <w:tcW w:w="1135" w:type="dxa"/>
          </w:tcPr>
          <w:p>
            <w:pPr>
              <w:pStyle w:val="nTable"/>
              <w:spacing w:after="40"/>
            </w:pPr>
            <w:r>
              <w:t>1 Oct 1965</w:t>
            </w:r>
          </w:p>
        </w:tc>
        <w:tc>
          <w:tcPr>
            <w:tcW w:w="2561" w:type="dxa"/>
            <w:gridSpan w:val="2"/>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Decimal Currency Act 1965</w:t>
            </w:r>
          </w:p>
        </w:tc>
        <w:tc>
          <w:tcPr>
            <w:tcW w:w="1139" w:type="dxa"/>
          </w:tcPr>
          <w:p>
            <w:pPr>
              <w:pStyle w:val="nTable"/>
              <w:spacing w:after="40"/>
            </w:pPr>
            <w:r>
              <w:t>113 of 1965</w:t>
            </w:r>
          </w:p>
        </w:tc>
        <w:tc>
          <w:tcPr>
            <w:tcW w:w="1135" w:type="dxa"/>
          </w:tcPr>
          <w:p>
            <w:pPr>
              <w:pStyle w:val="nTable"/>
              <w:spacing w:after="40"/>
            </w:pPr>
            <w:r>
              <w:t>21 Dec 1965</w:t>
            </w:r>
          </w:p>
        </w:tc>
        <w:tc>
          <w:tcPr>
            <w:tcW w:w="2561"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1969</w:t>
            </w:r>
          </w:p>
        </w:tc>
        <w:tc>
          <w:tcPr>
            <w:tcW w:w="1139" w:type="dxa"/>
          </w:tcPr>
          <w:p>
            <w:pPr>
              <w:pStyle w:val="nTable"/>
              <w:spacing w:after="40"/>
            </w:pPr>
            <w:r>
              <w:t>101 of 1969</w:t>
            </w:r>
          </w:p>
        </w:tc>
        <w:tc>
          <w:tcPr>
            <w:tcW w:w="1135" w:type="dxa"/>
          </w:tcPr>
          <w:p>
            <w:pPr>
              <w:pStyle w:val="nTable"/>
              <w:spacing w:after="40"/>
            </w:pPr>
            <w:r>
              <w:t>25 Nov 1969</w:t>
            </w:r>
          </w:p>
        </w:tc>
        <w:tc>
          <w:tcPr>
            <w:tcW w:w="2561" w:type="dxa"/>
            <w:gridSpan w:val="2"/>
          </w:tcPr>
          <w:p>
            <w:pPr>
              <w:pStyle w:val="nTable"/>
              <w:spacing w:after="40"/>
            </w:pPr>
            <w:r>
              <w:t>25 Nov 1969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1970</w:t>
            </w:r>
          </w:p>
        </w:tc>
        <w:tc>
          <w:tcPr>
            <w:tcW w:w="1139" w:type="dxa"/>
          </w:tcPr>
          <w:p>
            <w:pPr>
              <w:pStyle w:val="nTable"/>
              <w:spacing w:after="40"/>
            </w:pPr>
            <w:r>
              <w:t>67 of 1970</w:t>
            </w:r>
          </w:p>
        </w:tc>
        <w:tc>
          <w:tcPr>
            <w:tcW w:w="1135" w:type="dxa"/>
          </w:tcPr>
          <w:p>
            <w:pPr>
              <w:pStyle w:val="nTable"/>
              <w:spacing w:after="40"/>
            </w:pPr>
            <w:r>
              <w:t>17 Nov 1970</w:t>
            </w:r>
          </w:p>
        </w:tc>
        <w:tc>
          <w:tcPr>
            <w:tcW w:w="2561" w:type="dxa"/>
            <w:gridSpan w:val="2"/>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Metric Conversion Act 1972</w:t>
            </w:r>
          </w:p>
        </w:tc>
        <w:tc>
          <w:tcPr>
            <w:tcW w:w="1139"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61" w:type="dxa"/>
            <w:gridSpan w:val="2"/>
          </w:tcPr>
          <w:p>
            <w:pPr>
              <w:pStyle w:val="nTable"/>
              <w:keepNext/>
              <w:keepLines/>
              <w:spacing w:after="40"/>
            </w:pPr>
            <w:r>
              <w:t>Relevant amendments (see Third Sch. </w:t>
            </w:r>
            <w:r>
              <w:rPr>
                <w:vertAlign w:val="superscript"/>
              </w:rPr>
              <w:t>3</w:t>
            </w:r>
            <w:r>
              <w:t xml:space="preserve">) took effect on 1 Jun 1974 (see s. 4(2) and </w:t>
            </w:r>
            <w:r>
              <w:rPr>
                <w:i/>
              </w:rPr>
              <w:t>Gazette</w:t>
            </w:r>
            <w:r>
              <w:t xml:space="preserve"> 24 May 1974 p. 1626)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1977</w:t>
            </w:r>
          </w:p>
        </w:tc>
        <w:tc>
          <w:tcPr>
            <w:tcW w:w="1139" w:type="dxa"/>
          </w:tcPr>
          <w:p>
            <w:pPr>
              <w:pStyle w:val="nTable"/>
              <w:spacing w:after="40"/>
            </w:pPr>
            <w:r>
              <w:t>65 of 1977</w:t>
            </w:r>
          </w:p>
        </w:tc>
        <w:tc>
          <w:tcPr>
            <w:tcW w:w="1135" w:type="dxa"/>
          </w:tcPr>
          <w:p>
            <w:pPr>
              <w:pStyle w:val="nTable"/>
              <w:spacing w:after="40"/>
            </w:pPr>
            <w:r>
              <w:t>28 Nov 1977</w:t>
            </w:r>
          </w:p>
        </w:tc>
        <w:tc>
          <w:tcPr>
            <w:tcW w:w="2561" w:type="dxa"/>
            <w:gridSpan w:val="2"/>
          </w:tcPr>
          <w:p>
            <w:pPr>
              <w:pStyle w:val="nTable"/>
              <w:spacing w:after="40"/>
            </w:pPr>
            <w:r>
              <w:t xml:space="preserve">1 Jun 1978 (see s. 2 and </w:t>
            </w:r>
            <w:r>
              <w:rPr>
                <w:i/>
              </w:rPr>
              <w:t xml:space="preserve">Gazette </w:t>
            </w:r>
            <w:r>
              <w:t>10 Mar 1978 p. 667)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1979</w:t>
            </w:r>
          </w:p>
        </w:tc>
        <w:tc>
          <w:tcPr>
            <w:tcW w:w="1139" w:type="dxa"/>
          </w:tcPr>
          <w:p>
            <w:pPr>
              <w:pStyle w:val="nTable"/>
              <w:spacing w:after="40"/>
            </w:pPr>
            <w:r>
              <w:t>51 of 1979</w:t>
            </w:r>
          </w:p>
        </w:tc>
        <w:tc>
          <w:tcPr>
            <w:tcW w:w="1135" w:type="dxa"/>
          </w:tcPr>
          <w:p>
            <w:pPr>
              <w:pStyle w:val="nTable"/>
              <w:spacing w:after="40"/>
            </w:pPr>
            <w:r>
              <w:t>7 Nov 1979</w:t>
            </w:r>
          </w:p>
        </w:tc>
        <w:tc>
          <w:tcPr>
            <w:tcW w:w="2561" w:type="dxa"/>
            <w:gridSpan w:val="2"/>
          </w:tcPr>
          <w:p>
            <w:pPr>
              <w:pStyle w:val="nTable"/>
              <w:spacing w:after="40"/>
            </w:pPr>
            <w:r>
              <w:t>7 Nov 1979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1981</w:t>
            </w:r>
          </w:p>
        </w:tc>
        <w:tc>
          <w:tcPr>
            <w:tcW w:w="1139" w:type="dxa"/>
          </w:tcPr>
          <w:p>
            <w:pPr>
              <w:pStyle w:val="nTable"/>
              <w:spacing w:after="40"/>
            </w:pPr>
            <w:r>
              <w:t>95 of 1981</w:t>
            </w:r>
          </w:p>
        </w:tc>
        <w:tc>
          <w:tcPr>
            <w:tcW w:w="1135" w:type="dxa"/>
          </w:tcPr>
          <w:p>
            <w:pPr>
              <w:pStyle w:val="nTable"/>
              <w:spacing w:after="40"/>
            </w:pPr>
            <w:r>
              <w:t>4 Dec 1981</w:t>
            </w:r>
          </w:p>
        </w:tc>
        <w:tc>
          <w:tcPr>
            <w:tcW w:w="2561" w:type="dxa"/>
            <w:gridSpan w:val="2"/>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(Conservation and Land Management) Act 1984</w:t>
            </w:r>
            <w:r>
              <w:t xml:space="preserve"> Pt. IV</w:t>
            </w:r>
          </w:p>
        </w:tc>
        <w:tc>
          <w:tcPr>
            <w:tcW w:w="1139" w:type="dxa"/>
          </w:tcPr>
          <w:p>
            <w:pPr>
              <w:pStyle w:val="nTable"/>
              <w:spacing w:after="40"/>
            </w:pPr>
            <w:r>
              <w:t>112 of 1984</w:t>
            </w:r>
          </w:p>
        </w:tc>
        <w:tc>
          <w:tcPr>
            <w:tcW w:w="1135" w:type="dxa"/>
          </w:tcPr>
          <w:p>
            <w:pPr>
              <w:pStyle w:val="nTable"/>
              <w:spacing w:after="40"/>
            </w:pPr>
            <w:r>
              <w:t>19 Dec 1984</w:t>
            </w:r>
          </w:p>
        </w:tc>
        <w:tc>
          <w:tcPr>
            <w:tcW w:w="2561" w:type="dxa"/>
            <w:gridSpan w:val="2"/>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1987</w:t>
            </w:r>
          </w:p>
        </w:tc>
        <w:tc>
          <w:tcPr>
            <w:tcW w:w="1139" w:type="dxa"/>
          </w:tcPr>
          <w:p>
            <w:pPr>
              <w:pStyle w:val="nTable"/>
              <w:spacing w:after="40"/>
            </w:pPr>
            <w:r>
              <w:t>8 of 1987</w:t>
            </w:r>
          </w:p>
        </w:tc>
        <w:tc>
          <w:tcPr>
            <w:tcW w:w="1135" w:type="dxa"/>
          </w:tcPr>
          <w:p>
            <w:pPr>
              <w:pStyle w:val="nTable"/>
              <w:spacing w:after="40"/>
            </w:pPr>
            <w:r>
              <w:t>5 Jun 1987</w:t>
            </w:r>
          </w:p>
        </w:tc>
        <w:tc>
          <w:tcPr>
            <w:tcW w:w="2561" w:type="dxa"/>
            <w:gridSpan w:val="2"/>
          </w:tcPr>
          <w:p>
            <w:pPr>
              <w:pStyle w:val="nTable"/>
              <w:spacing w:after="40"/>
            </w:pPr>
            <w:r>
              <w:t>3 Jul 1987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Criminal Law Amendment Act 1990</w:t>
            </w:r>
            <w:r>
              <w:t xml:space="preserve"> Pt. 3</w:t>
            </w:r>
          </w:p>
        </w:tc>
        <w:tc>
          <w:tcPr>
            <w:tcW w:w="1139" w:type="dxa"/>
          </w:tcPr>
          <w:p>
            <w:pPr>
              <w:pStyle w:val="nTable"/>
              <w:spacing w:after="40"/>
            </w:pPr>
            <w:r>
              <w:t>101 of 1990</w:t>
            </w:r>
          </w:p>
        </w:tc>
        <w:tc>
          <w:tcPr>
            <w:tcW w:w="1135" w:type="dxa"/>
          </w:tcPr>
          <w:p>
            <w:pPr>
              <w:pStyle w:val="nTable"/>
              <w:spacing w:after="40"/>
            </w:pPr>
            <w:r>
              <w:t>20 Dec 1990</w:t>
            </w:r>
          </w:p>
        </w:tc>
        <w:tc>
          <w:tcPr>
            <w:tcW w:w="2561" w:type="dxa"/>
            <w:gridSpan w:val="2"/>
          </w:tcPr>
          <w:p>
            <w:pPr>
              <w:pStyle w:val="nTable"/>
              <w:spacing w:after="40"/>
            </w:pPr>
            <w:r>
              <w:t>14 Feb 1991 (see s. 2(1))</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rPr>
                <w:vertAlign w:val="superscript"/>
              </w:rPr>
            </w:pPr>
            <w:r>
              <w:rPr>
                <w:i/>
              </w:rPr>
              <w:t>Bush Fires Amendment Act 1992 </w:t>
            </w:r>
            <w:r>
              <w:rPr>
                <w:i/>
                <w:vertAlign w:val="superscript"/>
              </w:rPr>
              <w:t>4</w:t>
            </w:r>
          </w:p>
        </w:tc>
        <w:tc>
          <w:tcPr>
            <w:tcW w:w="1139" w:type="dxa"/>
          </w:tcPr>
          <w:p>
            <w:pPr>
              <w:pStyle w:val="nTable"/>
              <w:spacing w:after="40"/>
            </w:pPr>
            <w:r>
              <w:t>60 of 1992</w:t>
            </w:r>
          </w:p>
        </w:tc>
        <w:tc>
          <w:tcPr>
            <w:tcW w:w="1135" w:type="dxa"/>
          </w:tcPr>
          <w:p>
            <w:pPr>
              <w:pStyle w:val="nTable"/>
              <w:spacing w:after="40"/>
            </w:pPr>
            <w:r>
              <w:t>11 Dec 1992</w:t>
            </w:r>
          </w:p>
        </w:tc>
        <w:tc>
          <w:tcPr>
            <w:tcW w:w="2561" w:type="dxa"/>
            <w:gridSpan w:val="2"/>
          </w:tcPr>
          <w:p>
            <w:pPr>
              <w:pStyle w:val="nTable"/>
              <w:spacing w:after="40"/>
            </w:pPr>
            <w:r>
              <w:t>Act other than Pt. 2: 11 Dec 1992 (see s. 2(1));</w:t>
            </w:r>
            <w:r>
              <w:br/>
              <w:t xml:space="preserve">Pt. 2: 25 Mar 1993 (see s. 2(2) and </w:t>
            </w:r>
            <w:r>
              <w:rPr>
                <w:i/>
              </w:rPr>
              <w:t>Gazette</w:t>
            </w:r>
            <w:r>
              <w:t xml:space="preserve"> 19 Mar 1993 p. 1635)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Administration Legislation Amendment Act 1993</w:t>
            </w:r>
            <w:r>
              <w:t xml:space="preserve"> s. 11</w:t>
            </w:r>
          </w:p>
        </w:tc>
        <w:tc>
          <w:tcPr>
            <w:tcW w:w="1139" w:type="dxa"/>
          </w:tcPr>
          <w:p>
            <w:pPr>
              <w:pStyle w:val="nTable"/>
              <w:keepNext/>
              <w:keepLines/>
              <w:spacing w:after="40"/>
            </w:pPr>
            <w:r>
              <w:t>6 of 1993</w:t>
            </w:r>
          </w:p>
        </w:tc>
        <w:tc>
          <w:tcPr>
            <w:tcW w:w="1135" w:type="dxa"/>
          </w:tcPr>
          <w:p>
            <w:pPr>
              <w:pStyle w:val="nTable"/>
              <w:keepNext/>
              <w:keepLines/>
              <w:spacing w:after="40"/>
            </w:pPr>
            <w:r>
              <w:t>27 Aug 1993</w:t>
            </w:r>
          </w:p>
        </w:tc>
        <w:tc>
          <w:tcPr>
            <w:tcW w:w="2561" w:type="dxa"/>
            <w:gridSpan w:val="2"/>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(Public Sector Management) Act 1994</w:t>
            </w:r>
            <w:r>
              <w:t xml:space="preserve"> s. 19</w:t>
            </w:r>
          </w:p>
        </w:tc>
        <w:tc>
          <w:tcPr>
            <w:tcW w:w="1139" w:type="dxa"/>
          </w:tcPr>
          <w:p>
            <w:pPr>
              <w:pStyle w:val="nTable"/>
              <w:spacing w:after="40"/>
            </w:pPr>
            <w:r>
              <w:t>32 of 1994</w:t>
            </w:r>
          </w:p>
        </w:tc>
        <w:tc>
          <w:tcPr>
            <w:tcW w:w="1135" w:type="dxa"/>
          </w:tcPr>
          <w:p>
            <w:pPr>
              <w:pStyle w:val="nTable"/>
              <w:spacing w:after="40"/>
            </w:pPr>
            <w:r>
              <w:t>29 Jun 1994</w:t>
            </w:r>
          </w:p>
        </w:tc>
        <w:tc>
          <w:tcPr>
            <w:tcW w:w="256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Fire Brigades Amendment Act 1994</w:t>
            </w:r>
            <w:r>
              <w:t xml:space="preserve"> s. 36</w:t>
            </w:r>
          </w:p>
        </w:tc>
        <w:tc>
          <w:tcPr>
            <w:tcW w:w="1139" w:type="dxa"/>
          </w:tcPr>
          <w:p>
            <w:pPr>
              <w:pStyle w:val="nTable"/>
              <w:spacing w:after="40"/>
            </w:pPr>
            <w:r>
              <w:t>52 of 1994</w:t>
            </w:r>
          </w:p>
        </w:tc>
        <w:tc>
          <w:tcPr>
            <w:tcW w:w="1135" w:type="dxa"/>
          </w:tcPr>
          <w:p>
            <w:pPr>
              <w:pStyle w:val="nTable"/>
              <w:spacing w:after="40"/>
            </w:pPr>
            <w:r>
              <w:t>2 Nov 1994</w:t>
            </w:r>
          </w:p>
        </w:tc>
        <w:tc>
          <w:tcPr>
            <w:tcW w:w="2561" w:type="dxa"/>
            <w:gridSpan w:val="2"/>
          </w:tcPr>
          <w:p>
            <w:pPr>
              <w:pStyle w:val="nTable"/>
              <w:spacing w:after="40"/>
            </w:pPr>
            <w:r>
              <w:t xml:space="preserve">10 Dec 1994 (see s. 2 and </w:t>
            </w:r>
            <w:r>
              <w:rPr>
                <w:i/>
              </w:rPr>
              <w:t>Gazette</w:t>
            </w:r>
            <w:r>
              <w:t xml:space="preserve"> 9 Dec 1994 p. 6647)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Planning Legislation Amendment Act (No. 2) 1994</w:t>
            </w:r>
            <w:r>
              <w:t xml:space="preserve"> s. 46(1)</w:t>
            </w:r>
          </w:p>
        </w:tc>
        <w:tc>
          <w:tcPr>
            <w:tcW w:w="1139" w:type="dxa"/>
          </w:tcPr>
          <w:p>
            <w:pPr>
              <w:pStyle w:val="nTable"/>
              <w:spacing w:after="40"/>
            </w:pPr>
            <w:r>
              <w:t>84 of 1994</w:t>
            </w:r>
          </w:p>
        </w:tc>
        <w:tc>
          <w:tcPr>
            <w:tcW w:w="1135" w:type="dxa"/>
          </w:tcPr>
          <w:p>
            <w:pPr>
              <w:pStyle w:val="nTable"/>
              <w:spacing w:after="40"/>
            </w:pPr>
            <w:r>
              <w:t>13 Jan 1995</w:t>
            </w:r>
          </w:p>
        </w:tc>
        <w:tc>
          <w:tcPr>
            <w:tcW w:w="2561"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Sentencing (Consequential Provisions) Act 1995</w:t>
            </w:r>
            <w:r>
              <w:t xml:space="preserve"> Pt. 6 and s. 147</w:t>
            </w:r>
          </w:p>
        </w:tc>
        <w:tc>
          <w:tcPr>
            <w:tcW w:w="1139" w:type="dxa"/>
          </w:tcPr>
          <w:p>
            <w:pPr>
              <w:pStyle w:val="nTable"/>
              <w:spacing w:after="40"/>
            </w:pPr>
            <w:r>
              <w:t>78 of 1995</w:t>
            </w:r>
          </w:p>
        </w:tc>
        <w:tc>
          <w:tcPr>
            <w:tcW w:w="1135" w:type="dxa"/>
          </w:tcPr>
          <w:p>
            <w:pPr>
              <w:pStyle w:val="nTable"/>
              <w:spacing w:after="40"/>
            </w:pPr>
            <w:r>
              <w:t>16 Jan 1996</w:t>
            </w:r>
          </w:p>
        </w:tc>
        <w:tc>
          <w:tcPr>
            <w:tcW w:w="256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Coroners Act 1996</w:t>
            </w:r>
            <w:r>
              <w:t xml:space="preserve"> s. 61</w:t>
            </w:r>
          </w:p>
        </w:tc>
        <w:tc>
          <w:tcPr>
            <w:tcW w:w="1139" w:type="dxa"/>
          </w:tcPr>
          <w:p>
            <w:pPr>
              <w:pStyle w:val="nTable"/>
              <w:spacing w:after="40"/>
            </w:pPr>
            <w:r>
              <w:t>2 of 1996</w:t>
            </w:r>
          </w:p>
        </w:tc>
        <w:tc>
          <w:tcPr>
            <w:tcW w:w="1135" w:type="dxa"/>
          </w:tcPr>
          <w:p>
            <w:pPr>
              <w:pStyle w:val="nTable"/>
              <w:spacing w:after="40"/>
            </w:pPr>
            <w:r>
              <w:t>24 May 1996</w:t>
            </w:r>
          </w:p>
        </w:tc>
        <w:tc>
          <w:tcPr>
            <w:tcW w:w="2561"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5" w:type="dxa"/>
          </w:tcPr>
          <w:p>
            <w:pPr>
              <w:pStyle w:val="nTable"/>
              <w:spacing w:after="40"/>
            </w:pPr>
            <w:r>
              <w:t>28 Jun 1996</w:t>
            </w:r>
          </w:p>
        </w:tc>
        <w:tc>
          <w:tcPr>
            <w:tcW w:w="256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5" w:type="dxa"/>
          </w:tcPr>
          <w:p>
            <w:pPr>
              <w:pStyle w:val="nTable"/>
              <w:spacing w:after="40"/>
            </w:pPr>
            <w:r>
              <w:t>25 Oct 1996</w:t>
            </w:r>
          </w:p>
        </w:tc>
        <w:tc>
          <w:tcPr>
            <w:tcW w:w="2561"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Transfer of Land Amendment Act 1996</w:t>
            </w:r>
            <w:r>
              <w:t xml:space="preserve"> s. 153(1)</w:t>
            </w:r>
          </w:p>
        </w:tc>
        <w:tc>
          <w:tcPr>
            <w:tcW w:w="1139" w:type="dxa"/>
          </w:tcPr>
          <w:p>
            <w:pPr>
              <w:pStyle w:val="nTable"/>
              <w:spacing w:after="40"/>
            </w:pPr>
            <w:r>
              <w:t>81 of 1996</w:t>
            </w:r>
          </w:p>
        </w:tc>
        <w:tc>
          <w:tcPr>
            <w:tcW w:w="1135" w:type="dxa"/>
          </w:tcPr>
          <w:p>
            <w:pPr>
              <w:pStyle w:val="nTable"/>
              <w:spacing w:after="40"/>
            </w:pPr>
            <w:r>
              <w:t>14 Nov 1996</w:t>
            </w:r>
          </w:p>
        </w:tc>
        <w:tc>
          <w:tcPr>
            <w:tcW w:w="2561"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1997</w:t>
            </w:r>
            <w:r>
              <w:t xml:space="preserve"> s. 26</w:t>
            </w:r>
          </w:p>
        </w:tc>
        <w:tc>
          <w:tcPr>
            <w:tcW w:w="1139" w:type="dxa"/>
          </w:tcPr>
          <w:p>
            <w:pPr>
              <w:pStyle w:val="nTable"/>
              <w:spacing w:after="40"/>
            </w:pPr>
            <w:r>
              <w:t>57 of 1997</w:t>
            </w:r>
          </w:p>
        </w:tc>
        <w:tc>
          <w:tcPr>
            <w:tcW w:w="1135" w:type="dxa"/>
          </w:tcPr>
          <w:p>
            <w:pPr>
              <w:pStyle w:val="nTable"/>
              <w:spacing w:after="40"/>
            </w:pPr>
            <w:r>
              <w:t>15 Dec 1997</w:t>
            </w:r>
          </w:p>
        </w:tc>
        <w:tc>
          <w:tcPr>
            <w:tcW w:w="2561"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(No. 2) 1998</w:t>
            </w:r>
            <w:r>
              <w:t xml:space="preserve"> s. 20</w:t>
            </w:r>
          </w:p>
        </w:tc>
        <w:tc>
          <w:tcPr>
            <w:tcW w:w="1139" w:type="dxa"/>
          </w:tcPr>
          <w:p>
            <w:pPr>
              <w:pStyle w:val="nTable"/>
              <w:spacing w:after="40"/>
            </w:pPr>
            <w:r>
              <w:t>10 of 1998</w:t>
            </w:r>
          </w:p>
        </w:tc>
        <w:tc>
          <w:tcPr>
            <w:tcW w:w="1135" w:type="dxa"/>
          </w:tcPr>
          <w:p>
            <w:pPr>
              <w:pStyle w:val="nTable"/>
              <w:spacing w:after="40"/>
            </w:pPr>
            <w:r>
              <w:t>30 Apr 1998</w:t>
            </w:r>
          </w:p>
        </w:tc>
        <w:tc>
          <w:tcPr>
            <w:tcW w:w="256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Fire and Emergency Services Authority of Western Australia (Consequential Provisions) Act 1998</w:t>
            </w:r>
            <w:r>
              <w:t xml:space="preserve"> Pt. 2 </w:t>
            </w:r>
            <w:r>
              <w:rPr>
                <w:vertAlign w:val="superscript"/>
              </w:rPr>
              <w:t>5</w:t>
            </w:r>
          </w:p>
        </w:tc>
        <w:tc>
          <w:tcPr>
            <w:tcW w:w="1139" w:type="dxa"/>
          </w:tcPr>
          <w:p>
            <w:pPr>
              <w:pStyle w:val="nTable"/>
              <w:spacing w:after="40"/>
            </w:pPr>
            <w:r>
              <w:t>42 of 1998</w:t>
            </w:r>
          </w:p>
        </w:tc>
        <w:tc>
          <w:tcPr>
            <w:tcW w:w="1135" w:type="dxa"/>
          </w:tcPr>
          <w:p>
            <w:pPr>
              <w:pStyle w:val="nTable"/>
              <w:spacing w:after="40"/>
            </w:pPr>
            <w:r>
              <w:t>4 Nov 1998</w:t>
            </w:r>
          </w:p>
        </w:tc>
        <w:tc>
          <w:tcPr>
            <w:tcW w:w="2561" w:type="dxa"/>
            <w:gridSpan w:val="2"/>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6</w:t>
            </w:r>
          </w:p>
        </w:tc>
        <w:tc>
          <w:tcPr>
            <w:tcW w:w="1139" w:type="dxa"/>
          </w:tcPr>
          <w:p>
            <w:pPr>
              <w:pStyle w:val="nTable"/>
              <w:spacing w:after="40"/>
            </w:pPr>
            <w:r>
              <w:t>38 of 2002</w:t>
            </w:r>
          </w:p>
        </w:tc>
        <w:tc>
          <w:tcPr>
            <w:tcW w:w="1135" w:type="dxa"/>
          </w:tcPr>
          <w:p>
            <w:pPr>
              <w:pStyle w:val="nTable"/>
              <w:spacing w:after="40"/>
            </w:pPr>
            <w:r>
              <w:t>20 Nov 2002</w:t>
            </w:r>
          </w:p>
        </w:tc>
        <w:tc>
          <w:tcPr>
            <w:tcW w:w="2561" w:type="dxa"/>
            <w:gridSpan w:val="2"/>
          </w:tcPr>
          <w:p>
            <w:pPr>
              <w:pStyle w:val="nTable"/>
              <w:spacing w:after="40"/>
            </w:pPr>
            <w:r>
              <w:t xml:space="preserve">30 Nov 2002 (see s. 2 and </w:t>
            </w:r>
            <w:r>
              <w:rPr>
                <w:i/>
              </w:rPr>
              <w:t>Gazette</w:t>
            </w:r>
            <w:r>
              <w:t xml:space="preserve"> 29 Nov 2002 p. 5651</w:t>
            </w:r>
            <w:r>
              <w:noBreakHyphen/>
              <w:t>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(Equality of Status) Act 2003</w:t>
            </w:r>
            <w:r>
              <w:t xml:space="preserve"> Pt. 4</w:t>
            </w:r>
          </w:p>
        </w:tc>
        <w:tc>
          <w:tcPr>
            <w:tcW w:w="1139" w:type="dxa"/>
          </w:tcPr>
          <w:p>
            <w:pPr>
              <w:pStyle w:val="nTable"/>
              <w:spacing w:after="40"/>
            </w:pPr>
            <w:r>
              <w:t>28 of 2003</w:t>
            </w:r>
          </w:p>
        </w:tc>
        <w:tc>
          <w:tcPr>
            <w:tcW w:w="1135" w:type="dxa"/>
          </w:tcPr>
          <w:p>
            <w:pPr>
              <w:pStyle w:val="nTable"/>
              <w:spacing w:after="40"/>
            </w:pPr>
            <w:r>
              <w:t>22 May 2003</w:t>
            </w:r>
          </w:p>
        </w:tc>
        <w:tc>
          <w:tcPr>
            <w:tcW w:w="2561" w:type="dxa"/>
            <w:gridSpan w:val="2"/>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6: The </w:t>
            </w:r>
            <w:r>
              <w:rPr>
                <w:b/>
                <w:i/>
              </w:rPr>
              <w:t>Bush Fires Act 1954</w:t>
            </w:r>
            <w:r>
              <w:rPr>
                <w:b/>
              </w:rPr>
              <w:t xml:space="preserve"> as at 1 Aug 2003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and Repeal (Competition Policy) Act 2003</w:t>
            </w:r>
            <w:r>
              <w:t xml:space="preserve"> Pt. 3</w:t>
            </w:r>
          </w:p>
        </w:tc>
        <w:tc>
          <w:tcPr>
            <w:tcW w:w="1139" w:type="dxa"/>
          </w:tcPr>
          <w:p>
            <w:pPr>
              <w:pStyle w:val="nTable"/>
              <w:spacing w:after="40"/>
            </w:pPr>
            <w:r>
              <w:t>70 of 2003</w:t>
            </w:r>
          </w:p>
        </w:tc>
        <w:tc>
          <w:tcPr>
            <w:tcW w:w="1135" w:type="dxa"/>
          </w:tcPr>
          <w:p>
            <w:pPr>
              <w:pStyle w:val="nTable"/>
              <w:spacing w:after="40"/>
            </w:pPr>
            <w:r>
              <w:t>15 Dec 2003</w:t>
            </w:r>
          </w:p>
        </w:tc>
        <w:tc>
          <w:tcPr>
            <w:tcW w:w="2561" w:type="dxa"/>
            <w:gridSpan w:val="2"/>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Criminal Code Amendment Act 2004</w:t>
            </w:r>
            <w:r>
              <w:t xml:space="preserve"> s. 58</w:t>
            </w:r>
          </w:p>
        </w:tc>
        <w:tc>
          <w:tcPr>
            <w:tcW w:w="1139" w:type="dxa"/>
          </w:tcPr>
          <w:p>
            <w:pPr>
              <w:pStyle w:val="nTable"/>
              <w:spacing w:after="40"/>
            </w:pPr>
            <w:r>
              <w:t>4 of 2004</w:t>
            </w:r>
          </w:p>
        </w:tc>
        <w:tc>
          <w:tcPr>
            <w:tcW w:w="1135" w:type="dxa"/>
          </w:tcPr>
          <w:p>
            <w:pPr>
              <w:pStyle w:val="nTable"/>
              <w:spacing w:after="40"/>
            </w:pPr>
            <w:r>
              <w:t>23 Apr 2004</w:t>
            </w:r>
          </w:p>
        </w:tc>
        <w:tc>
          <w:tcPr>
            <w:tcW w:w="2561" w:type="dxa"/>
            <w:gridSpan w:val="2"/>
          </w:tcPr>
          <w:p>
            <w:pPr>
              <w:pStyle w:val="nTable"/>
              <w:spacing w:after="40"/>
            </w:pPr>
            <w: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9"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61" w:type="dxa"/>
            <w:gridSpan w:val="2"/>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9"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61" w:type="dxa"/>
            <w:gridSpan w:val="2"/>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9"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61"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108" w:type="dxa"/>
            <w:gridSpan w:val="5"/>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9"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6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9"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6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9"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61" w:type="dxa"/>
            <w:gridSpan w:val="2"/>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9"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61" w:type="dxa"/>
            <w:gridSpan w:val="2"/>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9" w:type="dxa"/>
          </w:tcPr>
          <w:p>
            <w:pPr>
              <w:pStyle w:val="nTable"/>
              <w:spacing w:after="40"/>
            </w:pPr>
            <w:r>
              <w:t>43 of 2009</w:t>
            </w:r>
          </w:p>
        </w:tc>
        <w:tc>
          <w:tcPr>
            <w:tcW w:w="1135" w:type="dxa"/>
          </w:tcPr>
          <w:p>
            <w:pPr>
              <w:pStyle w:val="nTable"/>
              <w:spacing w:after="40"/>
            </w:pPr>
            <w:r>
              <w:t>3 Dec 2009</w:t>
            </w:r>
          </w:p>
        </w:tc>
        <w:tc>
          <w:tcPr>
            <w:tcW w:w="2561" w:type="dxa"/>
            <w:gridSpan w:val="2"/>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7</w:t>
            </w:r>
          </w:p>
        </w:tc>
        <w:tc>
          <w:tcPr>
            <w:tcW w:w="1139"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61" w:type="dxa"/>
            <w:gridSpan w:val="2"/>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9"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61" w:type="dxa"/>
            <w:gridSpan w:val="2"/>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snapToGrid w:val="0"/>
                <w:vertAlign w:val="superscript"/>
              </w:rPr>
              <w:t> </w:t>
            </w:r>
          </w:p>
        </w:tc>
        <w:tc>
          <w:tcPr>
            <w:tcW w:w="1139"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61"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9"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61"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9"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6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9"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61" w:type="dxa"/>
            <w:gridSpan w:val="2"/>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Biodiversity Conservation Act 2016</w:t>
            </w:r>
            <w:r>
              <w:t xml:space="preserve"> s. 312</w:t>
            </w:r>
          </w:p>
        </w:tc>
        <w:tc>
          <w:tcPr>
            <w:tcW w:w="1139" w:type="dxa"/>
            <w:shd w:val="clear" w:color="auto" w:fill="auto"/>
          </w:tcPr>
          <w:p>
            <w:pPr>
              <w:pStyle w:val="nTable"/>
              <w:spacing w:after="40"/>
            </w:pPr>
            <w:r>
              <w:t>24 of 2016</w:t>
            </w:r>
          </w:p>
        </w:tc>
        <w:tc>
          <w:tcPr>
            <w:tcW w:w="1135" w:type="dxa"/>
            <w:shd w:val="clear" w:color="auto" w:fill="auto"/>
          </w:tcPr>
          <w:p>
            <w:pPr>
              <w:pStyle w:val="nTable"/>
              <w:spacing w:after="40"/>
            </w:pPr>
            <w:r>
              <w:t>21 Sep 2016</w:t>
            </w:r>
          </w:p>
        </w:tc>
        <w:tc>
          <w:tcPr>
            <w:tcW w:w="2561" w:type="dxa"/>
            <w:gridSpan w:val="2"/>
            <w:shd w:val="clear" w:color="auto" w:fill="auto"/>
          </w:tcPr>
          <w:p>
            <w:pPr>
              <w:pStyle w:val="nTable"/>
              <w:spacing w:after="40"/>
            </w:pPr>
            <w:r>
              <w:t xml:space="preserve">1 Jan 2019 (see s. 2(b) and </w:t>
            </w:r>
            <w:r>
              <w:rPr>
                <w:i/>
              </w:rPr>
              <w:t>Gazette</w:t>
            </w:r>
            <w:r>
              <w:t xml:space="preserve"> 14 Sep 2018 p. 3305)</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9" w:type="dxa"/>
            <w:tcBorders>
              <w:top w:val="nil"/>
              <w:bottom w:val="nil"/>
            </w:tcBorders>
            <w:shd w:val="clear" w:color="auto" w:fill="auto"/>
          </w:tcPr>
          <w:p>
            <w:pPr>
              <w:pStyle w:val="nTable"/>
              <w:spacing w:after="40"/>
            </w:pPr>
            <w:r>
              <w:t>28 of 2016</w:t>
            </w:r>
          </w:p>
        </w:tc>
        <w:tc>
          <w:tcPr>
            <w:tcW w:w="1135"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pPr>
            <w:r>
              <w:t xml:space="preserve">16 Sep 2017 (see s. 2(b) and </w:t>
            </w:r>
            <w:r>
              <w:rPr>
                <w:i/>
              </w:rPr>
              <w:t xml:space="preserve">Gazette </w:t>
            </w:r>
            <w:r>
              <w:t>15 Sep 2017 p. 4791)</w:t>
            </w:r>
          </w:p>
        </w:tc>
      </w:tr>
      <w:tr>
        <w:trPr>
          <w:cantSplit/>
        </w:trPr>
        <w:tc>
          <w:tcPr>
            <w:tcW w:w="2273" w:type="dxa"/>
            <w:tcBorders>
              <w:top w:val="nil"/>
              <w:bottom w:val="nil"/>
            </w:tcBorders>
            <w:shd w:val="clear" w:color="auto" w:fill="auto"/>
          </w:tcPr>
          <w:p>
            <w:pPr>
              <w:pStyle w:val="nTable"/>
              <w:spacing w:after="40"/>
              <w:ind w:right="113"/>
              <w:rPr>
                <w:i/>
                <w:snapToGrid w:val="0"/>
              </w:rPr>
            </w:pPr>
            <w:r>
              <w:rPr>
                <w:i/>
              </w:rPr>
              <w:t>Environmental Protection Amendment Act 2020</w:t>
            </w:r>
            <w:r>
              <w:t xml:space="preserve"> s. 114</w:t>
            </w:r>
          </w:p>
        </w:tc>
        <w:tc>
          <w:tcPr>
            <w:tcW w:w="1139" w:type="dxa"/>
            <w:tcBorders>
              <w:top w:val="nil"/>
              <w:bottom w:val="nil"/>
            </w:tcBorders>
            <w:shd w:val="clear" w:color="auto" w:fill="auto"/>
          </w:tcPr>
          <w:p>
            <w:pPr>
              <w:pStyle w:val="nTable"/>
              <w:spacing w:after="40"/>
            </w:pPr>
            <w:r>
              <w:t>40 of 2020</w:t>
            </w:r>
          </w:p>
        </w:tc>
        <w:tc>
          <w:tcPr>
            <w:tcW w:w="1135" w:type="dxa"/>
            <w:tcBorders>
              <w:top w:val="nil"/>
              <w:bottom w:val="nil"/>
            </w:tcBorders>
            <w:shd w:val="clear" w:color="auto" w:fill="auto"/>
          </w:tcPr>
          <w:p>
            <w:pPr>
              <w:pStyle w:val="nTable"/>
              <w:spacing w:after="40"/>
            </w:pPr>
            <w:r>
              <w:t>19 Nov 2020</w:t>
            </w:r>
          </w:p>
        </w:tc>
        <w:tc>
          <w:tcPr>
            <w:tcW w:w="2561" w:type="dxa"/>
            <w:gridSpan w:val="2"/>
            <w:tcBorders>
              <w:top w:val="nil"/>
              <w:bottom w:val="nil"/>
            </w:tcBorders>
            <w:shd w:val="clear" w:color="auto" w:fill="auto"/>
          </w:tcPr>
          <w:p>
            <w:pPr>
              <w:pStyle w:val="nTable"/>
              <w:spacing w:after="40"/>
            </w:pPr>
            <w:r>
              <w:t>23 Oct 2021 (see s. 2(1)(e) and SL 2021/176 cl. 2)</w:t>
            </w:r>
          </w:p>
        </w:tc>
      </w:tr>
    </w:tbl>
    <w:p>
      <w:pPr>
        <w:pStyle w:val="nHeading3"/>
        <w:rPr>
          <w:del w:id="277" w:author="Master Repository Process" w:date="2022-08-25T16:02:00Z"/>
        </w:rPr>
      </w:pPr>
      <w:bookmarkStart w:id="278" w:name="_Toc111797710"/>
      <w:del w:id="279" w:author="Master Repository Process" w:date="2022-08-25T16:02:00Z">
        <w:r>
          <w:delText>Uncommenced provisions table</w:delText>
        </w:r>
        <w:bookmarkEnd w:id="278"/>
      </w:del>
    </w:p>
    <w:p>
      <w:pPr>
        <w:pStyle w:val="nStatement"/>
        <w:keepNext/>
        <w:spacing w:after="240"/>
        <w:rPr>
          <w:del w:id="280" w:author="Master Repository Process" w:date="2022-08-25T16:02:00Z"/>
        </w:rPr>
      </w:pPr>
      <w:del w:id="281" w:author="Master Repository Process" w:date="2022-08-25T16:0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61"/>
      </w:tblGrid>
      <w:tr>
        <w:trPr>
          <w:tblHeader/>
          <w:del w:id="282" w:author="Master Repository Process" w:date="2022-08-25T16:02:00Z"/>
        </w:trPr>
        <w:tc>
          <w:tcPr>
            <w:tcW w:w="2268" w:type="dxa"/>
            <w:tcBorders>
              <w:bottom w:val="single" w:sz="8" w:space="0" w:color="auto"/>
            </w:tcBorders>
          </w:tcPr>
          <w:p>
            <w:pPr>
              <w:pStyle w:val="nTable"/>
              <w:spacing w:after="40"/>
              <w:rPr>
                <w:del w:id="283" w:author="Master Repository Process" w:date="2022-08-25T16:02:00Z"/>
                <w:b/>
              </w:rPr>
            </w:pPr>
            <w:del w:id="284" w:author="Master Repository Process" w:date="2022-08-25T16:02:00Z">
              <w:r>
                <w:rPr>
                  <w:b/>
                </w:rPr>
                <w:delText>Short title</w:delText>
              </w:r>
            </w:del>
          </w:p>
        </w:tc>
        <w:tc>
          <w:tcPr>
            <w:tcW w:w="1134" w:type="dxa"/>
            <w:tcBorders>
              <w:bottom w:val="single" w:sz="8" w:space="0" w:color="auto"/>
            </w:tcBorders>
          </w:tcPr>
          <w:p>
            <w:pPr>
              <w:pStyle w:val="nTable"/>
              <w:spacing w:after="40"/>
              <w:rPr>
                <w:del w:id="285" w:author="Master Repository Process" w:date="2022-08-25T16:02:00Z"/>
                <w:b/>
              </w:rPr>
            </w:pPr>
            <w:del w:id="286" w:author="Master Repository Process" w:date="2022-08-25T16:02:00Z">
              <w:r>
                <w:rPr>
                  <w:b/>
                </w:rPr>
                <w:delText>Number and year</w:delText>
              </w:r>
            </w:del>
          </w:p>
        </w:tc>
        <w:tc>
          <w:tcPr>
            <w:tcW w:w="1134" w:type="dxa"/>
            <w:tcBorders>
              <w:bottom w:val="single" w:sz="8" w:space="0" w:color="auto"/>
            </w:tcBorders>
          </w:tcPr>
          <w:p>
            <w:pPr>
              <w:pStyle w:val="nTable"/>
              <w:spacing w:after="40"/>
              <w:rPr>
                <w:del w:id="287" w:author="Master Repository Process" w:date="2022-08-25T16:02:00Z"/>
                <w:b/>
              </w:rPr>
            </w:pPr>
            <w:del w:id="288" w:author="Master Repository Process" w:date="2022-08-25T16:02:00Z">
              <w:r>
                <w:rPr>
                  <w:b/>
                </w:rPr>
                <w:delText>Assent</w:delText>
              </w:r>
            </w:del>
          </w:p>
        </w:tc>
        <w:tc>
          <w:tcPr>
            <w:tcW w:w="2552" w:type="dxa"/>
            <w:tcBorders>
              <w:bottom w:val="single" w:sz="8" w:space="0" w:color="auto"/>
            </w:tcBorders>
          </w:tcPr>
          <w:p>
            <w:pPr>
              <w:pStyle w:val="nTable"/>
              <w:spacing w:after="40"/>
              <w:rPr>
                <w:del w:id="289" w:author="Master Repository Process" w:date="2022-08-25T16:02:00Z"/>
                <w:b/>
              </w:rPr>
            </w:pPr>
            <w:del w:id="290" w:author="Master Repository Process" w:date="2022-08-25T16:02:00Z">
              <w:r>
                <w:rPr>
                  <w:b/>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2" w:space="0" w:color="auto"/>
            </w:tcBorders>
            <w:shd w:val="clear" w:color="auto" w:fill="auto"/>
          </w:tcPr>
          <w:p>
            <w:pPr>
              <w:pStyle w:val="nTable"/>
              <w:spacing w:after="40"/>
              <w:ind w:right="113"/>
              <w:rPr>
                <w:i/>
              </w:rPr>
            </w:pPr>
            <w:r>
              <w:rPr>
                <w:i/>
              </w:rPr>
              <w:t>Bush Fires Amendment Act 2022</w:t>
            </w:r>
            <w:del w:id="291" w:author="Master Repository Process" w:date="2022-08-25T16:02:00Z">
              <w:r>
                <w:delText xml:space="preserve"> s. 3</w:delText>
              </w:r>
              <w:r>
                <w:noBreakHyphen/>
                <w:delText>7</w:delText>
              </w:r>
            </w:del>
          </w:p>
        </w:tc>
        <w:tc>
          <w:tcPr>
            <w:tcW w:w="1139" w:type="dxa"/>
            <w:tcBorders>
              <w:bottom w:val="single" w:sz="2" w:space="0" w:color="auto"/>
            </w:tcBorders>
            <w:shd w:val="clear" w:color="auto" w:fill="auto"/>
          </w:tcPr>
          <w:p>
            <w:pPr>
              <w:pStyle w:val="nTable"/>
              <w:spacing w:after="40"/>
            </w:pPr>
            <w:r>
              <w:t>26 of 2022</w:t>
            </w:r>
          </w:p>
        </w:tc>
        <w:tc>
          <w:tcPr>
            <w:tcW w:w="1135" w:type="dxa"/>
            <w:tcBorders>
              <w:bottom w:val="single" w:sz="2" w:space="0" w:color="auto"/>
            </w:tcBorders>
            <w:shd w:val="clear" w:color="auto" w:fill="auto"/>
          </w:tcPr>
          <w:p>
            <w:pPr>
              <w:pStyle w:val="nTable"/>
              <w:spacing w:after="40"/>
            </w:pPr>
            <w:r>
              <w:t>19 Aug 2022</w:t>
            </w:r>
          </w:p>
        </w:tc>
        <w:tc>
          <w:tcPr>
            <w:tcW w:w="2561" w:type="dxa"/>
            <w:tcBorders>
              <w:bottom w:val="single" w:sz="2" w:space="0" w:color="auto"/>
            </w:tcBorders>
            <w:shd w:val="clear" w:color="auto" w:fill="auto"/>
          </w:tcPr>
          <w:p>
            <w:pPr>
              <w:pStyle w:val="nTable"/>
              <w:spacing w:after="40"/>
            </w:pPr>
            <w:del w:id="292" w:author="Master Repository Process" w:date="2022-08-25T16:02:00Z">
              <w:r>
                <w:delText>To be proclaimed (see s. 2(b))</w:delText>
              </w:r>
            </w:del>
            <w:ins w:id="293" w:author="Master Repository Process" w:date="2022-08-25T16:02:00Z">
              <w:r>
                <w:t>s. 1 and 2: 19 Aug 2022 (see s. 2(a));</w:t>
              </w:r>
              <w:r>
                <w:br/>
                <w:t>Act other than s. 1 and 2: 1 Sep 2022 (see s. 2(b) and SL 2022/152 cl. 2)</w:t>
              </w:r>
            </w:ins>
          </w:p>
        </w:tc>
      </w:tr>
    </w:tbl>
    <w:p>
      <w:pPr>
        <w:pStyle w:val="nHeading3"/>
      </w:pPr>
      <w:bookmarkStart w:id="294" w:name="_Toc112318699"/>
      <w:bookmarkStart w:id="295" w:name="_Toc111797711"/>
      <w:r>
        <w:t>Other notes</w:t>
      </w:r>
      <w:bookmarkEnd w:id="294"/>
      <w:bookmarkEnd w:id="295"/>
    </w:p>
    <w:p>
      <w:pPr>
        <w:pStyle w:val="nNote"/>
        <w:spacing w:before="160"/>
        <w:rPr>
          <w:snapToGrid w:val="0"/>
        </w:rPr>
      </w:pPr>
      <w:r>
        <w:rPr>
          <w:snapToGrid w:val="0"/>
          <w:vertAlign w:val="superscript"/>
        </w:rPr>
        <w:t>1</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Note"/>
        <w:keepNext/>
        <w:keepLines/>
        <w:rPr>
          <w:i/>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p>
    <w:p>
      <w:pPr>
        <w:pStyle w:val="nNote"/>
        <w:rPr>
          <w:snapToGrid w:val="0"/>
        </w:rPr>
      </w:pPr>
      <w:r>
        <w:rPr>
          <w:snapToGrid w:val="0"/>
          <w:vertAlign w:val="superscript"/>
        </w:rPr>
        <w:t>4</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Note"/>
        <w:keepNext/>
        <w:keepLines/>
        <w:rPr>
          <w:snapToGrid w:val="0"/>
        </w:rPr>
      </w:pPr>
      <w:r>
        <w:rPr>
          <w:snapToGrid w:val="0"/>
          <w:vertAlign w:val="superscript"/>
        </w:rPr>
        <w:t>6</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Note"/>
        <w:keepNext/>
        <w:keepLines/>
        <w:rPr>
          <w:snapToGrid w:val="0"/>
        </w:rPr>
      </w:pPr>
      <w:r>
        <w:rPr>
          <w:snapToGrid w:val="0"/>
          <w:vertAlign w:val="superscript"/>
        </w:rPr>
        <w:t>7</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spacing w:after="40"/>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7" w:name="Coversheet"/>
    <w:bookmarkEnd w:id="2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EA4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8A1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1A9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29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AE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34928"/>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 w:name="WAFER_2020111812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21013_GUID" w:val="5337651e-d2b0-4bab-91c5-37df3cca59e5"/>
    <w:docVar w:name="WAFER_202110200938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10_GUID" w:val="f5e2a353-7c5b-491a-8941-3d8ff52a8886"/>
    <w:docVar w:name="WAFER_20220819102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19102105_GUID" w:val="d9fe03b4-024d-4d46-881e-f79f0f15418b"/>
    <w:docVar w:name="WAFER_20220824134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34928_GUID" w:val="2ec02e80-2ba9-4e70-bc5a-c170116a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29221">
      <w:bodyDiv w:val="1"/>
      <w:marLeft w:val="0"/>
      <w:marRight w:val="0"/>
      <w:marTop w:val="0"/>
      <w:marBottom w:val="0"/>
      <w:divBdr>
        <w:top w:val="none" w:sz="0" w:space="0" w:color="auto"/>
        <w:left w:val="none" w:sz="0" w:space="0" w:color="auto"/>
        <w:bottom w:val="none" w:sz="0" w:space="0" w:color="auto"/>
        <w:right w:val="none" w:sz="0" w:space="0" w:color="auto"/>
      </w:divBdr>
    </w:div>
    <w:div w:id="140968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70E6-D080-4189-BE51-557CA44B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29271</Words>
  <Characters>131432</Characters>
  <Application>Microsoft Office Word</Application>
  <DocSecurity>0</DocSecurity>
  <Lines>3458</Lines>
  <Paragraphs>1516</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159187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09-k0-00 - 09-l0-00</dc:title>
  <dc:subject/>
  <dc:creator/>
  <cp:keywords/>
  <dc:description/>
  <cp:lastModifiedBy>Master Repository Process</cp:lastModifiedBy>
  <cp:revision>2</cp:revision>
  <cp:lastPrinted>2014-09-08T05:27:00Z</cp:lastPrinted>
  <dcterms:created xsi:type="dcterms:W3CDTF">2022-08-25T08:02:00Z</dcterms:created>
  <dcterms:modified xsi:type="dcterms:W3CDTF">2022-08-25T08:02:00Z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CommencementDate">
    <vt:lpwstr>20220901</vt:lpwstr>
  </property>
  <property fmtid="{D5CDD505-2E9C-101B-9397-08002B2CF9AE}" pid="8" name="FromSuffix">
    <vt:lpwstr>09-k0-00</vt:lpwstr>
  </property>
  <property fmtid="{D5CDD505-2E9C-101B-9397-08002B2CF9AE}" pid="9" name="FromAsAtDate">
    <vt:lpwstr>19 Aug 2022</vt:lpwstr>
  </property>
  <property fmtid="{D5CDD505-2E9C-101B-9397-08002B2CF9AE}" pid="10" name="ToSuffix">
    <vt:lpwstr>09-l0-00</vt:lpwstr>
  </property>
  <property fmtid="{D5CDD505-2E9C-101B-9397-08002B2CF9AE}" pid="11" name="ToAsAtDate">
    <vt:lpwstr>01 Sep 2022</vt:lpwstr>
  </property>
</Properties>
</file>