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(Nicholson Block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2019</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10 Sep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(Nicholson Block Restricted Area) Regulations 2010</w:t>
      </w:r>
    </w:p>
    <w:p>
      <w:pPr>
        <w:pStyle w:val="Heading5"/>
      </w:pPr>
      <w:bookmarkStart w:id="1" w:name="_Toc113372042"/>
      <w:bookmarkStart w:id="2" w:name="_Toc18681869"/>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(Nicholson Block Restricted Area) Regulations 2010</w:t>
      </w:r>
      <w:r>
        <w:t>.</w:t>
      </w:r>
    </w:p>
    <w:p>
      <w:pPr>
        <w:pStyle w:val="Heading5"/>
        <w:rPr>
          <w:spacing w:val="-2"/>
        </w:rPr>
      </w:pPr>
      <w:bookmarkStart w:id="5" w:name="_Toc113372043"/>
      <w:bookmarkStart w:id="6" w:name="_Toc1868187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113372044"/>
      <w:bookmarkStart w:id="8" w:name="_Toc18681871"/>
      <w:r>
        <w:rPr>
          <w:rStyle w:val="CharSectno"/>
        </w:rPr>
        <w:t>3</w:t>
      </w:r>
      <w:r>
        <w:t>.</w:t>
      </w:r>
      <w:r>
        <w:tab/>
        <w:t>Term used: Nicholson Block Aboriginal Community</w:t>
      </w:r>
      <w:bookmarkEnd w:id="7"/>
      <w:bookmarkEnd w:id="8"/>
    </w:p>
    <w:p>
      <w:pPr>
        <w:pStyle w:val="Subsection"/>
      </w:pPr>
      <w:r>
        <w:tab/>
      </w:r>
      <w:r>
        <w:tab/>
        <w:t xml:space="preserve">In these regulations — </w:t>
      </w:r>
    </w:p>
    <w:p>
      <w:pPr>
        <w:pStyle w:val="Defstart"/>
      </w:pPr>
      <w:r>
        <w:tab/>
      </w:r>
      <w:r>
        <w:rPr>
          <w:rStyle w:val="CharDefText"/>
        </w:rPr>
        <w:t>Nicholson Block Aboriginal Community</w:t>
      </w:r>
      <w:r>
        <w:t xml:space="preserve"> means the area of land described as </w:t>
      </w:r>
      <w:ins w:id="9" w:author="Master Repository Process" w:date="2022-09-08T15:53:00Z">
        <w:r>
          <w:t xml:space="preserve">the whole of Crown Reserve 39518, being </w:t>
        </w:r>
      </w:ins>
      <w:r>
        <w:t xml:space="preserve">Lot </w:t>
      </w:r>
      <w:del w:id="10" w:author="Master Repository Process" w:date="2022-09-08T15:53:00Z">
        <w:r>
          <w:delText>68</w:delText>
        </w:r>
      </w:del>
      <w:ins w:id="11" w:author="Master Repository Process" w:date="2022-09-08T15:53:00Z">
        <w:r>
          <w:t>506</w:t>
        </w:r>
      </w:ins>
      <w:r>
        <w:t xml:space="preserve"> on Deposited Plan</w:t>
      </w:r>
      <w:del w:id="12" w:author="Master Repository Process" w:date="2022-09-08T15:53:00Z">
        <w:r>
          <w:delText xml:space="preserve"> 187445 being the whole of the land in the Record of Qualified Certificate of</w:delText>
        </w:r>
      </w:del>
      <w:ins w:id="13" w:author="Master Repository Process" w:date="2022-09-08T15:53:00Z">
        <w:r>
          <w:t> 400197 on</w:t>
        </w:r>
      </w:ins>
      <w:r>
        <w:t xml:space="preserve"> Crown Land </w:t>
      </w:r>
      <w:del w:id="14" w:author="Master Repository Process" w:date="2022-09-08T15:53:00Z">
        <w:r>
          <w:delText>Title Volume LR3055 Folio 207</w:delText>
        </w:r>
      </w:del>
      <w:ins w:id="15" w:author="Master Repository Process" w:date="2022-09-08T15:53:00Z">
        <w:r>
          <w:t>Record 3166/750</w:t>
        </w:r>
      </w:ins>
      <w:r>
        <w:t>.</w:t>
      </w:r>
    </w:p>
    <w:p>
      <w:pPr>
        <w:pStyle w:val="Heading5"/>
        <w:rPr>
          <w:del w:id="16" w:author="Master Repository Process" w:date="2022-09-08T15:53:00Z"/>
          <w:rStyle w:val="CharSectno"/>
        </w:rPr>
      </w:pPr>
      <w:bookmarkStart w:id="17" w:name="_Toc18681872"/>
      <w:del w:id="18" w:author="Master Repository Process" w:date="2022-09-08T15:53:00Z">
        <w:r>
          <w:rPr>
            <w:rStyle w:val="CharSectno"/>
          </w:rPr>
          <w:delText>4</w:delText>
        </w:r>
        <w:r>
          <w:delText>.</w:delText>
        </w:r>
        <w:r>
          <w:rPr>
            <w:rStyle w:val="CharSectno"/>
          </w:rPr>
          <w:tab/>
          <w:delText>Note is not part of regulations</w:delText>
        </w:r>
        <w:bookmarkEnd w:id="17"/>
      </w:del>
    </w:p>
    <w:p>
      <w:pPr>
        <w:pStyle w:val="Subsection"/>
        <w:rPr>
          <w:del w:id="19" w:author="Master Repository Process" w:date="2022-09-08T15:53:00Z"/>
        </w:rPr>
      </w:pPr>
      <w:del w:id="20" w:author="Master Repository Process" w:date="2022-09-08T15:53:00Z">
        <w:r>
          <w:tab/>
        </w:r>
        <w:r>
          <w:tab/>
          <w:delText>The note after regulation 9 does not form part of these regulations.</w:delText>
        </w:r>
      </w:del>
    </w:p>
    <w:p>
      <w:pPr>
        <w:pStyle w:val="Footnotesection"/>
        <w:rPr>
          <w:ins w:id="21" w:author="Master Repository Process" w:date="2022-09-08T15:53:00Z"/>
        </w:rPr>
      </w:pPr>
      <w:ins w:id="22" w:author="Master Repository Process" w:date="2022-09-08T15:53:00Z">
        <w:r>
          <w:tab/>
          <w:t>[Regulation 3 amended: SL 2022/158 r. 7.]</w:t>
        </w:r>
      </w:ins>
    </w:p>
    <w:p>
      <w:pPr>
        <w:pStyle w:val="Ednotesection"/>
        <w:rPr>
          <w:ins w:id="23" w:author="Master Repository Process" w:date="2022-09-08T15:53:00Z"/>
        </w:rPr>
      </w:pPr>
      <w:ins w:id="24" w:author="Master Repository Process" w:date="2022-09-08T15:53:00Z">
        <w:r>
          <w:t>[</w:t>
        </w:r>
        <w:r>
          <w:rPr>
            <w:b/>
          </w:rPr>
          <w:t>4.</w:t>
        </w:r>
        <w:r>
          <w:tab/>
          <w:t>Deleted: SL 2022/158 r. 8.]</w:t>
        </w:r>
      </w:ins>
    </w:p>
    <w:p>
      <w:pPr>
        <w:pStyle w:val="Heading5"/>
      </w:pPr>
      <w:bookmarkStart w:id="25" w:name="_Toc113372045"/>
      <w:bookmarkStart w:id="26" w:name="_Toc18681873"/>
      <w:r>
        <w:rPr>
          <w:rStyle w:val="CharSectno"/>
        </w:rPr>
        <w:t>5</w:t>
      </w:r>
      <w:r>
        <w:t>.</w:t>
      </w:r>
      <w:r>
        <w:tab/>
        <w:t>Declaration of restricted area</w:t>
      </w:r>
      <w:bookmarkEnd w:id="25"/>
      <w:bookmarkEnd w:id="26"/>
    </w:p>
    <w:p>
      <w:pPr>
        <w:pStyle w:val="Subsection"/>
      </w:pPr>
      <w:r>
        <w:tab/>
      </w:r>
      <w:r>
        <w:tab/>
        <w:t>The Nicholson Block Aboriginal Community is declared to be a restricted area for the purposes of section 175(1a) of the Act.</w:t>
      </w:r>
    </w:p>
    <w:p>
      <w:pPr>
        <w:pStyle w:val="Heading5"/>
      </w:pPr>
      <w:bookmarkStart w:id="27" w:name="_Toc113372046"/>
      <w:bookmarkStart w:id="28" w:name="_Toc18681874"/>
      <w:r>
        <w:rPr>
          <w:rStyle w:val="CharSectno"/>
        </w:rPr>
        <w:t>6</w:t>
      </w:r>
      <w:r>
        <w:t>.</w:t>
      </w:r>
      <w:r>
        <w:tab/>
        <w:t>Notice of restricted area</w:t>
      </w:r>
      <w:bookmarkEnd w:id="27"/>
      <w:bookmarkEnd w:id="28"/>
    </w:p>
    <w:p>
      <w:pPr>
        <w:pStyle w:val="Subsection"/>
        <w:keepNext/>
      </w:pPr>
      <w:r>
        <w:tab/>
        <w:t>(1)</w:t>
      </w:r>
      <w:r>
        <w:tab/>
        <w:t xml:space="preserve">The Director of Liquor Licensing must take all reasonable steps to cause to be posted, and while the Nicholson Block Aboriginal Community continues to be a restricted area by operation of regulation 5 to be kept posted, at each place where a customary access route enters the Nicholson Block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9" w:name="_Toc113372047"/>
      <w:bookmarkStart w:id="30" w:name="_Toc18681875"/>
      <w:r>
        <w:rPr>
          <w:rStyle w:val="CharSectno"/>
        </w:rPr>
        <w:t>7</w:t>
      </w:r>
      <w:r>
        <w:t>.</w:t>
      </w:r>
      <w:r>
        <w:tab/>
        <w:t>Prohibitions as to liquor in the Nicholson Block Aboriginal Community</w:t>
      </w:r>
      <w:bookmarkEnd w:id="29"/>
      <w:bookmarkEnd w:id="30"/>
    </w:p>
    <w:p>
      <w:pPr>
        <w:pStyle w:val="Subsection"/>
        <w:keepNext/>
      </w:pPr>
      <w:r>
        <w:tab/>
        <w:t>(1)</w:t>
      </w:r>
      <w:r>
        <w:tab/>
        <w:t xml:space="preserve">A person who — </w:t>
      </w:r>
    </w:p>
    <w:p>
      <w:pPr>
        <w:pStyle w:val="Indenta"/>
      </w:pPr>
      <w:r>
        <w:tab/>
        <w:t>(a)</w:t>
      </w:r>
      <w:r>
        <w:tab/>
        <w:t>brings liquor into, or causes liquor to be brought into, the Nicholson Block Aboriginal Community; or</w:t>
      </w:r>
    </w:p>
    <w:p>
      <w:pPr>
        <w:pStyle w:val="Indenta"/>
        <w:keepNext/>
      </w:pPr>
      <w:r>
        <w:tab/>
        <w:t>(b)</w:t>
      </w:r>
      <w:r>
        <w:tab/>
        <w:t>has liquor in his or her possession in the Nicholson Block Aboriginal Community,</w:t>
      </w:r>
    </w:p>
    <w:p>
      <w:pPr>
        <w:pStyle w:val="Subsection"/>
        <w:keepNext/>
      </w:pPr>
      <w:r>
        <w:tab/>
      </w:r>
      <w:r>
        <w:tab/>
        <w:t>commits an offence.</w:t>
      </w:r>
    </w:p>
    <w:p>
      <w:pPr>
        <w:pStyle w:val="Penstart"/>
        <w:keepNex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1" w:name="_Toc113372048"/>
      <w:bookmarkStart w:id="32" w:name="_Toc18681876"/>
      <w:r>
        <w:rPr>
          <w:rStyle w:val="CharSectno"/>
        </w:rPr>
        <w:t>8</w:t>
      </w:r>
      <w:r>
        <w:t>.</w:t>
      </w:r>
      <w:r>
        <w:tab/>
        <w:t>Seizure and disposal of containers of liquor</w:t>
      </w:r>
      <w:bookmarkEnd w:id="31"/>
      <w:bookmarkEnd w:id="32"/>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3" w:name="_Toc113372049"/>
      <w:bookmarkStart w:id="34" w:name="_Toc18681877"/>
      <w:r>
        <w:rPr>
          <w:rStyle w:val="CharSectno"/>
        </w:rPr>
        <w:t>9</w:t>
      </w:r>
      <w:r>
        <w:t>.</w:t>
      </w:r>
      <w:r>
        <w:tab/>
        <w:t>Period during which these regulation have effect</w:t>
      </w:r>
      <w:bookmarkEnd w:id="33"/>
      <w:bookmarkEnd w:id="34"/>
    </w:p>
    <w:p>
      <w:pPr>
        <w:pStyle w:val="Subsection"/>
        <w:keepNext/>
      </w:pPr>
      <w:r>
        <w:tab/>
      </w:r>
      <w:r>
        <w:tab/>
        <w:t>Unless sooner repealed, these regulations have effect for the period that ends at the close of 18 September </w:t>
      </w:r>
      <w:del w:id="35" w:author="Master Repository Process" w:date="2022-09-08T15:53:00Z">
        <w:r>
          <w:delText>2022</w:delText>
        </w:r>
      </w:del>
      <w:ins w:id="36" w:author="Master Repository Process" w:date="2022-09-08T15:53:00Z">
        <w:r>
          <w:t>2023</w:t>
        </w:r>
      </w:ins>
      <w:r>
        <w:t>.</w:t>
      </w:r>
    </w:p>
    <w:p>
      <w:pPr>
        <w:pStyle w:val="PermNoteHeading"/>
        <w:rPr>
          <w:del w:id="37" w:author="Master Repository Process" w:date="2022-09-08T15:53:00Z"/>
        </w:rPr>
      </w:pPr>
      <w:del w:id="38" w:author="Master Repository Process" w:date="2022-09-08T15:53:00Z">
        <w:r>
          <w:tab/>
          <w:delText>Note:</w:delText>
        </w:r>
      </w:del>
    </w:p>
    <w:p>
      <w:pPr>
        <w:pStyle w:val="PermNoteText"/>
        <w:rPr>
          <w:del w:id="39" w:author="Master Repository Process" w:date="2022-09-08T15:53:00Z"/>
        </w:rPr>
      </w:pPr>
      <w:del w:id="40" w:author="Master Repository Process" w:date="2022-09-08T15:53:00Z">
        <w:r>
          <w:tab/>
        </w:r>
        <w:r>
          <w:tab/>
          <w:delText xml:space="preserve">Under the </w:delText>
        </w:r>
        <w:r>
          <w:rPr>
            <w:i/>
          </w:rPr>
          <w:delText>Liquor Control Act 1988</w:delText>
        </w:r>
        <w:r>
          <w:delText xml:space="preserve"> section 175(1d), these regulations expire at the end of the period referred to in regulation 9.</w:delText>
        </w:r>
      </w:del>
    </w:p>
    <w:p>
      <w:pPr>
        <w:pStyle w:val="Footnotesection"/>
        <w:keepNext/>
      </w:pPr>
      <w:r>
        <w:tab/>
        <w:t>[Regulation 9 amended: Gazette 13 Sep 2013 p. 4290; 9 Sep</w:t>
      </w:r>
      <w:del w:id="41" w:author="Master Repository Process" w:date="2022-09-08T15:53:00Z">
        <w:r>
          <w:delText xml:space="preserve"> </w:delText>
        </w:r>
      </w:del>
      <w:ins w:id="42" w:author="Master Repository Process" w:date="2022-09-08T15:53:00Z">
        <w:r>
          <w:t> </w:t>
        </w:r>
      </w:ins>
      <w:r>
        <w:t>2016 p. 3888; 6 Sep 2019 p. 3203</w:t>
      </w:r>
      <w:ins w:id="43" w:author="Master Repository Process" w:date="2022-09-08T15:53:00Z">
        <w:r>
          <w:t>; SL 2022/158 r. 9</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4" w:name="_Toc113370373"/>
      <w:bookmarkStart w:id="45" w:name="_Toc113371944"/>
      <w:bookmarkStart w:id="46" w:name="_Toc113372050"/>
      <w:bookmarkStart w:id="47" w:name="_Toc18592902"/>
      <w:bookmarkStart w:id="48" w:name="_Toc18595997"/>
      <w:bookmarkStart w:id="49" w:name="_Toc18681878"/>
      <w:bookmarkStart w:id="50" w:name="_Toc113369887"/>
      <w:r>
        <w:t>Notes</w:t>
      </w:r>
      <w:bookmarkEnd w:id="44"/>
      <w:bookmarkEnd w:id="45"/>
      <w:bookmarkEnd w:id="46"/>
      <w:bookmarkEnd w:id="47"/>
      <w:bookmarkEnd w:id="48"/>
      <w:bookmarkEnd w:id="49"/>
    </w:p>
    <w:p>
      <w:pPr>
        <w:pStyle w:val="nStatement"/>
      </w:pPr>
      <w:del w:id="51" w:author="Master Repository Process" w:date="2022-09-08T15:53:00Z">
        <w:r>
          <w:rPr>
            <w:snapToGrid w:val="0"/>
            <w:vertAlign w:val="superscript"/>
          </w:rPr>
          <w:delText>1</w:delText>
        </w:r>
        <w:r>
          <w:rPr>
            <w:snapToGrid w:val="0"/>
          </w:rPr>
          <w:tab/>
        </w:r>
      </w:del>
      <w:r>
        <w:t xml:space="preserve">This is a compilation of the </w:t>
      </w:r>
      <w:r>
        <w:rPr>
          <w:i/>
          <w:noProof/>
        </w:rPr>
        <w:t>Liquor Control (Nicholson Block Restricted Area) Regulations</w:t>
      </w:r>
      <w:del w:id="52" w:author="Master Repository Process" w:date="2022-09-08T15:53:00Z">
        <w:r>
          <w:rPr>
            <w:i/>
            <w:noProof/>
            <w:snapToGrid w:val="0"/>
          </w:rPr>
          <w:delText xml:space="preserve"> </w:delText>
        </w:r>
      </w:del>
      <w:ins w:id="53" w:author="Master Repository Process" w:date="2022-09-08T15:53:00Z">
        <w:r>
          <w:rPr>
            <w:i/>
            <w:noProof/>
          </w:rPr>
          <w:t> </w:t>
        </w:r>
      </w:ins>
      <w:r>
        <w:rPr>
          <w:i/>
          <w:noProof/>
        </w:rPr>
        <w:t>2010</w:t>
      </w:r>
      <w:r>
        <w:t xml:space="preserve"> and includes </w:t>
      </w:r>
      <w:del w:id="54" w:author="Master Repository Process" w:date="2022-09-08T15:53:00Z">
        <w:r>
          <w:rPr>
            <w:snapToGrid w:val="0"/>
          </w:rPr>
          <w:delText xml:space="preserve">the </w:delText>
        </w:r>
      </w:del>
      <w:r>
        <w:t xml:space="preserve">amendments made by </w:t>
      </w:r>
      <w:del w:id="55" w:author="Master Repository Process" w:date="2022-09-08T15:53:00Z">
        <w:r>
          <w:rPr>
            <w:snapToGrid w:val="0"/>
          </w:rPr>
          <w:delText xml:space="preserve">the </w:delText>
        </w:r>
      </w:del>
      <w:r>
        <w:t>other written laws</w:t>
      </w:r>
      <w:del w:id="56" w:author="Master Repository Process" w:date="2022-09-08T15:53:00Z">
        <w:r>
          <w:rPr>
            <w:snapToGrid w:val="0"/>
          </w:rPr>
          <w:delText xml:space="preserve"> referred to in the following</w:delText>
        </w:r>
      </w:del>
      <w:ins w:id="57" w:author="Master Repository Process" w:date="2022-09-08T15:53:00Z">
        <w:r>
          <w:t>. For provisions that have come into operation see the compilation</w:t>
        </w:r>
      </w:ins>
      <w:r>
        <w:t xml:space="preserve"> table</w:t>
      </w:r>
      <w:del w:id="58" w:author="Master Repository Process" w:date="2022-09-08T15:53:00Z">
        <w:r>
          <w:rPr>
            <w:noProof/>
            <w:snapToGrid w:val="0"/>
            <w:vertAlign w:val="superscript"/>
          </w:rPr>
          <w:delText> 2</w:delText>
        </w:r>
      </w:del>
      <w:r>
        <w:t>.</w:t>
      </w:r>
    </w:p>
    <w:p>
      <w:pPr>
        <w:pStyle w:val="nHeading3"/>
      </w:pPr>
      <w:bookmarkStart w:id="59" w:name="_Toc113372051"/>
      <w:bookmarkStart w:id="60" w:name="_Toc18681879"/>
      <w:r>
        <w:t>Compilation table</w:t>
      </w:r>
      <w:bookmarkEnd w:id="59"/>
      <w:bookmarkEnd w:id="6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61" w:author="Master Repository Process" w:date="2022-09-08T15:53:00Z">
              <w:r>
                <w:rPr>
                  <w:b/>
                </w:rPr>
                <w:delText>Gazettal</w:delText>
              </w:r>
            </w:del>
            <w:ins w:id="62" w:author="Master Repository Process" w:date="2022-09-08T15:5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Liquor Control (Nicholson Block Restricted Area) Regulations 2010</w:t>
            </w:r>
            <w:ins w:id="63" w:author="Master Repository Process" w:date="2022-09-08T15:53:00Z">
              <w:r>
                <w:rPr>
                  <w:vertAlign w:val="superscript"/>
                </w:rPr>
                <w:t> 1</w:t>
              </w:r>
            </w:ins>
          </w:p>
        </w:tc>
        <w:tc>
          <w:tcPr>
            <w:tcW w:w="1276" w:type="dxa"/>
            <w:tcBorders>
              <w:top w:val="single" w:sz="8" w:space="0" w:color="auto"/>
            </w:tcBorders>
          </w:tcPr>
          <w:p>
            <w:pPr>
              <w:pStyle w:val="nTable"/>
              <w:spacing w:after="40"/>
            </w:pPr>
            <w:r>
              <w:t>17 Sep 2010 p. 4760-1</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Liquor Control (Nicholson Block Restricted Area) Amendment Regulations 2013</w:t>
            </w:r>
          </w:p>
        </w:tc>
        <w:tc>
          <w:tcPr>
            <w:tcW w:w="1276" w:type="dxa"/>
          </w:tcPr>
          <w:p>
            <w:pPr>
              <w:pStyle w:val="nTable"/>
              <w:spacing w:after="40"/>
            </w:pPr>
            <w:r>
              <w:t>13 Sep 2013 p. 4290</w:t>
            </w:r>
          </w:p>
        </w:tc>
        <w:tc>
          <w:tcPr>
            <w:tcW w:w="2693" w:type="dxa"/>
          </w:tcPr>
          <w:p>
            <w:pPr>
              <w:pStyle w:val="nTable"/>
              <w:spacing w:after="40"/>
            </w:pPr>
            <w:r>
              <w:t>r. 1 and 2: 13 Sep 2013 (see r. 2(a));</w:t>
            </w:r>
            <w:r>
              <w:br/>
              <w:t>Regulations other than r. 1 and 2: 14 Sep 2013 (see r. 2 (b))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Liquor Control Regulations Amendment (Restricted Area) Regulations 2016</w:t>
            </w:r>
            <w:r>
              <w:t xml:space="preserve"> Pt. 4</w:t>
            </w:r>
          </w:p>
        </w:tc>
        <w:tc>
          <w:tcPr>
            <w:tcW w:w="1276" w:type="dxa"/>
          </w:tcPr>
          <w:p>
            <w:pPr>
              <w:pStyle w:val="nTable"/>
              <w:spacing w:after="40"/>
            </w:pPr>
            <w:r>
              <w:t>9 Sep 2016 p. 3887-8</w:t>
            </w:r>
          </w:p>
        </w:tc>
        <w:tc>
          <w:tcPr>
            <w:tcW w:w="2693" w:type="dxa"/>
          </w:tcPr>
          <w:p>
            <w:pPr>
              <w:pStyle w:val="nTable"/>
              <w:spacing w:after="40"/>
            </w:pPr>
            <w:r>
              <w:t>10 Sep 2016 (see r. 2(b))</w:t>
            </w:r>
          </w:p>
        </w:tc>
      </w:tr>
      <w:tr>
        <w:tc>
          <w:tcPr>
            <w:tcW w:w="3119" w:type="dxa"/>
            <w:tcBorders>
              <w:top w:val="nil"/>
              <w:bottom w:val="nil"/>
            </w:tcBorders>
          </w:tcPr>
          <w:p>
            <w:pPr>
              <w:pStyle w:val="nTable"/>
              <w:spacing w:after="40"/>
              <w:rPr>
                <w:i/>
              </w:rPr>
            </w:pPr>
            <w:r>
              <w:rPr>
                <w:i/>
              </w:rPr>
              <w:t>Liquor Control (Nicholson Block Restricted Area) Amendment Regulations 2019</w:t>
            </w:r>
          </w:p>
        </w:tc>
        <w:tc>
          <w:tcPr>
            <w:tcW w:w="1276" w:type="dxa"/>
            <w:tcBorders>
              <w:top w:val="nil"/>
              <w:bottom w:val="nil"/>
            </w:tcBorders>
          </w:tcPr>
          <w:p>
            <w:pPr>
              <w:pStyle w:val="nTable"/>
              <w:spacing w:after="40"/>
            </w:pPr>
            <w:r>
              <w:t>6 Sep 2019 p. 3202</w:t>
            </w:r>
            <w:r>
              <w:noBreakHyphen/>
              <w:t>3</w:t>
            </w:r>
          </w:p>
        </w:tc>
        <w:tc>
          <w:tcPr>
            <w:tcW w:w="2693" w:type="dxa"/>
            <w:tcBorders>
              <w:top w:val="nil"/>
              <w:bottom w:val="nil"/>
            </w:tcBorders>
          </w:tcPr>
          <w:p>
            <w:pPr>
              <w:pStyle w:val="nTable"/>
              <w:spacing w:after="40"/>
            </w:pPr>
            <w:r>
              <w:t>r. 1 and 2: 6 Sep 2019 (see r. 2(a));</w:t>
            </w:r>
            <w:r>
              <w:br/>
              <w:t>Regulations other than r. 1 and 2: 7 Sep 2019 (see r. 2(b))</w:t>
            </w:r>
          </w:p>
        </w:tc>
      </w:tr>
    </w:tbl>
    <w:p>
      <w:pPr>
        <w:pStyle w:val="nTable"/>
        <w:spacing w:after="40"/>
        <w:rPr>
          <w:del w:id="64" w:author="Master Repository Process" w:date="2022-09-08T15:53:00Z"/>
          <w:i/>
        </w:rPr>
      </w:pPr>
      <w:del w:id="65" w:author="Master Repository Process" w:date="2022-09-08T15:53: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ins w:id="66" w:author="Master Repository Process" w:date="2022-09-08T15:53:00Z"/>
        </w:trPr>
        <w:tc>
          <w:tcPr>
            <w:tcW w:w="3119" w:type="dxa"/>
            <w:tcBorders>
              <w:bottom w:val="single" w:sz="4" w:space="0" w:color="auto"/>
            </w:tcBorders>
          </w:tcPr>
          <w:p>
            <w:pPr>
              <w:pStyle w:val="nTable"/>
              <w:spacing w:after="40"/>
              <w:rPr>
                <w:ins w:id="67" w:author="Master Repository Process" w:date="2022-09-08T15:53:00Z"/>
                <w:i/>
              </w:rPr>
            </w:pPr>
            <w:ins w:id="68" w:author="Master Repository Process" w:date="2022-09-08T15:53:00Z">
              <w:r>
                <w:rPr>
                  <w:i/>
                </w:rPr>
                <w:t>Racing and Gaming Regulations Amendment (Liquor Control) Regulations (No. 3) 2022</w:t>
              </w:r>
              <w:r>
                <w:t xml:space="preserve"> Pt. 3</w:t>
              </w:r>
            </w:ins>
          </w:p>
        </w:tc>
        <w:tc>
          <w:tcPr>
            <w:tcW w:w="1276" w:type="dxa"/>
            <w:tcBorders>
              <w:bottom w:val="single" w:sz="4" w:space="0" w:color="auto"/>
            </w:tcBorders>
          </w:tcPr>
          <w:p>
            <w:pPr>
              <w:pStyle w:val="nTable"/>
              <w:spacing w:after="40"/>
              <w:rPr>
                <w:ins w:id="69" w:author="Master Repository Process" w:date="2022-09-08T15:53:00Z"/>
              </w:rPr>
            </w:pPr>
            <w:ins w:id="70" w:author="Master Repository Process" w:date="2022-09-08T15:53:00Z">
              <w:r>
                <w:t>SL 2022/158 9 Sep 2022</w:t>
              </w:r>
            </w:ins>
          </w:p>
        </w:tc>
        <w:tc>
          <w:tcPr>
            <w:tcW w:w="2693" w:type="dxa"/>
            <w:tcBorders>
              <w:bottom w:val="single" w:sz="4" w:space="0" w:color="auto"/>
            </w:tcBorders>
          </w:tcPr>
          <w:p>
            <w:pPr>
              <w:pStyle w:val="nTable"/>
              <w:spacing w:after="40"/>
              <w:rPr>
                <w:ins w:id="71" w:author="Master Repository Process" w:date="2022-09-08T15:53:00Z"/>
              </w:rPr>
            </w:pPr>
            <w:ins w:id="72" w:author="Master Repository Process" w:date="2022-09-08T15:53:00Z">
              <w:r>
                <w:t>10 Sep 2022 (see r. 2(b))</w:t>
              </w:r>
            </w:ins>
          </w:p>
        </w:tc>
      </w:tr>
    </w:tbl>
    <w:p>
      <w:pPr>
        <w:pStyle w:val="nHeading3"/>
        <w:rPr>
          <w:ins w:id="73" w:author="Master Repository Process" w:date="2022-09-08T15:53:00Z"/>
        </w:rPr>
      </w:pPr>
      <w:bookmarkStart w:id="74" w:name="_Toc113372052"/>
      <w:ins w:id="75" w:author="Master Repository Process" w:date="2022-09-08T15:53:00Z">
        <w:r>
          <w:t>Other notes</w:t>
        </w:r>
        <w:bookmarkEnd w:id="74"/>
      </w:ins>
    </w:p>
    <w:p>
      <w:pPr>
        <w:pStyle w:val="nNote"/>
      </w:pPr>
      <w:ins w:id="76" w:author="Master Repository Process" w:date="2022-09-08T15:53:00Z">
        <w:r>
          <w:rPr>
            <w:vertAlign w:val="superscript"/>
          </w:rPr>
          <w:t>1</w:t>
        </w:r>
      </w:ins>
      <w:r>
        <w:tab/>
        <w:t xml:space="preserve">These regulations expire </w:t>
      </w:r>
      <w:del w:id="77" w:author="Master Repository Process" w:date="2022-09-08T15:53:00Z">
        <w:r>
          <w:delText>on</w:delText>
        </w:r>
      </w:del>
      <w:ins w:id="78" w:author="Master Repository Process" w:date="2022-09-08T15:53:00Z">
        <w:r>
          <w:t>at the close of</w:t>
        </w:r>
      </w:ins>
      <w:r>
        <w:t xml:space="preserve"> 18 </w:t>
      </w:r>
      <w:del w:id="79" w:author="Master Repository Process" w:date="2022-09-08T15:53:00Z">
        <w:r>
          <w:delText>Sep 2022</w:delText>
        </w:r>
      </w:del>
      <w:ins w:id="80" w:author="Master Repository Process" w:date="2022-09-08T15:53:00Z">
        <w:r>
          <w:t>September 2023</w:t>
        </w:r>
      </w:ins>
      <w:r>
        <w:t xml:space="preserve"> (see r. 9).</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50"/>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(Nicholson Block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(Nicholson Block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5619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6E4B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A421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C466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B0A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C2C1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E2E4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14F1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E6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A850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44CEF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6150508"/>
    <w:docVar w:name="WAFER_20150602105852" w:val="ResetPageSize,UpdateArrangement,UpdateNTable"/>
    <w:docVar w:name="WAFER_20150602105852_GUID" w:val="67ea23fd-f789-46d4-97cb-c88db5d53994"/>
    <w:docVar w:name="WAFER_20151126102837" w:val="UpdateStyles"/>
    <w:docVar w:name="WAFER_20151126102837_GUID" w:val="dc729198-168a-46e0-a74d-cd88a7c78e8a"/>
    <w:docVar w:name="WAFER_20151126103654" w:val="UsedStyles"/>
    <w:docVar w:name="WAFER_20151126103654_GUID" w:val="28f5e977-947b-4d68-8bc0-530eada4df24"/>
    <w:docVar w:name="WAFER_20190905161959" w:val="RemoveTocBookmarks,RemoveUnusedBookmarks,RemoveLanguageTags,ResetPageSize,RunningHeaders,UpdateStyles,UsedStyles"/>
    <w:docVar w:name="WAFER_20190905161959_GUID" w:val="a2072084-b112-4a2d-9ed7-9143ee056999"/>
    <w:docVar w:name="WAFER_2022090615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06150508_GUID" w:val="caeb2ab7-5874-4d70-b85b-4d21b97ef7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3C4D83-1892-4BAB-B0C3-A0892D3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AEC4-7305-459D-A80A-6BEF1C8B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3837</Characters>
  <Application>Microsoft Office Word</Application>
  <DocSecurity>0</DocSecurity>
  <Lines>137</Lines>
  <Paragraphs>84</Paragraphs>
  <ScaleCrop>false</ScaleCrop>
  <HeadingPairs>
    <vt:vector size="2" baseType="variant">
      <vt:variant>
        <vt:lpstr>Title</vt:lpstr>
      </vt:variant>
      <vt:variant>
        <vt:i4>1</vt:i4>
      </vt:variant>
    </vt:vector>
  </HeadingPairs>
  <TitlesOfParts>
    <vt:vector size="1" baseType="lpstr">
      <vt:lpstr>Liquor Control (Nicholson Block Restricted Area) Regulations 2010 - 00-d0-00</vt:lpstr>
    </vt:vector>
  </TitlesOfParts>
  <Manager/>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(Nicholson Block Restricted Area) Regulations 2010 00-d0-01 - 00-e0-00</dc:title>
  <dc:subject/>
  <dc:creator/>
  <cp:keywords/>
  <dc:description/>
  <cp:lastModifiedBy>Master Repository Process</cp:lastModifiedBy>
  <cp:revision>2</cp:revision>
  <cp:lastPrinted>2010-05-25T09:02:00Z</cp:lastPrinted>
  <dcterms:created xsi:type="dcterms:W3CDTF">2022-09-08T07:53:00Z</dcterms:created>
  <dcterms:modified xsi:type="dcterms:W3CDTF">2022-09-08T07:53:00Z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4760-1</vt:lpwstr>
  </property>
  <property fmtid="{D5CDD505-2E9C-101B-9397-08002B2CF9AE}" pid="3" name="OwlsUID">
    <vt:i4>42687</vt:i4>
  </property>
  <property fmtid="{D5CDD505-2E9C-101B-9397-08002B2CF9AE}" pid="4" name="DocumentType">
    <vt:lpwstr>Reg</vt:lpwstr>
  </property>
  <property fmtid="{D5CDD505-2E9C-101B-9397-08002B2CF9AE}" pid="5" name="CommencementDate">
    <vt:lpwstr>20220910</vt:lpwstr>
  </property>
  <property fmtid="{D5CDD505-2E9C-101B-9397-08002B2CF9AE}" pid="6" name="FromSuffix">
    <vt:lpwstr>00-d0-01</vt:lpwstr>
  </property>
  <property fmtid="{D5CDD505-2E9C-101B-9397-08002B2CF9AE}" pid="7" name="FromAsAtDate">
    <vt:lpwstr>07 Sep 2019</vt:lpwstr>
  </property>
  <property fmtid="{D5CDD505-2E9C-101B-9397-08002B2CF9AE}" pid="8" name="ToSuffix">
    <vt:lpwstr>00-e0-00</vt:lpwstr>
  </property>
  <property fmtid="{D5CDD505-2E9C-101B-9397-08002B2CF9AE}" pid="9" name="ToAsAtDate">
    <vt:lpwstr>10 Sep 2022</vt:lpwstr>
  </property>
</Properties>
</file>