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05-k0-02</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NameofActReg"/>
        <w:spacing w:before="1400" w:after="880"/>
      </w:pPr>
      <w:r>
        <w:lastRenderedPageBreak/>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2" w:name="_Toc119413856"/>
      <w:bookmarkStart w:id="3" w:name="_Toc119415512"/>
      <w:bookmarkStart w:id="4" w:name="_Toc119492612"/>
      <w:bookmarkStart w:id="5" w:name="_Toc103862986"/>
      <w:bookmarkStart w:id="6" w:name="_Toc103863197"/>
      <w:bookmarkStart w:id="7" w:name="_Toc103865133"/>
      <w:bookmarkStart w:id="8" w:name="_Toc107325630"/>
      <w:bookmarkStart w:id="9" w:name="_Toc10749403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19492613"/>
      <w:bookmarkStart w:id="11" w:name="_Toc107494040"/>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12" w:name="_Toc119492614"/>
      <w:bookmarkStart w:id="13" w:name="_Toc107494041"/>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4" w:name="_Toc119492615"/>
      <w:bookmarkStart w:id="15" w:name="_Toc107494042"/>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tab/>
      </w:r>
      <w:r>
        <w:rPr>
          <w:rStyle w:val="CharDefText"/>
        </w:rPr>
        <w:t xml:space="preserve">firearm </w:t>
      </w:r>
      <w:del w:id="16" w:author="Master Repository Process" w:date="2022-11-17T15:14:00Z">
        <w:r>
          <w:delText>has</w:delText>
        </w:r>
      </w:del>
      <w:ins w:id="17" w:author="Master Repository Process" w:date="2022-11-17T15:14:00Z">
        <w:r>
          <w:rPr>
            <w:rStyle w:val="CharDefText"/>
          </w:rPr>
          <w:t>item</w:t>
        </w:r>
        <w:r>
          <w:t xml:space="preserve"> means any of</w:t>
        </w:r>
      </w:ins>
      <w:r>
        <w:t xml:space="preserve"> the </w:t>
      </w:r>
      <w:del w:id="18" w:author="Master Repository Process" w:date="2022-11-17T15:14:00Z">
        <w:r>
          <w:delText>same meaning</w:delText>
        </w:r>
      </w:del>
      <w:ins w:id="19" w:author="Master Repository Process" w:date="2022-11-17T15:14:00Z">
        <w:r>
          <w:t>following</w:t>
        </w:r>
      </w:ins>
      <w:r>
        <w:t xml:space="preserve"> as </w:t>
      </w:r>
      <w:del w:id="20" w:author="Master Repository Process" w:date="2022-11-17T15:14:00Z">
        <w:r>
          <w:delText>it has</w:delText>
        </w:r>
      </w:del>
      <w:ins w:id="21" w:author="Master Repository Process" w:date="2022-11-17T15:14:00Z">
        <w:r>
          <w:t>defined</w:t>
        </w:r>
      </w:ins>
      <w:r>
        <w:t xml:space="preserve"> in the </w:t>
      </w:r>
      <w:r>
        <w:rPr>
          <w:i/>
        </w:rPr>
        <w:t>Firearms Act 1973</w:t>
      </w:r>
      <w:del w:id="22" w:author="Master Repository Process" w:date="2022-11-17T15:14:00Z">
        <w:r>
          <w:delText xml:space="preserve">; </w:delText>
        </w:r>
      </w:del>
      <w:ins w:id="23" w:author="Master Repository Process" w:date="2022-11-17T15:14:00Z">
        <w:r>
          <w:t xml:space="preserve"> section 4 —</w:t>
        </w:r>
      </w:ins>
    </w:p>
    <w:p>
      <w:pPr>
        <w:pStyle w:val="Defpara"/>
        <w:rPr>
          <w:ins w:id="24" w:author="Master Repository Process" w:date="2022-11-17T15:14:00Z"/>
        </w:rPr>
      </w:pPr>
      <w:ins w:id="25" w:author="Master Repository Process" w:date="2022-11-17T15:14:00Z">
        <w:r>
          <w:tab/>
          <w:t>(a)</w:t>
        </w:r>
        <w:r>
          <w:tab/>
          <w:t>a firearm;</w:t>
        </w:r>
      </w:ins>
    </w:p>
    <w:p>
      <w:pPr>
        <w:pStyle w:val="Defpara"/>
        <w:rPr>
          <w:ins w:id="26" w:author="Master Repository Process" w:date="2022-11-17T15:14:00Z"/>
        </w:rPr>
      </w:pPr>
      <w:ins w:id="27" w:author="Master Repository Process" w:date="2022-11-17T15:14:00Z">
        <w:r>
          <w:tab/>
          <w:t>(b)</w:t>
        </w:r>
        <w:r>
          <w:tab/>
          <w:t>a major firearm part;</w:t>
        </w:r>
      </w:ins>
    </w:p>
    <w:p>
      <w:pPr>
        <w:pStyle w:val="Defpara"/>
        <w:rPr>
          <w:ins w:id="28" w:author="Master Repository Process" w:date="2022-11-17T15:14:00Z"/>
        </w:rPr>
      </w:pPr>
      <w:ins w:id="29" w:author="Master Repository Process" w:date="2022-11-17T15:14:00Z">
        <w:r>
          <w:tab/>
          <w:t>(c)</w:t>
        </w:r>
        <w:r>
          <w:tab/>
          <w:t>a prohibited firearm accessory;</w:t>
        </w:r>
      </w:ins>
    </w:p>
    <w:p>
      <w:pPr>
        <w:pStyle w:val="Defpara"/>
        <w:rPr>
          <w:ins w:id="30" w:author="Master Repository Process" w:date="2022-11-17T15:14:00Z"/>
        </w:rPr>
      </w:pPr>
      <w:ins w:id="31" w:author="Master Repository Process" w:date="2022-11-17T15:14:00Z">
        <w:r>
          <w:tab/>
          <w:t>(d)</w:t>
        </w:r>
        <w:r>
          <w:tab/>
          <w:t>ammunition;</w:t>
        </w:r>
      </w:ins>
    </w:p>
    <w:p>
      <w:pPr>
        <w:pStyle w:val="Defstart"/>
      </w:pPr>
      <w:r>
        <w:tab/>
      </w:r>
      <w:r>
        <w:rPr>
          <w:rStyle w:val="CharDefText"/>
        </w:rPr>
        <w:t xml:space="preserve">firearms </w:t>
      </w:r>
      <w:del w:id="32" w:author="Master Repository Process" w:date="2022-11-17T15:14:00Z">
        <w:r>
          <w:rPr>
            <w:rStyle w:val="CharDefText"/>
          </w:rPr>
          <w:delText>licence</w:delText>
        </w:r>
      </w:del>
      <w:ins w:id="33" w:author="Master Repository Process" w:date="2022-11-17T15:14:00Z">
        <w:r>
          <w:rPr>
            <w:rStyle w:val="CharDefText"/>
          </w:rPr>
          <w:t>authorisation</w:t>
        </w:r>
      </w:ins>
      <w:r>
        <w:t xml:space="preserve"> means —</w:t>
      </w:r>
      <w:del w:id="34" w:author="Master Repository Process" w:date="2022-11-17T15:14:00Z">
        <w:r>
          <w:delText> </w:delText>
        </w:r>
      </w:del>
      <w:ins w:id="35" w:author="Master Repository Process" w:date="2022-11-17T15:14:00Z">
        <w:r>
          <w:t xml:space="preserve"> </w:t>
        </w:r>
      </w:ins>
    </w:p>
    <w:p>
      <w:pPr>
        <w:pStyle w:val="Defpara"/>
      </w:pPr>
      <w:r>
        <w:tab/>
        <w:t>(a)</w:t>
      </w:r>
      <w:r>
        <w:tab/>
        <w:t xml:space="preserve">a licence issued, permit granted or approval given, under the </w:t>
      </w:r>
      <w:r>
        <w:rPr>
          <w:i/>
        </w:rPr>
        <w:t>Firearms Act 1973</w:t>
      </w:r>
      <w:r>
        <w:t>, entitling a person to be in possession of a firearm</w:t>
      </w:r>
      <w:del w:id="36" w:author="Master Repository Process" w:date="2022-11-17T15:14:00Z">
        <w:r>
          <w:delText>; and</w:delText>
        </w:r>
      </w:del>
      <w:ins w:id="37" w:author="Master Repository Process" w:date="2022-11-17T15:14:00Z">
        <w:r>
          <w:t xml:space="preserve"> item; or</w:t>
        </w:r>
      </w:ins>
    </w:p>
    <w:p>
      <w:pPr>
        <w:pStyle w:val="Defpara"/>
        <w:rPr>
          <w:ins w:id="38" w:author="Master Repository Process" w:date="2022-11-17T15:14:00Z"/>
        </w:rPr>
      </w:pPr>
      <w:r>
        <w:tab/>
        <w:t>(b)</w:t>
      </w:r>
      <w:r>
        <w:tab/>
      </w:r>
      <w:del w:id="39" w:author="Master Repository Process" w:date="2022-11-17T15:14:00Z">
        <w:r>
          <w:delText>a Firearms Act</w:delText>
        </w:r>
      </w:del>
      <w:ins w:id="40" w:author="Master Repository Process" w:date="2022-11-17T15:14:00Z">
        <w:r>
          <w:t>an</w:t>
        </w:r>
      </w:ins>
      <w:r>
        <w:t xml:space="preserve"> Extract of Licence </w:t>
      </w:r>
      <w:ins w:id="41" w:author="Master Repository Process" w:date="2022-11-17T15:14:00Z">
        <w:r>
          <w:t xml:space="preserve">(as defined in section 4(1) of that Act) </w:t>
        </w:r>
      </w:ins>
      <w:r>
        <w:t xml:space="preserve">issued </w:t>
      </w:r>
      <w:ins w:id="42" w:author="Master Repository Process" w:date="2022-11-17T15:14:00Z">
        <w:r>
          <w:t>in respect of a licence, permit or approval referred to in paragraph (a); or</w:t>
        </w:r>
      </w:ins>
    </w:p>
    <w:p>
      <w:pPr>
        <w:pStyle w:val="Defpara"/>
      </w:pPr>
      <w:ins w:id="43" w:author="Master Repository Process" w:date="2022-11-17T15:14:00Z">
        <w:r>
          <w:tab/>
          <w:t>(c)</w:t>
        </w:r>
        <w:r>
          <w:tab/>
          <w:t xml:space="preserve">any other Extract of Licence </w:t>
        </w:r>
      </w:ins>
      <w:r>
        <w:t xml:space="preserve">under </w:t>
      </w:r>
      <w:del w:id="44" w:author="Master Repository Process" w:date="2022-11-17T15:14:00Z">
        <w:r>
          <w:delText xml:space="preserve">the </w:delText>
        </w:r>
        <w:r>
          <w:rPr>
            <w:i/>
          </w:rPr>
          <w:delText>Firearms</w:delText>
        </w:r>
      </w:del>
      <w:ins w:id="45" w:author="Master Repository Process" w:date="2022-11-17T15:14:00Z">
        <w:r>
          <w:t>that</w:t>
        </w:r>
      </w:ins>
      <w:r>
        <w:t xml:space="preserve"> Act</w:t>
      </w:r>
      <w:del w:id="46" w:author="Master Repository Process" w:date="2022-11-17T15:14:00Z">
        <w:r>
          <w:rPr>
            <w:i/>
          </w:rPr>
          <w:delText> 1973</w:delText>
        </w:r>
      </w:del>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keepNext/>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keepNex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 No. 9 of 2022 s. 424</w:t>
      </w:r>
      <w:ins w:id="47" w:author="Master Repository Process" w:date="2022-11-17T15:14:00Z">
        <w:r>
          <w:t>; No. 13 of 2022 s. 79</w:t>
        </w:r>
      </w:ins>
      <w:r>
        <w:t>.]</w:t>
      </w:r>
    </w:p>
    <w:p>
      <w:pPr>
        <w:pStyle w:val="Heading5"/>
      </w:pPr>
      <w:bookmarkStart w:id="48" w:name="_Toc119492616"/>
      <w:bookmarkStart w:id="49" w:name="_Toc107494043"/>
      <w:r>
        <w:rPr>
          <w:rStyle w:val="CharSectno"/>
        </w:rPr>
        <w:t>4</w:t>
      </w:r>
      <w:r>
        <w:t>.</w:t>
      </w:r>
      <w:r>
        <w:tab/>
        <w:t>Terms used: family relationship and family member</w:t>
      </w:r>
      <w:bookmarkEnd w:id="48"/>
      <w:bookmarkEnd w:id="49"/>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keepNext/>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50" w:name="_Toc119492617"/>
      <w:bookmarkStart w:id="51" w:name="_Toc107494044"/>
      <w:r>
        <w:rPr>
          <w:rStyle w:val="CharSectno"/>
        </w:rPr>
        <w:t>5</w:t>
      </w:r>
      <w:r>
        <w:t>.</w:t>
      </w:r>
      <w:r>
        <w:tab/>
        <w:t>Term used: family order</w:t>
      </w:r>
      <w:bookmarkEnd w:id="50"/>
      <w:bookmarkEnd w:id="51"/>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keepNext/>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keepNext/>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keepN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52" w:name="_Toc119492618"/>
      <w:bookmarkStart w:id="53" w:name="_Toc107494045"/>
      <w:r>
        <w:rPr>
          <w:rStyle w:val="CharSectno"/>
        </w:rPr>
        <w:t>5A</w:t>
      </w:r>
      <w:r>
        <w:t>.</w:t>
      </w:r>
      <w:r>
        <w:tab/>
        <w:t>Term used: family violence</w:t>
      </w:r>
      <w:bookmarkEnd w:id="52"/>
      <w:bookmarkEnd w:id="53"/>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54" w:name="_Toc119492619"/>
      <w:bookmarkStart w:id="55" w:name="_Toc107494046"/>
      <w:r>
        <w:rPr>
          <w:rStyle w:val="CharSectno"/>
        </w:rPr>
        <w:t>6</w:t>
      </w:r>
      <w:r>
        <w:t>.</w:t>
      </w:r>
      <w:r>
        <w:tab/>
        <w:t>Term used: personal violence</w:t>
      </w:r>
      <w:bookmarkEnd w:id="54"/>
      <w:bookmarkEnd w:id="55"/>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keepNext/>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56" w:name="_Toc119492620"/>
      <w:bookmarkStart w:id="57" w:name="_Toc107494047"/>
      <w:r>
        <w:rPr>
          <w:rStyle w:val="CharSectno"/>
        </w:rPr>
        <w:t>6A</w:t>
      </w:r>
      <w:r>
        <w:t>.</w:t>
      </w:r>
      <w:r>
        <w:tab/>
        <w:t>Term used: exposed</w:t>
      </w:r>
      <w:bookmarkEnd w:id="56"/>
      <w:bookmarkEnd w:id="57"/>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58" w:name="_Toc119492621"/>
      <w:bookmarkStart w:id="59" w:name="_Toc107494048"/>
      <w:r>
        <w:rPr>
          <w:rStyle w:val="CharSectno"/>
        </w:rPr>
        <w:t>7</w:t>
      </w:r>
      <w:r>
        <w:t>.</w:t>
      </w:r>
      <w:r>
        <w:tab/>
        <w:t>Persons protected, and bound, by order to be natural persons</w:t>
      </w:r>
      <w:bookmarkEnd w:id="58"/>
      <w:bookmarkEnd w:id="59"/>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60" w:name="_Toc119492622"/>
      <w:bookmarkStart w:id="61" w:name="_Toc107494049"/>
      <w:r>
        <w:rPr>
          <w:rStyle w:val="CharSectno"/>
        </w:rPr>
        <w:t>7A</w:t>
      </w:r>
      <w:r>
        <w:t>.</w:t>
      </w:r>
      <w:r>
        <w:tab/>
        <w:t>Orders under this Act imposing restraints</w:t>
      </w:r>
      <w:bookmarkEnd w:id="60"/>
      <w:bookmarkEnd w:id="61"/>
    </w:p>
    <w:p>
      <w:pPr>
        <w:pStyle w:val="Subsection"/>
        <w:keepNext/>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62" w:name="_Toc119492623"/>
      <w:bookmarkStart w:id="63" w:name="_Toc107494050"/>
      <w:r>
        <w:rPr>
          <w:rStyle w:val="CharSectno"/>
        </w:rPr>
        <w:t>8A</w:t>
      </w:r>
      <w:r>
        <w:t>.</w:t>
      </w:r>
      <w:r>
        <w:tab/>
      </w:r>
      <w:r>
        <w:rPr>
          <w:i/>
        </w:rPr>
        <w:t>Courts and Tribunals (Electronic Processes Facilitation) Act 2013</w:t>
      </w:r>
      <w:r>
        <w:t xml:space="preserve"> Part 2 applies</w:t>
      </w:r>
      <w:bookmarkEnd w:id="62"/>
      <w:bookmarkEnd w:id="63"/>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64" w:name="_Toc119413868"/>
      <w:bookmarkStart w:id="65" w:name="_Toc119415524"/>
      <w:bookmarkStart w:id="66" w:name="_Toc119492624"/>
      <w:bookmarkStart w:id="67" w:name="_Toc103862998"/>
      <w:bookmarkStart w:id="68" w:name="_Toc103863209"/>
      <w:bookmarkStart w:id="69" w:name="_Toc103865145"/>
      <w:bookmarkStart w:id="70" w:name="_Toc107325642"/>
      <w:bookmarkStart w:id="71" w:name="_Toc107494051"/>
      <w:r>
        <w:rPr>
          <w:rStyle w:val="CharPartNo"/>
        </w:rPr>
        <w:t>Part 1A</w:t>
      </w:r>
      <w:r>
        <w:rPr>
          <w:b w:val="0"/>
        </w:rPr>
        <w:t> </w:t>
      </w:r>
      <w:r>
        <w:t>—</w:t>
      </w:r>
      <w:r>
        <w:rPr>
          <w:b w:val="0"/>
        </w:rPr>
        <w:t> </w:t>
      </w:r>
      <w:r>
        <w:rPr>
          <w:rStyle w:val="CharPartText"/>
        </w:rPr>
        <w:t>Restraining orders generally</w:t>
      </w:r>
      <w:bookmarkEnd w:id="64"/>
      <w:bookmarkEnd w:id="65"/>
      <w:bookmarkEnd w:id="66"/>
      <w:bookmarkEnd w:id="67"/>
      <w:bookmarkEnd w:id="68"/>
      <w:bookmarkEnd w:id="69"/>
      <w:bookmarkEnd w:id="70"/>
      <w:bookmarkEnd w:id="71"/>
    </w:p>
    <w:p>
      <w:pPr>
        <w:pStyle w:val="Footnoteheading"/>
        <w:tabs>
          <w:tab w:val="left" w:pos="851"/>
        </w:tabs>
      </w:pPr>
      <w:r>
        <w:tab/>
        <w:t>[Heading inserted: No. 38 of 2004 s. 9.]</w:t>
      </w:r>
    </w:p>
    <w:p>
      <w:pPr>
        <w:pStyle w:val="Heading5"/>
      </w:pPr>
      <w:bookmarkStart w:id="72" w:name="_Toc119492625"/>
      <w:bookmarkStart w:id="73" w:name="_Toc107494052"/>
      <w:r>
        <w:rPr>
          <w:rStyle w:val="CharSectno"/>
        </w:rPr>
        <w:t>8</w:t>
      </w:r>
      <w:r>
        <w:t>.</w:t>
      </w:r>
      <w:r>
        <w:tab/>
        <w:t>Explanation about orders to be given</w:t>
      </w:r>
      <w:bookmarkEnd w:id="72"/>
      <w:bookmarkEnd w:id="73"/>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 xml:space="preserve">if the order is an FVRO or VRO, the effects of sections 14, 14A and 62E relating to </w:t>
      </w:r>
      <w:del w:id="74" w:author="Master Repository Process" w:date="2022-11-17T15:14:00Z">
        <w:r>
          <w:delText>firearms</w:delText>
        </w:r>
      </w:del>
      <w:ins w:id="75" w:author="Master Repository Process" w:date="2022-11-17T15:14:00Z">
        <w:r>
          <w:t>firearm items</w:t>
        </w:r>
      </w:ins>
      <w:r>
        <w:t xml:space="preserve">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w:t>
      </w:r>
      <w:del w:id="76" w:author="Master Repository Process" w:date="2022-11-17T15:14:00Z">
        <w:r>
          <w:delText>56</w:delText>
        </w:r>
      </w:del>
      <w:ins w:id="77" w:author="Master Repository Process" w:date="2022-11-17T15:14:00Z">
        <w:r>
          <w:t>56; No. 13 of 2022 s. 80</w:t>
        </w:r>
      </w:ins>
      <w:r>
        <w:t>.]</w:t>
      </w:r>
    </w:p>
    <w:p>
      <w:pPr>
        <w:pStyle w:val="Heading5"/>
      </w:pPr>
      <w:bookmarkStart w:id="78" w:name="_Toc119492626"/>
      <w:bookmarkStart w:id="79" w:name="_Toc107494053"/>
      <w:r>
        <w:rPr>
          <w:rStyle w:val="CharSectno"/>
        </w:rPr>
        <w:t>9</w:t>
      </w:r>
      <w:r>
        <w:t>.</w:t>
      </w:r>
      <w:r>
        <w:tab/>
        <w:t>Fixing a hearing</w:t>
      </w:r>
      <w:bookmarkEnd w:id="78"/>
      <w:bookmarkEnd w:id="79"/>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80" w:name="_Toc119492627"/>
      <w:bookmarkStart w:id="81" w:name="_Toc107494054"/>
      <w:r>
        <w:rPr>
          <w:rStyle w:val="CharSectno"/>
        </w:rPr>
        <w:t>10</w:t>
      </w:r>
      <w:r>
        <w:rPr>
          <w:snapToGrid w:val="0"/>
        </w:rPr>
        <w:t>.</w:t>
      </w:r>
      <w:r>
        <w:rPr>
          <w:snapToGrid w:val="0"/>
        </w:rPr>
        <w:tab/>
        <w:t>Preparation and service of orders</w:t>
      </w:r>
      <w:bookmarkEnd w:id="80"/>
      <w:bookmarkEnd w:id="81"/>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82" w:name="_Toc119413872"/>
      <w:bookmarkStart w:id="83" w:name="_Toc119415528"/>
      <w:bookmarkStart w:id="84" w:name="_Toc119492628"/>
      <w:bookmarkStart w:id="85" w:name="_Toc103863002"/>
      <w:bookmarkStart w:id="86" w:name="_Toc103863213"/>
      <w:bookmarkStart w:id="87" w:name="_Toc103865149"/>
      <w:bookmarkStart w:id="88" w:name="_Toc107325646"/>
      <w:bookmarkStart w:id="89" w:name="_Toc107494055"/>
      <w:r>
        <w:rPr>
          <w:rStyle w:val="CharPartNo"/>
        </w:rPr>
        <w:t>Part 1B</w:t>
      </w:r>
      <w:r>
        <w:rPr>
          <w:rStyle w:val="CharDivNo"/>
        </w:rPr>
        <w:t> </w:t>
      </w:r>
      <w:r>
        <w:t>—</w:t>
      </w:r>
      <w:r>
        <w:rPr>
          <w:rStyle w:val="CharDivText"/>
        </w:rPr>
        <w:t> </w:t>
      </w:r>
      <w:r>
        <w:rPr>
          <w:rStyle w:val="CharPartText"/>
        </w:rPr>
        <w:t>Family violence restraining order</w:t>
      </w:r>
      <w:bookmarkEnd w:id="82"/>
      <w:bookmarkEnd w:id="83"/>
      <w:bookmarkEnd w:id="84"/>
      <w:bookmarkEnd w:id="85"/>
      <w:bookmarkEnd w:id="86"/>
      <w:bookmarkEnd w:id="87"/>
      <w:bookmarkEnd w:id="88"/>
      <w:bookmarkEnd w:id="89"/>
      <w:r>
        <w:t xml:space="preserve"> </w:t>
      </w:r>
    </w:p>
    <w:p>
      <w:pPr>
        <w:pStyle w:val="Footnoteheading"/>
      </w:pPr>
      <w:r>
        <w:tab/>
        <w:t>[Heading inserted: No. 49 of 2016 s. 14.]</w:t>
      </w:r>
    </w:p>
    <w:p>
      <w:pPr>
        <w:pStyle w:val="Heading5"/>
      </w:pPr>
      <w:bookmarkStart w:id="90" w:name="_Toc119492629"/>
      <w:bookmarkStart w:id="91" w:name="_Toc107494056"/>
      <w:r>
        <w:rPr>
          <w:rStyle w:val="CharSectno"/>
        </w:rPr>
        <w:t>10A</w:t>
      </w:r>
      <w:r>
        <w:t>.</w:t>
      </w:r>
      <w:r>
        <w:tab/>
        <w:t>Objects</w:t>
      </w:r>
      <w:bookmarkEnd w:id="90"/>
      <w:bookmarkEnd w:id="91"/>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92" w:name="_Toc119492630"/>
      <w:bookmarkStart w:id="93" w:name="_Toc107494057"/>
      <w:r>
        <w:rPr>
          <w:rStyle w:val="CharSectno"/>
        </w:rPr>
        <w:t>10B</w:t>
      </w:r>
      <w:r>
        <w:t>.</w:t>
      </w:r>
      <w:r>
        <w:tab/>
        <w:t>Principles to be observed in performing functions in relation to FVROs</w:t>
      </w:r>
      <w:bookmarkEnd w:id="92"/>
      <w:bookmarkEnd w:id="93"/>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94" w:name="_Toc119492631"/>
      <w:bookmarkStart w:id="95" w:name="_Toc107494058"/>
      <w:r>
        <w:rPr>
          <w:rStyle w:val="CharSectno"/>
        </w:rPr>
        <w:t>10C</w:t>
      </w:r>
      <w:r>
        <w:t>.</w:t>
      </w:r>
      <w:r>
        <w:tab/>
        <w:t>FVRO to specify names of person bound, and person protected, by order</w:t>
      </w:r>
      <w:bookmarkEnd w:id="94"/>
      <w:bookmarkEnd w:id="95"/>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96" w:name="_Toc119492632"/>
      <w:bookmarkStart w:id="97" w:name="_Toc107494059"/>
      <w:r>
        <w:rPr>
          <w:rStyle w:val="CharSectno"/>
        </w:rPr>
        <w:t>10D</w:t>
      </w:r>
      <w:r>
        <w:t>.</w:t>
      </w:r>
      <w:r>
        <w:tab/>
        <w:t>When FVROs may be made</w:t>
      </w:r>
      <w:bookmarkEnd w:id="96"/>
      <w:bookmarkEnd w:id="97"/>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98" w:name="_Toc119492633"/>
      <w:bookmarkStart w:id="99" w:name="_Toc107494060"/>
      <w:r>
        <w:rPr>
          <w:rStyle w:val="CharSectno"/>
        </w:rPr>
        <w:t>10E</w:t>
      </w:r>
      <w:r>
        <w:t>.</w:t>
      </w:r>
      <w:r>
        <w:tab/>
        <w:t>FVRO may be made for child in circumstances of family violence</w:t>
      </w:r>
      <w:bookmarkEnd w:id="98"/>
      <w:bookmarkEnd w:id="99"/>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100" w:name="_Toc119492634"/>
      <w:bookmarkStart w:id="101" w:name="_Toc107494061"/>
      <w:r>
        <w:rPr>
          <w:rStyle w:val="CharSectno"/>
        </w:rPr>
        <w:t>10F</w:t>
      </w:r>
      <w:r>
        <w:t>.</w:t>
      </w:r>
      <w:r>
        <w:tab/>
        <w:t>Matters to be considered by court generally</w:t>
      </w:r>
      <w:bookmarkEnd w:id="100"/>
      <w:bookmarkEnd w:id="101"/>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102" w:name="_Toc119492635"/>
      <w:bookmarkStart w:id="103" w:name="_Toc107494062"/>
      <w:r>
        <w:rPr>
          <w:rStyle w:val="CharSectno"/>
        </w:rPr>
        <w:t>10G</w:t>
      </w:r>
      <w:r>
        <w:t>.</w:t>
      </w:r>
      <w:r>
        <w:tab/>
        <w:t>Restraints on respondent</w:t>
      </w:r>
      <w:bookmarkEnd w:id="102"/>
      <w:bookmarkEnd w:id="103"/>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104" w:name="_Toc119492636"/>
      <w:bookmarkStart w:id="105" w:name="_Toc107494063"/>
      <w:r>
        <w:rPr>
          <w:rStyle w:val="CharSectno"/>
        </w:rPr>
        <w:t>10H</w:t>
      </w:r>
      <w:r>
        <w:t>.</w:t>
      </w:r>
      <w:r>
        <w:tab/>
        <w:t>Conduct agreement</w:t>
      </w:r>
      <w:bookmarkEnd w:id="104"/>
      <w:bookmarkEnd w:id="105"/>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106" w:name="_Toc119413881"/>
      <w:bookmarkStart w:id="107" w:name="_Toc119415537"/>
      <w:bookmarkStart w:id="108" w:name="_Toc119492637"/>
      <w:bookmarkStart w:id="109" w:name="_Toc103863011"/>
      <w:bookmarkStart w:id="110" w:name="_Toc103863222"/>
      <w:bookmarkStart w:id="111" w:name="_Toc103865158"/>
      <w:bookmarkStart w:id="112" w:name="_Toc107325655"/>
      <w:bookmarkStart w:id="113" w:name="_Toc107494064"/>
      <w:r>
        <w:rPr>
          <w:rStyle w:val="CharPartNo"/>
        </w:rPr>
        <w:t>Part 1C</w:t>
      </w:r>
      <w:r>
        <w:t> — </w:t>
      </w:r>
      <w:r>
        <w:rPr>
          <w:rStyle w:val="CharPartText"/>
        </w:rPr>
        <w:t>Behaviour management order</w:t>
      </w:r>
      <w:bookmarkEnd w:id="106"/>
      <w:bookmarkEnd w:id="107"/>
      <w:bookmarkEnd w:id="108"/>
      <w:bookmarkEnd w:id="109"/>
      <w:bookmarkEnd w:id="110"/>
      <w:bookmarkEnd w:id="111"/>
      <w:bookmarkEnd w:id="112"/>
      <w:bookmarkEnd w:id="113"/>
    </w:p>
    <w:p>
      <w:pPr>
        <w:pStyle w:val="Footnoteheading"/>
      </w:pPr>
      <w:r>
        <w:tab/>
        <w:t>[Heading inserted: No. 49 of 2016 s. 14.]</w:t>
      </w:r>
    </w:p>
    <w:p>
      <w:pPr>
        <w:pStyle w:val="Heading3"/>
      </w:pPr>
      <w:bookmarkStart w:id="114" w:name="_Toc119413882"/>
      <w:bookmarkStart w:id="115" w:name="_Toc119415538"/>
      <w:bookmarkStart w:id="116" w:name="_Toc119492638"/>
      <w:bookmarkStart w:id="117" w:name="_Toc103863012"/>
      <w:bookmarkStart w:id="118" w:name="_Toc103863223"/>
      <w:bookmarkStart w:id="119" w:name="_Toc103865159"/>
      <w:bookmarkStart w:id="120" w:name="_Toc107325656"/>
      <w:bookmarkStart w:id="121" w:name="_Toc107494065"/>
      <w:r>
        <w:rPr>
          <w:rStyle w:val="CharDivNo"/>
        </w:rPr>
        <w:t>Division 1</w:t>
      </w:r>
      <w:r>
        <w:t> — </w:t>
      </w:r>
      <w:r>
        <w:rPr>
          <w:rStyle w:val="CharDivText"/>
        </w:rPr>
        <w:t>Preliminary</w:t>
      </w:r>
      <w:bookmarkEnd w:id="114"/>
      <w:bookmarkEnd w:id="115"/>
      <w:bookmarkEnd w:id="116"/>
      <w:bookmarkEnd w:id="117"/>
      <w:bookmarkEnd w:id="118"/>
      <w:bookmarkEnd w:id="119"/>
      <w:bookmarkEnd w:id="120"/>
      <w:bookmarkEnd w:id="121"/>
    </w:p>
    <w:p>
      <w:pPr>
        <w:pStyle w:val="Footnoteheading"/>
      </w:pPr>
      <w:r>
        <w:tab/>
        <w:t>[Heading inserted: No. 49 of 2016 s. 14.]</w:t>
      </w:r>
    </w:p>
    <w:p>
      <w:pPr>
        <w:pStyle w:val="Heading5"/>
      </w:pPr>
      <w:bookmarkStart w:id="122" w:name="_Toc119492639"/>
      <w:bookmarkStart w:id="123" w:name="_Toc107494066"/>
      <w:r>
        <w:rPr>
          <w:rStyle w:val="CharSectno"/>
        </w:rPr>
        <w:t>10I</w:t>
      </w:r>
      <w:r>
        <w:t>.</w:t>
      </w:r>
      <w:r>
        <w:tab/>
        <w:t>Terms used</w:t>
      </w:r>
      <w:bookmarkEnd w:id="122"/>
      <w:bookmarkEnd w:id="123"/>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124" w:name="_Toc119492640"/>
      <w:bookmarkStart w:id="125" w:name="_Toc107494067"/>
      <w:r>
        <w:rPr>
          <w:rStyle w:val="CharSectno"/>
        </w:rPr>
        <w:t>10J</w:t>
      </w:r>
      <w:r>
        <w:t>.</w:t>
      </w:r>
      <w:r>
        <w:tab/>
        <w:t>Objects</w:t>
      </w:r>
      <w:bookmarkEnd w:id="124"/>
      <w:bookmarkEnd w:id="125"/>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126" w:name="_Toc119492641"/>
      <w:bookmarkStart w:id="127" w:name="_Toc107494068"/>
      <w:r>
        <w:rPr>
          <w:rStyle w:val="CharSectno"/>
        </w:rPr>
        <w:t>10K</w:t>
      </w:r>
      <w:r>
        <w:t>.</w:t>
      </w:r>
      <w:r>
        <w:tab/>
        <w:t>Application of Part</w:t>
      </w:r>
      <w:bookmarkEnd w:id="126"/>
      <w:bookmarkEnd w:id="127"/>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128" w:name="_Toc119413886"/>
      <w:bookmarkStart w:id="129" w:name="_Toc119415542"/>
      <w:bookmarkStart w:id="130" w:name="_Toc119492642"/>
      <w:bookmarkStart w:id="131" w:name="_Toc103863016"/>
      <w:bookmarkStart w:id="132" w:name="_Toc103863227"/>
      <w:bookmarkStart w:id="133" w:name="_Toc103865163"/>
      <w:bookmarkStart w:id="134" w:name="_Toc107325660"/>
      <w:bookmarkStart w:id="135" w:name="_Toc107494069"/>
      <w:r>
        <w:rPr>
          <w:rStyle w:val="CharDivNo"/>
        </w:rPr>
        <w:t>Division 2</w:t>
      </w:r>
      <w:r>
        <w:t> — </w:t>
      </w:r>
      <w:r>
        <w:rPr>
          <w:rStyle w:val="CharDivText"/>
        </w:rPr>
        <w:t>Eligibility assessment order</w:t>
      </w:r>
      <w:bookmarkEnd w:id="128"/>
      <w:bookmarkEnd w:id="129"/>
      <w:bookmarkEnd w:id="130"/>
      <w:bookmarkEnd w:id="131"/>
      <w:bookmarkEnd w:id="132"/>
      <w:bookmarkEnd w:id="133"/>
      <w:bookmarkEnd w:id="134"/>
      <w:bookmarkEnd w:id="135"/>
    </w:p>
    <w:p>
      <w:pPr>
        <w:pStyle w:val="Footnoteheading"/>
      </w:pPr>
      <w:r>
        <w:tab/>
        <w:t>[Heading inserted: No. 49 of 2016 s. 14.]</w:t>
      </w:r>
    </w:p>
    <w:p>
      <w:pPr>
        <w:pStyle w:val="Heading5"/>
      </w:pPr>
      <w:bookmarkStart w:id="136" w:name="_Toc119492643"/>
      <w:bookmarkStart w:id="137" w:name="_Toc107494070"/>
      <w:r>
        <w:rPr>
          <w:rStyle w:val="CharSectno"/>
        </w:rPr>
        <w:t>10L</w:t>
      </w:r>
      <w:r>
        <w:t>.</w:t>
      </w:r>
      <w:r>
        <w:tab/>
        <w:t>Making an eligibility assessment order</w:t>
      </w:r>
      <w:bookmarkEnd w:id="136"/>
      <w:bookmarkEnd w:id="137"/>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138" w:name="_Toc119492644"/>
      <w:bookmarkStart w:id="139" w:name="_Toc107494071"/>
      <w:r>
        <w:rPr>
          <w:rStyle w:val="CharSectno"/>
        </w:rPr>
        <w:t>10M</w:t>
      </w:r>
      <w:r>
        <w:t>.</w:t>
      </w:r>
      <w:r>
        <w:tab/>
        <w:t>Order to attend behaviour change programme</w:t>
      </w:r>
      <w:bookmarkEnd w:id="138"/>
      <w:bookmarkEnd w:id="139"/>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140" w:name="_Toc119492645"/>
      <w:bookmarkStart w:id="141" w:name="_Toc107494072"/>
      <w:r>
        <w:rPr>
          <w:rStyle w:val="CharSectno"/>
        </w:rPr>
        <w:t>10N</w:t>
      </w:r>
      <w:r>
        <w:t>.</w:t>
      </w:r>
      <w:r>
        <w:tab/>
        <w:t>Effect of appeal against final order</w:t>
      </w:r>
      <w:bookmarkEnd w:id="140"/>
      <w:bookmarkEnd w:id="141"/>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142" w:name="_Toc119413890"/>
      <w:bookmarkStart w:id="143" w:name="_Toc119415546"/>
      <w:bookmarkStart w:id="144" w:name="_Toc119492646"/>
      <w:bookmarkStart w:id="145" w:name="_Toc103863020"/>
      <w:bookmarkStart w:id="146" w:name="_Toc103863231"/>
      <w:bookmarkStart w:id="147" w:name="_Toc103865167"/>
      <w:bookmarkStart w:id="148" w:name="_Toc107325664"/>
      <w:bookmarkStart w:id="149" w:name="_Toc107494073"/>
      <w:r>
        <w:rPr>
          <w:rStyle w:val="CharDivNo"/>
        </w:rPr>
        <w:t>Division 3</w:t>
      </w:r>
      <w:r>
        <w:t> — </w:t>
      </w:r>
      <w:r>
        <w:rPr>
          <w:rStyle w:val="CharDivText"/>
        </w:rPr>
        <w:t>Procedures relating to behaviour management order</w:t>
      </w:r>
      <w:bookmarkEnd w:id="142"/>
      <w:bookmarkEnd w:id="143"/>
      <w:bookmarkEnd w:id="144"/>
      <w:bookmarkEnd w:id="145"/>
      <w:bookmarkEnd w:id="146"/>
      <w:bookmarkEnd w:id="147"/>
      <w:bookmarkEnd w:id="148"/>
      <w:bookmarkEnd w:id="149"/>
    </w:p>
    <w:p>
      <w:pPr>
        <w:pStyle w:val="Footnoteheading"/>
      </w:pPr>
      <w:r>
        <w:tab/>
        <w:t>[Heading inserted: No. 49 of 2016 s. 14.]</w:t>
      </w:r>
    </w:p>
    <w:p>
      <w:pPr>
        <w:pStyle w:val="Heading5"/>
      </w:pPr>
      <w:bookmarkStart w:id="150" w:name="_Toc119492647"/>
      <w:bookmarkStart w:id="151" w:name="_Toc107494074"/>
      <w:r>
        <w:rPr>
          <w:rStyle w:val="CharSectno"/>
        </w:rPr>
        <w:t>10O</w:t>
      </w:r>
      <w:r>
        <w:t>.</w:t>
      </w:r>
      <w:r>
        <w:tab/>
        <w:t>Notice of hearings</w:t>
      </w:r>
      <w:bookmarkEnd w:id="150"/>
      <w:bookmarkEnd w:id="151"/>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152" w:name="_Toc119492648"/>
      <w:bookmarkStart w:id="153" w:name="_Toc107494075"/>
      <w:r>
        <w:rPr>
          <w:rStyle w:val="CharSectno"/>
        </w:rPr>
        <w:t>10P</w:t>
      </w:r>
      <w:r>
        <w:t>.</w:t>
      </w:r>
      <w:r>
        <w:tab/>
        <w:t>Approval of persons and of behaviour change programme</w:t>
      </w:r>
      <w:bookmarkEnd w:id="152"/>
      <w:bookmarkEnd w:id="15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54" w:name="_Toc119492649"/>
      <w:bookmarkStart w:id="155" w:name="_Toc107494076"/>
      <w:r>
        <w:rPr>
          <w:rStyle w:val="CharSectno"/>
        </w:rPr>
        <w:t>10Q</w:t>
      </w:r>
      <w:r>
        <w:t>.</w:t>
      </w:r>
      <w:r>
        <w:tab/>
        <w:t>Eligibility assessor may be required to attend hearing</w:t>
      </w:r>
      <w:bookmarkEnd w:id="154"/>
      <w:bookmarkEnd w:id="155"/>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56" w:name="_Toc119492650"/>
      <w:bookmarkStart w:id="157" w:name="_Toc107494077"/>
      <w:r>
        <w:rPr>
          <w:rStyle w:val="CharSectno"/>
        </w:rPr>
        <w:t>10R</w:t>
      </w:r>
      <w:r>
        <w:t>.</w:t>
      </w:r>
      <w:r>
        <w:tab/>
        <w:t>Disputed eligibility assessment report</w:t>
      </w:r>
      <w:bookmarkEnd w:id="156"/>
      <w:bookmarkEnd w:id="157"/>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58" w:name="_Toc119492651"/>
      <w:bookmarkStart w:id="159" w:name="_Toc107494078"/>
      <w:r>
        <w:rPr>
          <w:rStyle w:val="CharSectno"/>
        </w:rPr>
        <w:t>10S</w:t>
      </w:r>
      <w:r>
        <w:t>.</w:t>
      </w:r>
      <w:r>
        <w:tab/>
        <w:t>Explanation of behaviour management orders</w:t>
      </w:r>
      <w:bookmarkEnd w:id="158"/>
      <w:bookmarkEnd w:id="159"/>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160" w:name="_Toc119492652"/>
      <w:bookmarkStart w:id="161" w:name="_Toc107494079"/>
      <w:r>
        <w:rPr>
          <w:rStyle w:val="CharSectno"/>
        </w:rPr>
        <w:t>10T</w:t>
      </w:r>
      <w:r>
        <w:t>.</w:t>
      </w:r>
      <w:r>
        <w:tab/>
        <w:t>Variation or cancellation of behaviour management orders</w:t>
      </w:r>
      <w:bookmarkEnd w:id="160"/>
      <w:bookmarkEnd w:id="161"/>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162" w:name="_Toc119492653"/>
      <w:bookmarkStart w:id="163" w:name="_Toc107494080"/>
      <w:r>
        <w:rPr>
          <w:rStyle w:val="CharSectno"/>
        </w:rPr>
        <w:t>10U</w:t>
      </w:r>
      <w:r>
        <w:t>.</w:t>
      </w:r>
      <w:r>
        <w:tab/>
        <w:t>Service of orders</w:t>
      </w:r>
      <w:bookmarkEnd w:id="162"/>
      <w:bookmarkEnd w:id="163"/>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164" w:name="_Toc119413898"/>
      <w:bookmarkStart w:id="165" w:name="_Toc119415554"/>
      <w:bookmarkStart w:id="166" w:name="_Toc119492654"/>
      <w:bookmarkStart w:id="167" w:name="_Toc103863028"/>
      <w:bookmarkStart w:id="168" w:name="_Toc103863239"/>
      <w:bookmarkStart w:id="169" w:name="_Toc103865175"/>
      <w:bookmarkStart w:id="170" w:name="_Toc107325672"/>
      <w:bookmarkStart w:id="171" w:name="_Toc107494081"/>
      <w:r>
        <w:rPr>
          <w:rStyle w:val="CharDivNo"/>
        </w:rPr>
        <w:t>Division 4</w:t>
      </w:r>
      <w:r>
        <w:t> — </w:t>
      </w:r>
      <w:r>
        <w:rPr>
          <w:rStyle w:val="CharDivText"/>
        </w:rPr>
        <w:t>Other matters</w:t>
      </w:r>
      <w:bookmarkEnd w:id="164"/>
      <w:bookmarkEnd w:id="165"/>
      <w:bookmarkEnd w:id="166"/>
      <w:bookmarkEnd w:id="167"/>
      <w:bookmarkEnd w:id="168"/>
      <w:bookmarkEnd w:id="169"/>
      <w:bookmarkEnd w:id="170"/>
      <w:bookmarkEnd w:id="171"/>
    </w:p>
    <w:p>
      <w:pPr>
        <w:pStyle w:val="Footnoteheading"/>
      </w:pPr>
      <w:r>
        <w:tab/>
        <w:t>[Heading inserted: No. 49 of 2016 s. 14.]</w:t>
      </w:r>
    </w:p>
    <w:p>
      <w:pPr>
        <w:pStyle w:val="Heading5"/>
      </w:pPr>
      <w:bookmarkStart w:id="172" w:name="_Toc119492655"/>
      <w:bookmarkStart w:id="173" w:name="_Toc107494082"/>
      <w:r>
        <w:rPr>
          <w:rStyle w:val="CharSectno"/>
        </w:rPr>
        <w:t>10V</w:t>
      </w:r>
      <w:r>
        <w:t>.</w:t>
      </w:r>
      <w:r>
        <w:tab/>
        <w:t>Respondent’s participation in behaviour change programme</w:t>
      </w:r>
      <w:bookmarkEnd w:id="172"/>
      <w:bookmarkEnd w:id="173"/>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174" w:name="_Toc119492656"/>
      <w:bookmarkStart w:id="175" w:name="_Toc107494083"/>
      <w:r>
        <w:rPr>
          <w:rStyle w:val="CharSectno"/>
        </w:rPr>
        <w:t>10W</w:t>
      </w:r>
      <w:r>
        <w:t>.</w:t>
      </w:r>
      <w:r>
        <w:tab/>
        <w:t>Respondent’s contravention of behaviour management order</w:t>
      </w:r>
      <w:bookmarkEnd w:id="174"/>
      <w:bookmarkEnd w:id="175"/>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176" w:name="_Toc119492657"/>
      <w:bookmarkStart w:id="177" w:name="_Toc107494084"/>
      <w:r>
        <w:rPr>
          <w:rStyle w:val="CharSectno"/>
        </w:rPr>
        <w:t>10X</w:t>
      </w:r>
      <w:r>
        <w:t>.</w:t>
      </w:r>
      <w:r>
        <w:tab/>
        <w:t>Confidentiality of interviews and reports</w:t>
      </w:r>
      <w:bookmarkEnd w:id="176"/>
      <w:bookmarkEnd w:id="177"/>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178" w:name="_Toc119492658"/>
      <w:bookmarkStart w:id="179" w:name="_Toc107494085"/>
      <w:r>
        <w:rPr>
          <w:rStyle w:val="CharSectno"/>
        </w:rPr>
        <w:t>10Y</w:t>
      </w:r>
      <w:r>
        <w:t>.</w:t>
      </w:r>
      <w:r>
        <w:tab/>
        <w:t>Confidentiality of behaviour change programme</w:t>
      </w:r>
      <w:bookmarkEnd w:id="178"/>
      <w:bookmarkEnd w:id="179"/>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180" w:name="_Toc119492659"/>
      <w:bookmarkStart w:id="181" w:name="_Toc107494086"/>
      <w:r>
        <w:rPr>
          <w:rStyle w:val="CharSectno"/>
        </w:rPr>
        <w:t>10Z</w:t>
      </w:r>
      <w:r>
        <w:t>.</w:t>
      </w:r>
      <w:r>
        <w:tab/>
        <w:t>Delegation</w:t>
      </w:r>
      <w:bookmarkEnd w:id="180"/>
      <w:bookmarkEnd w:id="181"/>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182" w:name="_Toc119413904"/>
      <w:bookmarkStart w:id="183" w:name="_Toc119415560"/>
      <w:bookmarkStart w:id="184" w:name="_Toc119492660"/>
      <w:bookmarkStart w:id="185" w:name="_Toc103863034"/>
      <w:bookmarkStart w:id="186" w:name="_Toc103863245"/>
      <w:bookmarkStart w:id="187" w:name="_Toc103865181"/>
      <w:bookmarkStart w:id="188" w:name="_Toc107325678"/>
      <w:bookmarkStart w:id="189" w:name="_Toc107494087"/>
      <w:r>
        <w:rPr>
          <w:rStyle w:val="CharPartNo"/>
        </w:rPr>
        <w:t>Part 2</w:t>
      </w:r>
      <w:r>
        <w:rPr>
          <w:rStyle w:val="CharDivNo"/>
        </w:rPr>
        <w:t> </w:t>
      </w:r>
      <w:r>
        <w:t>—</w:t>
      </w:r>
      <w:r>
        <w:rPr>
          <w:rStyle w:val="CharDivText"/>
        </w:rPr>
        <w:t> </w:t>
      </w:r>
      <w:r>
        <w:rPr>
          <w:rStyle w:val="CharPartText"/>
        </w:rPr>
        <w:t>Violence restraining order</w:t>
      </w:r>
      <w:bookmarkEnd w:id="182"/>
      <w:bookmarkEnd w:id="183"/>
      <w:bookmarkEnd w:id="184"/>
      <w:bookmarkEnd w:id="185"/>
      <w:bookmarkEnd w:id="186"/>
      <w:bookmarkEnd w:id="187"/>
      <w:bookmarkEnd w:id="188"/>
      <w:bookmarkEnd w:id="189"/>
      <w:r>
        <w:rPr>
          <w:rStyle w:val="CharPartText"/>
        </w:rPr>
        <w:t xml:space="preserve"> </w:t>
      </w:r>
    </w:p>
    <w:p>
      <w:pPr>
        <w:pStyle w:val="Ednotedivision"/>
      </w:pPr>
      <w:r>
        <w:tab/>
        <w:t>[Division heading deleted: No. 49 of 2016 s. 15.]</w:t>
      </w:r>
    </w:p>
    <w:p>
      <w:pPr>
        <w:pStyle w:val="Heading5"/>
      </w:pPr>
      <w:bookmarkStart w:id="190" w:name="_Toc119492661"/>
      <w:bookmarkStart w:id="191" w:name="_Toc107494088"/>
      <w:r>
        <w:rPr>
          <w:rStyle w:val="CharSectno"/>
        </w:rPr>
        <w:t>11</w:t>
      </w:r>
      <w:r>
        <w:t>.</w:t>
      </w:r>
      <w:r>
        <w:tab/>
        <w:t>VRO to specify names of person bound, and person protected, by order</w:t>
      </w:r>
      <w:bookmarkEnd w:id="190"/>
      <w:bookmarkEnd w:id="191"/>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192" w:name="_Toc119492662"/>
      <w:bookmarkStart w:id="193" w:name="_Toc107494089"/>
      <w:r>
        <w:rPr>
          <w:rStyle w:val="CharSectno"/>
        </w:rPr>
        <w:t>11A</w:t>
      </w:r>
      <w:r>
        <w:t>.</w:t>
      </w:r>
      <w:r>
        <w:tab/>
        <w:t>When VROs may be made</w:t>
      </w:r>
      <w:bookmarkEnd w:id="192"/>
      <w:bookmarkEnd w:id="193"/>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194" w:name="_Toc119492663"/>
      <w:bookmarkStart w:id="195" w:name="_Toc107494090"/>
      <w:r>
        <w:rPr>
          <w:rStyle w:val="CharSectno"/>
        </w:rPr>
        <w:t>12</w:t>
      </w:r>
      <w:r>
        <w:rPr>
          <w:snapToGrid w:val="0"/>
        </w:rPr>
        <w:t>.</w:t>
      </w:r>
      <w:r>
        <w:rPr>
          <w:snapToGrid w:val="0"/>
        </w:rPr>
        <w:tab/>
        <w:t>Matters to be considered by court generally</w:t>
      </w:r>
      <w:bookmarkEnd w:id="194"/>
      <w:bookmarkEnd w:id="195"/>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196" w:name="_Toc119492664"/>
      <w:bookmarkStart w:id="197" w:name="_Toc107494091"/>
      <w:r>
        <w:rPr>
          <w:rStyle w:val="CharSectno"/>
        </w:rPr>
        <w:t>12A</w:t>
      </w:r>
      <w:r>
        <w:t>.</w:t>
      </w:r>
      <w:r>
        <w:tab/>
        <w:t>VROs not for persons in family relationship</w:t>
      </w:r>
      <w:bookmarkEnd w:id="196"/>
      <w:bookmarkEnd w:id="197"/>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98" w:name="_Toc119492665"/>
      <w:bookmarkStart w:id="199" w:name="_Toc107494092"/>
      <w:r>
        <w:rPr>
          <w:rStyle w:val="CharSectno"/>
        </w:rPr>
        <w:t>13</w:t>
      </w:r>
      <w:r>
        <w:rPr>
          <w:snapToGrid w:val="0"/>
        </w:rPr>
        <w:t>.</w:t>
      </w:r>
      <w:r>
        <w:rPr>
          <w:snapToGrid w:val="0"/>
        </w:rPr>
        <w:tab/>
        <w:t>Restraints on respondent</w:t>
      </w:r>
      <w:bookmarkEnd w:id="198"/>
      <w:bookmarkEnd w:id="199"/>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personal violence against the person seeking to be protected; or</w:t>
      </w:r>
    </w:p>
    <w:p>
      <w:pPr>
        <w:pStyle w:val="Indenta"/>
      </w:pPr>
      <w:r>
        <w:tab/>
        <w:t>(aa)</w:t>
      </w:r>
      <w:r>
        <w:tab/>
        <w:t>if the person seeking to be protected by the order is a child, exposing a child to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200" w:name="_Toc119413910"/>
      <w:bookmarkStart w:id="201" w:name="_Toc119415566"/>
      <w:bookmarkStart w:id="202" w:name="_Toc119492666"/>
      <w:bookmarkStart w:id="203" w:name="_Toc103863040"/>
      <w:bookmarkStart w:id="204" w:name="_Toc103863251"/>
      <w:bookmarkStart w:id="205" w:name="_Toc103865187"/>
      <w:bookmarkStart w:id="206" w:name="_Toc107325684"/>
      <w:bookmarkStart w:id="207" w:name="_Toc107494093"/>
      <w:r>
        <w:rPr>
          <w:rStyle w:val="CharPartNo"/>
        </w:rPr>
        <w:t>Part 2A</w:t>
      </w:r>
      <w:r>
        <w:t> — </w:t>
      </w:r>
      <w:r>
        <w:rPr>
          <w:rStyle w:val="CharPartText"/>
        </w:rPr>
        <w:t>Provisions for FVRO and VRO</w:t>
      </w:r>
      <w:bookmarkEnd w:id="200"/>
      <w:bookmarkEnd w:id="201"/>
      <w:bookmarkEnd w:id="202"/>
      <w:bookmarkEnd w:id="203"/>
      <w:bookmarkEnd w:id="204"/>
      <w:bookmarkEnd w:id="205"/>
      <w:bookmarkEnd w:id="206"/>
      <w:bookmarkEnd w:id="207"/>
    </w:p>
    <w:p>
      <w:pPr>
        <w:pStyle w:val="Footnoteheading"/>
      </w:pPr>
      <w:r>
        <w:tab/>
        <w:t>[Heading inserted: No. 49 of 2016 s. 22.]</w:t>
      </w:r>
    </w:p>
    <w:p>
      <w:pPr>
        <w:pStyle w:val="Heading3"/>
      </w:pPr>
      <w:bookmarkStart w:id="208" w:name="_Toc119413911"/>
      <w:bookmarkStart w:id="209" w:name="_Toc119415567"/>
      <w:bookmarkStart w:id="210" w:name="_Toc119492667"/>
      <w:bookmarkStart w:id="211" w:name="_Toc103863041"/>
      <w:bookmarkStart w:id="212" w:name="_Toc103863252"/>
      <w:bookmarkStart w:id="213" w:name="_Toc103865188"/>
      <w:bookmarkStart w:id="214" w:name="_Toc107325685"/>
      <w:bookmarkStart w:id="215" w:name="_Toc107494094"/>
      <w:r>
        <w:rPr>
          <w:rStyle w:val="CharDivNo"/>
        </w:rPr>
        <w:t>Division 1AA</w:t>
      </w:r>
      <w:r>
        <w:t> — </w:t>
      </w:r>
      <w:r>
        <w:rPr>
          <w:rStyle w:val="CharDivText"/>
        </w:rPr>
        <w:t>Additional circumstances where orders may be made</w:t>
      </w:r>
      <w:bookmarkEnd w:id="208"/>
      <w:bookmarkEnd w:id="209"/>
      <w:bookmarkEnd w:id="210"/>
      <w:bookmarkEnd w:id="211"/>
      <w:bookmarkEnd w:id="212"/>
      <w:bookmarkEnd w:id="213"/>
      <w:bookmarkEnd w:id="214"/>
      <w:bookmarkEnd w:id="215"/>
    </w:p>
    <w:p>
      <w:pPr>
        <w:pStyle w:val="Footnoteheading"/>
      </w:pPr>
      <w:r>
        <w:tab/>
        <w:t>[Heading inserted: No. 30 of 2020 s. 57.]</w:t>
      </w:r>
    </w:p>
    <w:p>
      <w:pPr>
        <w:pStyle w:val="Heading5"/>
      </w:pPr>
      <w:bookmarkStart w:id="216" w:name="_Toc119492668"/>
      <w:bookmarkStart w:id="217" w:name="_Toc107494095"/>
      <w:r>
        <w:rPr>
          <w:rStyle w:val="CharSectno"/>
        </w:rPr>
        <w:t>13A</w:t>
      </w:r>
      <w:r>
        <w:t>.</w:t>
      </w:r>
      <w:r>
        <w:tab/>
        <w:t>Cases involving violent offences</w:t>
      </w:r>
      <w:bookmarkEnd w:id="216"/>
      <w:bookmarkEnd w:id="217"/>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218" w:name="_Toc119413913"/>
      <w:bookmarkStart w:id="219" w:name="_Toc119415569"/>
      <w:bookmarkStart w:id="220" w:name="_Toc119492669"/>
      <w:bookmarkStart w:id="221" w:name="_Toc103863043"/>
      <w:bookmarkStart w:id="222" w:name="_Toc103863254"/>
      <w:bookmarkStart w:id="223" w:name="_Toc103865190"/>
      <w:bookmarkStart w:id="224" w:name="_Toc107325687"/>
      <w:bookmarkStart w:id="225" w:name="_Toc107494096"/>
      <w:r>
        <w:rPr>
          <w:rStyle w:val="CharDivNo"/>
        </w:rPr>
        <w:t>Division 1</w:t>
      </w:r>
      <w:r>
        <w:t> — </w:t>
      </w:r>
      <w:r>
        <w:rPr>
          <w:rStyle w:val="CharDivText"/>
        </w:rPr>
        <w:t xml:space="preserve">Orders relating to </w:t>
      </w:r>
      <w:del w:id="226" w:author="Master Repository Process" w:date="2022-11-17T15:14:00Z">
        <w:r>
          <w:rPr>
            <w:rStyle w:val="CharDivText"/>
          </w:rPr>
          <w:delText>firearms</w:delText>
        </w:r>
      </w:del>
      <w:ins w:id="227" w:author="Master Repository Process" w:date="2022-11-17T15:14:00Z">
        <w:r>
          <w:rPr>
            <w:rStyle w:val="CharDivText"/>
          </w:rPr>
          <w:t>firearm items</w:t>
        </w:r>
      </w:ins>
      <w:r>
        <w:rPr>
          <w:rStyle w:val="CharDivText"/>
        </w:rPr>
        <w:t xml:space="preserve"> and explosives</w:t>
      </w:r>
      <w:bookmarkEnd w:id="218"/>
      <w:bookmarkEnd w:id="219"/>
      <w:bookmarkEnd w:id="220"/>
      <w:bookmarkEnd w:id="221"/>
      <w:bookmarkEnd w:id="222"/>
      <w:bookmarkEnd w:id="223"/>
      <w:bookmarkEnd w:id="224"/>
      <w:bookmarkEnd w:id="225"/>
    </w:p>
    <w:p>
      <w:pPr>
        <w:pStyle w:val="Footnoteheading"/>
        <w:keepNext/>
      </w:pPr>
      <w:r>
        <w:tab/>
        <w:t>[Heading inserted: No. 49 of 2016 s. 22; amended: No. 30 of 2020 s. </w:t>
      </w:r>
      <w:del w:id="228" w:author="Master Repository Process" w:date="2022-11-17T15:14:00Z">
        <w:r>
          <w:delText>58</w:delText>
        </w:r>
      </w:del>
      <w:ins w:id="229" w:author="Master Repository Process" w:date="2022-11-17T15:14:00Z">
        <w:r>
          <w:t>58; No. 13 of 2022 s. 80</w:t>
        </w:r>
      </w:ins>
      <w:r>
        <w:t>.]</w:t>
      </w:r>
    </w:p>
    <w:p>
      <w:pPr>
        <w:pStyle w:val="Heading5"/>
        <w:spacing w:before="120"/>
        <w:rPr>
          <w:snapToGrid w:val="0"/>
        </w:rPr>
      </w:pPr>
      <w:bookmarkStart w:id="230" w:name="_Toc119492670"/>
      <w:bookmarkStart w:id="231" w:name="_Toc107494097"/>
      <w:r>
        <w:rPr>
          <w:rStyle w:val="CharSectno"/>
        </w:rPr>
        <w:t>14</w:t>
      </w:r>
      <w:r>
        <w:rPr>
          <w:snapToGrid w:val="0"/>
        </w:rPr>
        <w:t>.</w:t>
      </w:r>
      <w:r>
        <w:rPr>
          <w:snapToGrid w:val="0"/>
        </w:rPr>
        <w:tab/>
        <w:t>Firearms order</w:t>
      </w:r>
      <w:bookmarkEnd w:id="230"/>
      <w:bookmarkEnd w:id="231"/>
      <w:r>
        <w:rPr>
          <w:snapToGrid w:val="0"/>
        </w:rPr>
        <w:t xml:space="preserve"> </w:t>
      </w:r>
    </w:p>
    <w:p>
      <w:pPr>
        <w:pStyle w:val="Subsection"/>
        <w:keepNext/>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 xml:space="preserve">being in possession of a </w:t>
      </w:r>
      <w:r>
        <w:t xml:space="preserve">firearm </w:t>
      </w:r>
      <w:ins w:id="232" w:author="Master Repository Process" w:date="2022-11-17T15:14:00Z">
        <w:r>
          <w:t>item</w:t>
        </w:r>
        <w:r>
          <w:rPr>
            <w:snapToGrid w:val="0"/>
          </w:rPr>
          <w:t xml:space="preserve"> </w:t>
        </w:r>
      </w:ins>
      <w:r>
        <w:rPr>
          <w:snapToGrid w:val="0"/>
        </w:rPr>
        <w:t xml:space="preserve">or </w:t>
      </w:r>
      <w:r>
        <w:t xml:space="preserve">firearms </w:t>
      </w:r>
      <w:del w:id="233" w:author="Master Repository Process" w:date="2022-11-17T15:14:00Z">
        <w:r>
          <w:rPr>
            <w:snapToGrid w:val="0"/>
          </w:rPr>
          <w:delText>licence</w:delText>
        </w:r>
      </w:del>
      <w:ins w:id="234" w:author="Master Repository Process" w:date="2022-11-17T15:14:00Z">
        <w:r>
          <w:t>authorisation</w:t>
        </w:r>
      </w:ins>
      <w:r>
        <w:rPr>
          <w:snapToGrid w:val="0"/>
        </w:rPr>
        <w:t>; and</w:t>
      </w:r>
    </w:p>
    <w:p>
      <w:pPr>
        <w:pStyle w:val="Indenta"/>
        <w:rPr>
          <w:snapToGrid w:val="0"/>
        </w:rPr>
      </w:pPr>
      <w:r>
        <w:rPr>
          <w:snapToGrid w:val="0"/>
        </w:rPr>
        <w:tab/>
        <w:t>(b)</w:t>
      </w:r>
      <w:r>
        <w:rPr>
          <w:snapToGrid w:val="0"/>
        </w:rPr>
        <w:tab/>
        <w:t xml:space="preserve">obtaining a </w:t>
      </w:r>
      <w:r>
        <w:t xml:space="preserve">firearms </w:t>
      </w:r>
      <w:del w:id="235" w:author="Master Repository Process" w:date="2022-11-17T15:14:00Z">
        <w:r>
          <w:rPr>
            <w:snapToGrid w:val="0"/>
          </w:rPr>
          <w:delText>licence</w:delText>
        </w:r>
      </w:del>
      <w:ins w:id="236" w:author="Master Repository Process" w:date="2022-11-17T15:14:00Z">
        <w:r>
          <w:t>authorisation</w:t>
        </w:r>
      </w:ins>
      <w:r>
        <w:rPr>
          <w:snapToGrid w:val="0"/>
        </w:rPr>
        <w:t>.</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w:t>
      </w:r>
      <w:del w:id="237" w:author="Master Repository Process" w:date="2022-11-17T15:14:00Z">
        <w:r>
          <w:rPr>
            <w:snapToGrid w:val="0"/>
          </w:rPr>
          <w:delText>firearms</w:delText>
        </w:r>
      </w:del>
      <w:ins w:id="238" w:author="Master Repository Process" w:date="2022-11-17T15:14:00Z">
        <w:r>
          <w:t>firearm items</w:t>
        </w:r>
      </w:ins>
      <w:r>
        <w:t xml:space="preserve"> and</w:t>
      </w:r>
      <w:r>
        <w:rPr>
          <w:snapToGrid w:val="0"/>
        </w:rPr>
        <w:t xml:space="preserve"> </w:t>
      </w:r>
      <w:r>
        <w:t xml:space="preserve">firearms </w:t>
      </w:r>
      <w:del w:id="239" w:author="Master Repository Process" w:date="2022-11-17T15:14:00Z">
        <w:r>
          <w:rPr>
            <w:snapToGrid w:val="0"/>
          </w:rPr>
          <w:delText>licences</w:delText>
        </w:r>
      </w:del>
      <w:ins w:id="240" w:author="Master Repository Process" w:date="2022-11-17T15:14:00Z">
        <w:r>
          <w:t>authorisations</w:t>
        </w:r>
      </w:ins>
      <w:r>
        <w:rPr>
          <w:snapToGrid w:val="0"/>
        </w:rPr>
        <w:t xml:space="preserve"> held by the person. </w:t>
      </w:r>
    </w:p>
    <w:p>
      <w:pPr>
        <w:pStyle w:val="Subsection"/>
        <w:spacing w:before="120"/>
        <w:rPr>
          <w:snapToGrid w:val="0"/>
        </w:rPr>
      </w:pPr>
      <w:r>
        <w:rPr>
          <w:snapToGrid w:val="0"/>
        </w:rPr>
        <w:tab/>
        <w:t>(3)</w:t>
      </w:r>
      <w:r>
        <w:rPr>
          <w:snapToGrid w:val="0"/>
        </w:rPr>
        <w:tab/>
        <w:t xml:space="preserve">A </w:t>
      </w:r>
      <w:r>
        <w:t xml:space="preserve">firearm </w:t>
      </w:r>
      <w:ins w:id="241" w:author="Master Repository Process" w:date="2022-11-17T15:14:00Z">
        <w:r>
          <w:t>item</w:t>
        </w:r>
        <w:r>
          <w:rPr>
            <w:snapToGrid w:val="0"/>
          </w:rPr>
          <w:t xml:space="preserve"> </w:t>
        </w:r>
      </w:ins>
      <w:r>
        <w:rPr>
          <w:snapToGrid w:val="0"/>
        </w:rPr>
        <w:t xml:space="preserve">or </w:t>
      </w:r>
      <w:r>
        <w:t xml:space="preserve">firearms </w:t>
      </w:r>
      <w:del w:id="242" w:author="Master Repository Process" w:date="2022-11-17T15:14:00Z">
        <w:r>
          <w:rPr>
            <w:snapToGrid w:val="0"/>
          </w:rPr>
          <w:delText>licence</w:delText>
        </w:r>
      </w:del>
      <w:ins w:id="243" w:author="Master Repository Process" w:date="2022-11-17T15:14:00Z">
        <w:r>
          <w:t>authorisation</w:t>
        </w:r>
      </w:ins>
      <w:r>
        <w:rPr>
          <w:snapToGrid w:val="0"/>
        </w:rPr>
        <w:t xml:space="preserv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keepNext/>
        <w:rPr>
          <w:snapToGrid w:val="0"/>
        </w:rPr>
      </w:pPr>
      <w:r>
        <w:rPr>
          <w:snapToGrid w:val="0"/>
        </w:rPr>
        <w:tab/>
        <w:t>(a)</w:t>
      </w:r>
      <w:r>
        <w:rPr>
          <w:snapToGrid w:val="0"/>
        </w:rPr>
        <w:tab/>
        <w:t xml:space="preserve">was lawfully in possession of a </w:t>
      </w:r>
      <w:r>
        <w:t xml:space="preserve">firearm </w:t>
      </w:r>
      <w:ins w:id="244" w:author="Master Repository Process" w:date="2022-11-17T15:14:00Z">
        <w:r>
          <w:t xml:space="preserve">item </w:t>
        </w:r>
      </w:ins>
      <w:r>
        <w:rPr>
          <w:snapToGrid w:val="0"/>
        </w:rPr>
        <w:t xml:space="preserve">or </w:t>
      </w:r>
      <w:r>
        <w:t xml:space="preserve">firearms </w:t>
      </w:r>
      <w:del w:id="245" w:author="Master Repository Process" w:date="2022-11-17T15:14:00Z">
        <w:r>
          <w:rPr>
            <w:snapToGrid w:val="0"/>
          </w:rPr>
          <w:delText>licence</w:delText>
        </w:r>
      </w:del>
      <w:ins w:id="246" w:author="Master Repository Process" w:date="2022-11-17T15:14:00Z">
        <w:r>
          <w:t>authorisation</w:t>
        </w:r>
      </w:ins>
      <w:r>
        <w:t xml:space="preserve"> </w:t>
      </w:r>
      <w:r>
        <w:rPr>
          <w:snapToGrid w:val="0"/>
        </w:rPr>
        <w:t>before the order was made; and</w:t>
      </w:r>
    </w:p>
    <w:p>
      <w:pPr>
        <w:pStyle w:val="Indenta"/>
        <w:keepNext/>
        <w:rPr>
          <w:snapToGrid w:val="0"/>
        </w:rPr>
      </w:pPr>
      <w:r>
        <w:rPr>
          <w:snapToGrid w:val="0"/>
        </w:rPr>
        <w:tab/>
        <w:t>(b)</w:t>
      </w:r>
      <w:r>
        <w:rPr>
          <w:snapToGrid w:val="0"/>
        </w:rPr>
        <w:tab/>
        <w:t xml:space="preserve">gives up possession of the </w:t>
      </w:r>
      <w:r>
        <w:t xml:space="preserve">firearm </w:t>
      </w:r>
      <w:ins w:id="247" w:author="Master Repository Process" w:date="2022-11-17T15:14:00Z">
        <w:r>
          <w:t xml:space="preserve">item </w:t>
        </w:r>
      </w:ins>
      <w:r>
        <w:rPr>
          <w:snapToGrid w:val="0"/>
        </w:rPr>
        <w:t xml:space="preserve">or </w:t>
      </w:r>
      <w:r>
        <w:t xml:space="preserve">firearms </w:t>
      </w:r>
      <w:del w:id="248" w:author="Master Repository Process" w:date="2022-11-17T15:14:00Z">
        <w:r>
          <w:rPr>
            <w:snapToGrid w:val="0"/>
          </w:rPr>
          <w:delText>licence</w:delText>
        </w:r>
      </w:del>
      <w:ins w:id="249" w:author="Master Repository Process" w:date="2022-11-17T15:14:00Z">
        <w:r>
          <w:t>authorisation</w:t>
        </w:r>
      </w:ins>
      <w:r>
        <w:t xml:space="preserve"> </w:t>
      </w:r>
      <w:r>
        <w:rPr>
          <w:snapToGrid w:val="0"/>
        </w:rPr>
        <w:t xml:space="preserve">under subsection (2), </w:t>
      </w:r>
    </w:p>
    <w:p>
      <w:pPr>
        <w:pStyle w:val="Subsection"/>
        <w:spacing w:before="120"/>
        <w:rPr>
          <w:snapToGrid w:val="0"/>
        </w:rPr>
      </w:pPr>
      <w:r>
        <w:rPr>
          <w:snapToGrid w:val="0"/>
        </w:rPr>
        <w:tab/>
      </w:r>
      <w:r>
        <w:rPr>
          <w:snapToGrid w:val="0"/>
        </w:rPr>
        <w:tab/>
        <w:t xml:space="preserve">the person does not breach the order by reason only of being in possession of the </w:t>
      </w:r>
      <w:r>
        <w:t xml:space="preserve">firearm </w:t>
      </w:r>
      <w:ins w:id="250" w:author="Master Repository Process" w:date="2022-11-17T15:14:00Z">
        <w:r>
          <w:t>item</w:t>
        </w:r>
        <w:r>
          <w:rPr>
            <w:snapToGrid w:val="0"/>
          </w:rPr>
          <w:t xml:space="preserve"> </w:t>
        </w:r>
      </w:ins>
      <w:r>
        <w:rPr>
          <w:snapToGrid w:val="0"/>
        </w:rPr>
        <w:t xml:space="preserve">or </w:t>
      </w:r>
      <w:r>
        <w:t xml:space="preserve">firearms </w:t>
      </w:r>
      <w:del w:id="251" w:author="Master Repository Process" w:date="2022-11-17T15:14:00Z">
        <w:r>
          <w:rPr>
            <w:snapToGrid w:val="0"/>
          </w:rPr>
          <w:delText>licence</w:delText>
        </w:r>
      </w:del>
      <w:ins w:id="252" w:author="Master Repository Process" w:date="2022-11-17T15:14:00Z">
        <w:r>
          <w:t>authorisation</w:t>
        </w:r>
      </w:ins>
      <w:r>
        <w:t xml:space="preserve"> </w:t>
      </w:r>
      <w:r>
        <w:rPr>
          <w:snapToGrid w:val="0"/>
        </w:rPr>
        <w:t>for the period necessary to comply with subsection (2).</w:t>
      </w:r>
    </w:p>
    <w:p>
      <w:pPr>
        <w:pStyle w:val="Subsection"/>
        <w:keepNext/>
        <w:spacing w:before="120"/>
        <w:rPr>
          <w:snapToGrid w:val="0"/>
        </w:rPr>
      </w:pPr>
      <w:r>
        <w:rPr>
          <w:snapToGrid w:val="0"/>
        </w:rPr>
        <w:tab/>
        <w:t>(5)</w:t>
      </w:r>
      <w:r>
        <w:rPr>
          <w:snapToGrid w:val="0"/>
        </w:rPr>
        <w:tab/>
        <w:t xml:space="preserve">When making </w:t>
      </w:r>
      <w:r>
        <w:t xml:space="preserve">an FVRO or VRO </w:t>
      </w:r>
      <w:r>
        <w:rPr>
          <w:snapToGrid w:val="0"/>
        </w:rPr>
        <w:t xml:space="preserve">a court may permit the respondent to have possession of a </w:t>
      </w:r>
      <w:r>
        <w:t>firearm</w:t>
      </w:r>
      <w:ins w:id="253" w:author="Master Repository Process" w:date="2022-11-17T15:14:00Z">
        <w:r>
          <w:t xml:space="preserve"> item</w:t>
        </w:r>
      </w:ins>
      <w:r>
        <w:rPr>
          <w:snapToGrid w:val="0"/>
        </w:rPr>
        <w:t xml:space="preserve">, and, if necessary, a </w:t>
      </w:r>
      <w:r>
        <w:t xml:space="preserve">firearms </w:t>
      </w:r>
      <w:del w:id="254" w:author="Master Repository Process" w:date="2022-11-17T15:14:00Z">
        <w:r>
          <w:rPr>
            <w:snapToGrid w:val="0"/>
          </w:rPr>
          <w:delText>licence</w:delText>
        </w:r>
      </w:del>
      <w:ins w:id="255" w:author="Master Repository Process" w:date="2022-11-17T15:14:00Z">
        <w:r>
          <w:t>authorisation</w:t>
        </w:r>
      </w:ins>
      <w:r>
        <w:rPr>
          <w:snapToGrid w:val="0"/>
        </w:rPr>
        <w:t xml:space="preserve"> relating to it, on such conditions as the court thinks fit, if the court is satisfied that — </w:t>
      </w:r>
    </w:p>
    <w:p>
      <w:pPr>
        <w:pStyle w:val="Indenta"/>
        <w:spacing w:before="60"/>
        <w:rPr>
          <w:snapToGrid w:val="0"/>
        </w:rPr>
      </w:pPr>
      <w:r>
        <w:rPr>
          <w:snapToGrid w:val="0"/>
        </w:rPr>
        <w:tab/>
        <w:t>(a)</w:t>
      </w:r>
      <w:r>
        <w:rPr>
          <w:snapToGrid w:val="0"/>
        </w:rPr>
        <w:tab/>
        <w:t xml:space="preserve">the respondent cannot carry on the respondent’s usual occupation unless the respondent is permitted to have possession of a </w:t>
      </w:r>
      <w:r>
        <w:t>firearm</w:t>
      </w:r>
      <w:ins w:id="256" w:author="Master Repository Process" w:date="2022-11-17T15:14:00Z">
        <w:r>
          <w:t xml:space="preserve"> item</w:t>
        </w:r>
      </w:ins>
      <w:r>
        <w:rPr>
          <w:snapToGrid w:val="0"/>
        </w:rPr>
        <w:t>; and</w:t>
      </w:r>
    </w:p>
    <w:p>
      <w:pPr>
        <w:pStyle w:val="Indenta"/>
        <w:spacing w:before="60"/>
        <w:rPr>
          <w:snapToGrid w:val="0"/>
        </w:rPr>
      </w:pPr>
      <w:r>
        <w:rPr>
          <w:snapToGrid w:val="0"/>
        </w:rPr>
        <w:tab/>
        <w:t>(b)</w:t>
      </w:r>
      <w:r>
        <w:rPr>
          <w:snapToGrid w:val="0"/>
        </w:rPr>
        <w:tab/>
        <w:t xml:space="preserve">the behaviour in relation to which the order was sought did not involve the use, or threatened use, of a </w:t>
      </w:r>
      <w:r>
        <w:t>firearm</w:t>
      </w:r>
      <w:ins w:id="257" w:author="Master Repository Process" w:date="2022-11-17T15:14:00Z">
        <w:r>
          <w:t xml:space="preserve"> item</w:t>
        </w:r>
      </w:ins>
      <w:r>
        <w:rPr>
          <w:snapToGrid w:val="0"/>
        </w:rPr>
        <w:t>; and</w:t>
      </w:r>
    </w:p>
    <w:p>
      <w:pPr>
        <w:pStyle w:val="Indenta"/>
        <w:spacing w:before="60"/>
        <w:rPr>
          <w:snapToGrid w:val="0"/>
        </w:rPr>
      </w:pPr>
      <w:r>
        <w:rPr>
          <w:snapToGrid w:val="0"/>
        </w:rPr>
        <w:tab/>
        <w:t>(c)</w:t>
      </w:r>
      <w:r>
        <w:rPr>
          <w:snapToGrid w:val="0"/>
        </w:rPr>
        <w:tab/>
        <w:t xml:space="preserve">the safety of any person, or their perception of their safety, is not likely to be adversely affected by the respondent’s possession of a </w:t>
      </w:r>
      <w:r>
        <w:t>firearm</w:t>
      </w:r>
      <w:ins w:id="258" w:author="Master Repository Process" w:date="2022-11-17T15:14:00Z">
        <w:r>
          <w:t xml:space="preserve"> item</w:t>
        </w:r>
      </w:ins>
      <w:r>
        <w:rPr>
          <w:snapToGrid w:val="0"/>
        </w:rPr>
        <w:t>.</w:t>
      </w:r>
    </w:p>
    <w:p>
      <w:pPr>
        <w:pStyle w:val="Subsection"/>
        <w:spacing w:before="120"/>
        <w:rPr>
          <w:snapToGrid w:val="0"/>
        </w:rPr>
      </w:pPr>
      <w:r>
        <w:rPr>
          <w:snapToGrid w:val="0"/>
        </w:rPr>
        <w:tab/>
        <w:t>(6)</w:t>
      </w:r>
      <w:r>
        <w:rPr>
          <w:snapToGrid w:val="0"/>
        </w:rPr>
        <w:tab/>
        <w:t xml:space="preserve">If, under subsection (5), a court permits a respondent to have possession of a </w:t>
      </w:r>
      <w:r>
        <w:t>firearm</w:t>
      </w:r>
      <w:ins w:id="259" w:author="Master Repository Process" w:date="2022-11-17T15:14:00Z">
        <w:r>
          <w:t xml:space="preserve"> item</w:t>
        </w:r>
      </w:ins>
      <w:r>
        <w:rPr>
          <w:snapToGrid w:val="0"/>
        </w:rPr>
        <w:t xml:space="preserve">,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keepNext/>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 xml:space="preserve">within which the respondent must give up possession of </w:t>
      </w:r>
      <w:del w:id="260" w:author="Master Repository Process" w:date="2022-11-17T15:14:00Z">
        <w:r>
          <w:rPr>
            <w:snapToGrid w:val="0"/>
          </w:rPr>
          <w:delText>firearms</w:delText>
        </w:r>
      </w:del>
      <w:ins w:id="261" w:author="Master Repository Process" w:date="2022-11-17T15:14:00Z">
        <w:r>
          <w:t>firearm items</w:t>
        </w:r>
      </w:ins>
      <w:r>
        <w:t xml:space="preserve"> and</w:t>
      </w:r>
      <w:r>
        <w:rPr>
          <w:snapToGrid w:val="0"/>
        </w:rPr>
        <w:t xml:space="preserve"> </w:t>
      </w:r>
      <w:r>
        <w:t xml:space="preserve">firearms </w:t>
      </w:r>
      <w:del w:id="262" w:author="Master Repository Process" w:date="2022-11-17T15:14:00Z">
        <w:r>
          <w:rPr>
            <w:snapToGrid w:val="0"/>
          </w:rPr>
          <w:delText>licences</w:delText>
        </w:r>
      </w:del>
      <w:ins w:id="263" w:author="Master Repository Process" w:date="2022-11-17T15:14:00Z">
        <w:r>
          <w:t>authorisations</w:t>
        </w:r>
      </w:ins>
      <w:r>
        <w:rPr>
          <w:snapToGrid w:val="0"/>
        </w:rPr>
        <w:t>.</w:t>
      </w:r>
    </w:p>
    <w:p>
      <w:pPr>
        <w:pStyle w:val="Footnotesection"/>
        <w:spacing w:before="80"/>
        <w:ind w:left="890" w:hanging="890"/>
      </w:pPr>
      <w:r>
        <w:tab/>
        <w:t>[Section 14 amended: No. 38 of 2004 s. 55; No. 49 of 2016 s. </w:t>
      </w:r>
      <w:del w:id="264" w:author="Master Repository Process" w:date="2022-11-17T15:14:00Z">
        <w:r>
          <w:delText>23</w:delText>
        </w:r>
      </w:del>
      <w:ins w:id="265" w:author="Master Repository Process" w:date="2022-11-17T15:14:00Z">
        <w:r>
          <w:t>23; No. 13 of 2022 s. 80 and 81</w:t>
        </w:r>
      </w:ins>
      <w:r>
        <w:t>.]</w:t>
      </w:r>
    </w:p>
    <w:p>
      <w:pPr>
        <w:pStyle w:val="Heading5"/>
      </w:pPr>
      <w:bookmarkStart w:id="266" w:name="_Toc119492671"/>
      <w:bookmarkStart w:id="267" w:name="_Toc107494098"/>
      <w:r>
        <w:rPr>
          <w:rStyle w:val="CharSectno"/>
        </w:rPr>
        <w:t>14A</w:t>
      </w:r>
      <w:r>
        <w:t>.</w:t>
      </w:r>
      <w:r>
        <w:tab/>
        <w:t>Explosives order</w:t>
      </w:r>
      <w:bookmarkEnd w:id="266"/>
      <w:bookmarkEnd w:id="267"/>
      <w:r>
        <w:t xml:space="preserve"> </w:t>
      </w:r>
    </w:p>
    <w:p>
      <w:pPr>
        <w:pStyle w:val="Subsection"/>
        <w:keepNext/>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keepNext/>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268" w:name="_Toc119413916"/>
      <w:bookmarkStart w:id="269" w:name="_Toc119415572"/>
      <w:bookmarkStart w:id="270" w:name="_Toc119492672"/>
      <w:bookmarkStart w:id="271" w:name="_Toc103863046"/>
      <w:bookmarkStart w:id="272" w:name="_Toc103863257"/>
      <w:bookmarkStart w:id="273" w:name="_Toc103865193"/>
      <w:bookmarkStart w:id="274" w:name="_Toc107325690"/>
      <w:bookmarkStart w:id="275" w:name="_Toc107494099"/>
      <w:r>
        <w:rPr>
          <w:rStyle w:val="CharDivNo"/>
        </w:rPr>
        <w:t>Division 1A</w:t>
      </w:r>
      <w:r>
        <w:t> — </w:t>
      </w:r>
      <w:r>
        <w:rPr>
          <w:rStyle w:val="CharDivText"/>
        </w:rPr>
        <w:t>Duration of orders</w:t>
      </w:r>
      <w:bookmarkEnd w:id="268"/>
      <w:bookmarkEnd w:id="269"/>
      <w:bookmarkEnd w:id="270"/>
      <w:bookmarkEnd w:id="271"/>
      <w:bookmarkEnd w:id="272"/>
      <w:bookmarkEnd w:id="273"/>
      <w:bookmarkEnd w:id="274"/>
      <w:bookmarkEnd w:id="275"/>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276" w:name="_Toc119492673"/>
      <w:bookmarkStart w:id="277" w:name="_Toc107494100"/>
      <w:r>
        <w:rPr>
          <w:rStyle w:val="CharSectno"/>
        </w:rPr>
        <w:t>16</w:t>
      </w:r>
      <w:r>
        <w:rPr>
          <w:snapToGrid w:val="0"/>
        </w:rPr>
        <w:t>.</w:t>
      </w:r>
      <w:r>
        <w:rPr>
          <w:snapToGrid w:val="0"/>
        </w:rPr>
        <w:tab/>
        <w:t>Duration of FVRO or VRO generally</w:t>
      </w:r>
      <w:bookmarkEnd w:id="276"/>
      <w:bookmarkEnd w:id="277"/>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keepNext/>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keepNext/>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278" w:name="_Toc119492674"/>
      <w:bookmarkStart w:id="279" w:name="_Toc107494101"/>
      <w:r>
        <w:rPr>
          <w:rStyle w:val="CharSectno"/>
        </w:rPr>
        <w:t>16A</w:t>
      </w:r>
      <w:r>
        <w:t>.</w:t>
      </w:r>
      <w:r>
        <w:tab/>
        <w:t>Duration of FVRO</w:t>
      </w:r>
      <w:bookmarkEnd w:id="278"/>
      <w:bookmarkEnd w:id="279"/>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keepNext/>
      </w:pPr>
      <w:r>
        <w:tab/>
        <w:t>(2)</w:t>
      </w:r>
      <w:r>
        <w:tab/>
        <w:t>Unless varied or cancelled under Part 5, a final order that is an FVRO made against a respondent who is not a prisoner remains in force for — </w:t>
      </w:r>
    </w:p>
    <w:p>
      <w:pPr>
        <w:pStyle w:val="Indenta"/>
        <w:keepNext/>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keepNext/>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keepNext/>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keepNext/>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280" w:name="_Toc119492675"/>
      <w:bookmarkStart w:id="281" w:name="_Toc107494102"/>
      <w:r>
        <w:rPr>
          <w:rStyle w:val="CharSectno"/>
        </w:rPr>
        <w:t>16B</w:t>
      </w:r>
      <w:r>
        <w:t>.</w:t>
      </w:r>
      <w:r>
        <w:tab/>
        <w:t>Duration of VRO</w:t>
      </w:r>
      <w:bookmarkEnd w:id="280"/>
      <w:bookmarkEnd w:id="281"/>
    </w:p>
    <w:p>
      <w:pPr>
        <w:pStyle w:val="Subsection"/>
        <w:keepNext/>
      </w:pPr>
      <w:r>
        <w:tab/>
      </w:r>
      <w:r>
        <w:tab/>
        <w:t>Unless varied or cancelled under Part 5, a final order that is a VRO remains in force for — </w:t>
      </w:r>
    </w:p>
    <w:p>
      <w:pPr>
        <w:pStyle w:val="Indenta"/>
        <w:keepNext/>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keepNext/>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282" w:name="_Toc119413920"/>
      <w:bookmarkStart w:id="283" w:name="_Toc119415576"/>
      <w:bookmarkStart w:id="284" w:name="_Toc119492676"/>
      <w:bookmarkStart w:id="285" w:name="_Toc103863050"/>
      <w:bookmarkStart w:id="286" w:name="_Toc103863261"/>
      <w:bookmarkStart w:id="287" w:name="_Toc103865197"/>
      <w:bookmarkStart w:id="288" w:name="_Toc107325694"/>
      <w:bookmarkStart w:id="289" w:name="_Toc107494103"/>
      <w:r>
        <w:rPr>
          <w:rStyle w:val="CharDivNo"/>
        </w:rPr>
        <w:t>Division 2</w:t>
      </w:r>
      <w:r>
        <w:rPr>
          <w:snapToGrid w:val="0"/>
        </w:rPr>
        <w:t> — </w:t>
      </w:r>
      <w:r>
        <w:rPr>
          <w:rStyle w:val="CharDivText"/>
        </w:rPr>
        <w:t>Telephone applications</w:t>
      </w:r>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119492677"/>
      <w:bookmarkStart w:id="291" w:name="_Toc107494104"/>
      <w:r>
        <w:rPr>
          <w:rStyle w:val="CharSectno"/>
        </w:rPr>
        <w:t>17</w:t>
      </w:r>
      <w:r>
        <w:rPr>
          <w:snapToGrid w:val="0"/>
        </w:rPr>
        <w:t>.</w:t>
      </w:r>
      <w:r>
        <w:rPr>
          <w:snapToGrid w:val="0"/>
        </w:rPr>
        <w:tab/>
        <w:t>Authorised magistrates</w:t>
      </w:r>
      <w:bookmarkEnd w:id="290"/>
      <w:bookmarkEnd w:id="291"/>
      <w:r>
        <w:rPr>
          <w:snapToGrid w:val="0"/>
        </w:rPr>
        <w:t xml:space="preserve"> </w:t>
      </w:r>
    </w:p>
    <w:p>
      <w:pPr>
        <w:pStyle w:val="Subsection"/>
        <w:keepNext/>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keepNext/>
      </w:pPr>
      <w:r>
        <w:tab/>
        <w:t>[(2)</w:t>
      </w:r>
      <w:r>
        <w:tab/>
        <w:t>deleted]</w:t>
      </w:r>
    </w:p>
    <w:p>
      <w:pPr>
        <w:pStyle w:val="Footnotesection"/>
        <w:ind w:left="890" w:hanging="890"/>
      </w:pPr>
      <w:r>
        <w:tab/>
        <w:t>[Section 17 amended: No. 59 of 2004 s. 124.]</w:t>
      </w:r>
    </w:p>
    <w:p>
      <w:pPr>
        <w:pStyle w:val="Heading5"/>
      </w:pPr>
      <w:bookmarkStart w:id="292" w:name="_Toc119492678"/>
      <w:bookmarkStart w:id="293" w:name="_Toc107494105"/>
      <w:r>
        <w:rPr>
          <w:rStyle w:val="CharSectno"/>
        </w:rPr>
        <w:t>18</w:t>
      </w:r>
      <w:r>
        <w:t>.</w:t>
      </w:r>
      <w:r>
        <w:tab/>
        <w:t>Who can apply</w:t>
      </w:r>
      <w:bookmarkEnd w:id="292"/>
      <w:bookmarkEnd w:id="293"/>
    </w:p>
    <w:p>
      <w:pPr>
        <w:pStyle w:val="Subsection"/>
        <w:keepNext/>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Next/>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294" w:name="_Toc119492679"/>
      <w:bookmarkStart w:id="295" w:name="_Toc107494106"/>
      <w:r>
        <w:rPr>
          <w:rStyle w:val="CharSectno"/>
        </w:rPr>
        <w:t>19</w:t>
      </w:r>
      <w:r>
        <w:rPr>
          <w:snapToGrid w:val="0"/>
        </w:rPr>
        <w:t>.</w:t>
      </w:r>
      <w:r>
        <w:rPr>
          <w:snapToGrid w:val="0"/>
        </w:rPr>
        <w:tab/>
        <w:t>How to make telephone application</w:t>
      </w:r>
      <w:bookmarkEnd w:id="294"/>
      <w:bookmarkEnd w:id="295"/>
      <w:r>
        <w:rPr>
          <w:snapToGrid w:val="0"/>
        </w:rPr>
        <w:t xml:space="preserve"> </w:t>
      </w:r>
    </w:p>
    <w:p>
      <w:pPr>
        <w:pStyle w:val="Subsection"/>
        <w:keepNext/>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keepNext/>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296" w:name="_Toc119492680"/>
      <w:bookmarkStart w:id="297" w:name="_Toc107494107"/>
      <w:r>
        <w:rPr>
          <w:rStyle w:val="CharSectno"/>
        </w:rPr>
        <w:t>20</w:t>
      </w:r>
      <w:r>
        <w:rPr>
          <w:snapToGrid w:val="0"/>
        </w:rPr>
        <w:t>.</w:t>
      </w:r>
      <w:r>
        <w:rPr>
          <w:snapToGrid w:val="0"/>
        </w:rPr>
        <w:tab/>
        <w:t>When telephone application may be heard</w:t>
      </w:r>
      <w:bookmarkEnd w:id="296"/>
      <w:bookmarkEnd w:id="297"/>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keepNext/>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keepNext/>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298" w:name="_Toc119492681"/>
      <w:bookmarkStart w:id="299" w:name="_Toc107494108"/>
      <w:r>
        <w:rPr>
          <w:rStyle w:val="CharSectno"/>
        </w:rPr>
        <w:t>21</w:t>
      </w:r>
      <w:r>
        <w:rPr>
          <w:snapToGrid w:val="0"/>
        </w:rPr>
        <w:t>.</w:t>
      </w:r>
      <w:r>
        <w:rPr>
          <w:snapToGrid w:val="0"/>
        </w:rPr>
        <w:tab/>
        <w:t>How hearing to be conducted</w:t>
      </w:r>
      <w:bookmarkEnd w:id="298"/>
      <w:bookmarkEnd w:id="29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keepNext/>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keepNext/>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300" w:name="_Toc119492682"/>
      <w:bookmarkStart w:id="301" w:name="_Toc107494109"/>
      <w:r>
        <w:rPr>
          <w:rStyle w:val="CharSectno"/>
        </w:rPr>
        <w:t>23</w:t>
      </w:r>
      <w:r>
        <w:rPr>
          <w:snapToGrid w:val="0"/>
        </w:rPr>
        <w:t>.</w:t>
      </w:r>
      <w:r>
        <w:rPr>
          <w:snapToGrid w:val="0"/>
        </w:rPr>
        <w:tab/>
        <w:t>Orders at telephone hearing</w:t>
      </w:r>
      <w:bookmarkEnd w:id="300"/>
      <w:bookmarkEnd w:id="301"/>
      <w:r>
        <w:rPr>
          <w:snapToGrid w:val="0"/>
        </w:rPr>
        <w:t xml:space="preserve"> </w:t>
      </w:r>
    </w:p>
    <w:p>
      <w:pPr>
        <w:pStyle w:val="Subsection"/>
        <w:keepNext/>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keepNext/>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302" w:name="_Toc119492683"/>
      <w:bookmarkStart w:id="303" w:name="_Toc107494110"/>
      <w:r>
        <w:rPr>
          <w:rStyle w:val="CharSectno"/>
        </w:rPr>
        <w:t>24</w:t>
      </w:r>
      <w:r>
        <w:rPr>
          <w:snapToGrid w:val="0"/>
        </w:rPr>
        <w:t>.</w:t>
      </w:r>
      <w:r>
        <w:rPr>
          <w:snapToGrid w:val="0"/>
        </w:rPr>
        <w:tab/>
        <w:t>Telephone order to be prepared and served</w:t>
      </w:r>
      <w:bookmarkEnd w:id="302"/>
      <w:bookmarkEnd w:id="303"/>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keepNext/>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keepNext/>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304" w:name="_Toc119413928"/>
      <w:bookmarkStart w:id="305" w:name="_Toc119415584"/>
      <w:bookmarkStart w:id="306" w:name="_Toc119492684"/>
      <w:bookmarkStart w:id="307" w:name="_Toc103863058"/>
      <w:bookmarkStart w:id="308" w:name="_Toc103863269"/>
      <w:bookmarkStart w:id="309" w:name="_Toc103865205"/>
      <w:bookmarkStart w:id="310" w:name="_Toc107325702"/>
      <w:bookmarkStart w:id="311" w:name="_Toc107494111"/>
      <w:r>
        <w:rPr>
          <w:rStyle w:val="CharDivNo"/>
        </w:rPr>
        <w:t>Division 3</w:t>
      </w:r>
      <w:r>
        <w:rPr>
          <w:snapToGrid w:val="0"/>
        </w:rPr>
        <w:t> — </w:t>
      </w:r>
      <w:r>
        <w:rPr>
          <w:rStyle w:val="CharDivText"/>
        </w:rPr>
        <w:t>Applications in person to a court</w:t>
      </w:r>
      <w:bookmarkEnd w:id="304"/>
      <w:bookmarkEnd w:id="305"/>
      <w:bookmarkEnd w:id="306"/>
      <w:bookmarkEnd w:id="307"/>
      <w:bookmarkEnd w:id="308"/>
      <w:bookmarkEnd w:id="309"/>
      <w:bookmarkEnd w:id="310"/>
      <w:bookmarkEnd w:id="311"/>
    </w:p>
    <w:p>
      <w:pPr>
        <w:pStyle w:val="Footnoteheading"/>
        <w:keepNext/>
        <w:tabs>
          <w:tab w:val="left" w:pos="851"/>
        </w:tabs>
      </w:pPr>
      <w:r>
        <w:tab/>
        <w:t>[Heading amended: No. 38 of 2004 s. 18(7).]</w:t>
      </w:r>
    </w:p>
    <w:p>
      <w:pPr>
        <w:pStyle w:val="Heading5"/>
      </w:pPr>
      <w:bookmarkStart w:id="312" w:name="_Toc119492685"/>
      <w:bookmarkStart w:id="313" w:name="_Toc107494112"/>
      <w:r>
        <w:rPr>
          <w:rStyle w:val="CharSectno"/>
        </w:rPr>
        <w:t>24A</w:t>
      </w:r>
      <w:r>
        <w:t>.</w:t>
      </w:r>
      <w:r>
        <w:tab/>
        <w:t>Application for FVRO</w:t>
      </w:r>
      <w:bookmarkEnd w:id="312"/>
      <w:bookmarkEnd w:id="313"/>
    </w:p>
    <w:p>
      <w:pPr>
        <w:pStyle w:val="Subsection"/>
        <w:keepNext/>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keepNext/>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keepNext/>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keepNext/>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314" w:name="_Toc119492686"/>
      <w:bookmarkStart w:id="315" w:name="_Toc107494113"/>
      <w:r>
        <w:rPr>
          <w:rStyle w:val="CharSectno"/>
        </w:rPr>
        <w:t>25</w:t>
      </w:r>
      <w:r>
        <w:t>.</w:t>
      </w:r>
      <w:r>
        <w:tab/>
        <w:t>Application for VRO</w:t>
      </w:r>
      <w:bookmarkEnd w:id="314"/>
      <w:bookmarkEnd w:id="315"/>
    </w:p>
    <w:p>
      <w:pPr>
        <w:pStyle w:val="Subsection"/>
        <w:keepNext/>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keepNext/>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keepNext/>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keepNext/>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316" w:name="_Toc119492687"/>
      <w:bookmarkStart w:id="317" w:name="_Toc107494114"/>
      <w:r>
        <w:rPr>
          <w:rStyle w:val="CharSectno"/>
        </w:rPr>
        <w:t>26</w:t>
      </w:r>
      <w:r>
        <w:rPr>
          <w:snapToGrid w:val="0"/>
        </w:rPr>
        <w:t>.</w:t>
      </w:r>
      <w:r>
        <w:rPr>
          <w:snapToGrid w:val="0"/>
        </w:rPr>
        <w:tab/>
        <w:t>Applicant to choose whether to have hearing in absence of respondent</w:t>
      </w:r>
      <w:bookmarkEnd w:id="316"/>
      <w:bookmarkEnd w:id="317"/>
      <w:r>
        <w:rPr>
          <w:snapToGrid w:val="0"/>
        </w:rPr>
        <w:t xml:space="preserve"> </w:t>
      </w:r>
    </w:p>
    <w:p>
      <w:pPr>
        <w:pStyle w:val="Subsection"/>
        <w:keepNext/>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keepNext/>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318" w:name="_Toc119492688"/>
      <w:bookmarkStart w:id="319" w:name="_Toc107494115"/>
      <w:r>
        <w:rPr>
          <w:rStyle w:val="CharSectno"/>
        </w:rPr>
        <w:t>27</w:t>
      </w:r>
      <w:r>
        <w:rPr>
          <w:snapToGrid w:val="0"/>
        </w:rPr>
        <w:t>.</w:t>
      </w:r>
      <w:r>
        <w:rPr>
          <w:snapToGrid w:val="0"/>
        </w:rPr>
        <w:tab/>
        <w:t>Attendance at hearing in absence of respondent</w:t>
      </w:r>
      <w:bookmarkEnd w:id="318"/>
      <w:bookmarkEnd w:id="319"/>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keepNext/>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keepNext/>
        <w:tabs>
          <w:tab w:val="clear" w:pos="879"/>
          <w:tab w:val="left" w:pos="1134"/>
        </w:tabs>
        <w:ind w:left="1134" w:hanging="1134"/>
      </w:pPr>
      <w:r>
        <w:tab/>
        <w:t>[(4a), (5)</w:t>
      </w:r>
      <w:r>
        <w:tab/>
        <w:t>deleted]</w:t>
      </w:r>
    </w:p>
    <w:p>
      <w:pPr>
        <w:pStyle w:val="Footnotesection"/>
      </w:pPr>
      <w:r>
        <w:tab/>
        <w:t>[Section 27 amended: No. 38 of 2004 s. 15; No. 5 of 2008 s. 93; No. 30 of 2020 s. 61.]</w:t>
      </w:r>
    </w:p>
    <w:p>
      <w:pPr>
        <w:pStyle w:val="Heading5"/>
        <w:rPr>
          <w:snapToGrid w:val="0"/>
        </w:rPr>
      </w:pPr>
      <w:bookmarkStart w:id="320" w:name="_Toc119492689"/>
      <w:bookmarkStart w:id="321" w:name="_Toc107494116"/>
      <w:r>
        <w:rPr>
          <w:rStyle w:val="CharSectno"/>
        </w:rPr>
        <w:t>28</w:t>
      </w:r>
      <w:r>
        <w:rPr>
          <w:snapToGrid w:val="0"/>
        </w:rPr>
        <w:t>.</w:t>
      </w:r>
      <w:r>
        <w:rPr>
          <w:snapToGrid w:val="0"/>
        </w:rPr>
        <w:tab/>
        <w:t>Affidavit evidence</w:t>
      </w:r>
      <w:bookmarkEnd w:id="320"/>
      <w:bookmarkEnd w:id="321"/>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keepNext/>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322" w:name="_Toc119492690"/>
      <w:bookmarkStart w:id="323" w:name="_Toc107494117"/>
      <w:r>
        <w:rPr>
          <w:rStyle w:val="CharSectno"/>
        </w:rPr>
        <w:t>29</w:t>
      </w:r>
      <w:r>
        <w:rPr>
          <w:snapToGrid w:val="0"/>
        </w:rPr>
        <w:t>.</w:t>
      </w:r>
      <w:r>
        <w:rPr>
          <w:snapToGrid w:val="0"/>
        </w:rPr>
        <w:tab/>
        <w:t>Order at hearing in absence of respondent</w:t>
      </w:r>
      <w:bookmarkEnd w:id="322"/>
      <w:bookmarkEnd w:id="323"/>
      <w:r>
        <w:rPr>
          <w:snapToGrid w:val="0"/>
        </w:rPr>
        <w:t xml:space="preserve"> </w:t>
      </w:r>
    </w:p>
    <w:p>
      <w:pPr>
        <w:pStyle w:val="Subsection"/>
        <w:keepNext/>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keepNext/>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324" w:name="_Toc119492691"/>
      <w:bookmarkStart w:id="325" w:name="_Toc107494118"/>
      <w:r>
        <w:rPr>
          <w:rStyle w:val="CharSectno"/>
        </w:rPr>
        <w:t>30</w:t>
      </w:r>
      <w:r>
        <w:rPr>
          <w:snapToGrid w:val="0"/>
        </w:rPr>
        <w:t>.</w:t>
      </w:r>
      <w:r>
        <w:rPr>
          <w:snapToGrid w:val="0"/>
        </w:rPr>
        <w:tab/>
        <w:t>Order to be prepared and served</w:t>
      </w:r>
      <w:bookmarkEnd w:id="324"/>
      <w:bookmarkEnd w:id="325"/>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326" w:name="_Toc119413936"/>
      <w:bookmarkStart w:id="327" w:name="_Toc119415592"/>
      <w:bookmarkStart w:id="328" w:name="_Toc119492692"/>
      <w:bookmarkStart w:id="329" w:name="_Toc103863066"/>
      <w:bookmarkStart w:id="330" w:name="_Toc103863277"/>
      <w:bookmarkStart w:id="331" w:name="_Toc103865213"/>
      <w:bookmarkStart w:id="332" w:name="_Toc107325710"/>
      <w:bookmarkStart w:id="333" w:name="_Toc107494119"/>
      <w:r>
        <w:rPr>
          <w:rStyle w:val="CharDivNo"/>
        </w:rPr>
        <w:t>Division 3A</w:t>
      </w:r>
      <w:r>
        <w:t> — </w:t>
      </w:r>
      <w:r>
        <w:rPr>
          <w:rStyle w:val="CharDivText"/>
        </w:rPr>
        <w:t>Police officers may make police orders where family violence</w:t>
      </w:r>
      <w:bookmarkEnd w:id="326"/>
      <w:bookmarkEnd w:id="327"/>
      <w:bookmarkEnd w:id="328"/>
      <w:bookmarkEnd w:id="329"/>
      <w:bookmarkEnd w:id="330"/>
      <w:bookmarkEnd w:id="331"/>
      <w:bookmarkEnd w:id="332"/>
      <w:bookmarkEnd w:id="333"/>
    </w:p>
    <w:p>
      <w:pPr>
        <w:pStyle w:val="Footnoteheading"/>
        <w:keepNext/>
        <w:keepLines/>
        <w:tabs>
          <w:tab w:val="left" w:pos="851"/>
        </w:tabs>
      </w:pPr>
      <w:r>
        <w:tab/>
        <w:t>[Heading inserted: No. 38 of 2004 s. 18(1); amended: No. 49 of 2016 s. 34.]</w:t>
      </w:r>
    </w:p>
    <w:p>
      <w:pPr>
        <w:pStyle w:val="Heading5"/>
        <w:spacing w:before="180"/>
      </w:pPr>
      <w:bookmarkStart w:id="334" w:name="_Toc119492693"/>
      <w:bookmarkStart w:id="335" w:name="_Toc107494120"/>
      <w:r>
        <w:rPr>
          <w:rStyle w:val="CharSectno"/>
        </w:rPr>
        <w:t>30A</w:t>
      </w:r>
      <w:r>
        <w:t>.</w:t>
      </w:r>
      <w:r>
        <w:tab/>
        <w:t>When police order may be made</w:t>
      </w:r>
      <w:bookmarkEnd w:id="334"/>
      <w:bookmarkEnd w:id="335"/>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Lines/>
      </w:pPr>
      <w:r>
        <w:tab/>
        <w:t>(i)</w:t>
      </w:r>
      <w:r>
        <w:tab/>
        <w:t>a person has committed family violence and is likely again to commit that violence; or</w:t>
      </w:r>
    </w:p>
    <w:p>
      <w:pPr>
        <w:pStyle w:val="Indenti"/>
        <w:keepNext/>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Next/>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keepNext/>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336" w:name="_Toc119492694"/>
      <w:bookmarkStart w:id="337" w:name="_Toc107494121"/>
      <w:r>
        <w:rPr>
          <w:rStyle w:val="CharSectno"/>
        </w:rPr>
        <w:t>30B</w:t>
      </w:r>
      <w:r>
        <w:t>.</w:t>
      </w:r>
      <w:r>
        <w:tab/>
        <w:t>Matters to be considered by police officer generally</w:t>
      </w:r>
      <w:bookmarkEnd w:id="336"/>
      <w:bookmarkEnd w:id="337"/>
    </w:p>
    <w:p>
      <w:pPr>
        <w:pStyle w:val="Subsection"/>
        <w:keepNext/>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338" w:name="_Toc119492695"/>
      <w:bookmarkStart w:id="339" w:name="_Toc107494122"/>
      <w:r>
        <w:rPr>
          <w:rStyle w:val="CharSectno"/>
        </w:rPr>
        <w:t>30C</w:t>
      </w:r>
      <w:r>
        <w:t>.</w:t>
      </w:r>
      <w:r>
        <w:tab/>
        <w:t>Restraints that may be imposed</w:t>
      </w:r>
      <w:bookmarkEnd w:id="338"/>
      <w:bookmarkEnd w:id="339"/>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keepNext/>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keepNext/>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340" w:name="_Toc119492696"/>
      <w:bookmarkStart w:id="341" w:name="_Toc107494123"/>
      <w:r>
        <w:rPr>
          <w:rStyle w:val="CharSectno"/>
        </w:rPr>
        <w:t>30D</w:t>
      </w:r>
      <w:r>
        <w:t>.</w:t>
      </w:r>
      <w:r>
        <w:tab/>
        <w:t>Police orders against children</w:t>
      </w:r>
      <w:bookmarkEnd w:id="340"/>
      <w:bookmarkEnd w:id="341"/>
    </w:p>
    <w:p>
      <w:pPr>
        <w:pStyle w:val="Subsection"/>
      </w:pPr>
      <w:r>
        <w:tab/>
        <w:t>(1)</w:t>
      </w:r>
      <w:r>
        <w:tab/>
        <w:t>A police order cannot impose restraints on a child unless the child is in a family relationship with the person for whose benefit the order is made.</w:t>
      </w:r>
    </w:p>
    <w:p>
      <w:pPr>
        <w:pStyle w:val="Subsection"/>
        <w:keepNext/>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342" w:name="_Toc119492697"/>
      <w:bookmarkStart w:id="343" w:name="_Toc107494124"/>
      <w:r>
        <w:rPr>
          <w:rStyle w:val="CharSectno"/>
        </w:rPr>
        <w:t>30E</w:t>
      </w:r>
      <w:r>
        <w:t>.</w:t>
      </w:r>
      <w:r>
        <w:tab/>
        <w:t>Police order to be served and explained</w:t>
      </w:r>
      <w:bookmarkEnd w:id="342"/>
      <w:bookmarkEnd w:id="343"/>
    </w:p>
    <w:p>
      <w:pPr>
        <w:pStyle w:val="Subsection"/>
      </w:pPr>
      <w:r>
        <w:tab/>
        <w:t>(1)</w:t>
      </w:r>
      <w:r>
        <w:tab/>
        <w:t>Any police officer may serve a police order.</w:t>
      </w:r>
    </w:p>
    <w:p>
      <w:pPr>
        <w:pStyle w:val="Subsection"/>
        <w:keepNext/>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keepNext/>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keepNext/>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keepNext/>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344" w:name="_Toc119492698"/>
      <w:bookmarkStart w:id="345" w:name="_Toc107494125"/>
      <w:r>
        <w:rPr>
          <w:rStyle w:val="CharSectno"/>
        </w:rPr>
        <w:t>30F</w:t>
      </w:r>
      <w:r>
        <w:t>.</w:t>
      </w:r>
      <w:r>
        <w:tab/>
        <w:t>Duration of police orders</w:t>
      </w:r>
      <w:bookmarkEnd w:id="344"/>
      <w:bookmarkEnd w:id="345"/>
    </w:p>
    <w:p>
      <w:pPr>
        <w:pStyle w:val="Subsection"/>
        <w:keepNext/>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keepNext/>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346" w:name="_Toc119492699"/>
      <w:bookmarkStart w:id="347" w:name="_Toc107494126"/>
      <w:r>
        <w:rPr>
          <w:rStyle w:val="CharSectno"/>
        </w:rPr>
        <w:t>30H</w:t>
      </w:r>
      <w:r>
        <w:t>.</w:t>
      </w:r>
      <w:r>
        <w:tab/>
        <w:t>Order not to be renewed by police officer</w:t>
      </w:r>
      <w:bookmarkEnd w:id="346"/>
      <w:bookmarkEnd w:id="347"/>
    </w:p>
    <w:p>
      <w:pPr>
        <w:pStyle w:val="Subsection"/>
        <w:keepNext/>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348" w:name="_Toc119492700"/>
      <w:bookmarkStart w:id="349" w:name="_Toc107494127"/>
      <w:r>
        <w:rPr>
          <w:rStyle w:val="CharSectno"/>
        </w:rPr>
        <w:t>30I</w:t>
      </w:r>
      <w:r>
        <w:t>.</w:t>
      </w:r>
      <w:r>
        <w:tab/>
        <w:t>Review of Division</w:t>
      </w:r>
      <w:bookmarkEnd w:id="348"/>
      <w:bookmarkEnd w:id="349"/>
    </w:p>
    <w:p>
      <w:pPr>
        <w:pStyle w:val="Subsection"/>
        <w:keepNext/>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keepNext/>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350" w:name="_Toc119413945"/>
      <w:bookmarkStart w:id="351" w:name="_Toc119415601"/>
      <w:bookmarkStart w:id="352" w:name="_Toc119492701"/>
      <w:bookmarkStart w:id="353" w:name="_Toc103863075"/>
      <w:bookmarkStart w:id="354" w:name="_Toc103863286"/>
      <w:bookmarkStart w:id="355" w:name="_Toc103865222"/>
      <w:bookmarkStart w:id="356" w:name="_Toc107325719"/>
      <w:bookmarkStart w:id="357" w:name="_Toc107494128"/>
      <w:r>
        <w:rPr>
          <w:rStyle w:val="CharDivNo"/>
        </w:rPr>
        <w:t>Division 4</w:t>
      </w:r>
      <w:r>
        <w:rPr>
          <w:snapToGrid w:val="0"/>
        </w:rPr>
        <w:t> — </w:t>
      </w:r>
      <w:r>
        <w:rPr>
          <w:rStyle w:val="CharDivText"/>
        </w:rPr>
        <w:t>Procedure when interim order made</w:t>
      </w:r>
      <w:bookmarkEnd w:id="350"/>
      <w:bookmarkEnd w:id="351"/>
      <w:bookmarkEnd w:id="352"/>
      <w:bookmarkEnd w:id="353"/>
      <w:bookmarkEnd w:id="354"/>
      <w:bookmarkEnd w:id="355"/>
      <w:bookmarkEnd w:id="356"/>
      <w:bookmarkEnd w:id="357"/>
      <w:r>
        <w:rPr>
          <w:rStyle w:val="CharDivText"/>
        </w:rPr>
        <w:t xml:space="preserve"> </w:t>
      </w:r>
    </w:p>
    <w:p>
      <w:pPr>
        <w:pStyle w:val="Heading5"/>
      </w:pPr>
      <w:bookmarkStart w:id="358" w:name="_Toc119492702"/>
      <w:bookmarkStart w:id="359" w:name="_Toc107494129"/>
      <w:r>
        <w:rPr>
          <w:rStyle w:val="CharSectno"/>
        </w:rPr>
        <w:t>31A</w:t>
      </w:r>
      <w:r>
        <w:t>.</w:t>
      </w:r>
      <w:r>
        <w:tab/>
        <w:t>Term used: respondent</w:t>
      </w:r>
      <w:bookmarkEnd w:id="358"/>
      <w:bookmarkEnd w:id="359"/>
    </w:p>
    <w:p>
      <w:pPr>
        <w:pStyle w:val="Subsection"/>
        <w:keepNext/>
      </w:pPr>
      <w:r>
        <w:tab/>
      </w:r>
      <w:r>
        <w:tab/>
        <w:t>In this Division —</w:t>
      </w:r>
    </w:p>
    <w:p>
      <w:pPr>
        <w:pStyle w:val="Defstart"/>
        <w:keepNex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360" w:name="_Toc119492703"/>
      <w:bookmarkStart w:id="361" w:name="_Toc107494130"/>
      <w:r>
        <w:rPr>
          <w:rStyle w:val="CharSectno"/>
        </w:rPr>
        <w:t>31</w:t>
      </w:r>
      <w:r>
        <w:rPr>
          <w:snapToGrid w:val="0"/>
        </w:rPr>
        <w:t>.</w:t>
      </w:r>
      <w:r>
        <w:rPr>
          <w:snapToGrid w:val="0"/>
        </w:rPr>
        <w:tab/>
        <w:t>21 days for respondent to object</w:t>
      </w:r>
      <w:bookmarkEnd w:id="360"/>
      <w:bookmarkEnd w:id="361"/>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362" w:name="_Toc119492704"/>
      <w:bookmarkStart w:id="363" w:name="_Toc107494131"/>
      <w:r>
        <w:rPr>
          <w:rStyle w:val="CharSectno"/>
        </w:rPr>
        <w:t>32</w:t>
      </w:r>
      <w:r>
        <w:rPr>
          <w:snapToGrid w:val="0"/>
        </w:rPr>
        <w:t>.</w:t>
      </w:r>
      <w:r>
        <w:rPr>
          <w:snapToGrid w:val="0"/>
        </w:rPr>
        <w:tab/>
        <w:t>Respondent does not object to final order being made</w:t>
      </w:r>
      <w:bookmarkEnd w:id="362"/>
      <w:bookmarkEnd w:id="363"/>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keepNext/>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keepNext/>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keepNext/>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keepNext/>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keepNext/>
      </w:pPr>
      <w:r>
        <w:tab/>
        <w:t>(ii)</w:t>
      </w:r>
      <w:r>
        <w:tab/>
        <w:t>indicated on it that the respondent objected to the interim order becoming final.</w:t>
      </w:r>
    </w:p>
    <w:p>
      <w:pPr>
        <w:pStyle w:val="Footnotesection"/>
        <w:keepNext/>
      </w:pPr>
      <w:r>
        <w:tab/>
        <w:t xml:space="preserve">[Section 32 amended: No. 59 of 2004 s. 123; No. 32 of 2011 s. 12.] </w:t>
      </w:r>
    </w:p>
    <w:p>
      <w:pPr>
        <w:pStyle w:val="Heading5"/>
        <w:rPr>
          <w:snapToGrid w:val="0"/>
        </w:rPr>
      </w:pPr>
      <w:bookmarkStart w:id="364" w:name="_Toc119492705"/>
      <w:bookmarkStart w:id="365" w:name="_Toc107494132"/>
      <w:r>
        <w:rPr>
          <w:rStyle w:val="CharSectno"/>
        </w:rPr>
        <w:t>33</w:t>
      </w:r>
      <w:r>
        <w:rPr>
          <w:snapToGrid w:val="0"/>
        </w:rPr>
        <w:t>.</w:t>
      </w:r>
      <w:r>
        <w:rPr>
          <w:snapToGrid w:val="0"/>
        </w:rPr>
        <w:tab/>
        <w:t>Respondent objects to final order being made</w:t>
      </w:r>
      <w:bookmarkEnd w:id="364"/>
      <w:bookmarkEnd w:id="36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keepNext/>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keepNext/>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 xml:space="preserve">being in possession of a </w:t>
      </w:r>
      <w:r>
        <w:t>firearm</w:t>
      </w:r>
      <w:ins w:id="366" w:author="Master Repository Process" w:date="2022-11-17T15:14:00Z">
        <w:r>
          <w:t xml:space="preserve"> item</w:t>
        </w:r>
      </w:ins>
      <w:r>
        <w:rPr>
          <w:snapToGrid w:val="0"/>
        </w:rPr>
        <w:t xml:space="preserve"> that the respondent reasonably needs in order to carry on the respondent’s usual </w:t>
      </w:r>
      <w:r>
        <w:t>occupation; or</w:t>
      </w:r>
      <w:r>
        <w:rPr>
          <w:snapToGrid w:val="0"/>
        </w:rPr>
        <w:t xml:space="preserve"> </w:t>
      </w:r>
    </w:p>
    <w:p>
      <w:pPr>
        <w:pStyle w:val="Indenta"/>
        <w:keepNext/>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keepNext/>
      </w:pPr>
      <w:r>
        <w:tab/>
        <w:t>(3)</w:t>
      </w:r>
      <w:r>
        <w:tab/>
        <w:t>Subsections (1) and (2) apply subject to the referral of the matter to a conference under Part 5A.</w:t>
      </w:r>
    </w:p>
    <w:p>
      <w:pPr>
        <w:pStyle w:val="Footnotesection"/>
      </w:pPr>
      <w:r>
        <w:tab/>
        <w:t>[Section 33 amended: No. 59 of 2004 s. 123; No. 30 of 2020 s. </w:t>
      </w:r>
      <w:del w:id="367" w:author="Master Repository Process" w:date="2022-11-17T15:14:00Z">
        <w:r>
          <w:delText>63</w:delText>
        </w:r>
      </w:del>
      <w:ins w:id="368" w:author="Master Repository Process" w:date="2022-11-17T15:14:00Z">
        <w:r>
          <w:t>63; No. 13 of 2022 s. 80</w:t>
        </w:r>
      </w:ins>
      <w:r>
        <w:t xml:space="preserve">.] </w:t>
      </w:r>
    </w:p>
    <w:p>
      <w:pPr>
        <w:pStyle w:val="Heading2"/>
      </w:pPr>
      <w:bookmarkStart w:id="369" w:name="_Toc119413950"/>
      <w:bookmarkStart w:id="370" w:name="_Toc119415606"/>
      <w:bookmarkStart w:id="371" w:name="_Toc119492706"/>
      <w:bookmarkStart w:id="372" w:name="_Toc103863080"/>
      <w:bookmarkStart w:id="373" w:name="_Toc103863291"/>
      <w:bookmarkStart w:id="374" w:name="_Toc103865227"/>
      <w:bookmarkStart w:id="375" w:name="_Toc107325724"/>
      <w:bookmarkStart w:id="376" w:name="_Toc107494133"/>
      <w:r>
        <w:rPr>
          <w:rStyle w:val="CharPartNo"/>
        </w:rPr>
        <w:t>Part 3</w:t>
      </w:r>
      <w:r>
        <w:rPr>
          <w:rStyle w:val="CharDivNo"/>
        </w:rPr>
        <w:t> </w:t>
      </w:r>
      <w:r>
        <w:t>—</w:t>
      </w:r>
      <w:r>
        <w:rPr>
          <w:rStyle w:val="CharDivText"/>
        </w:rPr>
        <w:t> </w:t>
      </w:r>
      <w:r>
        <w:rPr>
          <w:rStyle w:val="CharPartText"/>
        </w:rPr>
        <w:t>Misconduct restraining order</w:t>
      </w:r>
      <w:bookmarkEnd w:id="369"/>
      <w:bookmarkEnd w:id="370"/>
      <w:bookmarkEnd w:id="371"/>
      <w:bookmarkEnd w:id="372"/>
      <w:bookmarkEnd w:id="373"/>
      <w:bookmarkEnd w:id="374"/>
      <w:bookmarkEnd w:id="375"/>
      <w:bookmarkEnd w:id="376"/>
      <w:r>
        <w:rPr>
          <w:rStyle w:val="CharPartText"/>
        </w:rPr>
        <w:t xml:space="preserve"> </w:t>
      </w:r>
    </w:p>
    <w:p>
      <w:pPr>
        <w:pStyle w:val="Heading5"/>
        <w:rPr>
          <w:snapToGrid w:val="0"/>
        </w:rPr>
      </w:pPr>
      <w:bookmarkStart w:id="377" w:name="_Toc119492707"/>
      <w:bookmarkStart w:id="378" w:name="_Toc107494134"/>
      <w:r>
        <w:rPr>
          <w:rStyle w:val="CharSectno"/>
        </w:rPr>
        <w:t>34</w:t>
      </w:r>
      <w:r>
        <w:rPr>
          <w:snapToGrid w:val="0"/>
        </w:rPr>
        <w:t>.</w:t>
      </w:r>
      <w:r>
        <w:rPr>
          <w:snapToGrid w:val="0"/>
        </w:rPr>
        <w:tab/>
        <w:t>Grounds for misconduct restraining order</w:t>
      </w:r>
      <w:bookmarkEnd w:id="377"/>
      <w:bookmarkEnd w:id="378"/>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379" w:name="_Toc119492708"/>
      <w:bookmarkStart w:id="380" w:name="_Toc107494135"/>
      <w:r>
        <w:rPr>
          <w:rStyle w:val="CharSectno"/>
        </w:rPr>
        <w:t>35</w:t>
      </w:r>
      <w:r>
        <w:rPr>
          <w:snapToGrid w:val="0"/>
        </w:rPr>
        <w:t>.</w:t>
      </w:r>
      <w:r>
        <w:rPr>
          <w:snapToGrid w:val="0"/>
        </w:rPr>
        <w:tab/>
        <w:t>Matters to be considered by court generally</w:t>
      </w:r>
      <w:bookmarkEnd w:id="379"/>
      <w:bookmarkEnd w:id="380"/>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381" w:name="_Toc119492709"/>
      <w:bookmarkStart w:id="382" w:name="_Toc107494136"/>
      <w:r>
        <w:rPr>
          <w:rStyle w:val="CharSectno"/>
        </w:rPr>
        <w:t>35A</w:t>
      </w:r>
      <w:r>
        <w:t>.</w:t>
      </w:r>
      <w:r>
        <w:tab/>
        <w:t>MROs not for persons in family relationship</w:t>
      </w:r>
      <w:bookmarkEnd w:id="381"/>
      <w:bookmarkEnd w:id="382"/>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383" w:name="_Toc119492710"/>
      <w:bookmarkStart w:id="384" w:name="_Toc107494137"/>
      <w:r>
        <w:rPr>
          <w:rStyle w:val="CharSectno"/>
        </w:rPr>
        <w:t>36</w:t>
      </w:r>
      <w:r>
        <w:rPr>
          <w:snapToGrid w:val="0"/>
        </w:rPr>
        <w:t>.</w:t>
      </w:r>
      <w:r>
        <w:rPr>
          <w:snapToGrid w:val="0"/>
        </w:rPr>
        <w:tab/>
        <w:t>Restraints on respondent</w:t>
      </w:r>
      <w:bookmarkEnd w:id="383"/>
      <w:bookmarkEnd w:id="384"/>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w:t>
      </w:r>
      <w:r>
        <w:t xml:space="preserve">firearm </w:t>
      </w:r>
      <w:ins w:id="385" w:author="Master Repository Process" w:date="2022-11-17T15:14:00Z">
        <w:r>
          <w:t>item</w:t>
        </w:r>
        <w:r>
          <w:rPr>
            <w:snapToGrid w:val="0"/>
          </w:rPr>
          <w:t xml:space="preserve"> </w:t>
        </w:r>
      </w:ins>
      <w:r>
        <w:rPr>
          <w:snapToGrid w:val="0"/>
        </w:rPr>
        <w:t xml:space="preserve">or </w:t>
      </w:r>
      <w:r>
        <w:t xml:space="preserve">firearms </w:t>
      </w:r>
      <w:del w:id="386" w:author="Master Repository Process" w:date="2022-11-17T15:14:00Z">
        <w:r>
          <w:rPr>
            <w:snapToGrid w:val="0"/>
          </w:rPr>
          <w:delText>licence</w:delText>
        </w:r>
      </w:del>
      <w:ins w:id="387" w:author="Master Repository Process" w:date="2022-11-17T15:14:00Z">
        <w:r>
          <w:t>authorisation</w:t>
        </w:r>
      </w:ins>
      <w:r>
        <w:rPr>
          <w:snapToGrid w:val="0"/>
        </w:rPr>
        <w:t xml:space="preserve">, or applying for a </w:t>
      </w:r>
      <w:r>
        <w:t xml:space="preserve">firearms </w:t>
      </w:r>
      <w:del w:id="388" w:author="Master Repository Process" w:date="2022-11-17T15:14:00Z">
        <w:r>
          <w:rPr>
            <w:snapToGrid w:val="0"/>
          </w:rPr>
          <w:delText>licence</w:delText>
        </w:r>
      </w:del>
      <w:ins w:id="389" w:author="Master Repository Process" w:date="2022-11-17T15:14:00Z">
        <w:r>
          <w:t>authorisation</w:t>
        </w:r>
      </w:ins>
      <w:r>
        <w:rPr>
          <w:snapToGrid w:val="0"/>
        </w:rPr>
        <w:t xml:space="preserv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w:t>
      </w:r>
      <w:r>
        <w:t xml:space="preserve">firearm </w:t>
      </w:r>
      <w:ins w:id="390" w:author="Master Repository Process" w:date="2022-11-17T15:14:00Z">
        <w:r>
          <w:t>item</w:t>
        </w:r>
        <w:r>
          <w:rPr>
            <w:snapToGrid w:val="0"/>
          </w:rPr>
          <w:t xml:space="preserve"> </w:t>
        </w:r>
      </w:ins>
      <w:r>
        <w:rPr>
          <w:snapToGrid w:val="0"/>
        </w:rPr>
        <w:t xml:space="preserve">or </w:t>
      </w:r>
      <w:r>
        <w:t xml:space="preserve">firearms </w:t>
      </w:r>
      <w:del w:id="391" w:author="Master Repository Process" w:date="2022-11-17T15:14:00Z">
        <w:r>
          <w:rPr>
            <w:snapToGrid w:val="0"/>
          </w:rPr>
          <w:delText>licence</w:delText>
        </w:r>
      </w:del>
      <w:ins w:id="392" w:author="Master Repository Process" w:date="2022-11-17T15:14:00Z">
        <w:r>
          <w:t>authorisation</w:t>
        </w:r>
      </w:ins>
      <w:r>
        <w:rPr>
          <w:snapToGrid w:val="0"/>
        </w:rPr>
        <w:t xml:space="preserve">, or applying for a </w:t>
      </w:r>
      <w:r>
        <w:t xml:space="preserve">firearms </w:t>
      </w:r>
      <w:del w:id="393" w:author="Master Repository Process" w:date="2022-11-17T15:14:00Z">
        <w:r>
          <w:delText>licence</w:delText>
        </w:r>
      </w:del>
      <w:ins w:id="394" w:author="Master Repository Process" w:date="2022-11-17T15:14:00Z">
        <w:r>
          <w:t>authorisation</w:t>
        </w:r>
      </w:ins>
      <w:r>
        <w:t>;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w:t>
      </w:r>
      <w:r>
        <w:t xml:space="preserve">firearm </w:t>
      </w:r>
      <w:ins w:id="395" w:author="Master Repository Process" w:date="2022-11-17T15:14:00Z">
        <w:r>
          <w:t>item</w:t>
        </w:r>
        <w:r>
          <w:rPr>
            <w:snapToGrid w:val="0"/>
          </w:rPr>
          <w:t xml:space="preserve"> </w:t>
        </w:r>
      </w:ins>
      <w:r>
        <w:rPr>
          <w:snapToGrid w:val="0"/>
        </w:rPr>
        <w:t xml:space="preserve">or </w:t>
      </w:r>
      <w:r>
        <w:t xml:space="preserve">firearms </w:t>
      </w:r>
      <w:del w:id="396" w:author="Master Repository Process" w:date="2022-11-17T15:14:00Z">
        <w:r>
          <w:rPr>
            <w:snapToGrid w:val="0"/>
          </w:rPr>
          <w:delText>licence</w:delText>
        </w:r>
      </w:del>
      <w:ins w:id="397" w:author="Master Repository Process" w:date="2022-11-17T15:14:00Z">
        <w:r>
          <w:t>authorisation</w:t>
        </w:r>
      </w:ins>
      <w:r>
        <w:rPr>
          <w:snapToGrid w:val="0"/>
        </w:rPr>
        <w:t xml:space="preserve">, or applying for a </w:t>
      </w:r>
      <w:r>
        <w:t xml:space="preserve">firearms </w:t>
      </w:r>
      <w:del w:id="398" w:author="Master Repository Process" w:date="2022-11-17T15:14:00Z">
        <w:r>
          <w:rPr>
            <w:snapToGrid w:val="0"/>
          </w:rPr>
          <w:delText>licence</w:delText>
        </w:r>
      </w:del>
      <w:ins w:id="399" w:author="Master Repository Process" w:date="2022-11-17T15:14:00Z">
        <w:r>
          <w:t>authorisation</w:t>
        </w:r>
      </w:ins>
      <w:r>
        <w:rPr>
          <w:snapToGrid w:val="0"/>
        </w:rPr>
        <w:t xml:space="preserve">, sections 14 and 62E apply as if the </w:t>
      </w:r>
      <w:r>
        <w:t xml:space="preserve">MRO were a VRO (as those sections apply in relation to </w:t>
      </w:r>
      <w:del w:id="400" w:author="Master Repository Process" w:date="2022-11-17T15:14:00Z">
        <w:r>
          <w:delText>firearms</w:delText>
        </w:r>
      </w:del>
      <w:ins w:id="401" w:author="Master Repository Process" w:date="2022-11-17T15:14:00Z">
        <w:r>
          <w:t>firearm items</w:t>
        </w:r>
      </w:ins>
      <w:r>
        <w:t xml:space="preserve"> and firearms </w:t>
      </w:r>
      <w:del w:id="402" w:author="Master Repository Process" w:date="2022-11-17T15:14:00Z">
        <w:r>
          <w:delText>licences</w:delText>
        </w:r>
      </w:del>
      <w:ins w:id="403" w:author="Master Repository Process" w:date="2022-11-17T15:14:00Z">
        <w:r>
          <w:t>authorisations</w:t>
        </w:r>
      </w:ins>
      <w:r>
        <w:t>).</w:t>
      </w:r>
    </w:p>
    <w:p>
      <w:pPr>
        <w:pStyle w:val="Subsection"/>
        <w:keepNext/>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Footnotesection"/>
        <w:ind w:left="890" w:hanging="890"/>
      </w:pPr>
      <w:r>
        <w:tab/>
        <w:t>[Section 36 amended: No. 38 of 2004 s. 21, 43(4), 54 and 56; No. 49 of 2016 s. 43; No. 30 of 2020 s. </w:t>
      </w:r>
      <w:del w:id="404" w:author="Master Repository Process" w:date="2022-11-17T15:14:00Z">
        <w:r>
          <w:delText>64</w:delText>
        </w:r>
      </w:del>
      <w:ins w:id="405" w:author="Master Repository Process" w:date="2022-11-17T15:14:00Z">
        <w:r>
          <w:t>64; No. 13 of 2022 s. 80 and 81</w:t>
        </w:r>
      </w:ins>
      <w:r>
        <w:t>.]</w:t>
      </w:r>
    </w:p>
    <w:p>
      <w:pPr>
        <w:pStyle w:val="Heading5"/>
        <w:rPr>
          <w:snapToGrid w:val="0"/>
        </w:rPr>
      </w:pPr>
      <w:bookmarkStart w:id="406" w:name="_Toc119492711"/>
      <w:bookmarkStart w:id="407" w:name="_Toc107494138"/>
      <w:r>
        <w:rPr>
          <w:rStyle w:val="CharSectno"/>
        </w:rPr>
        <w:t>37</w:t>
      </w:r>
      <w:r>
        <w:rPr>
          <w:snapToGrid w:val="0"/>
        </w:rPr>
        <w:t>.</w:t>
      </w:r>
      <w:r>
        <w:rPr>
          <w:snapToGrid w:val="0"/>
        </w:rPr>
        <w:tab/>
        <w:t>Duration of MRO</w:t>
      </w:r>
      <w:bookmarkEnd w:id="406"/>
      <w:bookmarkEnd w:id="407"/>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408" w:name="_Toc119492712"/>
      <w:bookmarkStart w:id="409" w:name="_Toc107494139"/>
      <w:r>
        <w:rPr>
          <w:rStyle w:val="CharSectno"/>
        </w:rPr>
        <w:t>38</w:t>
      </w:r>
      <w:r>
        <w:t>.</w:t>
      </w:r>
      <w:r>
        <w:tab/>
        <w:t>Application for MRO</w:t>
      </w:r>
      <w:bookmarkEnd w:id="408"/>
      <w:bookmarkEnd w:id="409"/>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keepNext/>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410" w:name="_Toc119492713"/>
      <w:bookmarkStart w:id="411" w:name="_Toc107494140"/>
      <w:r>
        <w:rPr>
          <w:rStyle w:val="CharSectno"/>
        </w:rPr>
        <w:t>39</w:t>
      </w:r>
      <w:r>
        <w:rPr>
          <w:snapToGrid w:val="0"/>
        </w:rPr>
        <w:t>.</w:t>
      </w:r>
      <w:r>
        <w:rPr>
          <w:snapToGrid w:val="0"/>
        </w:rPr>
        <w:tab/>
      </w:r>
      <w:r>
        <w:t xml:space="preserve">Registrar </w:t>
      </w:r>
      <w:r>
        <w:rPr>
          <w:snapToGrid w:val="0"/>
        </w:rPr>
        <w:t>to fix hearing and issue summons</w:t>
      </w:r>
      <w:bookmarkEnd w:id="410"/>
      <w:bookmarkEnd w:id="411"/>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412" w:name="_Toc119413958"/>
      <w:bookmarkStart w:id="413" w:name="_Toc119415614"/>
      <w:bookmarkStart w:id="414" w:name="_Toc119492714"/>
      <w:bookmarkStart w:id="415" w:name="_Toc103863088"/>
      <w:bookmarkStart w:id="416" w:name="_Toc103863299"/>
      <w:bookmarkStart w:id="417" w:name="_Toc103865235"/>
      <w:bookmarkStart w:id="418" w:name="_Toc107325732"/>
      <w:bookmarkStart w:id="419" w:name="_Toc107494141"/>
      <w:r>
        <w:rPr>
          <w:rStyle w:val="CharPartNo"/>
        </w:rPr>
        <w:t>Part 4</w:t>
      </w:r>
      <w:r>
        <w:t> — </w:t>
      </w:r>
      <w:r>
        <w:rPr>
          <w:rStyle w:val="CharPartText"/>
        </w:rPr>
        <w:t>Hearings and evidence</w:t>
      </w:r>
      <w:bookmarkEnd w:id="412"/>
      <w:bookmarkEnd w:id="413"/>
      <w:bookmarkEnd w:id="414"/>
      <w:bookmarkEnd w:id="415"/>
      <w:bookmarkEnd w:id="416"/>
      <w:bookmarkEnd w:id="417"/>
      <w:bookmarkEnd w:id="418"/>
      <w:bookmarkEnd w:id="419"/>
    </w:p>
    <w:p>
      <w:pPr>
        <w:pStyle w:val="Footnoteheading"/>
        <w:tabs>
          <w:tab w:val="left" w:pos="851"/>
        </w:tabs>
      </w:pPr>
      <w:r>
        <w:tab/>
        <w:t>[Heading amended: No. 38 of 2004 s. 22.]</w:t>
      </w:r>
    </w:p>
    <w:p>
      <w:pPr>
        <w:pStyle w:val="Heading3"/>
        <w:rPr>
          <w:snapToGrid w:val="0"/>
        </w:rPr>
      </w:pPr>
      <w:bookmarkStart w:id="420" w:name="_Toc119413959"/>
      <w:bookmarkStart w:id="421" w:name="_Toc119415615"/>
      <w:bookmarkStart w:id="422" w:name="_Toc119492715"/>
      <w:bookmarkStart w:id="423" w:name="_Toc103863089"/>
      <w:bookmarkStart w:id="424" w:name="_Toc103863300"/>
      <w:bookmarkStart w:id="425" w:name="_Toc103865236"/>
      <w:bookmarkStart w:id="426" w:name="_Toc107325733"/>
      <w:bookmarkStart w:id="427" w:name="_Toc107494142"/>
      <w:r>
        <w:rPr>
          <w:rStyle w:val="CharDivNo"/>
        </w:rPr>
        <w:t>Division 1</w:t>
      </w:r>
      <w:r>
        <w:rPr>
          <w:snapToGrid w:val="0"/>
        </w:rPr>
        <w:t> — </w:t>
      </w:r>
      <w:r>
        <w:rPr>
          <w:rStyle w:val="CharDivText"/>
        </w:rPr>
        <w:t>Mention hearings</w:t>
      </w:r>
      <w:bookmarkEnd w:id="420"/>
      <w:bookmarkEnd w:id="421"/>
      <w:bookmarkEnd w:id="422"/>
      <w:bookmarkEnd w:id="423"/>
      <w:bookmarkEnd w:id="424"/>
      <w:bookmarkEnd w:id="425"/>
      <w:bookmarkEnd w:id="426"/>
      <w:bookmarkEnd w:id="427"/>
      <w:r>
        <w:rPr>
          <w:rStyle w:val="CharDivText"/>
        </w:rPr>
        <w:t xml:space="preserve"> </w:t>
      </w:r>
    </w:p>
    <w:p>
      <w:pPr>
        <w:pStyle w:val="Heading5"/>
        <w:spacing w:before="200"/>
        <w:rPr>
          <w:snapToGrid w:val="0"/>
        </w:rPr>
      </w:pPr>
      <w:bookmarkStart w:id="428" w:name="_Toc119492716"/>
      <w:bookmarkStart w:id="429" w:name="_Toc107494143"/>
      <w:r>
        <w:rPr>
          <w:rStyle w:val="CharSectno"/>
        </w:rPr>
        <w:t>40</w:t>
      </w:r>
      <w:r>
        <w:rPr>
          <w:snapToGrid w:val="0"/>
        </w:rPr>
        <w:t>.</w:t>
      </w:r>
      <w:r>
        <w:rPr>
          <w:snapToGrid w:val="0"/>
        </w:rPr>
        <w:tab/>
        <w:t>Attendance at hearing</w:t>
      </w:r>
      <w:bookmarkEnd w:id="428"/>
      <w:bookmarkEnd w:id="429"/>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430" w:name="_Toc119492717"/>
      <w:bookmarkStart w:id="431" w:name="_Toc107494144"/>
      <w:r>
        <w:rPr>
          <w:rStyle w:val="CharSectno"/>
        </w:rPr>
        <w:t>41</w:t>
      </w:r>
      <w:r>
        <w:rPr>
          <w:snapToGrid w:val="0"/>
        </w:rPr>
        <w:t>.</w:t>
      </w:r>
      <w:r>
        <w:rPr>
          <w:snapToGrid w:val="0"/>
        </w:rPr>
        <w:tab/>
        <w:t>Consent order or final order hearing to be fixed</w:t>
      </w:r>
      <w:bookmarkEnd w:id="430"/>
      <w:bookmarkEnd w:id="431"/>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432" w:name="_Toc119413962"/>
      <w:bookmarkStart w:id="433" w:name="_Toc119415618"/>
      <w:bookmarkStart w:id="434" w:name="_Toc119492718"/>
      <w:bookmarkStart w:id="435" w:name="_Toc103863092"/>
      <w:bookmarkStart w:id="436" w:name="_Toc103863303"/>
      <w:bookmarkStart w:id="437" w:name="_Toc103865239"/>
      <w:bookmarkStart w:id="438" w:name="_Toc107325736"/>
      <w:bookmarkStart w:id="439" w:name="_Toc107494145"/>
      <w:r>
        <w:rPr>
          <w:rStyle w:val="CharDivNo"/>
        </w:rPr>
        <w:t>Division 2</w:t>
      </w:r>
      <w:r>
        <w:rPr>
          <w:snapToGrid w:val="0"/>
        </w:rPr>
        <w:t> — </w:t>
      </w:r>
      <w:r>
        <w:rPr>
          <w:rStyle w:val="CharDivText"/>
        </w:rPr>
        <w:t>Final order hearings</w:t>
      </w:r>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119492719"/>
      <w:bookmarkStart w:id="441" w:name="_Toc107494146"/>
      <w:r>
        <w:rPr>
          <w:rStyle w:val="CharSectno"/>
        </w:rPr>
        <w:t>42</w:t>
      </w:r>
      <w:r>
        <w:rPr>
          <w:snapToGrid w:val="0"/>
        </w:rPr>
        <w:t>.</w:t>
      </w:r>
      <w:r>
        <w:rPr>
          <w:snapToGrid w:val="0"/>
        </w:rPr>
        <w:tab/>
        <w:t>Attendance at final order hearing</w:t>
      </w:r>
      <w:bookmarkEnd w:id="440"/>
      <w:bookmarkEnd w:id="44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442" w:name="_Toc119492720"/>
      <w:bookmarkStart w:id="443" w:name="_Toc107494147"/>
      <w:r>
        <w:rPr>
          <w:rStyle w:val="CharSectno"/>
        </w:rPr>
        <w:t>43</w:t>
      </w:r>
      <w:r>
        <w:rPr>
          <w:snapToGrid w:val="0"/>
        </w:rPr>
        <w:t>.</w:t>
      </w:r>
      <w:r>
        <w:rPr>
          <w:snapToGrid w:val="0"/>
        </w:rPr>
        <w:tab/>
        <w:t>Making final order</w:t>
      </w:r>
      <w:bookmarkEnd w:id="442"/>
      <w:bookmarkEnd w:id="443"/>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444" w:name="_Toc119492721"/>
      <w:bookmarkStart w:id="445" w:name="_Toc107494148"/>
      <w:r>
        <w:rPr>
          <w:rStyle w:val="CharSectno"/>
        </w:rPr>
        <w:t>43A</w:t>
      </w:r>
      <w:r>
        <w:t>.</w:t>
      </w:r>
      <w:r>
        <w:tab/>
        <w:t>Decision under s. 42 in default of appearance may be set aside</w:t>
      </w:r>
      <w:bookmarkEnd w:id="444"/>
      <w:bookmarkEnd w:id="445"/>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446" w:name="_Toc119492722"/>
      <w:bookmarkStart w:id="447" w:name="_Toc107494149"/>
      <w:r>
        <w:rPr>
          <w:rStyle w:val="CharSectno"/>
        </w:rPr>
        <w:t>44</w:t>
      </w:r>
      <w:r>
        <w:rPr>
          <w:snapToGrid w:val="0"/>
        </w:rPr>
        <w:t>.</w:t>
      </w:r>
      <w:r>
        <w:rPr>
          <w:snapToGrid w:val="0"/>
        </w:rPr>
        <w:tab/>
        <w:t>Order to be prepared and served</w:t>
      </w:r>
      <w:bookmarkEnd w:id="446"/>
      <w:bookmarkEnd w:id="447"/>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448" w:name="_Toc119413967"/>
      <w:bookmarkStart w:id="449" w:name="_Toc119415623"/>
      <w:bookmarkStart w:id="450" w:name="_Toc119492723"/>
      <w:bookmarkStart w:id="451" w:name="_Toc103863097"/>
      <w:bookmarkStart w:id="452" w:name="_Toc103863308"/>
      <w:bookmarkStart w:id="453" w:name="_Toc103865244"/>
      <w:bookmarkStart w:id="454" w:name="_Toc107325741"/>
      <w:bookmarkStart w:id="455" w:name="_Toc107494150"/>
      <w:r>
        <w:rPr>
          <w:rStyle w:val="CharDivNo"/>
        </w:rPr>
        <w:t>Division 3</w:t>
      </w:r>
      <w:r>
        <w:t> — </w:t>
      </w:r>
      <w:r>
        <w:rPr>
          <w:rStyle w:val="CharDivText"/>
        </w:rPr>
        <w:t>Evidence</w:t>
      </w:r>
      <w:bookmarkEnd w:id="448"/>
      <w:bookmarkEnd w:id="449"/>
      <w:bookmarkEnd w:id="450"/>
      <w:bookmarkEnd w:id="451"/>
      <w:bookmarkEnd w:id="452"/>
      <w:bookmarkEnd w:id="453"/>
      <w:bookmarkEnd w:id="454"/>
      <w:bookmarkEnd w:id="455"/>
    </w:p>
    <w:p>
      <w:pPr>
        <w:pStyle w:val="Footnoteheading"/>
        <w:keepNext/>
        <w:keepLines/>
        <w:tabs>
          <w:tab w:val="left" w:pos="851"/>
        </w:tabs>
      </w:pPr>
      <w:r>
        <w:tab/>
        <w:t>[Heading inserted: No. 38 of 2004 s. 26.]</w:t>
      </w:r>
    </w:p>
    <w:p>
      <w:pPr>
        <w:pStyle w:val="Heading5"/>
      </w:pPr>
      <w:bookmarkStart w:id="456" w:name="_Toc119492724"/>
      <w:bookmarkStart w:id="457" w:name="_Toc107494151"/>
      <w:r>
        <w:rPr>
          <w:rStyle w:val="CharSectno"/>
        </w:rPr>
        <w:t>44A</w:t>
      </w:r>
      <w:r>
        <w:t>.</w:t>
      </w:r>
      <w:r>
        <w:tab/>
        <w:t>Rules of evidence not to apply in certain circumstances</w:t>
      </w:r>
      <w:bookmarkEnd w:id="456"/>
      <w:bookmarkEnd w:id="457"/>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458" w:name="_Toc119492725"/>
      <w:bookmarkStart w:id="459" w:name="_Toc107494152"/>
      <w:r>
        <w:rPr>
          <w:rStyle w:val="CharSectno"/>
        </w:rPr>
        <w:t>44B</w:t>
      </w:r>
      <w:r>
        <w:t>.</w:t>
      </w:r>
      <w:r>
        <w:tab/>
        <w:t>Access to affidavit evidence</w:t>
      </w:r>
      <w:bookmarkEnd w:id="458"/>
      <w:bookmarkEnd w:id="459"/>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460" w:name="_Toc119492726"/>
      <w:bookmarkStart w:id="461" w:name="_Toc107494153"/>
      <w:r>
        <w:rPr>
          <w:rStyle w:val="CharSectno"/>
        </w:rPr>
        <w:t>44C</w:t>
      </w:r>
      <w:r>
        <w:t>.</w:t>
      </w:r>
      <w:r>
        <w:tab/>
        <w:t>Cross</w:t>
      </w:r>
      <w:r>
        <w:noBreakHyphen/>
        <w:t>examination of certain persons</w:t>
      </w:r>
      <w:bookmarkEnd w:id="460"/>
      <w:bookmarkEnd w:id="461"/>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462" w:name="_Toc119413971"/>
      <w:bookmarkStart w:id="463" w:name="_Toc119415627"/>
      <w:bookmarkStart w:id="464" w:name="_Toc119492727"/>
      <w:bookmarkStart w:id="465" w:name="_Toc103863101"/>
      <w:bookmarkStart w:id="466" w:name="_Toc103863312"/>
      <w:bookmarkStart w:id="467" w:name="_Toc103865248"/>
      <w:bookmarkStart w:id="468" w:name="_Toc107325745"/>
      <w:bookmarkStart w:id="469" w:name="_Toc107494154"/>
      <w:r>
        <w:rPr>
          <w:rStyle w:val="CharDivNo"/>
        </w:rPr>
        <w:t>Division 4</w:t>
      </w:r>
      <w:r>
        <w:t> — </w:t>
      </w:r>
      <w:r>
        <w:rPr>
          <w:rStyle w:val="CharDivText"/>
        </w:rPr>
        <w:t>Other provisions to protect applicants</w:t>
      </w:r>
      <w:bookmarkEnd w:id="462"/>
      <w:bookmarkEnd w:id="463"/>
      <w:bookmarkEnd w:id="464"/>
      <w:bookmarkEnd w:id="465"/>
      <w:bookmarkEnd w:id="466"/>
      <w:bookmarkEnd w:id="467"/>
      <w:bookmarkEnd w:id="468"/>
      <w:bookmarkEnd w:id="469"/>
    </w:p>
    <w:p>
      <w:pPr>
        <w:pStyle w:val="Footnoteheading"/>
        <w:keepNext/>
        <w:keepLines/>
        <w:tabs>
          <w:tab w:val="left" w:pos="851"/>
        </w:tabs>
      </w:pPr>
      <w:r>
        <w:tab/>
        <w:t>[Heading inserted: No. 30 of 2020 s. 67.]</w:t>
      </w:r>
    </w:p>
    <w:p>
      <w:pPr>
        <w:pStyle w:val="Heading5"/>
      </w:pPr>
      <w:bookmarkStart w:id="470" w:name="_Toc119492728"/>
      <w:bookmarkStart w:id="471" w:name="_Toc107494155"/>
      <w:r>
        <w:rPr>
          <w:rStyle w:val="CharSectno"/>
        </w:rPr>
        <w:t>44D</w:t>
      </w:r>
      <w:r>
        <w:t>.</w:t>
      </w:r>
      <w:r>
        <w:tab/>
        <w:t>Support and other persons who may be present</w:t>
      </w:r>
      <w:bookmarkEnd w:id="470"/>
      <w:bookmarkEnd w:id="471"/>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472" w:name="_Toc119492729"/>
      <w:bookmarkStart w:id="473" w:name="_Toc107494156"/>
      <w:r>
        <w:rPr>
          <w:rStyle w:val="CharSectno"/>
        </w:rPr>
        <w:t>44E</w:t>
      </w:r>
      <w:r>
        <w:t>.</w:t>
      </w:r>
      <w:r>
        <w:tab/>
        <w:t>Use of closed circuit television or screening arrangements</w:t>
      </w:r>
      <w:bookmarkEnd w:id="472"/>
      <w:bookmarkEnd w:id="473"/>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474" w:name="_Toc119492730"/>
      <w:bookmarkStart w:id="475" w:name="_Toc107494157"/>
      <w:r>
        <w:rPr>
          <w:rStyle w:val="CharSectno"/>
        </w:rPr>
        <w:t>44F</w:t>
      </w:r>
      <w:r>
        <w:t>.</w:t>
      </w:r>
      <w:r>
        <w:tab/>
        <w:t>Additional provisions relating to FVROs</w:t>
      </w:r>
      <w:bookmarkEnd w:id="474"/>
      <w:bookmarkEnd w:id="475"/>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476" w:name="_Toc119413975"/>
      <w:bookmarkStart w:id="477" w:name="_Toc119415631"/>
      <w:bookmarkStart w:id="478" w:name="_Toc119492731"/>
      <w:bookmarkStart w:id="479" w:name="_Toc103863105"/>
      <w:bookmarkStart w:id="480" w:name="_Toc103863316"/>
      <w:bookmarkStart w:id="481" w:name="_Toc103865252"/>
      <w:bookmarkStart w:id="482" w:name="_Toc107325749"/>
      <w:bookmarkStart w:id="483" w:name="_Toc107494158"/>
      <w:r>
        <w:rPr>
          <w:rStyle w:val="CharPartNo"/>
        </w:rPr>
        <w:t>Part 5</w:t>
      </w:r>
      <w:r>
        <w:rPr>
          <w:rStyle w:val="CharDivNo"/>
        </w:rPr>
        <w:t> </w:t>
      </w:r>
      <w:r>
        <w:t>—</w:t>
      </w:r>
      <w:r>
        <w:rPr>
          <w:rStyle w:val="CharDivText"/>
        </w:rPr>
        <w:t> </w:t>
      </w:r>
      <w:r>
        <w:rPr>
          <w:rStyle w:val="CharPartText"/>
        </w:rPr>
        <w:t>Variation or cancellation</w:t>
      </w:r>
      <w:bookmarkEnd w:id="476"/>
      <w:bookmarkEnd w:id="477"/>
      <w:bookmarkEnd w:id="478"/>
      <w:bookmarkEnd w:id="479"/>
      <w:bookmarkEnd w:id="480"/>
      <w:bookmarkEnd w:id="481"/>
      <w:bookmarkEnd w:id="482"/>
      <w:bookmarkEnd w:id="483"/>
    </w:p>
    <w:p>
      <w:pPr>
        <w:pStyle w:val="Heading5"/>
      </w:pPr>
      <w:bookmarkStart w:id="484" w:name="_Toc119492732"/>
      <w:bookmarkStart w:id="485" w:name="_Toc107494159"/>
      <w:r>
        <w:rPr>
          <w:rStyle w:val="CharSectno"/>
        </w:rPr>
        <w:t>45</w:t>
      </w:r>
      <w:r>
        <w:t>.</w:t>
      </w:r>
      <w:r>
        <w:tab/>
        <w:t>Application</w:t>
      </w:r>
      <w:bookmarkEnd w:id="484"/>
      <w:bookmarkEnd w:id="485"/>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486" w:name="_Toc119492733"/>
      <w:bookmarkStart w:id="487" w:name="_Toc107494160"/>
      <w:r>
        <w:rPr>
          <w:rStyle w:val="CharSectno"/>
        </w:rPr>
        <w:t>45A</w:t>
      </w:r>
      <w:r>
        <w:t>.</w:t>
      </w:r>
      <w:r>
        <w:tab/>
        <w:t>Application by CEO (child welfare)</w:t>
      </w:r>
      <w:bookmarkEnd w:id="486"/>
      <w:bookmarkEnd w:id="487"/>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488" w:name="_Toc119492734"/>
      <w:bookmarkStart w:id="489" w:name="_Toc107494161"/>
      <w:r>
        <w:rPr>
          <w:rStyle w:val="CharSectno"/>
        </w:rPr>
        <w:t>46</w:t>
      </w:r>
      <w:r>
        <w:rPr>
          <w:snapToGrid w:val="0"/>
        </w:rPr>
        <w:t>.</w:t>
      </w:r>
      <w:r>
        <w:rPr>
          <w:snapToGrid w:val="0"/>
        </w:rPr>
        <w:tab/>
        <w:t>Leave hearing</w:t>
      </w:r>
      <w:bookmarkEnd w:id="488"/>
      <w:bookmarkEnd w:id="489"/>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keepNext/>
        <w:rPr>
          <w:snapToGrid w:val="0"/>
        </w:rPr>
      </w:pPr>
      <w:r>
        <w:rPr>
          <w:snapToGrid w:val="0"/>
        </w:rPr>
        <w:tab/>
        <w:t>(4)</w:t>
      </w:r>
      <w:r>
        <w:rPr>
          <w:snapToGrid w:val="0"/>
        </w:rPr>
        <w:tab/>
        <w:t>Subject to subsection (3), at a hearing fixed under subsection (1) the court — </w:t>
      </w:r>
    </w:p>
    <w:p>
      <w:pPr>
        <w:pStyle w:val="Indenta"/>
        <w:keepNext/>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490" w:name="_Toc119492735"/>
      <w:bookmarkStart w:id="491" w:name="_Toc107494162"/>
      <w:r>
        <w:rPr>
          <w:rStyle w:val="CharSectno"/>
        </w:rPr>
        <w:t>47</w:t>
      </w:r>
      <w:r>
        <w:rPr>
          <w:snapToGrid w:val="0"/>
        </w:rPr>
        <w:t>.</w:t>
      </w:r>
      <w:r>
        <w:rPr>
          <w:snapToGrid w:val="0"/>
        </w:rPr>
        <w:tab/>
      </w:r>
      <w:r>
        <w:t xml:space="preserve">Registrar </w:t>
      </w:r>
      <w:r>
        <w:rPr>
          <w:snapToGrid w:val="0"/>
        </w:rPr>
        <w:t>to issue summons</w:t>
      </w:r>
      <w:bookmarkEnd w:id="490"/>
      <w:bookmarkEnd w:id="491"/>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keepNext/>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492" w:name="_Toc119492736"/>
      <w:bookmarkStart w:id="493" w:name="_Toc107494163"/>
      <w:r>
        <w:rPr>
          <w:rStyle w:val="CharSectno"/>
        </w:rPr>
        <w:t>48</w:t>
      </w:r>
      <w:r>
        <w:rPr>
          <w:snapToGrid w:val="0"/>
        </w:rPr>
        <w:t>.</w:t>
      </w:r>
      <w:r>
        <w:rPr>
          <w:snapToGrid w:val="0"/>
        </w:rPr>
        <w:tab/>
        <w:t>Attendance at hearing</w:t>
      </w:r>
      <w:bookmarkEnd w:id="492"/>
      <w:bookmarkEnd w:id="493"/>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494" w:name="_Toc119492737"/>
      <w:bookmarkStart w:id="495" w:name="_Toc107494164"/>
      <w:r>
        <w:rPr>
          <w:rStyle w:val="CharSectno"/>
        </w:rPr>
        <w:t>48A</w:t>
      </w:r>
      <w:r>
        <w:t>.</w:t>
      </w:r>
      <w:r>
        <w:tab/>
        <w:t>Ex parte application to cancel order by person protected by order</w:t>
      </w:r>
      <w:bookmarkEnd w:id="494"/>
      <w:bookmarkEnd w:id="495"/>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496" w:name="_Toc119492738"/>
      <w:bookmarkStart w:id="497" w:name="_Toc107494165"/>
      <w:r>
        <w:rPr>
          <w:rStyle w:val="CharSectno"/>
        </w:rPr>
        <w:t>49</w:t>
      </w:r>
      <w:r>
        <w:rPr>
          <w:snapToGrid w:val="0"/>
        </w:rPr>
        <w:t>.</w:t>
      </w:r>
      <w:r>
        <w:rPr>
          <w:snapToGrid w:val="0"/>
        </w:rPr>
        <w:tab/>
        <w:t>Variation or cancellation</w:t>
      </w:r>
      <w:bookmarkEnd w:id="496"/>
      <w:bookmarkEnd w:id="497"/>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498" w:name="_Toc119492739"/>
      <w:bookmarkStart w:id="499" w:name="_Toc107494166"/>
      <w:r>
        <w:rPr>
          <w:rStyle w:val="CharSectno"/>
        </w:rPr>
        <w:t>49A</w:t>
      </w:r>
      <w:r>
        <w:t>.</w:t>
      </w:r>
      <w:r>
        <w:tab/>
        <w:t>Correcting minor errors in restraining orders</w:t>
      </w:r>
      <w:bookmarkEnd w:id="498"/>
      <w:bookmarkEnd w:id="499"/>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500" w:name="_Toc119492740"/>
      <w:bookmarkStart w:id="501" w:name="_Toc107494167"/>
      <w:r>
        <w:rPr>
          <w:rStyle w:val="CharSectno"/>
        </w:rPr>
        <w:t>49B</w:t>
      </w:r>
      <w:r>
        <w:t>.</w:t>
      </w:r>
      <w:r>
        <w:tab/>
        <w:t>Matters to be considered by court generally</w:t>
      </w:r>
      <w:bookmarkEnd w:id="500"/>
      <w:bookmarkEnd w:id="501"/>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502" w:name="_Toc119492741"/>
      <w:bookmarkStart w:id="503" w:name="_Toc107494168"/>
      <w:r>
        <w:rPr>
          <w:rStyle w:val="CharSectno"/>
        </w:rPr>
        <w:t>49C</w:t>
      </w:r>
      <w:r>
        <w:t>.</w:t>
      </w:r>
      <w:r>
        <w:tab/>
        <w:t>Variation of application to allow a different order to be sought</w:t>
      </w:r>
      <w:bookmarkEnd w:id="502"/>
      <w:bookmarkEnd w:id="503"/>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504" w:name="_Toc119413986"/>
      <w:bookmarkStart w:id="505" w:name="_Toc119415642"/>
      <w:bookmarkStart w:id="506" w:name="_Toc119492742"/>
      <w:bookmarkStart w:id="507" w:name="_Toc103863116"/>
      <w:bookmarkStart w:id="508" w:name="_Toc103863327"/>
      <w:bookmarkStart w:id="509" w:name="_Toc103865263"/>
      <w:bookmarkStart w:id="510" w:name="_Toc107325760"/>
      <w:bookmarkStart w:id="511" w:name="_Toc107494169"/>
      <w:r>
        <w:rPr>
          <w:rStyle w:val="CharPartNo"/>
        </w:rPr>
        <w:t>Part 5A</w:t>
      </w:r>
      <w:r>
        <w:rPr>
          <w:rStyle w:val="CharDivNo"/>
        </w:rPr>
        <w:t> </w:t>
      </w:r>
      <w:r>
        <w:t>—</w:t>
      </w:r>
      <w:r>
        <w:rPr>
          <w:rStyle w:val="CharDivText"/>
        </w:rPr>
        <w:t> </w:t>
      </w:r>
      <w:r>
        <w:rPr>
          <w:rStyle w:val="CharPartText"/>
        </w:rPr>
        <w:t>Conferences</w:t>
      </w:r>
      <w:bookmarkEnd w:id="504"/>
      <w:bookmarkEnd w:id="505"/>
      <w:bookmarkEnd w:id="506"/>
      <w:bookmarkEnd w:id="507"/>
      <w:bookmarkEnd w:id="508"/>
      <w:bookmarkEnd w:id="509"/>
      <w:bookmarkEnd w:id="510"/>
      <w:bookmarkEnd w:id="511"/>
    </w:p>
    <w:p>
      <w:pPr>
        <w:pStyle w:val="Footnoteheading"/>
        <w:tabs>
          <w:tab w:val="left" w:pos="851"/>
        </w:tabs>
        <w:spacing w:before="100"/>
      </w:pPr>
      <w:r>
        <w:tab/>
        <w:t>[Heading inserted: No. 30 of 2020 s. 72.]</w:t>
      </w:r>
    </w:p>
    <w:p>
      <w:pPr>
        <w:pStyle w:val="Heading5"/>
      </w:pPr>
      <w:bookmarkStart w:id="512" w:name="_Toc119492743"/>
      <w:bookmarkStart w:id="513" w:name="_Toc107494170"/>
      <w:r>
        <w:rPr>
          <w:rStyle w:val="CharSectno"/>
        </w:rPr>
        <w:t>49D</w:t>
      </w:r>
      <w:r>
        <w:t>.</w:t>
      </w:r>
      <w:r>
        <w:tab/>
        <w:t>Special conference procedures</w:t>
      </w:r>
      <w:bookmarkEnd w:id="512"/>
      <w:bookmarkEnd w:id="513"/>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keepLines/>
      </w:pPr>
      <w:r>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514" w:name="_Toc119413988"/>
      <w:bookmarkStart w:id="515" w:name="_Toc119415644"/>
      <w:bookmarkStart w:id="516" w:name="_Toc119492744"/>
      <w:bookmarkStart w:id="517" w:name="_Toc103863118"/>
      <w:bookmarkStart w:id="518" w:name="_Toc103863329"/>
      <w:bookmarkStart w:id="519" w:name="_Toc103865265"/>
      <w:bookmarkStart w:id="520" w:name="_Toc107325762"/>
      <w:bookmarkStart w:id="521" w:name="_Toc107494171"/>
      <w:r>
        <w:rPr>
          <w:rStyle w:val="CharPartNo"/>
        </w:rPr>
        <w:t>Part 6</w:t>
      </w:r>
      <w:r>
        <w:t> — </w:t>
      </w:r>
      <w:r>
        <w:rPr>
          <w:rStyle w:val="CharPartText"/>
        </w:rPr>
        <w:t>General</w:t>
      </w:r>
      <w:bookmarkEnd w:id="514"/>
      <w:bookmarkEnd w:id="515"/>
      <w:bookmarkEnd w:id="516"/>
      <w:bookmarkEnd w:id="517"/>
      <w:bookmarkEnd w:id="518"/>
      <w:bookmarkEnd w:id="519"/>
      <w:bookmarkEnd w:id="520"/>
      <w:bookmarkEnd w:id="521"/>
      <w:r>
        <w:rPr>
          <w:rStyle w:val="CharPartText"/>
        </w:rPr>
        <w:t xml:space="preserve"> </w:t>
      </w:r>
    </w:p>
    <w:p>
      <w:pPr>
        <w:pStyle w:val="Heading3"/>
      </w:pPr>
      <w:bookmarkStart w:id="522" w:name="_Toc119413989"/>
      <w:bookmarkStart w:id="523" w:name="_Toc119415645"/>
      <w:bookmarkStart w:id="524" w:name="_Toc119492745"/>
      <w:bookmarkStart w:id="525" w:name="_Toc103863119"/>
      <w:bookmarkStart w:id="526" w:name="_Toc103863330"/>
      <w:bookmarkStart w:id="527" w:name="_Toc103865266"/>
      <w:bookmarkStart w:id="528" w:name="_Toc107325763"/>
      <w:bookmarkStart w:id="529" w:name="_Toc107494172"/>
      <w:r>
        <w:rPr>
          <w:rStyle w:val="CharDivNo"/>
        </w:rPr>
        <w:t>Division 1</w:t>
      </w:r>
      <w:r>
        <w:t> — </w:t>
      </w:r>
      <w:r>
        <w:rPr>
          <w:rStyle w:val="CharDivText"/>
        </w:rPr>
        <w:t>Children</w:t>
      </w:r>
      <w:bookmarkEnd w:id="522"/>
      <w:bookmarkEnd w:id="523"/>
      <w:bookmarkEnd w:id="524"/>
      <w:bookmarkEnd w:id="525"/>
      <w:bookmarkEnd w:id="526"/>
      <w:bookmarkEnd w:id="527"/>
      <w:bookmarkEnd w:id="528"/>
      <w:bookmarkEnd w:id="529"/>
    </w:p>
    <w:p>
      <w:pPr>
        <w:pStyle w:val="Footnoteheading"/>
        <w:tabs>
          <w:tab w:val="left" w:pos="851"/>
        </w:tabs>
        <w:spacing w:before="100"/>
      </w:pPr>
      <w:r>
        <w:tab/>
        <w:t>[Heading inserted: No. 38 of 2004 s. 35.]</w:t>
      </w:r>
    </w:p>
    <w:p>
      <w:pPr>
        <w:pStyle w:val="Heading5"/>
        <w:rPr>
          <w:snapToGrid w:val="0"/>
        </w:rPr>
      </w:pPr>
      <w:bookmarkStart w:id="530" w:name="_Toc119492746"/>
      <w:bookmarkStart w:id="531" w:name="_Toc107494173"/>
      <w:r>
        <w:rPr>
          <w:rStyle w:val="CharSectno"/>
        </w:rPr>
        <w:t>50</w:t>
      </w:r>
      <w:r>
        <w:rPr>
          <w:snapToGrid w:val="0"/>
        </w:rPr>
        <w:t>.</w:t>
      </w:r>
      <w:r>
        <w:rPr>
          <w:snapToGrid w:val="0"/>
        </w:rPr>
        <w:tab/>
        <w:t>No restraining orders against children under 10</w:t>
      </w:r>
      <w:bookmarkEnd w:id="530"/>
      <w:bookmarkEnd w:id="531"/>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532" w:name="_Toc119492747"/>
      <w:bookmarkStart w:id="533" w:name="_Toc107494174"/>
      <w:r>
        <w:rPr>
          <w:rStyle w:val="CharSectno"/>
        </w:rPr>
        <w:t>50A</w:t>
      </w:r>
      <w:r>
        <w:t>.</w:t>
      </w:r>
      <w:r>
        <w:tab/>
        <w:t>Restraining order against child not to exceed 6 months</w:t>
      </w:r>
      <w:bookmarkEnd w:id="532"/>
      <w:bookmarkEnd w:id="533"/>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534" w:name="_Toc119492748"/>
      <w:bookmarkStart w:id="535" w:name="_Toc107494175"/>
      <w:r>
        <w:rPr>
          <w:rStyle w:val="CharSectno"/>
        </w:rPr>
        <w:t>50B</w:t>
      </w:r>
      <w:r>
        <w:t>.</w:t>
      </w:r>
      <w:r>
        <w:tab/>
        <w:t>Child welfare laws not affected</w:t>
      </w:r>
      <w:bookmarkEnd w:id="534"/>
      <w:bookmarkEnd w:id="535"/>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536" w:name="_Toc119492749"/>
      <w:bookmarkStart w:id="537" w:name="_Toc107494176"/>
      <w:r>
        <w:rPr>
          <w:rStyle w:val="CharSectno"/>
        </w:rPr>
        <w:t>50C</w:t>
      </w:r>
      <w:r>
        <w:t>.</w:t>
      </w:r>
      <w:r>
        <w:tab/>
        <w:t>CEO (child welfare) to be notified before certain FVROs or VROs are made</w:t>
      </w:r>
      <w:bookmarkEnd w:id="536"/>
      <w:bookmarkEnd w:id="537"/>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538" w:name="_Toc119492750"/>
      <w:bookmarkStart w:id="539" w:name="_Toc107494177"/>
      <w:r>
        <w:rPr>
          <w:rStyle w:val="CharSectno"/>
        </w:rPr>
        <w:t>50D</w:t>
      </w:r>
      <w:r>
        <w:t>.</w:t>
      </w:r>
      <w:r>
        <w:tab/>
        <w:t>Intervention by CEO (child welfare)</w:t>
      </w:r>
      <w:bookmarkEnd w:id="538"/>
      <w:bookmarkEnd w:id="539"/>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540" w:name="_Toc119492751"/>
      <w:bookmarkStart w:id="541" w:name="_Toc107494178"/>
      <w:r>
        <w:rPr>
          <w:rStyle w:val="CharSectno"/>
        </w:rPr>
        <w:t>51</w:t>
      </w:r>
      <w:r>
        <w:rPr>
          <w:snapToGrid w:val="0"/>
        </w:rPr>
        <w:t>.</w:t>
      </w:r>
      <w:r>
        <w:rPr>
          <w:snapToGrid w:val="0"/>
        </w:rPr>
        <w:tab/>
        <w:t>Responsible adult to attend</w:t>
      </w:r>
      <w:bookmarkEnd w:id="540"/>
      <w:bookmarkEnd w:id="541"/>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542" w:name="_Toc119492752"/>
      <w:bookmarkStart w:id="543" w:name="_Toc107494179"/>
      <w:r>
        <w:rPr>
          <w:rStyle w:val="CharSectno"/>
        </w:rPr>
        <w:t>52</w:t>
      </w:r>
      <w:r>
        <w:rPr>
          <w:snapToGrid w:val="0"/>
        </w:rPr>
        <w:t>.</w:t>
      </w:r>
      <w:r>
        <w:rPr>
          <w:snapToGrid w:val="0"/>
        </w:rPr>
        <w:tab/>
        <w:t>Transfer between courts</w:t>
      </w:r>
      <w:bookmarkEnd w:id="542"/>
      <w:bookmarkEnd w:id="543"/>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544" w:name="_Toc119492753"/>
      <w:bookmarkStart w:id="545" w:name="_Toc107494180"/>
      <w:r>
        <w:rPr>
          <w:rStyle w:val="CharSectno"/>
        </w:rPr>
        <w:t>53</w:t>
      </w:r>
      <w:r>
        <w:rPr>
          <w:snapToGrid w:val="0"/>
        </w:rPr>
        <w:t>.</w:t>
      </w:r>
      <w:r>
        <w:rPr>
          <w:snapToGrid w:val="0"/>
        </w:rPr>
        <w:tab/>
        <w:t>Telephone order made against child</w:t>
      </w:r>
      <w:bookmarkEnd w:id="544"/>
      <w:bookmarkEnd w:id="545"/>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546" w:name="_Toc119492754"/>
      <w:bookmarkStart w:id="547" w:name="_Toc107494181"/>
      <w:r>
        <w:rPr>
          <w:rStyle w:val="CharSectno"/>
        </w:rPr>
        <w:t>53A</w:t>
      </w:r>
      <w:r>
        <w:t>.</w:t>
      </w:r>
      <w:r>
        <w:tab/>
        <w:t>Children not to give oral evidence without leave of court, other than in Children’s Court</w:t>
      </w:r>
      <w:bookmarkEnd w:id="546"/>
      <w:bookmarkEnd w:id="547"/>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548" w:name="_Toc119492755"/>
      <w:bookmarkStart w:id="549" w:name="_Toc107494182"/>
      <w:r>
        <w:rPr>
          <w:rStyle w:val="CharSectno"/>
        </w:rPr>
        <w:t>53B</w:t>
      </w:r>
      <w:r>
        <w:t>.</w:t>
      </w:r>
      <w:r>
        <w:tab/>
        <w:t>Evidence of children</w:t>
      </w:r>
      <w:bookmarkEnd w:id="548"/>
      <w:bookmarkEnd w:id="549"/>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550" w:name="_Toc119492756"/>
      <w:bookmarkStart w:id="551" w:name="_Toc107494183"/>
      <w:r>
        <w:rPr>
          <w:rStyle w:val="CharSectno"/>
        </w:rPr>
        <w:t>53C</w:t>
      </w:r>
      <w:r>
        <w:t>.</w:t>
      </w:r>
      <w:r>
        <w:tab/>
        <w:t>Child who gives evidence entitled to support</w:t>
      </w:r>
      <w:bookmarkEnd w:id="550"/>
      <w:bookmarkEnd w:id="55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552" w:name="_Toc119492757"/>
      <w:bookmarkStart w:id="553" w:name="_Toc107494184"/>
      <w:r>
        <w:rPr>
          <w:rStyle w:val="CharSectno"/>
        </w:rPr>
        <w:t>53D</w:t>
      </w:r>
      <w:r>
        <w:t>.</w:t>
      </w:r>
      <w:r>
        <w:tab/>
        <w:t>Cross</w:t>
      </w:r>
      <w:r>
        <w:noBreakHyphen/>
        <w:t>examination of child by unrepresented person</w:t>
      </w:r>
      <w:bookmarkEnd w:id="552"/>
      <w:bookmarkEnd w:id="553"/>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554" w:name="_Toc119492758"/>
      <w:bookmarkStart w:id="555" w:name="_Toc107494185"/>
      <w:r>
        <w:rPr>
          <w:rStyle w:val="CharSectno"/>
        </w:rPr>
        <w:t>53E</w:t>
      </w:r>
      <w:r>
        <w:t>.</w:t>
      </w:r>
      <w:r>
        <w:tab/>
        <w:t>Admissibility of evidence of representations made by children</w:t>
      </w:r>
      <w:bookmarkEnd w:id="554"/>
      <w:bookmarkEnd w:id="555"/>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keepNex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556" w:name="_Toc119492759"/>
      <w:bookmarkStart w:id="557" w:name="_Toc107494186"/>
      <w:r>
        <w:rPr>
          <w:rStyle w:val="CharSectno"/>
        </w:rPr>
        <w:t>53F</w:t>
      </w:r>
      <w:r>
        <w:t>.</w:t>
      </w:r>
      <w:r>
        <w:tab/>
        <w:t>Summonsing of children</w:t>
      </w:r>
      <w:bookmarkEnd w:id="556"/>
      <w:bookmarkEnd w:id="557"/>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558" w:name="_Toc119492760"/>
      <w:bookmarkStart w:id="559" w:name="_Toc107494187"/>
      <w:r>
        <w:rPr>
          <w:rStyle w:val="CharSectno"/>
        </w:rPr>
        <w:t>53G</w:t>
      </w:r>
      <w:r>
        <w:t>.</w:t>
      </w:r>
      <w:r>
        <w:tab/>
        <w:t>Arrangements for care and wellbeing of children bound by restraining orders</w:t>
      </w:r>
      <w:bookmarkEnd w:id="558"/>
      <w:bookmarkEnd w:id="559"/>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560" w:name="_Toc119414005"/>
      <w:bookmarkStart w:id="561" w:name="_Toc119415661"/>
      <w:bookmarkStart w:id="562" w:name="_Toc119492761"/>
      <w:bookmarkStart w:id="563" w:name="_Toc103863135"/>
      <w:bookmarkStart w:id="564" w:name="_Toc103863346"/>
      <w:bookmarkStart w:id="565" w:name="_Toc103865282"/>
      <w:bookmarkStart w:id="566" w:name="_Toc107325779"/>
      <w:bookmarkStart w:id="567" w:name="_Toc107494188"/>
      <w:r>
        <w:rPr>
          <w:rStyle w:val="CharDivNo"/>
        </w:rPr>
        <w:t>Division 2</w:t>
      </w:r>
      <w:r>
        <w:rPr>
          <w:snapToGrid w:val="0"/>
        </w:rPr>
        <w:t> — </w:t>
      </w:r>
      <w:r>
        <w:rPr>
          <w:rStyle w:val="CharDivText"/>
        </w:rPr>
        <w:t>Service</w:t>
      </w:r>
      <w:bookmarkEnd w:id="560"/>
      <w:bookmarkEnd w:id="561"/>
      <w:bookmarkEnd w:id="562"/>
      <w:bookmarkEnd w:id="563"/>
      <w:bookmarkEnd w:id="564"/>
      <w:bookmarkEnd w:id="565"/>
      <w:bookmarkEnd w:id="566"/>
      <w:bookmarkEnd w:id="567"/>
      <w:r>
        <w:rPr>
          <w:rStyle w:val="CharDivText"/>
        </w:rPr>
        <w:t xml:space="preserve"> </w:t>
      </w:r>
    </w:p>
    <w:p>
      <w:pPr>
        <w:pStyle w:val="Heading5"/>
        <w:rPr>
          <w:snapToGrid w:val="0"/>
        </w:rPr>
      </w:pPr>
      <w:bookmarkStart w:id="568" w:name="_Toc119492762"/>
      <w:bookmarkStart w:id="569" w:name="_Toc107494189"/>
      <w:r>
        <w:rPr>
          <w:rStyle w:val="CharSectno"/>
        </w:rPr>
        <w:t>54</w:t>
      </w:r>
      <w:r>
        <w:rPr>
          <w:snapToGrid w:val="0"/>
        </w:rPr>
        <w:t>.</w:t>
      </w:r>
      <w:r>
        <w:rPr>
          <w:snapToGrid w:val="0"/>
        </w:rPr>
        <w:tab/>
        <w:t>Service of summons</w:t>
      </w:r>
      <w:bookmarkEnd w:id="568"/>
      <w:bookmarkEnd w:id="569"/>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570" w:name="_Toc119492763"/>
      <w:bookmarkStart w:id="571" w:name="_Toc107494190"/>
      <w:r>
        <w:rPr>
          <w:rStyle w:val="CharSectno"/>
        </w:rPr>
        <w:t>55</w:t>
      </w:r>
      <w:r>
        <w:rPr>
          <w:snapToGrid w:val="0"/>
        </w:rPr>
        <w:t>.</w:t>
      </w:r>
      <w:r>
        <w:rPr>
          <w:snapToGrid w:val="0"/>
        </w:rPr>
        <w:tab/>
        <w:t>Service of restraining order</w:t>
      </w:r>
      <w:bookmarkEnd w:id="570"/>
      <w:bookmarkEnd w:id="571"/>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keepLines/>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572" w:name="_Toc119492764"/>
      <w:bookmarkStart w:id="573" w:name="_Toc107494191"/>
      <w:r>
        <w:rPr>
          <w:rStyle w:val="CharSectno"/>
        </w:rPr>
        <w:t>56</w:t>
      </w:r>
      <w:r>
        <w:rPr>
          <w:snapToGrid w:val="0"/>
        </w:rPr>
        <w:t>.</w:t>
      </w:r>
      <w:r>
        <w:rPr>
          <w:snapToGrid w:val="0"/>
        </w:rPr>
        <w:tab/>
        <w:t>Delivery or notification</w:t>
      </w:r>
      <w:bookmarkEnd w:id="572"/>
      <w:bookmarkEnd w:id="573"/>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574" w:name="_Toc119492765"/>
      <w:bookmarkStart w:id="575" w:name="_Toc107494192"/>
      <w:r>
        <w:rPr>
          <w:rStyle w:val="CharSectno"/>
        </w:rPr>
        <w:t>57</w:t>
      </w:r>
      <w:r>
        <w:rPr>
          <w:snapToGrid w:val="0"/>
        </w:rPr>
        <w:t>.</w:t>
      </w:r>
      <w:r>
        <w:rPr>
          <w:snapToGrid w:val="0"/>
        </w:rPr>
        <w:tab/>
        <w:t>Copy of document sufficient for service</w:t>
      </w:r>
      <w:bookmarkEnd w:id="574"/>
      <w:bookmarkEnd w:id="575"/>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576" w:name="_Toc119492766"/>
      <w:bookmarkStart w:id="577" w:name="_Toc107494193"/>
      <w:r>
        <w:rPr>
          <w:rStyle w:val="CharSectno"/>
        </w:rPr>
        <w:t>58</w:t>
      </w:r>
      <w:r>
        <w:rPr>
          <w:snapToGrid w:val="0"/>
        </w:rPr>
        <w:t>.</w:t>
      </w:r>
      <w:r>
        <w:rPr>
          <w:snapToGrid w:val="0"/>
        </w:rPr>
        <w:tab/>
        <w:t>Proof of service</w:t>
      </w:r>
      <w:bookmarkEnd w:id="576"/>
      <w:bookmarkEnd w:id="577"/>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578" w:name="_Toc119492767"/>
      <w:bookmarkStart w:id="579" w:name="_Toc107494194"/>
      <w:r>
        <w:rPr>
          <w:rStyle w:val="CharSectno"/>
        </w:rPr>
        <w:t>59</w:t>
      </w:r>
      <w:r>
        <w:t>.</w:t>
      </w:r>
      <w:r>
        <w:tab/>
        <w:t>Service of restraining order, certain people to be notified of</w:t>
      </w:r>
      <w:bookmarkEnd w:id="578"/>
      <w:bookmarkEnd w:id="579"/>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580" w:name="_Toc119492768"/>
      <w:bookmarkStart w:id="581" w:name="_Toc107494195"/>
      <w:r>
        <w:rPr>
          <w:rStyle w:val="CharSectno"/>
        </w:rPr>
        <w:t>60</w:t>
      </w:r>
      <w:r>
        <w:rPr>
          <w:snapToGrid w:val="0"/>
        </w:rPr>
        <w:t>.</w:t>
      </w:r>
      <w:r>
        <w:rPr>
          <w:snapToGrid w:val="0"/>
        </w:rPr>
        <w:tab/>
        <w:t>Substituted service</w:t>
      </w:r>
      <w:bookmarkEnd w:id="580"/>
      <w:bookmarkEnd w:id="581"/>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582" w:name="_Toc119414013"/>
      <w:bookmarkStart w:id="583" w:name="_Toc119415669"/>
      <w:bookmarkStart w:id="584" w:name="_Toc119492769"/>
      <w:bookmarkStart w:id="585" w:name="_Toc103863143"/>
      <w:bookmarkStart w:id="586" w:name="_Toc103863354"/>
      <w:bookmarkStart w:id="587" w:name="_Toc103865290"/>
      <w:bookmarkStart w:id="588" w:name="_Toc107325787"/>
      <w:bookmarkStart w:id="589" w:name="_Toc107494196"/>
      <w:r>
        <w:rPr>
          <w:rStyle w:val="CharDivNo"/>
        </w:rPr>
        <w:t>Division 3</w:t>
      </w:r>
      <w:r>
        <w:rPr>
          <w:snapToGrid w:val="0"/>
        </w:rPr>
        <w:t> — </w:t>
      </w:r>
      <w:r>
        <w:rPr>
          <w:rStyle w:val="CharDivText"/>
        </w:rPr>
        <w:t>Breach of restraining order or police order</w:t>
      </w:r>
      <w:bookmarkEnd w:id="582"/>
      <w:bookmarkEnd w:id="583"/>
      <w:bookmarkEnd w:id="584"/>
      <w:bookmarkEnd w:id="585"/>
      <w:bookmarkEnd w:id="586"/>
      <w:bookmarkEnd w:id="587"/>
      <w:bookmarkEnd w:id="588"/>
      <w:bookmarkEnd w:id="589"/>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590" w:name="_Toc119492770"/>
      <w:bookmarkStart w:id="591" w:name="_Toc107494197"/>
      <w:r>
        <w:rPr>
          <w:rStyle w:val="CharSectno"/>
        </w:rPr>
        <w:t>61</w:t>
      </w:r>
      <w:r>
        <w:rPr>
          <w:snapToGrid w:val="0"/>
        </w:rPr>
        <w:t>.</w:t>
      </w:r>
      <w:r>
        <w:rPr>
          <w:snapToGrid w:val="0"/>
        </w:rPr>
        <w:tab/>
        <w:t>Breach of restraining order</w:t>
      </w:r>
      <w:bookmarkEnd w:id="590"/>
      <w:bookmarkEnd w:id="591"/>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592" w:name="_Toc119492771"/>
      <w:bookmarkStart w:id="593" w:name="_Toc107494198"/>
      <w:r>
        <w:rPr>
          <w:rStyle w:val="CharSectno"/>
        </w:rPr>
        <w:t>61A</w:t>
      </w:r>
      <w:r>
        <w:t>.</w:t>
      </w:r>
      <w:r>
        <w:tab/>
        <w:t>Penalty for repeated breach of restraining order</w:t>
      </w:r>
      <w:bookmarkEnd w:id="592"/>
      <w:bookmarkEnd w:id="593"/>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594" w:name="_Toc119492772"/>
      <w:bookmarkStart w:id="595" w:name="_Toc107494199"/>
      <w:r>
        <w:rPr>
          <w:rStyle w:val="CharSectno"/>
        </w:rPr>
        <w:t>61B</w:t>
      </w:r>
      <w:r>
        <w:t>.</w:t>
      </w:r>
      <w:r>
        <w:tab/>
        <w:t>Protected person aiding breach of restraining order or police order</w:t>
      </w:r>
      <w:bookmarkEnd w:id="594"/>
      <w:bookmarkEnd w:id="595"/>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596" w:name="_Toc119492773"/>
      <w:bookmarkStart w:id="597" w:name="_Toc107494200"/>
      <w:r>
        <w:rPr>
          <w:rStyle w:val="CharSectno"/>
        </w:rPr>
        <w:t>61C</w:t>
      </w:r>
      <w:r>
        <w:t>.</w:t>
      </w:r>
      <w:r>
        <w:tab/>
        <w:t>Report under s. 10V to be considered in sentencing for breach of FVRO</w:t>
      </w:r>
      <w:bookmarkEnd w:id="596"/>
      <w:bookmarkEnd w:id="597"/>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598" w:name="_Toc119492774"/>
      <w:bookmarkStart w:id="599" w:name="_Toc107494201"/>
      <w:r>
        <w:rPr>
          <w:rStyle w:val="CharSectno"/>
        </w:rPr>
        <w:t>62</w:t>
      </w:r>
      <w:r>
        <w:t>.</w:t>
      </w:r>
      <w:r>
        <w:tab/>
        <w:t>Defence</w:t>
      </w:r>
      <w:bookmarkEnd w:id="598"/>
      <w:bookmarkEnd w:id="599"/>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600" w:name="_Toc119414019"/>
      <w:bookmarkStart w:id="601" w:name="_Toc119415675"/>
      <w:bookmarkStart w:id="602" w:name="_Toc119492775"/>
      <w:bookmarkStart w:id="603" w:name="_Toc103863149"/>
      <w:bookmarkStart w:id="604" w:name="_Toc103863360"/>
      <w:bookmarkStart w:id="605" w:name="_Toc103865296"/>
      <w:bookmarkStart w:id="606" w:name="_Toc107325793"/>
      <w:bookmarkStart w:id="607" w:name="_Toc107494202"/>
      <w:r>
        <w:rPr>
          <w:rStyle w:val="CharDivNo"/>
        </w:rPr>
        <w:t>Division 3A</w:t>
      </w:r>
      <w:r>
        <w:t> — </w:t>
      </w:r>
      <w:r>
        <w:rPr>
          <w:rStyle w:val="CharDivText"/>
        </w:rPr>
        <w:t>Police functions</w:t>
      </w:r>
      <w:bookmarkEnd w:id="600"/>
      <w:bookmarkEnd w:id="601"/>
      <w:bookmarkEnd w:id="602"/>
      <w:bookmarkEnd w:id="603"/>
      <w:bookmarkEnd w:id="604"/>
      <w:bookmarkEnd w:id="605"/>
      <w:bookmarkEnd w:id="606"/>
      <w:bookmarkEnd w:id="607"/>
    </w:p>
    <w:p>
      <w:pPr>
        <w:pStyle w:val="Footnoteheading"/>
        <w:tabs>
          <w:tab w:val="left" w:pos="851"/>
        </w:tabs>
      </w:pPr>
      <w:r>
        <w:tab/>
        <w:t>[Heading inserted: No. 38 of 2004 s. 43(1).]</w:t>
      </w:r>
    </w:p>
    <w:p>
      <w:pPr>
        <w:pStyle w:val="Heading5"/>
      </w:pPr>
      <w:bookmarkStart w:id="608" w:name="_Toc119492776"/>
      <w:bookmarkStart w:id="609" w:name="_Toc107494203"/>
      <w:r>
        <w:rPr>
          <w:rStyle w:val="CharSectno"/>
        </w:rPr>
        <w:t>62A</w:t>
      </w:r>
      <w:r>
        <w:t>.</w:t>
      </w:r>
      <w:r>
        <w:tab/>
        <w:t>Investigation of suspected family violence</w:t>
      </w:r>
      <w:bookmarkEnd w:id="608"/>
      <w:bookmarkEnd w:id="609"/>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610" w:name="_Toc119492777"/>
      <w:bookmarkStart w:id="611" w:name="_Toc107494204"/>
      <w:r>
        <w:rPr>
          <w:rStyle w:val="CharSectno"/>
        </w:rPr>
        <w:t>62B</w:t>
      </w:r>
      <w:r>
        <w:t>.</w:t>
      </w:r>
      <w:r>
        <w:tab/>
        <w:t>Entry and search of premises if family violence suspected</w:t>
      </w:r>
      <w:bookmarkEnd w:id="610"/>
      <w:bookmarkEnd w:id="611"/>
    </w:p>
    <w:p>
      <w:pPr>
        <w:pStyle w:val="Subsection"/>
        <w:keepNext/>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612" w:name="_Toc119492778"/>
      <w:bookmarkStart w:id="613" w:name="_Toc107494205"/>
      <w:r>
        <w:rPr>
          <w:rStyle w:val="CharSectno"/>
        </w:rPr>
        <w:t>62C</w:t>
      </w:r>
      <w:r>
        <w:t>.</w:t>
      </w:r>
      <w:r>
        <w:tab/>
        <w:t>Action to be taken by police officer after investigating suspected family violence</w:t>
      </w:r>
      <w:bookmarkEnd w:id="612"/>
      <w:bookmarkEnd w:id="613"/>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614" w:name="_Toc119492779"/>
      <w:bookmarkStart w:id="615" w:name="_Toc107494206"/>
      <w:r>
        <w:rPr>
          <w:rStyle w:val="CharSectno"/>
        </w:rPr>
        <w:t>62D</w:t>
      </w:r>
      <w:r>
        <w:t>.</w:t>
      </w:r>
      <w:r>
        <w:tab/>
        <w:t>Approval of senior officer</w:t>
      </w:r>
      <w:bookmarkEnd w:id="614"/>
      <w:bookmarkEnd w:id="615"/>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616" w:name="_Toc119492780"/>
      <w:bookmarkStart w:id="617" w:name="_Toc107494207"/>
      <w:r>
        <w:rPr>
          <w:rStyle w:val="CharSectno"/>
        </w:rPr>
        <w:t>62E</w:t>
      </w:r>
      <w:r>
        <w:t>.</w:t>
      </w:r>
      <w:r>
        <w:tab/>
      </w:r>
      <w:r>
        <w:rPr>
          <w:snapToGrid w:val="0"/>
        </w:rPr>
        <w:t xml:space="preserve">Seizure of </w:t>
      </w:r>
      <w:del w:id="618" w:author="Master Repository Process" w:date="2022-11-17T15:14:00Z">
        <w:r>
          <w:delText>firearms</w:delText>
        </w:r>
      </w:del>
      <w:ins w:id="619" w:author="Master Repository Process" w:date="2022-11-17T15:14:00Z">
        <w:r>
          <w:rPr>
            <w:snapToGrid w:val="0"/>
          </w:rPr>
          <w:t>firearm items</w:t>
        </w:r>
      </w:ins>
      <w:r>
        <w:rPr>
          <w:snapToGrid w:val="0"/>
        </w:rPr>
        <w:t xml:space="preserve"> and explosives</w:t>
      </w:r>
      <w:bookmarkEnd w:id="616"/>
      <w:bookmarkEnd w:id="617"/>
    </w:p>
    <w:p>
      <w:pPr>
        <w:pStyle w:val="Subsection"/>
      </w:pPr>
      <w:r>
        <w:tab/>
        <w:t>(1)</w:t>
      </w:r>
      <w:r>
        <w:tab/>
        <w:t xml:space="preserve">If a person who is bound by an FVRO or VRO does not give up possession of a firearm </w:t>
      </w:r>
      <w:ins w:id="620" w:author="Master Repository Process" w:date="2022-11-17T15:14:00Z">
        <w:r>
          <w:t xml:space="preserve">item </w:t>
        </w:r>
      </w:ins>
      <w:r>
        <w:t xml:space="preserve">or firearms </w:t>
      </w:r>
      <w:del w:id="621" w:author="Master Repository Process" w:date="2022-11-17T15:14:00Z">
        <w:r>
          <w:delText>licence</w:delText>
        </w:r>
      </w:del>
      <w:ins w:id="622" w:author="Master Repository Process" w:date="2022-11-17T15:14:00Z">
        <w:r>
          <w:t>authorisation</w:t>
        </w:r>
      </w:ins>
      <w:r>
        <w:t xml:space="preserve"> in accordance with section 14(2), a police officer may, without a warrant, enter a place where — </w:t>
      </w:r>
    </w:p>
    <w:p>
      <w:pPr>
        <w:pStyle w:val="Indenta"/>
      </w:pPr>
      <w:r>
        <w:tab/>
        <w:t>(a)</w:t>
      </w:r>
      <w:r>
        <w:tab/>
        <w:t xml:space="preserve">a firearm </w:t>
      </w:r>
      <w:ins w:id="623" w:author="Master Repository Process" w:date="2022-11-17T15:14:00Z">
        <w:r>
          <w:t xml:space="preserve">item </w:t>
        </w:r>
      </w:ins>
      <w:r>
        <w:t xml:space="preserve">that is, or is reasonably suspected to be, in the possession of the person; or </w:t>
      </w:r>
    </w:p>
    <w:p>
      <w:pPr>
        <w:pStyle w:val="Indenta"/>
        <w:keepNext/>
      </w:pPr>
      <w:r>
        <w:tab/>
        <w:t>(b)</w:t>
      </w:r>
      <w:r>
        <w:tab/>
        <w:t xml:space="preserve">a firearms </w:t>
      </w:r>
      <w:del w:id="624" w:author="Master Repository Process" w:date="2022-11-17T15:14:00Z">
        <w:r>
          <w:delText>licence</w:delText>
        </w:r>
      </w:del>
      <w:ins w:id="625" w:author="Master Repository Process" w:date="2022-11-17T15:14:00Z">
        <w:r>
          <w:t>authorisation</w:t>
        </w:r>
      </w:ins>
      <w:r>
        <w:t xml:space="preserve"> held by the person,</w:t>
      </w:r>
    </w:p>
    <w:p>
      <w:pPr>
        <w:pStyle w:val="Subsection"/>
      </w:pPr>
      <w:r>
        <w:tab/>
      </w:r>
      <w:r>
        <w:tab/>
        <w:t xml:space="preserve">is reasonably suspected to be, and search for and seize the firearm </w:t>
      </w:r>
      <w:ins w:id="626" w:author="Master Repository Process" w:date="2022-11-17T15:14:00Z">
        <w:r>
          <w:t xml:space="preserve">item </w:t>
        </w:r>
      </w:ins>
      <w:r>
        <w:t xml:space="preserve">or firearms </w:t>
      </w:r>
      <w:del w:id="627" w:author="Master Repository Process" w:date="2022-11-17T15:14:00Z">
        <w:r>
          <w:delText>licence</w:delText>
        </w:r>
      </w:del>
      <w:ins w:id="628" w:author="Master Repository Process" w:date="2022-11-17T15:14:00Z">
        <w:r>
          <w:t>authorisation</w:t>
        </w:r>
      </w:ins>
      <w:r>
        <w:t>.</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person are reasonably suspected to be, and search for and seize the explosives; or </w:t>
      </w:r>
    </w:p>
    <w:p>
      <w:pPr>
        <w:pStyle w:val="Indenta"/>
      </w:pPr>
      <w:r>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keepNext/>
      </w:pPr>
      <w:r>
        <w:tab/>
        <w:t>(2)</w:t>
      </w:r>
      <w:r>
        <w:tab/>
        <w:t xml:space="preserve">A firearm </w:t>
      </w:r>
      <w:ins w:id="629" w:author="Master Repository Process" w:date="2022-11-17T15:14:00Z">
        <w:r>
          <w:t xml:space="preserve">item </w:t>
        </w:r>
      </w:ins>
      <w:r>
        <w:t xml:space="preserve">or firearms </w:t>
      </w:r>
      <w:del w:id="630" w:author="Master Repository Process" w:date="2022-11-17T15:14:00Z">
        <w:r>
          <w:delText>licence</w:delText>
        </w:r>
      </w:del>
      <w:ins w:id="631" w:author="Master Repository Process" w:date="2022-11-17T15:14:00Z">
        <w:r>
          <w:t>authorisation</w:t>
        </w:r>
      </w:ins>
      <w:r>
        <w:t xml:space="preserve">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w:t>
      </w:r>
      <w:del w:id="632" w:author="Master Repository Process" w:date="2022-11-17T15:14:00Z">
        <w:r>
          <w:delText>76</w:delText>
        </w:r>
      </w:del>
      <w:ins w:id="633" w:author="Master Repository Process" w:date="2022-11-17T15:14:00Z">
        <w:r>
          <w:t>76; No. 13 of 2022 s. 80 and 81</w:t>
        </w:r>
      </w:ins>
      <w:r>
        <w:t>.]</w:t>
      </w:r>
    </w:p>
    <w:p>
      <w:pPr>
        <w:pStyle w:val="Footnotesection"/>
      </w:pPr>
      <w:r>
        <w:tab/>
        <w:t>[Section 62E. Modifications to be applied in order to give effect to Cross-border Justice Act 2008: section altered 1 Nov 2009. See endnote 1M.]</w:t>
      </w:r>
    </w:p>
    <w:p>
      <w:pPr>
        <w:pStyle w:val="Heading5"/>
      </w:pPr>
      <w:bookmarkStart w:id="634" w:name="_Toc119492781"/>
      <w:bookmarkStart w:id="635" w:name="_Toc107494208"/>
      <w:r>
        <w:rPr>
          <w:rStyle w:val="CharSectno"/>
        </w:rPr>
        <w:t>62F</w:t>
      </w:r>
      <w:r>
        <w:t>.</w:t>
      </w:r>
      <w:r>
        <w:tab/>
        <w:t>Detention of respondent during telephone hearing or while police order is being made</w:t>
      </w:r>
      <w:bookmarkEnd w:id="634"/>
      <w:bookmarkEnd w:id="635"/>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keepNext/>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keepNext/>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keepNext/>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636" w:name="_Toc119492782"/>
      <w:bookmarkStart w:id="637" w:name="_Toc107494209"/>
      <w:r>
        <w:rPr>
          <w:rStyle w:val="CharSectno"/>
        </w:rPr>
        <w:t>62G</w:t>
      </w:r>
      <w:r>
        <w:t>.</w:t>
      </w:r>
      <w:r>
        <w:tab/>
        <w:t>Police officer may conduct hearing for applicant</w:t>
      </w:r>
      <w:bookmarkEnd w:id="636"/>
      <w:bookmarkEnd w:id="637"/>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638" w:name="_Toc119414027"/>
      <w:bookmarkStart w:id="639" w:name="_Toc119415683"/>
      <w:bookmarkStart w:id="640" w:name="_Toc119492783"/>
      <w:bookmarkStart w:id="641" w:name="_Toc103863157"/>
      <w:bookmarkStart w:id="642" w:name="_Toc103863368"/>
      <w:bookmarkStart w:id="643" w:name="_Toc103865304"/>
      <w:bookmarkStart w:id="644" w:name="_Toc107325801"/>
      <w:bookmarkStart w:id="645" w:name="_Toc107494210"/>
      <w:r>
        <w:rPr>
          <w:rStyle w:val="CharDivNo"/>
        </w:rPr>
        <w:t>Division 4</w:t>
      </w:r>
      <w:r>
        <w:rPr>
          <w:snapToGrid w:val="0"/>
        </w:rPr>
        <w:t> — </w:t>
      </w:r>
      <w:r>
        <w:rPr>
          <w:rStyle w:val="CharDivText"/>
        </w:rPr>
        <w:t>General</w:t>
      </w:r>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119492784"/>
      <w:bookmarkStart w:id="647" w:name="_Toc107494211"/>
      <w:r>
        <w:rPr>
          <w:rStyle w:val="CharSectno"/>
        </w:rPr>
        <w:t>63</w:t>
      </w:r>
      <w:r>
        <w:rPr>
          <w:snapToGrid w:val="0"/>
        </w:rPr>
        <w:t>.</w:t>
      </w:r>
      <w:r>
        <w:rPr>
          <w:snapToGrid w:val="0"/>
        </w:rPr>
        <w:tab/>
        <w:t>Making restraining orders during other proceedings</w:t>
      </w:r>
      <w:bookmarkEnd w:id="646"/>
      <w:bookmarkEnd w:id="647"/>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keepNext/>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keepNext/>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keepNext/>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648" w:name="_Toc119492785"/>
      <w:bookmarkStart w:id="649" w:name="_Toc107494212"/>
      <w:r>
        <w:rPr>
          <w:rStyle w:val="CharSectno"/>
        </w:rPr>
        <w:t>63A</w:t>
      </w:r>
      <w:r>
        <w:t>.</w:t>
      </w:r>
      <w:r>
        <w:tab/>
        <w:t>FVRO or VRO made if certain violent personal offences committed</w:t>
      </w:r>
      <w:bookmarkEnd w:id="648"/>
      <w:bookmarkEnd w:id="649"/>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650" w:name="_Toc119492786"/>
      <w:bookmarkStart w:id="651" w:name="_Toc107494213"/>
      <w:r>
        <w:rPr>
          <w:rStyle w:val="CharSectno"/>
        </w:rPr>
        <w:t>63B</w:t>
      </w:r>
      <w:r>
        <w:t>.</w:t>
      </w:r>
      <w:r>
        <w:tab/>
        <w:t>Circumstances to be taken into account when sentencing for certain offences</w:t>
      </w:r>
      <w:bookmarkEnd w:id="650"/>
      <w:bookmarkEnd w:id="651"/>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keepNext/>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 amended: No. 30 of 2020 s. 79.]</w:t>
      </w:r>
    </w:p>
    <w:p>
      <w:pPr>
        <w:pStyle w:val="Heading5"/>
      </w:pPr>
      <w:bookmarkStart w:id="652" w:name="_Toc119492787"/>
      <w:bookmarkStart w:id="653" w:name="_Toc107494214"/>
      <w:r>
        <w:rPr>
          <w:rStyle w:val="CharSectno"/>
        </w:rPr>
        <w:t>63C</w:t>
      </w:r>
      <w:r>
        <w:t>.</w:t>
      </w:r>
      <w:r>
        <w:tab/>
        <w:t>Criminal and civil liability not affected by restraining orders</w:t>
      </w:r>
      <w:bookmarkEnd w:id="652"/>
      <w:bookmarkEnd w:id="653"/>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654" w:name="_Toc119492788"/>
      <w:bookmarkStart w:id="655" w:name="_Toc107494215"/>
      <w:r>
        <w:rPr>
          <w:rStyle w:val="CharSectno"/>
        </w:rPr>
        <w:t>63D</w:t>
      </w:r>
      <w:r>
        <w:t>.</w:t>
      </w:r>
      <w:r>
        <w:tab/>
        <w:t>Court to give reasons for certain decisions</w:t>
      </w:r>
      <w:bookmarkEnd w:id="654"/>
      <w:bookmarkEnd w:id="655"/>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656" w:name="_Toc119492789"/>
      <w:bookmarkStart w:id="657" w:name="_Toc107494216"/>
      <w:r>
        <w:rPr>
          <w:rStyle w:val="CharSectno"/>
        </w:rPr>
        <w:t>64</w:t>
      </w:r>
      <w:r>
        <w:rPr>
          <w:snapToGrid w:val="0"/>
        </w:rPr>
        <w:t>.</w:t>
      </w:r>
      <w:r>
        <w:rPr>
          <w:snapToGrid w:val="0"/>
        </w:rPr>
        <w:tab/>
        <w:t>Appeals</w:t>
      </w:r>
      <w:bookmarkEnd w:id="656"/>
      <w:bookmarkEnd w:id="657"/>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keepNext/>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658" w:name="_Toc119492790"/>
      <w:bookmarkStart w:id="659" w:name="_Toc107494217"/>
      <w:r>
        <w:rPr>
          <w:rStyle w:val="CharSectno"/>
        </w:rPr>
        <w:t>65</w:t>
      </w:r>
      <w:r>
        <w:rPr>
          <w:snapToGrid w:val="0"/>
        </w:rPr>
        <w:t>.</w:t>
      </w:r>
      <w:r>
        <w:rPr>
          <w:snapToGrid w:val="0"/>
        </w:rPr>
        <w:tab/>
        <w:t>Orders not to conflict with certain family orders</w:t>
      </w:r>
      <w:bookmarkEnd w:id="658"/>
      <w:bookmarkEnd w:id="659"/>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660" w:name="_Toc119492791"/>
      <w:bookmarkStart w:id="661" w:name="_Toc107494218"/>
      <w:r>
        <w:rPr>
          <w:rStyle w:val="CharSectno"/>
        </w:rPr>
        <w:t>66</w:t>
      </w:r>
      <w:r>
        <w:t>.</w:t>
      </w:r>
      <w:r>
        <w:tab/>
        <w:t>Information about family orders</w:t>
      </w:r>
      <w:bookmarkEnd w:id="660"/>
      <w:bookmarkEnd w:id="661"/>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keepLines/>
      </w:pPr>
      <w:r>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662" w:name="_Toc119492792"/>
      <w:bookmarkStart w:id="663" w:name="_Toc107494219"/>
      <w:r>
        <w:rPr>
          <w:rStyle w:val="CharSectno"/>
        </w:rPr>
        <w:t>67</w:t>
      </w:r>
      <w:r>
        <w:t>.</w:t>
      </w:r>
      <w:r>
        <w:tab/>
        <w:t>Adjournments</w:t>
      </w:r>
      <w:bookmarkEnd w:id="662"/>
      <w:bookmarkEnd w:id="663"/>
    </w:p>
    <w:p>
      <w:pPr>
        <w:pStyle w:val="Subsection"/>
        <w:keepNext/>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664" w:name="_Toc119492793"/>
      <w:bookmarkStart w:id="665" w:name="_Toc107494220"/>
      <w:r>
        <w:rPr>
          <w:rStyle w:val="CharSectno"/>
        </w:rPr>
        <w:t>68</w:t>
      </w:r>
      <w:r>
        <w:rPr>
          <w:snapToGrid w:val="0"/>
        </w:rPr>
        <w:t>.</w:t>
      </w:r>
      <w:r>
        <w:rPr>
          <w:snapToGrid w:val="0"/>
        </w:rPr>
        <w:tab/>
        <w:t>Orders may be extended to apply to other people</w:t>
      </w:r>
      <w:bookmarkEnd w:id="664"/>
      <w:bookmarkEnd w:id="665"/>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666" w:name="_Toc119492794"/>
      <w:bookmarkStart w:id="667" w:name="_Toc107494221"/>
      <w:r>
        <w:rPr>
          <w:rStyle w:val="CharSectno"/>
        </w:rPr>
        <w:t>69</w:t>
      </w:r>
      <w:r>
        <w:rPr>
          <w:snapToGrid w:val="0"/>
        </w:rPr>
        <w:t>.</w:t>
      </w:r>
      <w:r>
        <w:rPr>
          <w:snapToGrid w:val="0"/>
        </w:rPr>
        <w:tab/>
        <w:t>Costs</w:t>
      </w:r>
      <w:bookmarkEnd w:id="666"/>
      <w:bookmarkEnd w:id="667"/>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668" w:name="_Toc119492795"/>
      <w:bookmarkStart w:id="669" w:name="_Toc107494222"/>
      <w:r>
        <w:rPr>
          <w:rStyle w:val="CharSectno"/>
        </w:rPr>
        <w:t>70</w:t>
      </w:r>
      <w:r>
        <w:t>.</w:t>
      </w:r>
      <w:r>
        <w:tab/>
        <w:t>Information on identity of certain person restricted</w:t>
      </w:r>
      <w:bookmarkEnd w:id="668"/>
      <w:bookmarkEnd w:id="669"/>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670" w:name="_Toc119492796"/>
      <w:bookmarkStart w:id="671" w:name="_Toc107494223"/>
      <w:r>
        <w:rPr>
          <w:rStyle w:val="CharSectno"/>
        </w:rPr>
        <w:t>70A</w:t>
      </w:r>
      <w:r>
        <w:t>.</w:t>
      </w:r>
      <w:r>
        <w:tab/>
        <w:t>Exchange of information</w:t>
      </w:r>
      <w:bookmarkEnd w:id="670"/>
      <w:bookmarkEnd w:id="671"/>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672" w:name="_Toc119492797"/>
      <w:bookmarkStart w:id="673" w:name="_Toc107494224"/>
      <w:r>
        <w:rPr>
          <w:rStyle w:val="CharSectno"/>
        </w:rPr>
        <w:t>71</w:t>
      </w:r>
      <w:r>
        <w:rPr>
          <w:snapToGrid w:val="0"/>
        </w:rPr>
        <w:t>.</w:t>
      </w:r>
      <w:r>
        <w:rPr>
          <w:snapToGrid w:val="0"/>
        </w:rPr>
        <w:tab/>
        <w:t>Notification when firearms order made</w:t>
      </w:r>
      <w:bookmarkEnd w:id="672"/>
      <w:bookmarkEnd w:id="673"/>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ins w:id="674" w:author="Master Repository Process" w:date="2022-11-17T15:14:00Z">
        <w:r>
          <w:t xml:space="preserve"> item</w:t>
        </w:r>
      </w:ins>
      <w:r>
        <w:t>;</w:t>
      </w:r>
    </w:p>
    <w:p>
      <w:pPr>
        <w:pStyle w:val="Defstart"/>
        <w:keepNext/>
      </w:pPr>
      <w:r>
        <w:rPr>
          <w:b/>
        </w:rPr>
        <w:tab/>
      </w:r>
      <w:r>
        <w:rPr>
          <w:rStyle w:val="CharDefText"/>
        </w:rPr>
        <w:t>responsible person</w:t>
      </w:r>
      <w:r>
        <w:t xml:space="preserve"> means, in relation to a restrained person who uses or has access to a firearm </w:t>
      </w:r>
      <w:ins w:id="675" w:author="Master Repository Process" w:date="2022-11-17T15:14:00Z">
        <w:r>
          <w:t xml:space="preserve">item </w:t>
        </w:r>
      </w:ins>
      <w:r>
        <w:t xml:space="preserve">in the course of that person’s usual occupation, the person who holds a </w:t>
      </w:r>
      <w:bookmarkStart w:id="676" w:name="_Hlk119414721"/>
      <w:r>
        <w:t xml:space="preserve">firearms </w:t>
      </w:r>
      <w:del w:id="677" w:author="Master Repository Process" w:date="2022-11-17T15:14:00Z">
        <w:r>
          <w:delText>licence</w:delText>
        </w:r>
      </w:del>
      <w:ins w:id="678" w:author="Master Repository Process" w:date="2022-11-17T15:14:00Z">
        <w:r>
          <w:t>authorisation</w:t>
        </w:r>
      </w:ins>
      <w:bookmarkEnd w:id="676"/>
      <w:r>
        <w:t xml:space="preserve"> (or the equivalent under a law of another State or Territory) for that firearm</w:t>
      </w:r>
      <w:ins w:id="679" w:author="Master Repository Process" w:date="2022-11-17T15:14:00Z">
        <w:r>
          <w:t xml:space="preserve"> item</w:t>
        </w:r>
      </w:ins>
      <w:r>
        <w:t>,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 xml:space="preserve">whether the person uses or has access to any </w:t>
      </w:r>
      <w:del w:id="680" w:author="Master Repository Process" w:date="2022-11-17T15:14:00Z">
        <w:r>
          <w:rPr>
            <w:snapToGrid w:val="0"/>
          </w:rPr>
          <w:delText>firearms</w:delText>
        </w:r>
      </w:del>
      <w:ins w:id="681" w:author="Master Repository Process" w:date="2022-11-17T15:14:00Z">
        <w:r>
          <w:t>firearm items</w:t>
        </w:r>
      </w:ins>
      <w:r>
        <w:rPr>
          <w:snapToGrid w:val="0"/>
        </w:rPr>
        <w:t xml:space="preserve">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xml:space="preserve">) hold </w:t>
      </w:r>
      <w:r>
        <w:t xml:space="preserve">firearms </w:t>
      </w:r>
      <w:del w:id="682" w:author="Master Repository Process" w:date="2022-11-17T15:14:00Z">
        <w:r>
          <w:rPr>
            <w:snapToGrid w:val="0"/>
          </w:rPr>
          <w:delText>licences</w:delText>
        </w:r>
      </w:del>
      <w:ins w:id="683" w:author="Master Repository Process" w:date="2022-11-17T15:14:00Z">
        <w:r>
          <w:t>authorisations</w:t>
        </w:r>
      </w:ins>
      <w:r>
        <w:rPr>
          <w:snapToGrid w:val="0"/>
        </w:rPr>
        <w:t xml:space="preserve"> in respect of the same </w:t>
      </w:r>
      <w:r>
        <w:t>firearm</w:t>
      </w:r>
      <w:ins w:id="684" w:author="Master Repository Process" w:date="2022-11-17T15:14:00Z">
        <w:r>
          <w:t xml:space="preserve"> item</w:t>
        </w:r>
      </w:ins>
      <w:r>
        <w:rPr>
          <w:snapToGrid w:val="0"/>
        </w:rPr>
        <w:t>;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 xml:space="preserve">On receipt of a police copy of an order that indicates that the restrained person uses or has access to a </w:t>
      </w:r>
      <w:r>
        <w:t xml:space="preserve">firearm </w:t>
      </w:r>
      <w:ins w:id="685" w:author="Master Repository Process" w:date="2022-11-17T15:14:00Z">
        <w:r>
          <w:t xml:space="preserve">item </w:t>
        </w:r>
      </w:ins>
      <w:r>
        <w:rPr>
          <w:snapToGrid w:val="0"/>
        </w:rPr>
        <w:t xml:space="preserve">in the course of the restrained person’s usual occupation or holds a </w:t>
      </w:r>
      <w:r>
        <w:t xml:space="preserve">firearms </w:t>
      </w:r>
      <w:del w:id="686" w:author="Master Repository Process" w:date="2022-11-17T15:14:00Z">
        <w:r>
          <w:rPr>
            <w:snapToGrid w:val="0"/>
          </w:rPr>
          <w:delText>licence</w:delText>
        </w:r>
      </w:del>
      <w:ins w:id="687" w:author="Master Repository Process" w:date="2022-11-17T15:14:00Z">
        <w:r>
          <w:t>authorisation</w:t>
        </w:r>
      </w:ins>
      <w:r>
        <w:t xml:space="preserve"> </w:t>
      </w:r>
      <w:r>
        <w:rPr>
          <w:snapToGrid w:val="0"/>
        </w:rPr>
        <w:t xml:space="preserve">in respect of a </w:t>
      </w:r>
      <w:r>
        <w:t xml:space="preserve">firearm </w:t>
      </w:r>
      <w:ins w:id="688" w:author="Master Repository Process" w:date="2022-11-17T15:14:00Z">
        <w:r>
          <w:t xml:space="preserve">item </w:t>
        </w:r>
      </w:ins>
      <w:r>
        <w:rPr>
          <w:snapToGrid w:val="0"/>
        </w:rPr>
        <w:t>for which a co</w:t>
      </w:r>
      <w:r>
        <w:rPr>
          <w:snapToGrid w:val="0"/>
        </w:rPr>
        <w:noBreakHyphen/>
        <w:t xml:space="preserve">licensee also holds a </w:t>
      </w:r>
      <w:r>
        <w:t xml:space="preserve">firearms </w:t>
      </w:r>
      <w:del w:id="689" w:author="Master Repository Process" w:date="2022-11-17T15:14:00Z">
        <w:r>
          <w:rPr>
            <w:snapToGrid w:val="0"/>
          </w:rPr>
          <w:delText>licence</w:delText>
        </w:r>
      </w:del>
      <w:ins w:id="690" w:author="Master Repository Process" w:date="2022-11-17T15:14:00Z">
        <w:r>
          <w:t>authorisation</w:t>
        </w:r>
      </w:ins>
      <w:r>
        <w:t xml:space="preserve"> </w:t>
      </w:r>
      <w:r>
        <w:rPr>
          <w:snapToGrid w:val="0"/>
        </w:rPr>
        <w:t>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 xml:space="preserve">that the order prohibits the restrained person from being in possession of a </w:t>
      </w:r>
      <w:r>
        <w:t xml:space="preserve">firearm </w:t>
      </w:r>
      <w:ins w:id="691" w:author="Master Repository Process" w:date="2022-11-17T15:14:00Z">
        <w:r>
          <w:t xml:space="preserve">item </w:t>
        </w:r>
      </w:ins>
      <w:r>
        <w:rPr>
          <w:snapToGrid w:val="0"/>
        </w:rPr>
        <w:t xml:space="preserve">(or if the court acted under section 14(5), that the restrained person is prohibited from being in possession of a </w:t>
      </w:r>
      <w:r>
        <w:t xml:space="preserve">firearm </w:t>
      </w:r>
      <w:ins w:id="692" w:author="Master Repository Process" w:date="2022-11-17T15:14:00Z">
        <w:r>
          <w:t xml:space="preserve">item </w:t>
        </w:r>
      </w:ins>
      <w:r>
        <w:rPr>
          <w:snapToGrid w:val="0"/>
        </w:rPr>
        <w:t>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 xml:space="preserve">licensee to allow the restrained person to use or have access to a </w:t>
      </w:r>
      <w:r>
        <w:t xml:space="preserve">firearm </w:t>
      </w:r>
      <w:ins w:id="693" w:author="Master Repository Process" w:date="2022-11-17T15:14:00Z">
        <w:r>
          <w:t xml:space="preserve">item </w:t>
        </w:r>
      </w:ins>
      <w:r>
        <w:rPr>
          <w:snapToGrid w:val="0"/>
        </w:rPr>
        <w:t>in contravention of the order.</w:t>
      </w:r>
    </w:p>
    <w:p>
      <w:pPr>
        <w:pStyle w:val="Subsection"/>
        <w:keepNext/>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keepNext/>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keepNext/>
        <w:rPr>
          <w:snapToGrid w:val="0"/>
        </w:rPr>
      </w:pPr>
      <w:r>
        <w:rPr>
          <w:snapToGrid w:val="0"/>
        </w:rPr>
        <w:tab/>
        <w:t>(6)</w:t>
      </w:r>
      <w:r>
        <w:rPr>
          <w:snapToGrid w:val="0"/>
        </w:rPr>
        <w:tab/>
        <w:t>A responsible person or co</w:t>
      </w:r>
      <w:r>
        <w:rPr>
          <w:snapToGrid w:val="0"/>
        </w:rPr>
        <w:noBreakHyphen/>
        <w:t xml:space="preserve">licensee notified under subsection (4) or (5) who allows the restrained person to use or have access to a </w:t>
      </w:r>
      <w:r>
        <w:t>firearm</w:t>
      </w:r>
      <w:ins w:id="694" w:author="Master Repository Process" w:date="2022-11-17T15:14:00Z">
        <w:r>
          <w:t xml:space="preserve"> item</w:t>
        </w:r>
      </w:ins>
      <w:r>
        <w:rPr>
          <w:snapToGrid w:val="0"/>
        </w:rPr>
        <w:t>, except as permitted under the firearms order, commits an offence.</w:t>
      </w:r>
    </w:p>
    <w:p>
      <w:pPr>
        <w:pStyle w:val="Penstart"/>
        <w:keepNext/>
      </w:pPr>
      <w:r>
        <w:tab/>
        <w:t xml:space="preserve">Penalty for this subsection: </w:t>
      </w:r>
    </w:p>
    <w:p>
      <w:pPr>
        <w:pStyle w:val="Penpara"/>
      </w:pPr>
      <w:r>
        <w:tab/>
        <w:t>(a)</w:t>
      </w:r>
      <w:r>
        <w:tab/>
        <w:t>in the case of a responsible person — a fine of $4 000;</w:t>
      </w:r>
    </w:p>
    <w:p>
      <w:pPr>
        <w:pStyle w:val="Penpara"/>
        <w:keepNext/>
        <w:rPr>
          <w:snapToGrid w:val="0"/>
        </w:rPr>
      </w:pPr>
      <w:r>
        <w:tab/>
        <w:t>(b)</w:t>
      </w:r>
      <w:r>
        <w:tab/>
        <w:t>in the case of a co</w:t>
      </w:r>
      <w:r>
        <w:noBreakHyphen/>
        <w:t>licensee — a fine of $4 000 or imprisonment for 12 months.</w:t>
      </w:r>
    </w:p>
    <w:p>
      <w:pPr>
        <w:pStyle w:val="Footnotesection"/>
      </w:pPr>
      <w:r>
        <w:tab/>
        <w:t>[Section 71 amended: No. 50 of 2003 s. 90(3); No. 49 of 2016 s. </w:t>
      </w:r>
      <w:del w:id="695" w:author="Master Repository Process" w:date="2022-11-17T15:14:00Z">
        <w:r>
          <w:delText>78</w:delText>
        </w:r>
      </w:del>
      <w:ins w:id="696" w:author="Master Repository Process" w:date="2022-11-17T15:14:00Z">
        <w:r>
          <w:t>78; No. 13 of 2022 s. 80 and 81</w:t>
        </w:r>
      </w:ins>
      <w:r>
        <w:t>.]</w:t>
      </w:r>
    </w:p>
    <w:p>
      <w:pPr>
        <w:pStyle w:val="Heading5"/>
        <w:rPr>
          <w:snapToGrid w:val="0"/>
        </w:rPr>
      </w:pPr>
      <w:bookmarkStart w:id="697" w:name="_Toc119492798"/>
      <w:bookmarkStart w:id="698" w:name="_Toc107494225"/>
      <w:r>
        <w:rPr>
          <w:rStyle w:val="CharSectno"/>
        </w:rPr>
        <w:t>72</w:t>
      </w:r>
      <w:r>
        <w:rPr>
          <w:snapToGrid w:val="0"/>
        </w:rPr>
        <w:t>.</w:t>
      </w:r>
      <w:r>
        <w:rPr>
          <w:snapToGrid w:val="0"/>
        </w:rPr>
        <w:tab/>
        <w:t>Practice and procedure generally</w:t>
      </w:r>
      <w:bookmarkEnd w:id="697"/>
      <w:bookmarkEnd w:id="698"/>
      <w:r>
        <w:rPr>
          <w:snapToGrid w:val="0"/>
        </w:rPr>
        <w:t xml:space="preserve"> </w:t>
      </w:r>
    </w:p>
    <w:p>
      <w:pPr>
        <w:pStyle w:val="Subsection"/>
        <w:keepNext/>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keepNext/>
      </w:pPr>
      <w:r>
        <w:tab/>
        <w:t>[(2)</w:t>
      </w:r>
      <w:r>
        <w:tab/>
        <w:t>deleted]</w:t>
      </w:r>
    </w:p>
    <w:p>
      <w:pPr>
        <w:pStyle w:val="Footnotesection"/>
      </w:pPr>
      <w:r>
        <w:tab/>
        <w:t xml:space="preserve">[Section 72 amended: No. 59 of 2004 s. 124.] </w:t>
      </w:r>
    </w:p>
    <w:p>
      <w:pPr>
        <w:pStyle w:val="Heading5"/>
      </w:pPr>
      <w:bookmarkStart w:id="699" w:name="_Toc119492799"/>
      <w:bookmarkStart w:id="700" w:name="_Toc107494226"/>
      <w:r>
        <w:rPr>
          <w:rStyle w:val="CharSectno"/>
        </w:rPr>
        <w:t>72A</w:t>
      </w:r>
      <w:r>
        <w:t>.</w:t>
      </w:r>
      <w:r>
        <w:tab/>
        <w:t>Forms</w:t>
      </w:r>
      <w:bookmarkEnd w:id="699"/>
      <w:bookmarkEnd w:id="700"/>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701" w:name="_Toc119492800"/>
      <w:bookmarkStart w:id="702" w:name="_Toc107494227"/>
      <w:r>
        <w:rPr>
          <w:rStyle w:val="CharSectno"/>
        </w:rPr>
        <w:t>73</w:t>
      </w:r>
      <w:r>
        <w:rPr>
          <w:snapToGrid w:val="0"/>
        </w:rPr>
        <w:t>.</w:t>
      </w:r>
      <w:r>
        <w:rPr>
          <w:snapToGrid w:val="0"/>
        </w:rPr>
        <w:tab/>
        <w:t>Regulation making power</w:t>
      </w:r>
      <w:bookmarkEnd w:id="701"/>
      <w:bookmarkEnd w:id="702"/>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w:t>
      </w:r>
      <w:del w:id="703" w:author="Master Repository Process" w:date="2022-11-17T15:14:00Z">
        <w:r>
          <w:rPr>
            <w:snapToGrid w:val="0"/>
          </w:rPr>
          <w:delText>firearms</w:delText>
        </w:r>
      </w:del>
      <w:ins w:id="704" w:author="Master Repository Process" w:date="2022-11-17T15:14:00Z">
        <w:r>
          <w:t>firearm items</w:t>
        </w:r>
      </w:ins>
      <w:r>
        <w:t xml:space="preserve"> and</w:t>
      </w:r>
      <w:r>
        <w:rPr>
          <w:snapToGrid w:val="0"/>
        </w:rPr>
        <w:t xml:space="preserve"> </w:t>
      </w:r>
      <w:r>
        <w:t xml:space="preserve">firearms </w:t>
      </w:r>
      <w:del w:id="705" w:author="Master Repository Process" w:date="2022-11-17T15:14:00Z">
        <w:r>
          <w:delText>licenses</w:delText>
        </w:r>
      </w:del>
      <w:ins w:id="706" w:author="Master Repository Process" w:date="2022-11-17T15:14:00Z">
        <w:r>
          <w:t>authorisations</w:t>
        </w:r>
      </w:ins>
      <w:r>
        <w:t xml:space="preserve">,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 xml:space="preserve">firearm </w:t>
      </w:r>
      <w:ins w:id="707" w:author="Master Repository Process" w:date="2022-11-17T15:14:00Z">
        <w:r>
          <w:t xml:space="preserve">item </w:t>
        </w:r>
      </w:ins>
      <w:r>
        <w:t>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keepNext/>
        <w:rPr>
          <w:snapToGrid w:val="0"/>
        </w:rPr>
      </w:pPr>
      <w:r>
        <w:rPr>
          <w:snapToGrid w:val="0"/>
        </w:rPr>
        <w:tab/>
        <w:t>(f)</w:t>
      </w:r>
      <w:r>
        <w:rPr>
          <w:snapToGrid w:val="0"/>
        </w:rPr>
        <w:tab/>
        <w:t>orders as to costs.</w:t>
      </w:r>
    </w:p>
    <w:p>
      <w:pPr>
        <w:pStyle w:val="Footnotesection"/>
      </w:pPr>
      <w:r>
        <w:tab/>
        <w:t>[Section 73 amended: No. 38 of 2004 s. 49; No. 49 of 2016 s. 80; No. 30 of 2020 s. </w:t>
      </w:r>
      <w:del w:id="708" w:author="Master Repository Process" w:date="2022-11-17T15:14:00Z">
        <w:r>
          <w:delText>82</w:delText>
        </w:r>
      </w:del>
      <w:ins w:id="709" w:author="Master Repository Process" w:date="2022-11-17T15:14:00Z">
        <w:r>
          <w:t>82; No. 13 of 2022 s. 80 and 81</w:t>
        </w:r>
      </w:ins>
      <w:r>
        <w:t>.]</w:t>
      </w:r>
    </w:p>
    <w:p>
      <w:pPr>
        <w:pStyle w:val="Heading5"/>
      </w:pPr>
      <w:bookmarkStart w:id="710" w:name="_Toc119492801"/>
      <w:bookmarkStart w:id="711" w:name="_Toc107494228"/>
      <w:r>
        <w:rPr>
          <w:rStyle w:val="CharSectno"/>
        </w:rPr>
        <w:t>73A</w:t>
      </w:r>
      <w:r>
        <w:t>.</w:t>
      </w:r>
      <w:r>
        <w:tab/>
        <w:t>Review of certain amendments relating to FVROs</w:t>
      </w:r>
      <w:bookmarkEnd w:id="710"/>
      <w:bookmarkEnd w:id="711"/>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712" w:name="_Toc119414046"/>
      <w:bookmarkStart w:id="713" w:name="_Toc119415702"/>
      <w:bookmarkStart w:id="714" w:name="_Toc119492802"/>
      <w:bookmarkStart w:id="715" w:name="_Toc103863176"/>
      <w:bookmarkStart w:id="716" w:name="_Toc103863387"/>
      <w:bookmarkStart w:id="717" w:name="_Toc103865323"/>
      <w:bookmarkStart w:id="718" w:name="_Toc107325820"/>
      <w:bookmarkStart w:id="719" w:name="_Toc107494229"/>
      <w:r>
        <w:rPr>
          <w:rStyle w:val="CharPartNo"/>
        </w:rPr>
        <w:t>Part 7</w:t>
      </w:r>
      <w:r>
        <w:rPr>
          <w:rStyle w:val="CharDivNo"/>
        </w:rPr>
        <w:t> </w:t>
      </w:r>
      <w:r>
        <w:t>—</w:t>
      </w:r>
      <w:r>
        <w:rPr>
          <w:rStyle w:val="CharDivText"/>
        </w:rPr>
        <w:t> </w:t>
      </w:r>
      <w:r>
        <w:rPr>
          <w:rStyle w:val="CharPartText"/>
        </w:rPr>
        <w:t>Interstate restraining orders</w:t>
      </w:r>
      <w:bookmarkEnd w:id="712"/>
      <w:bookmarkEnd w:id="713"/>
      <w:bookmarkEnd w:id="714"/>
      <w:bookmarkEnd w:id="715"/>
      <w:bookmarkEnd w:id="716"/>
      <w:bookmarkEnd w:id="717"/>
      <w:bookmarkEnd w:id="718"/>
      <w:bookmarkEnd w:id="719"/>
      <w:r>
        <w:rPr>
          <w:rStyle w:val="CharPartText"/>
        </w:rPr>
        <w:t xml:space="preserve"> </w:t>
      </w:r>
    </w:p>
    <w:p>
      <w:pPr>
        <w:pStyle w:val="Heading5"/>
        <w:rPr>
          <w:snapToGrid w:val="0"/>
        </w:rPr>
      </w:pPr>
      <w:bookmarkStart w:id="720" w:name="_Toc119492803"/>
      <w:bookmarkStart w:id="721" w:name="_Toc107494230"/>
      <w:r>
        <w:rPr>
          <w:rStyle w:val="CharSectno"/>
        </w:rPr>
        <w:t>74</w:t>
      </w:r>
      <w:r>
        <w:rPr>
          <w:snapToGrid w:val="0"/>
        </w:rPr>
        <w:t>.</w:t>
      </w:r>
      <w:r>
        <w:rPr>
          <w:snapToGrid w:val="0"/>
        </w:rPr>
        <w:tab/>
        <w:t>Terms used</w:t>
      </w:r>
      <w:bookmarkEnd w:id="720"/>
      <w:bookmarkEnd w:id="72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722" w:name="_Toc119492804"/>
      <w:bookmarkStart w:id="723" w:name="_Toc107494231"/>
      <w:r>
        <w:rPr>
          <w:rStyle w:val="CharSectno"/>
        </w:rPr>
        <w:t>74A</w:t>
      </w:r>
      <w:r>
        <w:t>.</w:t>
      </w:r>
      <w:r>
        <w:tab/>
        <w:t xml:space="preserve">Interstate DVOs under </w:t>
      </w:r>
      <w:r>
        <w:rPr>
          <w:i/>
        </w:rPr>
        <w:t xml:space="preserve">Domestic Violence Orders (National Recognition) Act 2017 </w:t>
      </w:r>
      <w:r>
        <w:t>cannot be registered</w:t>
      </w:r>
      <w:bookmarkEnd w:id="722"/>
      <w:bookmarkEnd w:id="723"/>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724" w:name="_Toc119492805"/>
      <w:bookmarkStart w:id="725" w:name="_Toc107494232"/>
      <w:r>
        <w:rPr>
          <w:rStyle w:val="CharSectno"/>
        </w:rPr>
        <w:t>74B</w:t>
      </w:r>
      <w:r>
        <w:t>.</w:t>
      </w:r>
      <w:r>
        <w:tab/>
        <w:t xml:space="preserve">Interstate orders registered before commencement of </w:t>
      </w:r>
      <w:r>
        <w:rPr>
          <w:i/>
        </w:rPr>
        <w:t>Domestic Violence Orders (National Recognition) Act 2017</w:t>
      </w:r>
      <w:bookmarkEnd w:id="724"/>
      <w:bookmarkEnd w:id="725"/>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726" w:name="_Toc119492806"/>
      <w:bookmarkStart w:id="727" w:name="_Toc107494233"/>
      <w:r>
        <w:rPr>
          <w:rStyle w:val="CharSectno"/>
        </w:rPr>
        <w:t>75</w:t>
      </w:r>
      <w:r>
        <w:rPr>
          <w:snapToGrid w:val="0"/>
        </w:rPr>
        <w:t>.</w:t>
      </w:r>
      <w:r>
        <w:rPr>
          <w:snapToGrid w:val="0"/>
        </w:rPr>
        <w:tab/>
        <w:t>Application for registration of interstate order</w:t>
      </w:r>
      <w:bookmarkEnd w:id="726"/>
      <w:bookmarkEnd w:id="727"/>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728" w:name="_Toc119492807"/>
      <w:bookmarkStart w:id="729" w:name="_Toc107494234"/>
      <w:r>
        <w:rPr>
          <w:rStyle w:val="CharSectno"/>
        </w:rPr>
        <w:t>76</w:t>
      </w:r>
      <w:r>
        <w:rPr>
          <w:snapToGrid w:val="0"/>
        </w:rPr>
        <w:t>.</w:t>
      </w:r>
      <w:r>
        <w:rPr>
          <w:snapToGrid w:val="0"/>
        </w:rPr>
        <w:tab/>
        <w:t>Registration</w:t>
      </w:r>
      <w:bookmarkEnd w:id="728"/>
      <w:bookmarkEnd w:id="729"/>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730" w:name="_Toc119492808"/>
      <w:bookmarkStart w:id="731" w:name="_Toc107494235"/>
      <w:r>
        <w:rPr>
          <w:rStyle w:val="CharSectno"/>
        </w:rPr>
        <w:t>77</w:t>
      </w:r>
      <w:r>
        <w:rPr>
          <w:snapToGrid w:val="0"/>
        </w:rPr>
        <w:t>.</w:t>
      </w:r>
      <w:r>
        <w:rPr>
          <w:snapToGrid w:val="0"/>
        </w:rPr>
        <w:tab/>
        <w:t>Effect of registration</w:t>
      </w:r>
      <w:bookmarkEnd w:id="730"/>
      <w:bookmarkEnd w:id="731"/>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732" w:name="_Toc119492809"/>
      <w:bookmarkStart w:id="733" w:name="_Toc107494236"/>
      <w:r>
        <w:rPr>
          <w:rStyle w:val="CharSectno"/>
        </w:rPr>
        <w:t>78</w:t>
      </w:r>
      <w:r>
        <w:rPr>
          <w:snapToGrid w:val="0"/>
        </w:rPr>
        <w:t>.</w:t>
      </w:r>
      <w:r>
        <w:rPr>
          <w:snapToGrid w:val="0"/>
        </w:rPr>
        <w:tab/>
        <w:t>Variation or cancellation in another State or Territory</w:t>
      </w:r>
      <w:bookmarkEnd w:id="732"/>
      <w:bookmarkEnd w:id="73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734" w:name="_Toc119492810"/>
      <w:bookmarkStart w:id="735" w:name="_Toc107494237"/>
      <w:r>
        <w:rPr>
          <w:rStyle w:val="CharSectno"/>
        </w:rPr>
        <w:t>79</w:t>
      </w:r>
      <w:r>
        <w:t>.</w:t>
      </w:r>
      <w:r>
        <w:tab/>
        <w:t>Variation or cancellation in this State</w:t>
      </w:r>
      <w:bookmarkEnd w:id="734"/>
      <w:bookmarkEnd w:id="735"/>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736" w:name="_Toc119414055"/>
      <w:bookmarkStart w:id="737" w:name="_Toc119415711"/>
      <w:bookmarkStart w:id="738" w:name="_Toc119492811"/>
      <w:bookmarkStart w:id="739" w:name="_Toc103863185"/>
      <w:bookmarkStart w:id="740" w:name="_Toc103863396"/>
      <w:bookmarkStart w:id="741" w:name="_Toc103865332"/>
      <w:bookmarkStart w:id="742" w:name="_Toc107325829"/>
      <w:bookmarkStart w:id="743" w:name="_Toc107494238"/>
      <w:r>
        <w:rPr>
          <w:rStyle w:val="CharPartNo"/>
        </w:rPr>
        <w:t>Part 7A</w:t>
      </w:r>
      <w:r>
        <w:rPr>
          <w:rStyle w:val="CharDivNo"/>
        </w:rPr>
        <w:t xml:space="preserve"> </w:t>
      </w:r>
      <w:r>
        <w:t>—</w:t>
      </w:r>
      <w:r>
        <w:rPr>
          <w:rStyle w:val="CharDivText"/>
        </w:rPr>
        <w:t xml:space="preserve"> </w:t>
      </w:r>
      <w:r>
        <w:rPr>
          <w:rStyle w:val="CharPartText"/>
        </w:rPr>
        <w:t>Foreign restraining orders</w:t>
      </w:r>
      <w:bookmarkEnd w:id="736"/>
      <w:bookmarkEnd w:id="737"/>
      <w:bookmarkEnd w:id="738"/>
      <w:bookmarkEnd w:id="739"/>
      <w:bookmarkEnd w:id="740"/>
      <w:bookmarkEnd w:id="741"/>
      <w:bookmarkEnd w:id="742"/>
      <w:bookmarkEnd w:id="743"/>
    </w:p>
    <w:p>
      <w:pPr>
        <w:pStyle w:val="Footnoteheading"/>
      </w:pPr>
      <w:r>
        <w:tab/>
        <w:t>[Heading inserted: No. 11 of 1999 s. 7.]</w:t>
      </w:r>
    </w:p>
    <w:p>
      <w:pPr>
        <w:pStyle w:val="Heading5"/>
        <w:spacing w:before="120"/>
      </w:pPr>
      <w:bookmarkStart w:id="744" w:name="_Toc119492812"/>
      <w:bookmarkStart w:id="745" w:name="_Toc107494239"/>
      <w:r>
        <w:rPr>
          <w:rStyle w:val="CharSectno"/>
        </w:rPr>
        <w:t>79A</w:t>
      </w:r>
      <w:r>
        <w:t>.</w:t>
      </w:r>
      <w:r>
        <w:tab/>
        <w:t>Recognition of foreign restraining orders</w:t>
      </w:r>
      <w:bookmarkEnd w:id="744"/>
      <w:bookmarkEnd w:id="745"/>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746" w:name="_Toc119492813"/>
      <w:bookmarkStart w:id="747" w:name="_Toc107494240"/>
      <w:r>
        <w:rPr>
          <w:rStyle w:val="CharSectno"/>
        </w:rPr>
        <w:t>79B</w:t>
      </w:r>
      <w:r>
        <w:t>.</w:t>
      </w:r>
      <w:r>
        <w:tab/>
        <w:t>Applying for registration of foreign restraining orders</w:t>
      </w:r>
      <w:bookmarkEnd w:id="746"/>
      <w:bookmarkEnd w:id="747"/>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748" w:name="_Toc119492814"/>
      <w:bookmarkStart w:id="749" w:name="_Toc107494241"/>
      <w:r>
        <w:rPr>
          <w:rStyle w:val="CharSectno"/>
        </w:rPr>
        <w:t>79C</w:t>
      </w:r>
      <w:r>
        <w:t>.</w:t>
      </w:r>
      <w:r>
        <w:tab/>
        <w:t>Registration of foreign restraining orders</w:t>
      </w:r>
      <w:bookmarkEnd w:id="748"/>
      <w:bookmarkEnd w:id="749"/>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750" w:name="_Toc119492815"/>
      <w:bookmarkStart w:id="751" w:name="_Toc107494242"/>
      <w:r>
        <w:rPr>
          <w:rStyle w:val="CharSectno"/>
        </w:rPr>
        <w:t>79D</w:t>
      </w:r>
      <w:r>
        <w:t>.</w:t>
      </w:r>
      <w:r>
        <w:tab/>
        <w:t>Effect of registration</w:t>
      </w:r>
      <w:bookmarkEnd w:id="750"/>
      <w:bookmarkEnd w:id="751"/>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752" w:name="_Toc119492816"/>
      <w:bookmarkStart w:id="753" w:name="_Toc107494243"/>
      <w:r>
        <w:rPr>
          <w:rStyle w:val="CharSectno"/>
        </w:rPr>
        <w:t>79E</w:t>
      </w:r>
      <w:r>
        <w:t>.</w:t>
      </w:r>
      <w:r>
        <w:tab/>
        <w:t>Variation or cancellation in foreign country</w:t>
      </w:r>
      <w:bookmarkEnd w:id="752"/>
      <w:bookmarkEnd w:id="753"/>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754" w:name="_Toc119492817"/>
      <w:bookmarkStart w:id="755" w:name="_Toc107494244"/>
      <w:r>
        <w:rPr>
          <w:rStyle w:val="CharSectno"/>
        </w:rPr>
        <w:t>79F</w:t>
      </w:r>
      <w:r>
        <w:t>.</w:t>
      </w:r>
      <w:r>
        <w:tab/>
        <w:t>Variation or cancellation in this State</w:t>
      </w:r>
      <w:bookmarkEnd w:id="754"/>
      <w:bookmarkEnd w:id="755"/>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380" w:gutter="0"/>
          <w:pgNumType w:start="1"/>
          <w:cols w:space="720"/>
          <w:noEndnote/>
          <w:titlePg/>
          <w:docGrid w:linePitch="326"/>
        </w:sectPr>
      </w:pPr>
    </w:p>
    <w:p>
      <w:pPr>
        <w:pStyle w:val="nHeading2"/>
      </w:pPr>
      <w:bookmarkStart w:id="756" w:name="_Toc119414062"/>
      <w:bookmarkStart w:id="757" w:name="_Toc119415718"/>
      <w:bookmarkStart w:id="758" w:name="_Toc119492818"/>
      <w:bookmarkStart w:id="759" w:name="_Toc103863192"/>
      <w:bookmarkStart w:id="760" w:name="_Toc103863403"/>
      <w:bookmarkStart w:id="761" w:name="_Toc103865339"/>
      <w:bookmarkStart w:id="762" w:name="_Toc107325836"/>
      <w:bookmarkStart w:id="763" w:name="_Toc107494245"/>
      <w:r>
        <w:t>Notes</w:t>
      </w:r>
      <w:bookmarkEnd w:id="756"/>
      <w:bookmarkEnd w:id="757"/>
      <w:bookmarkEnd w:id="758"/>
      <w:bookmarkEnd w:id="759"/>
      <w:bookmarkEnd w:id="760"/>
      <w:bookmarkEnd w:id="761"/>
      <w:bookmarkEnd w:id="762"/>
      <w:bookmarkEnd w:id="763"/>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64" w:name="_Toc119492819"/>
      <w:bookmarkStart w:id="765" w:name="_Toc107494246"/>
      <w:r>
        <w:t>Compilation table</w:t>
      </w:r>
      <w:bookmarkEnd w:id="764"/>
      <w:bookmarkEnd w:id="76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nil"/>
            </w:tcBorders>
            <w:shd w:val="clear" w:color="auto" w:fill="auto"/>
          </w:tcPr>
          <w:p>
            <w:pPr>
              <w:pStyle w:val="nTable"/>
              <w:spacing w:after="40"/>
            </w:pPr>
            <w:r>
              <w:t>30 of 2020</w:t>
            </w:r>
          </w:p>
        </w:tc>
        <w:tc>
          <w:tcPr>
            <w:tcW w:w="1134" w:type="dxa"/>
            <w:tcBorders>
              <w:top w:val="nil"/>
              <w:bottom w:val="nil"/>
            </w:tcBorders>
            <w:shd w:val="clear" w:color="auto" w:fill="auto"/>
          </w:tcPr>
          <w:p>
            <w:pPr>
              <w:pStyle w:val="nTable"/>
              <w:spacing w:after="40"/>
            </w:pPr>
            <w:r>
              <w:t>9 Jul 2020</w:t>
            </w:r>
          </w:p>
        </w:tc>
        <w:tc>
          <w:tcPr>
            <w:tcW w:w="2552" w:type="dxa"/>
            <w:tcBorders>
              <w:top w:val="nil"/>
              <w:bottom w:val="nil"/>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right w:val="nil"/>
            </w:tcBorders>
            <w:shd w:val="clear" w:color="auto" w:fill="auto"/>
          </w:tcPr>
          <w:p>
            <w:pPr>
              <w:pStyle w:val="nTable"/>
              <w:spacing w:after="40"/>
            </w:pPr>
            <w:r>
              <w:rPr>
                <w:snapToGrid w:val="0"/>
              </w:rPr>
              <w:t>1 Jul 2022 (see s. 2(c) and SL 2022/113 cl. 2)</w:t>
            </w:r>
          </w:p>
        </w:tc>
      </w:tr>
      <w:tr>
        <w:tblPrEx>
          <w:tblBorders>
            <w:top w:val="single" w:sz="4" w:space="0" w:color="auto"/>
            <w:bottom w:val="single" w:sz="4" w:space="0" w:color="auto"/>
            <w:insideH w:val="single" w:sz="4" w:space="0" w:color="auto"/>
          </w:tblBorders>
        </w:tblPrEx>
        <w:trPr>
          <w:ins w:id="766" w:author="Master Repository Process" w:date="2022-11-17T15:14:00Z"/>
        </w:trPr>
        <w:tc>
          <w:tcPr>
            <w:tcW w:w="2268" w:type="dxa"/>
            <w:tcBorders>
              <w:top w:val="nil"/>
              <w:left w:val="nil"/>
              <w:bottom w:val="single" w:sz="4" w:space="0" w:color="auto"/>
            </w:tcBorders>
            <w:shd w:val="clear" w:color="auto" w:fill="auto"/>
          </w:tcPr>
          <w:p>
            <w:pPr>
              <w:pStyle w:val="nTable"/>
              <w:spacing w:after="40"/>
              <w:rPr>
                <w:ins w:id="767" w:author="Master Repository Process" w:date="2022-11-17T15:14:00Z"/>
                <w:i/>
              </w:rPr>
            </w:pPr>
            <w:ins w:id="768" w:author="Master Repository Process" w:date="2022-11-17T15:14:00Z">
              <w:r>
                <w:rPr>
                  <w:i/>
                </w:rPr>
                <w:t>Firearms Amendment Act 2022</w:t>
              </w:r>
              <w:r>
                <w:t xml:space="preserve"> Pt. 3 Div. 4</w:t>
              </w:r>
            </w:ins>
          </w:p>
        </w:tc>
        <w:tc>
          <w:tcPr>
            <w:tcW w:w="1134" w:type="dxa"/>
            <w:tcBorders>
              <w:top w:val="nil"/>
              <w:bottom w:val="single" w:sz="4" w:space="0" w:color="auto"/>
            </w:tcBorders>
            <w:shd w:val="clear" w:color="auto" w:fill="auto"/>
          </w:tcPr>
          <w:p>
            <w:pPr>
              <w:pStyle w:val="nTable"/>
              <w:spacing w:after="40"/>
              <w:rPr>
                <w:ins w:id="769" w:author="Master Repository Process" w:date="2022-11-17T15:14:00Z"/>
              </w:rPr>
            </w:pPr>
            <w:ins w:id="770" w:author="Master Repository Process" w:date="2022-11-17T15:14:00Z">
              <w:r>
                <w:t>13 of 2022</w:t>
              </w:r>
            </w:ins>
          </w:p>
        </w:tc>
        <w:tc>
          <w:tcPr>
            <w:tcW w:w="1134" w:type="dxa"/>
            <w:tcBorders>
              <w:top w:val="nil"/>
              <w:bottom w:val="single" w:sz="4" w:space="0" w:color="auto"/>
            </w:tcBorders>
            <w:shd w:val="clear" w:color="auto" w:fill="auto"/>
          </w:tcPr>
          <w:p>
            <w:pPr>
              <w:pStyle w:val="nTable"/>
              <w:spacing w:after="40"/>
              <w:rPr>
                <w:ins w:id="771" w:author="Master Repository Process" w:date="2022-11-17T15:14:00Z"/>
              </w:rPr>
            </w:pPr>
            <w:ins w:id="772" w:author="Master Repository Process" w:date="2022-11-17T15:14:00Z">
              <w:r>
                <w:t>18 May 2022</w:t>
              </w:r>
            </w:ins>
          </w:p>
        </w:tc>
        <w:tc>
          <w:tcPr>
            <w:tcW w:w="2552" w:type="dxa"/>
            <w:tcBorders>
              <w:top w:val="nil"/>
              <w:bottom w:val="single" w:sz="4" w:space="0" w:color="auto"/>
              <w:right w:val="nil"/>
            </w:tcBorders>
            <w:shd w:val="clear" w:color="auto" w:fill="auto"/>
          </w:tcPr>
          <w:p>
            <w:pPr>
              <w:pStyle w:val="nTable"/>
              <w:spacing w:after="40"/>
              <w:rPr>
                <w:ins w:id="773" w:author="Master Repository Process" w:date="2022-11-17T15:14:00Z"/>
                <w:snapToGrid w:val="0"/>
              </w:rPr>
            </w:pPr>
            <w:ins w:id="774" w:author="Master Repository Process" w:date="2022-11-17T15:14:00Z">
              <w:r>
                <w:rPr>
                  <w:snapToGrid w:val="0"/>
                </w:rPr>
                <w:t>19 Nov 2022 (see s. 2(c) and SL 2022/186 cl. 2)</w:t>
              </w:r>
            </w:ins>
          </w:p>
        </w:tc>
      </w:tr>
    </w:tbl>
    <w:p>
      <w:pPr>
        <w:pStyle w:val="nHeading3"/>
      </w:pPr>
      <w:bookmarkStart w:id="775" w:name="_Toc119492820"/>
      <w:bookmarkStart w:id="776" w:name="_Toc107494247"/>
      <w:r>
        <w:t>Uncommenced provisions table</w:t>
      </w:r>
      <w:bookmarkEnd w:id="775"/>
      <w:bookmarkEnd w:id="776"/>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109"/>
        <w:gridCol w:w="1230"/>
        <w:gridCol w:w="2534"/>
      </w:tblGrid>
      <w:tr>
        <w:trPr>
          <w:cantSplit/>
          <w:tblHeader/>
        </w:trPr>
        <w:tc>
          <w:tcPr>
            <w:tcW w:w="2224"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09" w:type="dxa"/>
            <w:tcBorders>
              <w:top w:val="single" w:sz="4" w:space="0" w:color="auto"/>
              <w:bottom w:val="single" w:sz="4" w:space="0" w:color="auto"/>
            </w:tcBorders>
          </w:tcPr>
          <w:p>
            <w:pPr>
              <w:pStyle w:val="nStatement"/>
              <w:keepNext/>
              <w:spacing w:after="240"/>
            </w:pPr>
            <w:r>
              <w:rPr>
                <w:b/>
                <w:snapToGrid w:val="0"/>
              </w:rPr>
              <w:t>Number and year</w:t>
            </w:r>
          </w:p>
        </w:tc>
        <w:tc>
          <w:tcPr>
            <w:tcW w:w="1230" w:type="dxa"/>
            <w:tcBorders>
              <w:top w:val="single" w:sz="4" w:space="0" w:color="auto"/>
              <w:bottom w:val="single" w:sz="4" w:space="0" w:color="auto"/>
            </w:tcBorders>
          </w:tcPr>
          <w:p>
            <w:pPr>
              <w:pStyle w:val="nStatement"/>
              <w:keepNext/>
              <w:spacing w:after="240"/>
            </w:pPr>
            <w:r>
              <w:rPr>
                <w:b/>
                <w:snapToGrid w:val="0"/>
              </w:rPr>
              <w:t>Assent</w:t>
            </w:r>
          </w:p>
        </w:tc>
        <w:tc>
          <w:tcPr>
            <w:tcW w:w="2534"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24" w:type="dxa"/>
            <w:tcBorders>
              <w:top w:val="single" w:sz="4" w:space="0" w:color="auto"/>
              <w:bottom w:val="single" w:sz="4" w:space="0" w:color="auto"/>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09" w:type="dxa"/>
            <w:tcBorders>
              <w:top w:val="single" w:sz="4" w:space="0" w:color="auto"/>
              <w:bottom w:val="single" w:sz="4" w:space="0" w:color="auto"/>
            </w:tcBorders>
          </w:tcPr>
          <w:p>
            <w:pPr>
              <w:pStyle w:val="nTable"/>
              <w:spacing w:after="40"/>
            </w:pPr>
            <w:r>
              <w:t>20 of 2013</w:t>
            </w:r>
          </w:p>
        </w:tc>
        <w:tc>
          <w:tcPr>
            <w:tcW w:w="1230" w:type="dxa"/>
            <w:tcBorders>
              <w:top w:val="single" w:sz="4" w:space="0" w:color="auto"/>
              <w:bottom w:val="single" w:sz="4" w:space="0" w:color="auto"/>
            </w:tcBorders>
          </w:tcPr>
          <w:p>
            <w:pPr>
              <w:pStyle w:val="nTable"/>
              <w:spacing w:after="40"/>
            </w:pPr>
            <w:r>
              <w:t>4 Nov 2013</w:t>
            </w:r>
          </w:p>
        </w:tc>
        <w:tc>
          <w:tcPr>
            <w:tcW w:w="2534" w:type="dxa"/>
            <w:tcBorders>
              <w:top w:val="single" w:sz="4" w:space="0" w:color="auto"/>
              <w:bottom w:val="single" w:sz="4" w:space="0" w:color="auto"/>
            </w:tcBorders>
          </w:tcPr>
          <w:p>
            <w:pPr>
              <w:pStyle w:val="nTable"/>
              <w:spacing w:after="40"/>
              <w:rPr>
                <w:snapToGrid w:val="0"/>
              </w:rPr>
            </w:pPr>
            <w:r>
              <w:rPr>
                <w:snapToGrid w:val="0"/>
              </w:rPr>
              <w:t>To be proclaimed (see s. 2(b))</w:t>
            </w:r>
          </w:p>
        </w:tc>
      </w:tr>
      <w:tr>
        <w:trPr>
          <w:cantSplit/>
          <w:del w:id="777" w:author="Master Repository Process" w:date="2022-11-17T15:14:00Z"/>
        </w:trPr>
        <w:tc>
          <w:tcPr>
            <w:tcW w:w="2224" w:type="dxa"/>
            <w:tcBorders>
              <w:top w:val="nil"/>
              <w:bottom w:val="single" w:sz="4" w:space="0" w:color="auto"/>
            </w:tcBorders>
          </w:tcPr>
          <w:p>
            <w:pPr>
              <w:pStyle w:val="nTable"/>
              <w:spacing w:after="40"/>
              <w:rPr>
                <w:del w:id="778" w:author="Master Repository Process" w:date="2022-11-17T15:14:00Z"/>
              </w:rPr>
            </w:pPr>
            <w:del w:id="779" w:author="Master Repository Process" w:date="2022-11-17T15:14:00Z">
              <w:r>
                <w:rPr>
                  <w:i/>
                </w:rPr>
                <w:delText>Firearms Amendment Act 2022</w:delText>
              </w:r>
              <w:r>
                <w:delText xml:space="preserve"> Pt. 3 Div. 4</w:delText>
              </w:r>
            </w:del>
          </w:p>
        </w:tc>
        <w:tc>
          <w:tcPr>
            <w:tcW w:w="1109" w:type="dxa"/>
            <w:tcBorders>
              <w:top w:val="nil"/>
              <w:bottom w:val="single" w:sz="4" w:space="0" w:color="auto"/>
            </w:tcBorders>
          </w:tcPr>
          <w:p>
            <w:pPr>
              <w:pStyle w:val="nTable"/>
              <w:spacing w:after="40"/>
              <w:rPr>
                <w:del w:id="780" w:author="Master Repository Process" w:date="2022-11-17T15:14:00Z"/>
              </w:rPr>
            </w:pPr>
            <w:del w:id="781" w:author="Master Repository Process" w:date="2022-11-17T15:14:00Z">
              <w:r>
                <w:delText>13 of 2022</w:delText>
              </w:r>
            </w:del>
          </w:p>
        </w:tc>
        <w:tc>
          <w:tcPr>
            <w:tcW w:w="1230" w:type="dxa"/>
            <w:tcBorders>
              <w:top w:val="nil"/>
              <w:bottom w:val="single" w:sz="4" w:space="0" w:color="auto"/>
            </w:tcBorders>
          </w:tcPr>
          <w:p>
            <w:pPr>
              <w:pStyle w:val="nTable"/>
              <w:spacing w:after="40"/>
              <w:rPr>
                <w:del w:id="782" w:author="Master Repository Process" w:date="2022-11-17T15:14:00Z"/>
              </w:rPr>
            </w:pPr>
            <w:del w:id="783" w:author="Master Repository Process" w:date="2022-11-17T15:14:00Z">
              <w:r>
                <w:delText>18 May 2022</w:delText>
              </w:r>
            </w:del>
          </w:p>
        </w:tc>
        <w:tc>
          <w:tcPr>
            <w:tcW w:w="2534" w:type="dxa"/>
            <w:tcBorders>
              <w:top w:val="nil"/>
              <w:bottom w:val="single" w:sz="4" w:space="0" w:color="auto"/>
            </w:tcBorders>
          </w:tcPr>
          <w:p>
            <w:pPr>
              <w:pStyle w:val="nTable"/>
              <w:spacing w:after="40"/>
              <w:rPr>
                <w:del w:id="784" w:author="Master Repository Process" w:date="2022-11-17T15:14:00Z"/>
              </w:rPr>
            </w:pPr>
            <w:del w:id="785" w:author="Master Repository Process" w:date="2022-11-17T15:14:00Z">
              <w:r>
                <w:delText>To be proclaimed (see s. 2(c))</w:delText>
              </w:r>
            </w:del>
          </w:p>
        </w:tc>
      </w:tr>
    </w:tbl>
    <w:p>
      <w:pPr>
        <w:pStyle w:val="nHeading3"/>
      </w:pPr>
      <w:bookmarkStart w:id="786" w:name="_Toc119492821"/>
      <w:bookmarkStart w:id="787" w:name="_Toc107494248"/>
      <w:r>
        <w:t>Other notes</w:t>
      </w:r>
      <w:bookmarkEnd w:id="786"/>
      <w:bookmarkEnd w:id="787"/>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17"/>
          <w:headerReference w:type="default" r:id="rId18"/>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88" w:name="Compilation"/>
    <w:bookmarkEnd w:id="788"/>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9" w:name="Coversheet"/>
    <w:bookmarkEnd w:id="78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40942"/>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 w:name="WAFER_20220519141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21_GUID" w:val="50817ab9-191d-495b-9f36-d59f8da28f6f"/>
    <w:docVar w:name="WAFER_202211151409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0942_GUID" w:val="0cdb90d9-726b-408a-a7b9-475d77dd83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C5C9-E4A5-45E7-A5A0-D9F66C67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39713</Words>
  <Characters>182287</Characters>
  <Application>Microsoft Office Word</Application>
  <DocSecurity>0</DocSecurity>
  <Lines>4797</Lines>
  <Paragraphs>2740</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05-k0-02 - 05-l0-00</dc:title>
  <dc:subject/>
  <dc:creator/>
  <cp:keywords/>
  <dc:description/>
  <cp:lastModifiedBy>Master Repository Process</cp:lastModifiedBy>
  <cp:revision>2</cp:revision>
  <cp:lastPrinted>2019-02-27T04:33:00Z</cp:lastPrinted>
  <dcterms:created xsi:type="dcterms:W3CDTF">2022-11-17T07:13:00Z</dcterms:created>
  <dcterms:modified xsi:type="dcterms:W3CDTF">2022-11-17T07:14:00Z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20221119</vt:lpwstr>
  </property>
  <property fmtid="{D5CDD505-2E9C-101B-9397-08002B2CF9AE}" pid="8" name="FromSuffix">
    <vt:lpwstr>05-k0-02</vt:lpwstr>
  </property>
  <property fmtid="{D5CDD505-2E9C-101B-9397-08002B2CF9AE}" pid="9" name="FromAsAtDate">
    <vt:lpwstr>01 Jul 2022</vt:lpwstr>
  </property>
  <property fmtid="{D5CDD505-2E9C-101B-9397-08002B2CF9AE}" pid="10" name="ToSuffix">
    <vt:lpwstr>05-l0-00</vt:lpwstr>
  </property>
  <property fmtid="{D5CDD505-2E9C-101B-9397-08002B2CF9AE}" pid="11" name="ToAsAtDate">
    <vt:lpwstr>19 Nov 2022</vt:lpwstr>
  </property>
</Properties>
</file>