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Transport Authority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2020</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120"/>
      </w:pPr>
      <w:r>
        <w:lastRenderedPageBreak/>
        <w:t>Public Transport Authority Act 2003</w:t>
      </w:r>
      <w:r>
        <w:br/>
        <w:t>Government Railways Act 1904</w:t>
      </w:r>
      <w:r>
        <w:b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1" w:name="_Toc119498969"/>
      <w:bookmarkStart w:id="2" w:name="_Toc119499820"/>
      <w:bookmarkStart w:id="3" w:name="_Toc119574656"/>
      <w:bookmarkStart w:id="4" w:name="_Toc51745981"/>
      <w:bookmarkStart w:id="5" w:name="_Toc51751279"/>
      <w:bookmarkStart w:id="6" w:name="_Toc51751630"/>
      <w:bookmarkStart w:id="7" w:name="_Toc51751694"/>
      <w:bookmarkStart w:id="8" w:name="_Toc5175601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119574657"/>
      <w:bookmarkStart w:id="11" w:name="_Toc51756016"/>
      <w:r>
        <w:rPr>
          <w:rStyle w:val="CharSectno"/>
        </w:rPr>
        <w:t>1</w:t>
      </w:r>
      <w:r>
        <w:t>.</w:t>
      </w:r>
      <w:r>
        <w:tab/>
        <w:t>Citation</w:t>
      </w:r>
      <w:bookmarkEnd w:id="10"/>
      <w:bookmarkEnd w:id="11"/>
    </w:p>
    <w:p>
      <w:pPr>
        <w:pStyle w:val="Subsection"/>
      </w:pPr>
      <w:r>
        <w:tab/>
      </w:r>
      <w:r>
        <w:tab/>
      </w:r>
      <w:bookmarkStart w:id="12" w:name="Start_Cursor"/>
      <w:bookmarkEnd w:id="12"/>
      <w:r>
        <w:t xml:space="preserve">These regulations may be cited as the </w:t>
      </w:r>
      <w:r>
        <w:rPr>
          <w:i/>
        </w:rPr>
        <w:t>Public Transport Authority Regulations 2003</w:t>
      </w:r>
      <w:r>
        <w:t>.</w:t>
      </w:r>
    </w:p>
    <w:p>
      <w:pPr>
        <w:pStyle w:val="Heading5"/>
        <w:rPr>
          <w:spacing w:val="-2"/>
        </w:rPr>
      </w:pPr>
      <w:bookmarkStart w:id="13" w:name="_Toc119574658"/>
      <w:bookmarkStart w:id="14" w:name="_Toc51756017"/>
      <w:r>
        <w:rPr>
          <w:rStyle w:val="CharSectno"/>
        </w:rPr>
        <w:t>2</w:t>
      </w:r>
      <w:r>
        <w:t>.</w:t>
      </w:r>
      <w:r>
        <w:tab/>
        <w:t>Commencement</w:t>
      </w:r>
      <w:bookmarkEnd w:id="13"/>
      <w:bookmarkEnd w:id="14"/>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t>.</w:t>
      </w:r>
    </w:p>
    <w:p>
      <w:pPr>
        <w:pStyle w:val="Heading5"/>
      </w:pPr>
      <w:bookmarkStart w:id="15" w:name="_Toc119574659"/>
      <w:bookmarkStart w:id="16" w:name="_Toc51756018"/>
      <w:r>
        <w:rPr>
          <w:rStyle w:val="CharSectno"/>
        </w:rPr>
        <w:t>3</w:t>
      </w:r>
      <w:r>
        <w:t>.</w:t>
      </w:r>
      <w:r>
        <w:tab/>
        <w:t>Terms used in these regulations</w:t>
      </w:r>
      <w:bookmarkEnd w:id="15"/>
      <w:bookmarkEnd w:id="16"/>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tab/>
      </w:r>
      <w:r>
        <w:rPr>
          <w:rStyle w:val="CharDefText"/>
        </w:rPr>
        <w:t>electronic ticket</w:t>
      </w:r>
      <w:r>
        <w:t xml:space="preserve"> means a physical data storage device or a software application that — </w:t>
      </w:r>
    </w:p>
    <w:p>
      <w:pPr>
        <w:pStyle w:val="Defpara"/>
      </w:pPr>
      <w:r>
        <w:tab/>
        <w:t>(a)</w:t>
      </w:r>
      <w:r>
        <w:tab/>
        <w:t xml:space="preserve">is issued or approved by the Authority; and </w:t>
      </w:r>
    </w:p>
    <w:p>
      <w:pPr>
        <w:pStyle w:val="Defpara"/>
      </w:pPr>
      <w:r>
        <w:tab/>
        <w:t>(b)</w:t>
      </w:r>
      <w:r>
        <w:tab/>
        <w:t>holds data that, alone or in conjunction with other data, evidences a person’s authorisation to make a journey; and</w:t>
      </w:r>
    </w:p>
    <w:p>
      <w:pPr>
        <w:pStyle w:val="Defpara"/>
        <w:rPr>
          <w:b/>
        </w:rPr>
      </w:pPr>
      <w:r>
        <w:tab/>
        <w:t>(c)</w:t>
      </w:r>
      <w:r>
        <w:tab/>
        <w:t>at the start and end of the journey and at all times during the journey, is capable of being electronically read by the Authority’s reading apparatus;</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tab/>
      </w:r>
      <w:r>
        <w:rPr>
          <w:rStyle w:val="CharDefText"/>
        </w:rPr>
        <w:t>journey</w:t>
      </w:r>
      <w:r>
        <w:t xml:space="preserve"> means a journey on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tab/>
      </w:r>
      <w:r>
        <w:rPr>
          <w:rStyle w:val="CharDefText"/>
        </w:rPr>
        <w:t>paper ticket</w:t>
      </w:r>
      <w:r>
        <w:t xml:space="preserve"> means a voucher, receipt or other document issued by or on behalf of the Authority, that evidences a person’s authorisation to make a journey;</w:t>
      </w:r>
    </w:p>
    <w:p>
      <w:pPr>
        <w:pStyle w:val="Defstart"/>
      </w:pPr>
      <w:r>
        <w:tab/>
      </w:r>
      <w:r>
        <w:rPr>
          <w:rStyle w:val="CharDefText"/>
        </w:rPr>
        <w:t>sign</w:t>
      </w:r>
      <w:r>
        <w:t xml:space="preserve"> includes a marking on the ground or other surface;</w:t>
      </w:r>
    </w:p>
    <w:p>
      <w:pPr>
        <w:pStyle w:val="Defstart"/>
      </w:pPr>
      <w:r>
        <w:tab/>
      </w:r>
      <w:r>
        <w:rPr>
          <w:rStyle w:val="CharDefText"/>
        </w:rPr>
        <w:t>ticket</w:t>
      </w:r>
      <w:r>
        <w:t xml:space="preserve"> means — </w:t>
      </w:r>
    </w:p>
    <w:p>
      <w:pPr>
        <w:pStyle w:val="Defpara"/>
      </w:pPr>
      <w:r>
        <w:tab/>
        <w:t>(a)</w:t>
      </w:r>
      <w:r>
        <w:tab/>
        <w:t>a paper ticket; or</w:t>
      </w:r>
    </w:p>
    <w:p>
      <w:pPr>
        <w:pStyle w:val="Defpara"/>
      </w:pPr>
      <w:r>
        <w:tab/>
        <w:t>(b)</w:t>
      </w:r>
      <w:r>
        <w:tab/>
        <w:t>an electronic ticket.</w:t>
      </w:r>
    </w:p>
    <w:p>
      <w:pPr>
        <w:pStyle w:val="Footnotesection"/>
      </w:pPr>
      <w:r>
        <w:tab/>
        <w:t>[Regulation 3 amended: Gazette 5 Nov 2013 p. 4950; SL 2020/183 r. 4.]</w:t>
      </w:r>
    </w:p>
    <w:p>
      <w:pPr>
        <w:pStyle w:val="Heading5"/>
      </w:pPr>
      <w:bookmarkStart w:id="17" w:name="_Toc119574660"/>
      <w:bookmarkStart w:id="18" w:name="_Toc51756019"/>
      <w:r>
        <w:rPr>
          <w:rStyle w:val="CharSectno"/>
        </w:rPr>
        <w:t>4</w:t>
      </w:r>
      <w:r>
        <w:t>.</w:t>
      </w:r>
      <w:r>
        <w:tab/>
        <w:t>Offences prescribed as infringement notice offences</w:t>
      </w:r>
      <w:bookmarkEnd w:id="17"/>
      <w:bookmarkEnd w:id="18"/>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19" w:name="_Toc119498974"/>
      <w:bookmarkStart w:id="20" w:name="_Toc119499825"/>
      <w:bookmarkStart w:id="21" w:name="_Toc119574661"/>
      <w:bookmarkStart w:id="22" w:name="_Toc51745986"/>
      <w:bookmarkStart w:id="23" w:name="_Toc51751284"/>
      <w:bookmarkStart w:id="24" w:name="_Toc51751635"/>
      <w:bookmarkStart w:id="25" w:name="_Toc51751699"/>
      <w:bookmarkStart w:id="26" w:name="_Toc51756020"/>
      <w:r>
        <w:rPr>
          <w:rStyle w:val="CharPartNo"/>
        </w:rPr>
        <w:t>Part 2</w:t>
      </w:r>
      <w:r>
        <w:rPr>
          <w:rStyle w:val="CharDivNo"/>
        </w:rPr>
        <w:t> </w:t>
      </w:r>
      <w:r>
        <w:rPr>
          <w:sz w:val="24"/>
        </w:rPr>
        <w:t>—</w:t>
      </w:r>
      <w:r>
        <w:rPr>
          <w:rStyle w:val="CharDivText"/>
        </w:rPr>
        <w:t> </w:t>
      </w:r>
      <w:r>
        <w:rPr>
          <w:rStyle w:val="CharPartText"/>
        </w:rPr>
        <w:t>Tickets</w:t>
      </w:r>
      <w:bookmarkEnd w:id="19"/>
      <w:bookmarkEnd w:id="20"/>
      <w:bookmarkEnd w:id="21"/>
      <w:bookmarkEnd w:id="22"/>
      <w:bookmarkEnd w:id="23"/>
      <w:bookmarkEnd w:id="24"/>
      <w:bookmarkEnd w:id="25"/>
      <w:bookmarkEnd w:id="26"/>
    </w:p>
    <w:p>
      <w:pPr>
        <w:pStyle w:val="Heading5"/>
      </w:pPr>
      <w:bookmarkStart w:id="27" w:name="_Toc119574662"/>
      <w:bookmarkStart w:id="28" w:name="_Toc51756021"/>
      <w:r>
        <w:rPr>
          <w:rStyle w:val="CharSectno"/>
        </w:rPr>
        <w:t>4A</w:t>
      </w:r>
      <w:r>
        <w:t>.</w:t>
      </w:r>
      <w:r>
        <w:tab/>
        <w:t>Use of ticket may be subject to conditions</w:t>
      </w:r>
      <w:bookmarkEnd w:id="27"/>
      <w:bookmarkEnd w:id="28"/>
    </w:p>
    <w:p>
      <w:pPr>
        <w:pStyle w:val="Subsection"/>
      </w:pPr>
      <w:r>
        <w:tab/>
      </w:r>
      <w:r>
        <w:tab/>
        <w:t xml:space="preserve">The Authority may issue or approve a ticket subject to conditions as to its use, including conditions as to — </w:t>
      </w:r>
    </w:p>
    <w:p>
      <w:pPr>
        <w:pStyle w:val="Indenta"/>
      </w:pPr>
      <w:r>
        <w:tab/>
        <w:t>(a)</w:t>
      </w:r>
      <w:r>
        <w:tab/>
        <w:t>the journeys in connection with which the ticket may be used; and</w:t>
      </w:r>
    </w:p>
    <w:p>
      <w:pPr>
        <w:pStyle w:val="Indenta"/>
      </w:pPr>
      <w:r>
        <w:tab/>
        <w:t>(b)</w:t>
      </w:r>
      <w:r>
        <w:tab/>
        <w:t>the places, times and circumstances in which the ticket may be used; and</w:t>
      </w:r>
    </w:p>
    <w:p>
      <w:pPr>
        <w:pStyle w:val="Indenta"/>
      </w:pPr>
      <w:r>
        <w:tab/>
        <w:t>(c)</w:t>
      </w:r>
      <w:r>
        <w:tab/>
        <w:t>the manner in which the ticket may be used; and</w:t>
      </w:r>
    </w:p>
    <w:p>
      <w:pPr>
        <w:pStyle w:val="Indenta"/>
      </w:pPr>
      <w:r>
        <w:tab/>
        <w:t>(d)</w:t>
      </w:r>
      <w:r>
        <w:tab/>
        <w:t>the person or class of persons who may use the ticket.</w:t>
      </w:r>
    </w:p>
    <w:p>
      <w:pPr>
        <w:pStyle w:val="Footnotesection"/>
      </w:pPr>
      <w:r>
        <w:tab/>
        <w:t>[Regulation 4A inserted: SL 2020/183 r. 5.]</w:t>
      </w:r>
    </w:p>
    <w:p>
      <w:pPr>
        <w:pStyle w:val="Heading5"/>
      </w:pPr>
      <w:bookmarkStart w:id="29" w:name="_Toc119574663"/>
      <w:bookmarkStart w:id="30" w:name="_Toc51756022"/>
      <w:r>
        <w:rPr>
          <w:rStyle w:val="CharSectno"/>
        </w:rPr>
        <w:t>5</w:t>
      </w:r>
      <w:r>
        <w:t>.</w:t>
      </w:r>
      <w:r>
        <w:tab/>
        <w:t>Validity of ticket for journey</w:t>
      </w:r>
      <w:bookmarkEnd w:id="29"/>
      <w:bookmarkEnd w:id="30"/>
    </w:p>
    <w:p>
      <w:pPr>
        <w:pStyle w:val="Subsection"/>
      </w:pPr>
      <w:r>
        <w:tab/>
        <w:t>(1)</w:t>
      </w:r>
      <w:r>
        <w:tab/>
        <w:t xml:space="preserve">A paper ticket is valid for a journey if it evidences authorisation to make that journey, unless — </w:t>
      </w:r>
    </w:p>
    <w:p>
      <w:pPr>
        <w:pStyle w:val="Indenta"/>
      </w:pPr>
      <w:r>
        <w:tab/>
        <w:t>(a)</w:t>
      </w:r>
      <w:r>
        <w:tab/>
        <w:t>it is torn; or</w:t>
      </w:r>
    </w:p>
    <w:p>
      <w:pPr>
        <w:pStyle w:val="Indenta"/>
      </w:pPr>
      <w:r>
        <w:tab/>
        <w:t>(b)</w:t>
      </w:r>
      <w:r>
        <w:tab/>
        <w:t>it is to be validated by a machine before the commencement of the journey and it has not been so validated; or</w:t>
      </w:r>
    </w:p>
    <w:p>
      <w:pPr>
        <w:pStyle w:val="Indenta"/>
      </w:pPr>
      <w:r>
        <w:tab/>
        <w:t>(c)</w:t>
      </w:r>
      <w:r>
        <w:tab/>
        <w:t>it is in such a condition that the printing or writing on it is not readily legible; or</w:t>
      </w:r>
    </w:p>
    <w:p>
      <w:pPr>
        <w:pStyle w:val="Indenta"/>
      </w:pPr>
      <w:r>
        <w:tab/>
        <w:t>(d)</w:t>
      </w:r>
      <w:r>
        <w:tab/>
        <w:t>the printing on it has been altered, added to, erased or obliterated; or</w:t>
      </w:r>
    </w:p>
    <w:p>
      <w:pPr>
        <w:pStyle w:val="Indenta"/>
      </w:pPr>
      <w:r>
        <w:tab/>
        <w:t>(e)</w:t>
      </w:r>
      <w:r>
        <w:tab/>
        <w:t>the period of duration of the ticket expired before the start of the journey; or</w:t>
      </w:r>
    </w:p>
    <w:p>
      <w:pPr>
        <w:pStyle w:val="Indenta"/>
      </w:pPr>
      <w:r>
        <w:tab/>
        <w:t>(f)</w:t>
      </w:r>
      <w:r>
        <w:tab/>
        <w:t>it is not being used in accordance with any condition on which it was issued; or</w:t>
      </w:r>
    </w:p>
    <w:p>
      <w:pPr>
        <w:pStyle w:val="Indenta"/>
      </w:pPr>
      <w:r>
        <w:tab/>
        <w:t>(g)</w:t>
      </w:r>
      <w:r>
        <w:tab/>
        <w:t>it is used or purported to be used on the journey beyond the point for which the fare has been paid; or</w:t>
      </w:r>
    </w:p>
    <w:p>
      <w:pPr>
        <w:pStyle w:val="Indenta"/>
        <w:keepLines/>
      </w:pPr>
      <w:r>
        <w:tab/>
        <w:t>(h)</w:t>
      </w:r>
      <w:r>
        <w:tab/>
        <w:t>a current certificate or concession card is required to be held by a person as a condition of the use of the ticket on the journey and that certificate or concession card is not presented on demand to a driver, master or authorised person.</w:t>
      </w:r>
    </w:p>
    <w:p>
      <w:pPr>
        <w:pStyle w:val="Subsection"/>
      </w:pPr>
      <w:r>
        <w:tab/>
        <w:t>(2)</w:t>
      </w:r>
      <w:r>
        <w:tab/>
        <w:t xml:space="preserve">An electronic ticket is valid for a journey if it holds data that, alone or in conjunction with other data, evidences authorisation to make the journey, unless — </w:t>
      </w:r>
    </w:p>
    <w:p>
      <w:pPr>
        <w:pStyle w:val="Indenta"/>
      </w:pPr>
      <w:r>
        <w:tab/>
        <w:t>(a)</w:t>
      </w:r>
      <w:r>
        <w:tab/>
        <w:t>the person using the ticket is required, before or at the start of the journey, to obtain confirmation from the Authority’s reading apparatus of authorisation to make the journey, and the reading apparatus has not confirmed authorisation to make the journey; or</w:t>
      </w:r>
    </w:p>
    <w:p>
      <w:pPr>
        <w:pStyle w:val="Indenta"/>
      </w:pPr>
      <w:r>
        <w:tab/>
        <w:t>(b)</w:t>
      </w:r>
      <w:r>
        <w:tab/>
        <w:t>it is not being used in accordance with any condition on which it was issued or approved; or</w:t>
      </w:r>
    </w:p>
    <w:p>
      <w:pPr>
        <w:pStyle w:val="Indenta"/>
      </w:pPr>
      <w:r>
        <w:tab/>
        <w:t>(c)</w:t>
      </w:r>
      <w:r>
        <w:tab/>
        <w:t>a current certificate or concession card is required to be held by a person as a condition of the use of the ticket on the journey and that certificate or concession card is not presented on demand to a driver, master or authorised person.</w:t>
      </w:r>
    </w:p>
    <w:p>
      <w:pPr>
        <w:pStyle w:val="Footnotesection"/>
      </w:pPr>
      <w:r>
        <w:tab/>
        <w:t>[Regulation 5 inserted: SL 2020/183 r. 5.]</w:t>
      </w:r>
    </w:p>
    <w:p>
      <w:pPr>
        <w:pStyle w:val="Heading5"/>
      </w:pPr>
      <w:bookmarkStart w:id="31" w:name="_Toc119574664"/>
      <w:bookmarkStart w:id="32" w:name="_Toc51756023"/>
      <w:r>
        <w:rPr>
          <w:rStyle w:val="CharSectno"/>
        </w:rPr>
        <w:t>6</w:t>
      </w:r>
      <w:r>
        <w:t>.</w:t>
      </w:r>
      <w:r>
        <w:tab/>
        <w:t>Making a journey without a valid ticket</w:t>
      </w:r>
      <w:bookmarkEnd w:id="31"/>
      <w:bookmarkEnd w:id="32"/>
    </w:p>
    <w:p>
      <w:pPr>
        <w:pStyle w:val="Subsection"/>
      </w:pPr>
      <w:r>
        <w:tab/>
        <w:t>(1)</w:t>
      </w:r>
      <w:r>
        <w:tab/>
        <w:t xml:space="preserve">A person who — </w:t>
      </w:r>
    </w:p>
    <w:p>
      <w:pPr>
        <w:pStyle w:val="Indenta"/>
      </w:pPr>
      <w:r>
        <w:tab/>
        <w:t>(a)</w:t>
      </w:r>
      <w:r>
        <w:tab/>
        <w:t>starts or makes a journey; or</w:t>
      </w:r>
    </w:p>
    <w:p>
      <w:pPr>
        <w:pStyle w:val="Indenta"/>
      </w:pPr>
      <w:r>
        <w:tab/>
        <w:t>(b)</w:t>
      </w:r>
      <w:r>
        <w:tab/>
        <w:t>leaves or ends a journey,</w:t>
      </w:r>
    </w:p>
    <w:p>
      <w:pPr>
        <w:pStyle w:val="Subsection"/>
      </w:pPr>
      <w:r>
        <w:tab/>
      </w:r>
      <w:r>
        <w:tab/>
        <w:t>and who is not in possession of a ticket that is valid for the journey commits an offence.</w:t>
      </w:r>
    </w:p>
    <w:p>
      <w:pPr>
        <w:pStyle w:val="Penstart"/>
      </w:pPr>
      <w:r>
        <w:tab/>
        <w:t>Modified penalty for this subregulation: a fine of $100.</w:t>
      </w:r>
    </w:p>
    <w:p>
      <w:pPr>
        <w:pStyle w:val="Penstart"/>
      </w:pPr>
      <w:r>
        <w:tab/>
        <w:t>Penalty for this subregulation: a fine of $500.</w:t>
      </w:r>
    </w:p>
    <w:p>
      <w:pPr>
        <w:pStyle w:val="Subsection"/>
        <w:keepNext/>
      </w:pPr>
      <w:r>
        <w:tab/>
        <w:t>(1A)</w:t>
      </w:r>
      <w:r>
        <w:tab/>
        <w:t xml:space="preserve">In proceedings for an offence under subregulation (1), the accused is taken not to have been in possession of a ticket that is valid for the journey (unless the contrary is proved) if — </w:t>
      </w:r>
    </w:p>
    <w:p>
      <w:pPr>
        <w:pStyle w:val="Indenta"/>
      </w:pPr>
      <w:r>
        <w:tab/>
        <w:t>(a)</w:t>
      </w:r>
      <w:r>
        <w:tab/>
        <w:t>it is proved that the accused did not produce a ticket valid for the journey to a driver, master or authorised person on demand made at the start or end of the journey or at any time during the journey; or</w:t>
      </w:r>
    </w:p>
    <w:p>
      <w:pPr>
        <w:pStyle w:val="Indenta"/>
      </w:pPr>
      <w:r>
        <w:tab/>
        <w:t>(b)</w:t>
      </w:r>
      <w:r>
        <w:tab/>
        <w:t>it is proved that the accused used or attempted to make use of a ticket in connection with the journey that was not valid for the journey.</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Footnotesection"/>
      </w:pPr>
      <w:r>
        <w:tab/>
        <w:t>[Regulation 6 amended: Gazette 24 Jul 2009 p. 2953; 5 Nov 2013 p. 4954; 6 Jul 2018 p. 2549; SL 2020/183 r. 6.]</w:t>
      </w:r>
    </w:p>
    <w:p>
      <w:pPr>
        <w:pStyle w:val="Heading5"/>
      </w:pPr>
      <w:bookmarkStart w:id="33" w:name="_Toc119574665"/>
      <w:bookmarkStart w:id="34" w:name="_Toc51756024"/>
      <w:bookmarkStart w:id="35" w:name="_Toc51745989"/>
      <w:r>
        <w:rPr>
          <w:rStyle w:val="CharSectno"/>
        </w:rPr>
        <w:t>6A</w:t>
      </w:r>
      <w:r>
        <w:t>.</w:t>
      </w:r>
      <w:r>
        <w:tab/>
        <w:t>Being within a closed area without a valid ticket</w:t>
      </w:r>
      <w:bookmarkEnd w:id="33"/>
      <w:bookmarkEnd w:id="34"/>
    </w:p>
    <w:p>
      <w:pPr>
        <w:pStyle w:val="Subsection"/>
      </w:pPr>
      <w:r>
        <w:tab/>
        <w:t>(1)</w:t>
      </w:r>
      <w:r>
        <w:tab/>
        <w:t xml:space="preserve">In this regulation — </w:t>
      </w:r>
    </w:p>
    <w:p>
      <w:pPr>
        <w:pStyle w:val="Defstart"/>
      </w:pPr>
      <w:r>
        <w:tab/>
      </w:r>
      <w:r>
        <w:rPr>
          <w:rStyle w:val="CharDefText"/>
        </w:rPr>
        <w:t>appropriate ticket</w:t>
      </w:r>
      <w:r>
        <w:t>, in relation to a closed area, means a ticket that is valid for a journey starting or ending at the railway station in which the closed area is located;</w:t>
      </w:r>
    </w:p>
    <w:p>
      <w:pPr>
        <w:pStyle w:val="Defstart"/>
      </w:pPr>
      <w:r>
        <w:tab/>
      </w:r>
      <w:r>
        <w:rPr>
          <w:rStyle w:val="CharDefText"/>
        </w:rPr>
        <w:t>closed area</w:t>
      </w:r>
      <w:r>
        <w:t xml:space="preserve">, in relation to a railway station, means an area in the station, entry to or exit from which — </w:t>
      </w:r>
    </w:p>
    <w:p>
      <w:pPr>
        <w:pStyle w:val="Defpara"/>
      </w:pPr>
      <w:r>
        <w:tab/>
        <w:t>(a)</w:t>
      </w:r>
      <w:r>
        <w:tab/>
        <w:t>is controlled by gates, barriers or other means; and</w:t>
      </w:r>
    </w:p>
    <w:p>
      <w:pPr>
        <w:pStyle w:val="Defpara"/>
      </w:pPr>
      <w:r>
        <w:tab/>
        <w:t>(b)</w:t>
      </w:r>
      <w:r>
        <w:tab/>
        <w:t>ordinarily requires the presentation of an appropriate ticket.</w:t>
      </w:r>
    </w:p>
    <w:p>
      <w:pPr>
        <w:pStyle w:val="Subsection"/>
        <w:keepNext/>
      </w:pPr>
      <w:r>
        <w:tab/>
        <w:t>(2)</w:t>
      </w:r>
      <w:r>
        <w:tab/>
        <w:t>A person who is within the closed area of a railway station and is not in possession of an appropriate ticket commits an offence.</w:t>
      </w:r>
    </w:p>
    <w:p>
      <w:pPr>
        <w:pStyle w:val="Penstart"/>
      </w:pPr>
      <w:r>
        <w:tab/>
        <w:t>Modified penalty for this subregulation: a fine of $100.</w:t>
      </w:r>
    </w:p>
    <w:p>
      <w:pPr>
        <w:pStyle w:val="Penstart"/>
      </w:pPr>
      <w:r>
        <w:tab/>
        <w:t>Penalty for this subregulation: a fine of $500.</w:t>
      </w:r>
    </w:p>
    <w:p>
      <w:pPr>
        <w:pStyle w:val="Subsection"/>
      </w:pPr>
      <w:r>
        <w:tab/>
        <w:t>(3)</w:t>
      </w:r>
      <w:r>
        <w:tab/>
        <w:t xml:space="preserve">In proceedings for an offence under subregulation (2), the accused is taken not to have been in possession of an appropriate ticket (unless the contrary is proved) if — </w:t>
      </w:r>
    </w:p>
    <w:p>
      <w:pPr>
        <w:pStyle w:val="Indenta"/>
      </w:pPr>
      <w:r>
        <w:tab/>
        <w:t>(a)</w:t>
      </w:r>
      <w:r>
        <w:tab/>
        <w:t>it is proved that the accused did not produce an appropriate ticket to an authorised person on demand made when the accused entered or exited the closed area, or at any time while the accused was within the closed area; or</w:t>
      </w:r>
    </w:p>
    <w:p>
      <w:pPr>
        <w:pStyle w:val="Indenta"/>
      </w:pPr>
      <w:r>
        <w:tab/>
        <w:t>(b)</w:t>
      </w:r>
      <w:r>
        <w:tab/>
        <w:t>it is proved that, when entering or exiting the closed area, the accused used or attempted to make use of a ticket that was not an appropriate ticket.</w:t>
      </w:r>
    </w:p>
    <w:p>
      <w:pPr>
        <w:pStyle w:val="Subsection"/>
      </w:pPr>
      <w:r>
        <w:tab/>
        <w:t>(4)</w:t>
      </w:r>
      <w:r>
        <w:tab/>
        <w:t>Subregulation (2) does not apply to a person permitted by an authorised person to enter the closed area of a railway station while not in possession of an appropriate ticket.</w:t>
      </w:r>
    </w:p>
    <w:p>
      <w:pPr>
        <w:pStyle w:val="Footnotesection"/>
      </w:pPr>
      <w:r>
        <w:tab/>
        <w:t>[Regulation 6A inserted: SL 2020/183 r. 7.]</w:t>
      </w:r>
    </w:p>
    <w:p>
      <w:pPr>
        <w:pStyle w:val="Heading2"/>
      </w:pPr>
      <w:bookmarkStart w:id="36" w:name="_Toc119498979"/>
      <w:bookmarkStart w:id="37" w:name="_Toc119499830"/>
      <w:bookmarkStart w:id="38" w:name="_Toc119574666"/>
      <w:bookmarkStart w:id="39" w:name="_Toc51751289"/>
      <w:bookmarkStart w:id="40" w:name="_Toc51751640"/>
      <w:bookmarkStart w:id="41" w:name="_Toc51751704"/>
      <w:bookmarkStart w:id="42" w:name="_Toc51756025"/>
      <w:r>
        <w:rPr>
          <w:rStyle w:val="CharPartNo"/>
        </w:rPr>
        <w:t>Part 3</w:t>
      </w:r>
      <w:r>
        <w:rPr>
          <w:rStyle w:val="CharDivNo"/>
        </w:rPr>
        <w:t> </w:t>
      </w:r>
      <w:r>
        <w:t>—</w:t>
      </w:r>
      <w:r>
        <w:rPr>
          <w:rStyle w:val="CharDivText"/>
        </w:rPr>
        <w:t> </w:t>
      </w:r>
      <w:r>
        <w:rPr>
          <w:rStyle w:val="CharPartText"/>
        </w:rPr>
        <w:t>Conduct in relation to Authority property</w:t>
      </w:r>
      <w:bookmarkEnd w:id="36"/>
      <w:bookmarkEnd w:id="37"/>
      <w:bookmarkEnd w:id="38"/>
      <w:bookmarkEnd w:id="35"/>
      <w:bookmarkEnd w:id="39"/>
      <w:bookmarkEnd w:id="40"/>
      <w:bookmarkEnd w:id="41"/>
      <w:bookmarkEnd w:id="42"/>
    </w:p>
    <w:p>
      <w:pPr>
        <w:pStyle w:val="Heading5"/>
      </w:pPr>
      <w:bookmarkStart w:id="43" w:name="_Toc119574667"/>
      <w:bookmarkStart w:id="44" w:name="_Toc51756026"/>
      <w:r>
        <w:rPr>
          <w:rStyle w:val="CharSectno"/>
        </w:rPr>
        <w:t>7</w:t>
      </w:r>
      <w:r>
        <w:t>.</w:t>
      </w:r>
      <w:r>
        <w:tab/>
        <w:t>Interference with property</w:t>
      </w:r>
      <w:bookmarkEnd w:id="43"/>
      <w:bookmarkEnd w:id="44"/>
    </w:p>
    <w:p>
      <w:pPr>
        <w:pStyle w:val="Subsection"/>
        <w:spacing w:before="120"/>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a fine of $200.</w:t>
      </w:r>
    </w:p>
    <w:p>
      <w:pPr>
        <w:pStyle w:val="Penstart"/>
      </w:pPr>
      <w:r>
        <w:tab/>
        <w:t>Penalty: a fine of $2 000.</w:t>
      </w:r>
    </w:p>
    <w:p>
      <w:pPr>
        <w:pStyle w:val="Footnotesection"/>
      </w:pPr>
      <w:r>
        <w:tab/>
        <w:t>[Regulation 7 amended: Gazette 5 Nov 2013 p. 4954.]</w:t>
      </w:r>
    </w:p>
    <w:p>
      <w:pPr>
        <w:pStyle w:val="Heading5"/>
      </w:pPr>
      <w:bookmarkStart w:id="45" w:name="_Toc119574668"/>
      <w:bookmarkStart w:id="46" w:name="_Toc51756027"/>
      <w:r>
        <w:rPr>
          <w:rStyle w:val="CharSectno"/>
        </w:rPr>
        <w:t>8</w:t>
      </w:r>
      <w:r>
        <w:t>.</w:t>
      </w:r>
      <w:r>
        <w:tab/>
        <w:t>Travelling on part of conveyance not intended for conveyance of passengers</w:t>
      </w:r>
      <w:bookmarkEnd w:id="45"/>
      <w:bookmarkEnd w:id="46"/>
    </w:p>
    <w:p>
      <w:pPr>
        <w:pStyle w:val="Subsection"/>
        <w:spacing w:before="120"/>
      </w:pPr>
      <w:r>
        <w:tab/>
      </w:r>
      <w:r>
        <w:tab/>
        <w:t>A person who without lawful authority travels on any part of a conveyance not intended for the conveyance of passengers commits an offence.</w:t>
      </w:r>
    </w:p>
    <w:p>
      <w:pPr>
        <w:pStyle w:val="Penstart"/>
      </w:pPr>
      <w:r>
        <w:tab/>
        <w:t>Modified penalty: a fine of $200.</w:t>
      </w:r>
    </w:p>
    <w:p>
      <w:pPr>
        <w:pStyle w:val="Penstart"/>
      </w:pPr>
      <w:r>
        <w:tab/>
        <w:t>Penalty: a fine of $2 000.</w:t>
      </w:r>
    </w:p>
    <w:p>
      <w:pPr>
        <w:pStyle w:val="Footnotesection"/>
      </w:pPr>
      <w:r>
        <w:tab/>
        <w:t>[Regulation 8 amended: Gazette 5 Nov 2013 p. 4954.]</w:t>
      </w:r>
    </w:p>
    <w:p>
      <w:pPr>
        <w:pStyle w:val="Heading5"/>
      </w:pPr>
      <w:bookmarkStart w:id="47" w:name="_Toc119574669"/>
      <w:bookmarkStart w:id="48" w:name="_Toc51756028"/>
      <w:r>
        <w:rPr>
          <w:rStyle w:val="CharSectno"/>
        </w:rPr>
        <w:t>9</w:t>
      </w:r>
      <w:r>
        <w:t>.</w:t>
      </w:r>
      <w:r>
        <w:tab/>
        <w:t>Entering or leaving a conveyance other than through a door</w:t>
      </w:r>
      <w:bookmarkEnd w:id="47"/>
      <w:bookmarkEnd w:id="48"/>
    </w:p>
    <w:p>
      <w:pPr>
        <w:pStyle w:val="Subsection"/>
        <w:spacing w:before="120"/>
      </w:pPr>
      <w:r>
        <w:tab/>
        <w:t>(1)</w:t>
      </w:r>
      <w:r>
        <w:tab/>
        <w:t>A person who, except in an emergency, enters or leaves a conveyance other than through a door intended for the use of passengers commits an offence.</w:t>
      </w:r>
    </w:p>
    <w:p>
      <w:pPr>
        <w:pStyle w:val="Penstart"/>
      </w:pPr>
      <w:r>
        <w:tab/>
        <w:t>Modified penalty: a fine of $200.</w:t>
      </w:r>
    </w:p>
    <w:p>
      <w:pPr>
        <w:pStyle w:val="Penstart"/>
      </w:pPr>
      <w:r>
        <w:tab/>
        <w:t>Penalty: a fine of $2 000.</w:t>
      </w:r>
    </w:p>
    <w:p>
      <w:pPr>
        <w:pStyle w:val="Subsection"/>
        <w:spacing w:before="120"/>
      </w:pPr>
      <w:r>
        <w:tab/>
        <w:t>(2)</w:t>
      </w:r>
      <w:r>
        <w:tab/>
        <w:t>Subregulation (1) does not apply to a driver, master, authorised person, or a security officer acting in the proper exercise of his or her duties.</w:t>
      </w:r>
    </w:p>
    <w:p>
      <w:pPr>
        <w:pStyle w:val="Footnotesection"/>
      </w:pPr>
      <w:r>
        <w:tab/>
        <w:t>[Regulation 9 amended: Gazette 5 Nov 2013 p. 4954.]</w:t>
      </w:r>
    </w:p>
    <w:p>
      <w:pPr>
        <w:pStyle w:val="Heading5"/>
      </w:pPr>
      <w:bookmarkStart w:id="49" w:name="_Toc119574670"/>
      <w:bookmarkStart w:id="50" w:name="_Toc51756029"/>
      <w:r>
        <w:rPr>
          <w:rStyle w:val="CharSectno"/>
        </w:rPr>
        <w:t>10</w:t>
      </w:r>
      <w:r>
        <w:t>.</w:t>
      </w:r>
      <w:r>
        <w:tab/>
        <w:t>No standing allowed in certain areas on a conveyance</w:t>
      </w:r>
      <w:bookmarkEnd w:id="49"/>
      <w:bookmarkEnd w:id="50"/>
    </w:p>
    <w:p>
      <w:pPr>
        <w:pStyle w:val="Subsection"/>
      </w:pPr>
      <w:r>
        <w:tab/>
      </w:r>
      <w:r>
        <w:tab/>
        <w:t>A person who stands in an area of a conveyance designated to be an area in which a person must not stand while the conveyance is moving commits an offence.</w:t>
      </w:r>
    </w:p>
    <w:p>
      <w:pPr>
        <w:pStyle w:val="Penstart"/>
      </w:pPr>
      <w:r>
        <w:tab/>
        <w:t>Modified penalty: a fine of $100.</w:t>
      </w:r>
    </w:p>
    <w:p>
      <w:pPr>
        <w:pStyle w:val="Penstart"/>
      </w:pPr>
      <w:r>
        <w:tab/>
        <w:t>Penalty: a fine of $500.</w:t>
      </w:r>
    </w:p>
    <w:p>
      <w:pPr>
        <w:pStyle w:val="Footnotesection"/>
      </w:pPr>
      <w:r>
        <w:tab/>
        <w:t>[Regulation 10 amended: Gazette 24 Jul 2009 p. 2953; 5 Nov 2013 p. 4950 and 4954.]</w:t>
      </w:r>
    </w:p>
    <w:p>
      <w:pPr>
        <w:pStyle w:val="Heading5"/>
      </w:pPr>
      <w:bookmarkStart w:id="51" w:name="_Toc119574671"/>
      <w:bookmarkStart w:id="52" w:name="_Toc51756030"/>
      <w:r>
        <w:rPr>
          <w:rStyle w:val="CharSectno"/>
        </w:rPr>
        <w:t>11</w:t>
      </w:r>
      <w:r>
        <w:t>.</w:t>
      </w:r>
      <w:r>
        <w:tab/>
        <w:t>Smoking prohibited</w:t>
      </w:r>
      <w:bookmarkEnd w:id="51"/>
      <w:bookmarkEnd w:id="52"/>
    </w:p>
    <w:p>
      <w:pPr>
        <w:pStyle w:val="Subsection"/>
      </w:pPr>
      <w:r>
        <w:tab/>
        <w:t>(1A)</w:t>
      </w:r>
      <w:r>
        <w:tab/>
        <w:t xml:space="preserve">In this regulation — </w:t>
      </w:r>
    </w:p>
    <w:p>
      <w:pPr>
        <w:pStyle w:val="Defstart"/>
      </w:pPr>
      <w:r>
        <w:tab/>
      </w:r>
      <w:r>
        <w:rPr>
          <w:rStyle w:val="CharDefText"/>
        </w:rPr>
        <w:t>e</w:t>
      </w:r>
      <w:r>
        <w:rPr>
          <w:rStyle w:val="CharDefText"/>
        </w:rPr>
        <w:noBreakHyphen/>
        <w:t>cigarette</w:t>
      </w:r>
      <w:r>
        <w:t xml:space="preserve"> means a device that is designed to generate or release smoke, an aerosol or vapour (whether or not containing nicotine) by electronic means for inhalation by its user in a manner that replicates, or produces an experience similar to, the inhalation of smoke from an ignited tobacco product;</w:t>
      </w:r>
    </w:p>
    <w:p>
      <w:pPr>
        <w:pStyle w:val="Defstart"/>
      </w:pPr>
      <w:r>
        <w:tab/>
      </w:r>
      <w:r>
        <w:rPr>
          <w:rStyle w:val="CharDefText"/>
        </w:rPr>
        <w:t>smoke</w:t>
      </w:r>
      <w:r>
        <w:t xml:space="preserve"> (when used as a verb) means consume, hold or otherwise have control over — </w:t>
      </w:r>
    </w:p>
    <w:p>
      <w:pPr>
        <w:pStyle w:val="Defpara"/>
      </w:pPr>
      <w:r>
        <w:tab/>
        <w:t>(a)</w:t>
      </w:r>
      <w:r>
        <w:tab/>
        <w:t>an ignited tobacco product; or</w:t>
      </w:r>
    </w:p>
    <w:p>
      <w:pPr>
        <w:pStyle w:val="Defpara"/>
      </w:pPr>
      <w:r>
        <w:tab/>
        <w:t>(b)</w:t>
      </w:r>
      <w:r>
        <w:tab/>
        <w:t>an e</w:t>
      </w:r>
      <w:r>
        <w:noBreakHyphen/>
        <w:t>cigarette that is generating or releasing (whether or not by burning) smoke, an aerosol or vapour;</w:t>
      </w:r>
    </w:p>
    <w:p>
      <w:pPr>
        <w:pStyle w:val="Defstart"/>
      </w:pPr>
      <w:r>
        <w:tab/>
      </w:r>
      <w:r>
        <w:rPr>
          <w:rStyle w:val="CharDefText"/>
        </w:rPr>
        <w:t>tobacco product</w:t>
      </w:r>
      <w:r>
        <w:t xml:space="preserve"> has the meaning given in the </w:t>
      </w:r>
      <w:r>
        <w:rPr>
          <w:i/>
        </w:rPr>
        <w:t>Tobacco Products Control Act 2006</w:t>
      </w:r>
      <w:r>
        <w:t xml:space="preserve"> Glossary clause 1.</w:t>
      </w:r>
    </w:p>
    <w:p>
      <w:pPr>
        <w:pStyle w:val="Subsection"/>
      </w:pPr>
      <w:r>
        <w:tab/>
        <w:t>(1)</w:t>
      </w:r>
      <w:r>
        <w:tab/>
        <w:t>A person who smokes in or on a conveyance commits an offence.</w:t>
      </w:r>
    </w:p>
    <w:p>
      <w:pPr>
        <w:pStyle w:val="Penstart"/>
      </w:pPr>
      <w:r>
        <w:tab/>
        <w:t>Modified penalty: a fine of $100.</w:t>
      </w:r>
    </w:p>
    <w:p>
      <w:pPr>
        <w:pStyle w:val="Penstart"/>
      </w:pPr>
      <w:r>
        <w:tab/>
        <w:t>Penalty: a fine of $500.</w:t>
      </w:r>
    </w:p>
    <w:p>
      <w:pPr>
        <w:pStyle w:val="Subsection"/>
        <w:keepNext/>
      </w:pPr>
      <w:r>
        <w:tab/>
        <w:t>(2)</w:t>
      </w:r>
      <w:r>
        <w:tab/>
        <w:t>A person who smokes in or on a facility in respect of which a notice is displayed that smoking is prohibited commits an offence.</w:t>
      </w:r>
    </w:p>
    <w:p>
      <w:pPr>
        <w:pStyle w:val="Penstart"/>
        <w:keepNext/>
      </w:pPr>
      <w:r>
        <w:tab/>
        <w:t>Modified penalty: a fine of $100.</w:t>
      </w:r>
    </w:p>
    <w:p>
      <w:pPr>
        <w:pStyle w:val="Penstart"/>
      </w:pPr>
      <w:r>
        <w:tab/>
        <w:t>Penalty: a fine of $500.</w:t>
      </w:r>
    </w:p>
    <w:p>
      <w:pPr>
        <w:pStyle w:val="Subsection"/>
      </w:pPr>
      <w:r>
        <w:tab/>
        <w:t>(3)</w:t>
      </w:r>
      <w:r>
        <w:tab/>
        <w:t xml:space="preserve">This regulation does not limit the operation of the </w:t>
      </w:r>
      <w:r>
        <w:rPr>
          <w:i/>
        </w:rPr>
        <w:t>Health (Smoking in Enclosed Public Places) Regulations 1999</w:t>
      </w:r>
      <w:r>
        <w:rPr>
          <w:iCs/>
          <w:vertAlign w:val="superscript"/>
        </w:rPr>
        <w:t> 1</w:t>
      </w:r>
      <w:r>
        <w:t>.</w:t>
      </w:r>
    </w:p>
    <w:p>
      <w:pPr>
        <w:pStyle w:val="Footnotesection"/>
      </w:pPr>
      <w:r>
        <w:tab/>
        <w:t>[Regulation 11 amended: Gazette 24 Jul 2009 p. 2953-4; 5 Nov 2013 p. 4954; SL 2020/183 r. 8.]</w:t>
      </w:r>
    </w:p>
    <w:p>
      <w:pPr>
        <w:pStyle w:val="Heading5"/>
      </w:pPr>
      <w:bookmarkStart w:id="53" w:name="_Toc119574672"/>
      <w:bookmarkStart w:id="54" w:name="_Toc51756031"/>
      <w:r>
        <w:rPr>
          <w:rStyle w:val="CharSectno"/>
        </w:rPr>
        <w:t>12</w:t>
      </w:r>
      <w:r>
        <w:t>.</w:t>
      </w:r>
      <w:r>
        <w:tab/>
        <w:t>Consumption of liquor</w:t>
      </w:r>
      <w:bookmarkEnd w:id="53"/>
      <w:bookmarkEnd w:id="54"/>
    </w:p>
    <w:p>
      <w:pPr>
        <w:pStyle w:val="Subsection"/>
      </w:pPr>
      <w:r>
        <w:tab/>
        <w:t>(1A)</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(1)</w:t>
      </w:r>
      <w:r>
        <w:tab/>
        <w:t>Subject to subregulation (2), a person who consumes liquor in or on a conveyance or a facility commits an offence.</w:t>
      </w:r>
    </w:p>
    <w:p>
      <w:pPr>
        <w:pStyle w:val="Penstart"/>
      </w:pPr>
      <w:r>
        <w:tab/>
        <w:t>Modified penalty for this subregulation: a fine of $100.</w:t>
      </w:r>
    </w:p>
    <w:p>
      <w:pPr>
        <w:pStyle w:val="Penstart"/>
      </w:pPr>
      <w:r>
        <w:tab/>
        <w:t>Penalty for this subregulation: a fine of $500.</w:t>
      </w:r>
    </w:p>
    <w:p>
      <w:pPr>
        <w:pStyle w:val="Subsection"/>
      </w:pPr>
      <w:r>
        <w:tab/>
        <w:t>(2)</w:t>
      </w:r>
      <w:r>
        <w:tab/>
        <w:t>A person may consume liquor in or on a conveyance or a facility with the approval of the chief executive officer if that approval is obtained before the liquor is consumed.</w:t>
      </w:r>
    </w:p>
    <w:p>
      <w:pPr>
        <w:pStyle w:val="Subsection"/>
      </w:pPr>
      <w:r>
        <w:tab/>
        <w:t>(3)</w:t>
      </w:r>
      <w:r>
        <w:tab/>
        <w:t>In proceedings for an offence under subregulation (1), an allegation in the prosecution notice that a substance was liquor is, in the absence of proof to the contrary, taken to be proved.</w:t>
      </w:r>
    </w:p>
    <w:p>
      <w:pPr>
        <w:pStyle w:val="Subsection"/>
      </w:pPr>
      <w:r>
        <w:tab/>
        <w:t>(4)</w:t>
      </w:r>
      <w:r>
        <w:tab/>
        <w:t>If a person is contravening this regulation an authorised person may seize an open container of liquor in the person’s possession.</w:t>
      </w:r>
    </w:p>
    <w:p>
      <w:pPr>
        <w:pStyle w:val="Subsection"/>
        <w:keepNext/>
      </w:pPr>
      <w:r>
        <w:tab/>
        <w:t>(5)</w:t>
      </w:r>
      <w:r>
        <w:tab/>
        <w:t>An authorised person who seizes a container of liquor under subregulation (4) must dispose of it as soon as practicable after it is seized.</w:t>
      </w:r>
    </w:p>
    <w:p>
      <w:pPr>
        <w:pStyle w:val="Footnotesection"/>
      </w:pPr>
      <w:r>
        <w:tab/>
        <w:t>[Regulation 12 amended: Gazette 24 Jul 2009 p. 2954; 5 Nov 2013 p. 4954; SL 2020/183 r. 9.]</w:t>
      </w:r>
    </w:p>
    <w:p>
      <w:pPr>
        <w:pStyle w:val="Heading5"/>
        <w:spacing w:before="200"/>
      </w:pPr>
      <w:bookmarkStart w:id="55" w:name="_Toc119574673"/>
      <w:bookmarkStart w:id="56" w:name="_Toc51756032"/>
      <w:r>
        <w:rPr>
          <w:rStyle w:val="CharSectno"/>
        </w:rPr>
        <w:t>13</w:t>
      </w:r>
      <w:r>
        <w:t>.</w:t>
      </w:r>
      <w:r>
        <w:tab/>
        <w:t>Nuisance</w:t>
      </w:r>
      <w:bookmarkEnd w:id="55"/>
      <w:bookmarkEnd w:id="56"/>
    </w:p>
    <w:p>
      <w:pPr>
        <w:pStyle w:val="Subsection"/>
        <w:spacing w:before="120"/>
      </w:pPr>
      <w:r>
        <w:tab/>
      </w:r>
      <w:r>
        <w:tab/>
        <w:t>A person who acts in such a way as to cause a nuisance or annoyance to persons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13 amended: Gazette 24 Jul 2009 p. 2954; 5 Nov 2013 p. 4954.]</w:t>
      </w:r>
    </w:p>
    <w:p>
      <w:pPr>
        <w:pStyle w:val="Heading5"/>
        <w:spacing w:before="200"/>
      </w:pPr>
      <w:bookmarkStart w:id="57" w:name="_Toc119574674"/>
      <w:bookmarkStart w:id="58" w:name="_Toc51756033"/>
      <w:r>
        <w:rPr>
          <w:rStyle w:val="CharSectno"/>
        </w:rPr>
        <w:t>14</w:t>
      </w:r>
      <w:r>
        <w:t>.</w:t>
      </w:r>
      <w:r>
        <w:tab/>
        <w:t>Begging and busking prohibited</w:t>
      </w:r>
      <w:bookmarkEnd w:id="57"/>
      <w:bookmarkEnd w:id="58"/>
    </w:p>
    <w:p>
      <w:pPr>
        <w:pStyle w:val="Subsection"/>
        <w:spacing w:before="120"/>
      </w:pPr>
      <w:r>
        <w:tab/>
      </w:r>
      <w:r>
        <w:tab/>
        <w:t>Unless authorised in writing by the chief executive officer, a person who begs or busks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14 amended: Gazette 24 Jul 2009 p. 2954; 5 Nov 2013 p. 4954.]</w:t>
      </w:r>
    </w:p>
    <w:p>
      <w:pPr>
        <w:pStyle w:val="Heading5"/>
        <w:spacing w:before="200"/>
      </w:pPr>
      <w:bookmarkStart w:id="59" w:name="_Toc119574675"/>
      <w:bookmarkStart w:id="60" w:name="_Toc51756034"/>
      <w:r>
        <w:rPr>
          <w:rStyle w:val="CharSectno"/>
        </w:rPr>
        <w:t>15</w:t>
      </w:r>
      <w:r>
        <w:t>.</w:t>
      </w:r>
      <w:r>
        <w:tab/>
        <w:t>Damage to a conveyance or facility</w:t>
      </w:r>
      <w:bookmarkEnd w:id="59"/>
      <w:bookmarkEnd w:id="60"/>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a fine of $200.</w:t>
      </w:r>
    </w:p>
    <w:p>
      <w:pPr>
        <w:pStyle w:val="Penstart"/>
      </w:pPr>
      <w:r>
        <w:tab/>
        <w:t>Penalty: a fine of $2 000.</w:t>
      </w:r>
    </w:p>
    <w:p>
      <w:pPr>
        <w:pStyle w:val="Footnotesection"/>
      </w:pPr>
      <w:r>
        <w:tab/>
        <w:t>[Regulation 15 amended: Gazette 5 Nov 2013 p. 4954.]</w:t>
      </w:r>
    </w:p>
    <w:p>
      <w:pPr>
        <w:pStyle w:val="Heading5"/>
        <w:spacing w:before="200"/>
      </w:pPr>
      <w:bookmarkStart w:id="61" w:name="_Toc119574676"/>
      <w:bookmarkStart w:id="62" w:name="_Toc51756035"/>
      <w:r>
        <w:rPr>
          <w:rStyle w:val="CharSectno"/>
        </w:rPr>
        <w:t>16</w:t>
      </w:r>
      <w:r>
        <w:t>.</w:t>
      </w:r>
      <w:r>
        <w:tab/>
        <w:t>Audible devices</w:t>
      </w:r>
      <w:bookmarkEnd w:id="61"/>
      <w:bookmarkEnd w:id="62"/>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a fine of $100.</w:t>
      </w:r>
    </w:p>
    <w:p>
      <w:pPr>
        <w:pStyle w:val="Penstart"/>
      </w:pPr>
      <w:r>
        <w:tab/>
        <w:t>Penalty: a fine of $500.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a fine of $100.</w:t>
      </w:r>
    </w:p>
    <w:p>
      <w:pPr>
        <w:pStyle w:val="Penstart"/>
      </w:pPr>
      <w:r>
        <w:tab/>
        <w:t>Penalty: a fine of $500.</w:t>
      </w:r>
    </w:p>
    <w:p>
      <w:pPr>
        <w:pStyle w:val="Footnotesection"/>
      </w:pPr>
      <w:r>
        <w:tab/>
        <w:t>[Regulation 16 amended: Gazette 24 Jul 2009 p. 2954; 5 Nov 2013 p. 4954-5.]</w:t>
      </w:r>
    </w:p>
    <w:p>
      <w:pPr>
        <w:pStyle w:val="Heading5"/>
      </w:pPr>
      <w:bookmarkStart w:id="63" w:name="_Toc119574677"/>
      <w:bookmarkStart w:id="64" w:name="_Toc51756036"/>
      <w:r>
        <w:rPr>
          <w:rStyle w:val="CharSectno"/>
        </w:rPr>
        <w:t>17</w:t>
      </w:r>
      <w:r>
        <w:t>.</w:t>
      </w:r>
      <w:r>
        <w:tab/>
        <w:t>Selling things or services or distributing handbills etc. prohibited</w:t>
      </w:r>
      <w:bookmarkEnd w:id="63"/>
      <w:bookmarkEnd w:id="64"/>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17 amended: Gazette 24 Jul 2009 p. 2954-5; 5 Nov 2013 p. 4954-5.]</w:t>
      </w:r>
    </w:p>
    <w:p>
      <w:pPr>
        <w:pStyle w:val="Heading5"/>
      </w:pPr>
      <w:bookmarkStart w:id="65" w:name="_Toc119574678"/>
      <w:bookmarkStart w:id="66" w:name="_Toc51756037"/>
      <w:r>
        <w:rPr>
          <w:rStyle w:val="CharSectno"/>
        </w:rPr>
        <w:t>18</w:t>
      </w:r>
      <w:r>
        <w:t>.</w:t>
      </w:r>
      <w:r>
        <w:tab/>
        <w:t>Food and drink</w:t>
      </w:r>
      <w:bookmarkEnd w:id="65"/>
      <w:bookmarkEnd w:id="66"/>
    </w:p>
    <w:p>
      <w:pPr>
        <w:pStyle w:val="Subsection"/>
      </w:pPr>
      <w:r>
        <w:tab/>
      </w:r>
      <w:r>
        <w:tab/>
        <w:t>Unless authorised in writing by the chief executive officer, a person who consumes any drink or food in or on a conveyance commits an offence.</w:t>
      </w:r>
    </w:p>
    <w:p>
      <w:pPr>
        <w:pStyle w:val="Penstart"/>
      </w:pPr>
      <w:r>
        <w:tab/>
        <w:t>Modified penalty: a fine of $100.</w:t>
      </w:r>
    </w:p>
    <w:p>
      <w:pPr>
        <w:pStyle w:val="Penstart"/>
      </w:pPr>
      <w:r>
        <w:tab/>
        <w:t>Penalty: a fine of $500.</w:t>
      </w:r>
    </w:p>
    <w:p>
      <w:pPr>
        <w:pStyle w:val="Footnotesection"/>
      </w:pPr>
      <w:r>
        <w:tab/>
        <w:t>[Regulation 18 amended: Gazette 24 Jul 2009 p. 2955; 5 Nov 2013 p. 4954-5.]</w:t>
      </w:r>
    </w:p>
    <w:p>
      <w:pPr>
        <w:pStyle w:val="Heading5"/>
      </w:pPr>
      <w:bookmarkStart w:id="67" w:name="_Toc119574679"/>
      <w:bookmarkStart w:id="68" w:name="_Toc51756038"/>
      <w:r>
        <w:rPr>
          <w:rStyle w:val="CharSectno"/>
        </w:rPr>
        <w:t>19</w:t>
      </w:r>
      <w:r>
        <w:t>.</w:t>
      </w:r>
      <w:r>
        <w:tab/>
        <w:t>Feet not to be placed on seats</w:t>
      </w:r>
      <w:bookmarkEnd w:id="67"/>
      <w:bookmarkEnd w:id="68"/>
    </w:p>
    <w:p>
      <w:pPr>
        <w:pStyle w:val="Subsection"/>
      </w:pPr>
      <w:r>
        <w:tab/>
      </w:r>
      <w:r>
        <w:tab/>
        <w:t>A person who places or rests his or her foot or feet on or against a seat of a conveyance commits an offence.</w:t>
      </w:r>
    </w:p>
    <w:p>
      <w:pPr>
        <w:pStyle w:val="Penstart"/>
      </w:pPr>
      <w:r>
        <w:tab/>
        <w:t>Modified penalty: a fine of $100.</w:t>
      </w:r>
    </w:p>
    <w:p>
      <w:pPr>
        <w:pStyle w:val="Penstart"/>
      </w:pPr>
      <w:r>
        <w:tab/>
        <w:t>Penalty: a fine of $500.</w:t>
      </w:r>
    </w:p>
    <w:p>
      <w:pPr>
        <w:pStyle w:val="Footnotesection"/>
      </w:pPr>
      <w:r>
        <w:tab/>
        <w:t>[Regulation 19 amended: Gazette 24 Jul 2009 p. 2955; 5 Nov 2013 p. 4954-5.]</w:t>
      </w:r>
    </w:p>
    <w:p>
      <w:pPr>
        <w:pStyle w:val="Heading5"/>
      </w:pPr>
      <w:bookmarkStart w:id="69" w:name="_Toc119574680"/>
      <w:bookmarkStart w:id="70" w:name="_Toc51756039"/>
      <w:r>
        <w:rPr>
          <w:rStyle w:val="CharSectno"/>
        </w:rPr>
        <w:t>20</w:t>
      </w:r>
      <w:r>
        <w:t>.</w:t>
      </w:r>
      <w:r>
        <w:tab/>
        <w:t>Luggage not to obstruct or endanger passengers</w:t>
      </w:r>
      <w:bookmarkEnd w:id="69"/>
      <w:bookmarkEnd w:id="70"/>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20 amended: Gazette 24 Jul 2009 p. 2955; 5 Nov 2013 p. 4954-5.]</w:t>
      </w:r>
    </w:p>
    <w:p>
      <w:pPr>
        <w:pStyle w:val="Heading5"/>
      </w:pPr>
      <w:bookmarkStart w:id="71" w:name="_Toc119574681"/>
      <w:bookmarkStart w:id="72" w:name="_Toc51756040"/>
      <w:r>
        <w:rPr>
          <w:rStyle w:val="CharSectno"/>
        </w:rPr>
        <w:t>21</w:t>
      </w:r>
      <w:r>
        <w:t>.</w:t>
      </w:r>
      <w:r>
        <w:tab/>
        <w:t>Possessing certain things prohibited</w:t>
      </w:r>
      <w:bookmarkEnd w:id="71"/>
      <w:bookmarkEnd w:id="72"/>
    </w:p>
    <w:p>
      <w:pPr>
        <w:pStyle w:val="Subsection"/>
      </w:pPr>
      <w:r>
        <w:tab/>
      </w:r>
      <w:r>
        <w:tab/>
        <w:t xml:space="preserve">A person, other than an authorised person, a security officer or a member of the Police Force in the proper exercise of </w:t>
      </w:r>
      <w:del w:id="73" w:author="Master Repository Process" w:date="2022-11-17T15:20:00Z">
        <w:r>
          <w:delText>his or her</w:delText>
        </w:r>
      </w:del>
      <w:ins w:id="74" w:author="Master Repository Process" w:date="2022-11-17T15:20:00Z">
        <w:r>
          <w:t>their</w:t>
        </w:r>
      </w:ins>
      <w:r>
        <w:t xml:space="preserve">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rPr>
          <w:ins w:id="75" w:author="Master Repository Process" w:date="2022-11-17T15:20:00Z"/>
        </w:rPr>
      </w:pPr>
      <w:bookmarkStart w:id="76" w:name="_Hlk119499175"/>
      <w:r>
        <w:tab/>
        <w:t>(c)</w:t>
      </w:r>
      <w:r>
        <w:tab/>
      </w:r>
      <w:ins w:id="77" w:author="Master Repository Process" w:date="2022-11-17T15:20:00Z">
        <w:r>
          <w:t xml:space="preserve">any of the following as defined in the </w:t>
        </w:r>
        <w:r>
          <w:rPr>
            <w:i/>
          </w:rPr>
          <w:t>Firearms Act 1973</w:t>
        </w:r>
        <w:r>
          <w:t xml:space="preserve"> section 4 —</w:t>
        </w:r>
      </w:ins>
    </w:p>
    <w:p>
      <w:pPr>
        <w:pStyle w:val="Indenti"/>
      </w:pPr>
      <w:ins w:id="78" w:author="Master Repository Process" w:date="2022-11-17T15:20:00Z">
        <w:r>
          <w:tab/>
          <w:t>(i)</w:t>
        </w:r>
        <w:r>
          <w:tab/>
        </w:r>
      </w:ins>
      <w:r>
        <w:t>a firearm;</w:t>
      </w:r>
    </w:p>
    <w:p>
      <w:pPr>
        <w:pStyle w:val="Indenti"/>
        <w:rPr>
          <w:ins w:id="79" w:author="Master Repository Process" w:date="2022-11-17T15:20:00Z"/>
        </w:rPr>
      </w:pPr>
      <w:ins w:id="80" w:author="Master Repository Process" w:date="2022-11-17T15:20:00Z">
        <w:r>
          <w:tab/>
          <w:t>(ii)</w:t>
        </w:r>
        <w:r>
          <w:tab/>
          <w:t>a major firearm part;</w:t>
        </w:r>
      </w:ins>
    </w:p>
    <w:p>
      <w:pPr>
        <w:pStyle w:val="Indenti"/>
        <w:rPr>
          <w:ins w:id="81" w:author="Master Repository Process" w:date="2022-11-17T15:20:00Z"/>
        </w:rPr>
      </w:pPr>
      <w:ins w:id="82" w:author="Master Repository Process" w:date="2022-11-17T15:20:00Z">
        <w:r>
          <w:tab/>
          <w:t>(iii)</w:t>
        </w:r>
        <w:r>
          <w:tab/>
          <w:t>a prohibited firearm accessory;</w:t>
        </w:r>
      </w:ins>
    </w:p>
    <w:p>
      <w:pPr>
        <w:pStyle w:val="Indenti"/>
        <w:rPr>
          <w:ins w:id="83" w:author="Master Repository Process" w:date="2022-11-17T15:20:00Z"/>
        </w:rPr>
      </w:pPr>
      <w:ins w:id="84" w:author="Master Repository Process" w:date="2022-11-17T15:20:00Z">
        <w:r>
          <w:tab/>
          <w:t>(iv)</w:t>
        </w:r>
        <w:r>
          <w:tab/>
          <w:t>ammunition;</w:t>
        </w:r>
      </w:ins>
    </w:p>
    <w:bookmarkEnd w:id="76"/>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a fine of $200.</w:t>
      </w:r>
    </w:p>
    <w:p>
      <w:pPr>
        <w:pStyle w:val="Indenta"/>
      </w:pPr>
      <w:r>
        <w:tab/>
      </w:r>
      <w:r>
        <w:tab/>
        <w:t>Modified penalty applicable to paragraph (e): a fine of $100.</w:t>
      </w:r>
    </w:p>
    <w:p>
      <w:pPr>
        <w:pStyle w:val="Indenta"/>
      </w:pPr>
      <w:r>
        <w:tab/>
      </w:r>
      <w:r>
        <w:tab/>
        <w:t>Penalty applicable to paragraphs (a) to (d): a fine of $2 000.</w:t>
      </w:r>
    </w:p>
    <w:p>
      <w:pPr>
        <w:pStyle w:val="Indenta"/>
      </w:pPr>
      <w:r>
        <w:tab/>
      </w:r>
      <w:r>
        <w:tab/>
        <w:t>Penalty applicable to paragraph (e): a fine of $500.</w:t>
      </w:r>
    </w:p>
    <w:p>
      <w:pPr>
        <w:pStyle w:val="Footnotesection"/>
      </w:pPr>
      <w:r>
        <w:tab/>
        <w:t>[Regulation 21 amended: Gazette 24 Jul 2009 p. 2955; 5 Nov 2013 p. 4950-1</w:t>
      </w:r>
      <w:ins w:id="85" w:author="Master Repository Process" w:date="2022-11-17T15:20:00Z">
        <w:r>
          <w:t>; SL 2022/192 r. 4</w:t>
        </w:r>
      </w:ins>
      <w:r>
        <w:t>.]</w:t>
      </w:r>
    </w:p>
    <w:p>
      <w:pPr>
        <w:pStyle w:val="Heading5"/>
      </w:pPr>
      <w:bookmarkStart w:id="86" w:name="_Toc119574682"/>
      <w:bookmarkStart w:id="87" w:name="_Toc51756041"/>
      <w:r>
        <w:rPr>
          <w:rStyle w:val="CharSectno"/>
        </w:rPr>
        <w:t>22</w:t>
      </w:r>
      <w:r>
        <w:t>.</w:t>
      </w:r>
      <w:r>
        <w:tab/>
        <w:t>Goods likely to spill, stain, or damage a conveyance</w:t>
      </w:r>
      <w:bookmarkEnd w:id="86"/>
      <w:bookmarkEnd w:id="87"/>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keepNext/>
      </w:pPr>
      <w:r>
        <w:tab/>
        <w:t>(b)</w:t>
      </w:r>
      <w:r>
        <w:tab/>
        <w:t>stain or cause damage to a conveyance,</w:t>
      </w:r>
    </w:p>
    <w:p>
      <w:pPr>
        <w:pStyle w:val="Subsection"/>
        <w:keepNext/>
      </w:pPr>
      <w:r>
        <w:tab/>
      </w:r>
      <w:r>
        <w:tab/>
        <w:t>commits an offence.</w:t>
      </w:r>
    </w:p>
    <w:p>
      <w:pPr>
        <w:pStyle w:val="Penstart"/>
        <w:keepNext/>
      </w:pPr>
      <w:r>
        <w:tab/>
        <w:t>Modified penalty: a fine of $100.</w:t>
      </w:r>
    </w:p>
    <w:p>
      <w:pPr>
        <w:pStyle w:val="Penstart"/>
      </w:pPr>
      <w:r>
        <w:tab/>
        <w:t>Penalty: a fine of $500.</w:t>
      </w:r>
    </w:p>
    <w:p>
      <w:pPr>
        <w:pStyle w:val="Footnotesection"/>
      </w:pPr>
      <w:r>
        <w:tab/>
        <w:t>[Regulation 22 amended: Gazette 24 Jul 2009 p. 2955; 5 Nov 2013 p. 4954-5.]</w:t>
      </w:r>
    </w:p>
    <w:p>
      <w:pPr>
        <w:pStyle w:val="Heading5"/>
      </w:pPr>
      <w:bookmarkStart w:id="88" w:name="_Toc119574683"/>
      <w:bookmarkStart w:id="89" w:name="_Toc51756042"/>
      <w:r>
        <w:rPr>
          <w:rStyle w:val="CharSectno"/>
        </w:rPr>
        <w:t>23</w:t>
      </w:r>
      <w:r>
        <w:t>.</w:t>
      </w:r>
      <w:r>
        <w:tab/>
        <w:t>Persons to stay inside conveyance</w:t>
      </w:r>
      <w:bookmarkEnd w:id="88"/>
      <w:bookmarkEnd w:id="89"/>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a fine of $100.</w:t>
      </w:r>
    </w:p>
    <w:p>
      <w:pPr>
        <w:pStyle w:val="Penstart"/>
      </w:pPr>
      <w:r>
        <w:tab/>
        <w:t>Penalty: a fine of $500.</w:t>
      </w:r>
    </w:p>
    <w:p>
      <w:pPr>
        <w:pStyle w:val="Footnotesection"/>
      </w:pPr>
      <w:r>
        <w:tab/>
        <w:t>[Regulation 23 amended: Gazette 24 Jul 2009 p. 2956; 5 Nov 2013 p. 4954-5.]</w:t>
      </w:r>
    </w:p>
    <w:p>
      <w:pPr>
        <w:pStyle w:val="Heading2"/>
      </w:pPr>
      <w:bookmarkStart w:id="90" w:name="_Toc119498997"/>
      <w:bookmarkStart w:id="91" w:name="_Toc119499848"/>
      <w:bookmarkStart w:id="92" w:name="_Toc119574684"/>
      <w:bookmarkStart w:id="93" w:name="_Toc51746007"/>
      <w:bookmarkStart w:id="94" w:name="_Toc51751307"/>
      <w:bookmarkStart w:id="95" w:name="_Toc51751658"/>
      <w:bookmarkStart w:id="96" w:name="_Toc51751722"/>
      <w:bookmarkStart w:id="97" w:name="_Toc51756043"/>
      <w:r>
        <w:rPr>
          <w:rStyle w:val="CharPartNo"/>
        </w:rPr>
        <w:t>Part 4</w:t>
      </w:r>
      <w:r>
        <w:rPr>
          <w:rStyle w:val="CharDivNo"/>
        </w:rPr>
        <w:t> </w:t>
      </w:r>
      <w:r>
        <w:t>—</w:t>
      </w:r>
      <w:r>
        <w:rPr>
          <w:rStyle w:val="CharDivText"/>
        </w:rPr>
        <w:t> </w:t>
      </w:r>
      <w:r>
        <w:rPr>
          <w:rStyle w:val="CharPartText"/>
        </w:rPr>
        <w:t>Regulation of persons and vehicles on Authority property</w:t>
      </w:r>
      <w:bookmarkEnd w:id="90"/>
      <w:bookmarkEnd w:id="91"/>
      <w:bookmarkEnd w:id="92"/>
      <w:bookmarkEnd w:id="93"/>
      <w:bookmarkEnd w:id="94"/>
      <w:bookmarkEnd w:id="95"/>
      <w:bookmarkEnd w:id="96"/>
      <w:bookmarkEnd w:id="97"/>
    </w:p>
    <w:p>
      <w:pPr>
        <w:pStyle w:val="Heading5"/>
        <w:spacing w:before="240"/>
      </w:pPr>
      <w:bookmarkStart w:id="98" w:name="_Toc119574685"/>
      <w:bookmarkStart w:id="99" w:name="_Toc51756044"/>
      <w:r>
        <w:rPr>
          <w:rStyle w:val="CharSectno"/>
        </w:rPr>
        <w:t>24</w:t>
      </w:r>
      <w:r>
        <w:t>.</w:t>
      </w:r>
      <w:r>
        <w:tab/>
        <w:t>Terms used in this Part</w:t>
      </w:r>
      <w:bookmarkEnd w:id="98"/>
      <w:bookmarkEnd w:id="99"/>
    </w:p>
    <w:p>
      <w:pPr>
        <w:pStyle w:val="Subsection"/>
        <w:spacing w:before="180"/>
      </w:pPr>
      <w:r>
        <w:tab/>
      </w:r>
      <w:r>
        <w:tab/>
        <w:t xml:space="preserve">In this Part, unless the contrary intention appears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payment by note, coin, card or token, issues a parking ticket.</w:t>
      </w:r>
    </w:p>
    <w:p>
      <w:pPr>
        <w:pStyle w:val="Footnotesection"/>
      </w:pPr>
      <w:r>
        <w:tab/>
        <w:t>[Regulation 24 amended: Gazette 12 Dec 2003 p. 5040; 5 Nov 2013 p. 4951.]</w:t>
      </w:r>
    </w:p>
    <w:p>
      <w:pPr>
        <w:pStyle w:val="Heading5"/>
      </w:pPr>
      <w:bookmarkStart w:id="100" w:name="_Toc119574686"/>
      <w:bookmarkStart w:id="101" w:name="_Toc51756045"/>
      <w:r>
        <w:rPr>
          <w:rStyle w:val="CharSectno"/>
        </w:rPr>
        <w:t>24A</w:t>
      </w:r>
      <w:r>
        <w:t>.</w:t>
      </w:r>
      <w:r>
        <w:tab/>
        <w:t>Government railways parking stations</w:t>
      </w:r>
      <w:bookmarkEnd w:id="100"/>
      <w:bookmarkEnd w:id="101"/>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Gazette 12 Dec 2003 p. 5040.]</w:t>
      </w:r>
    </w:p>
    <w:p>
      <w:pPr>
        <w:pStyle w:val="Heading5"/>
      </w:pPr>
      <w:bookmarkStart w:id="102" w:name="_Toc119574687"/>
      <w:bookmarkStart w:id="103" w:name="_Toc51756046"/>
      <w:r>
        <w:rPr>
          <w:rStyle w:val="CharSectno"/>
        </w:rPr>
        <w:t>25</w:t>
      </w:r>
      <w:r>
        <w:t>.</w:t>
      </w:r>
      <w:r>
        <w:tab/>
        <w:t>Regulation of persons and vehicles on Authority property</w:t>
      </w:r>
      <w:bookmarkEnd w:id="102"/>
      <w:bookmarkEnd w:id="103"/>
    </w:p>
    <w:p>
      <w:pPr>
        <w:pStyle w:val="Subsection"/>
        <w:spacing w:before="120"/>
      </w:pPr>
      <w:r>
        <w:tab/>
        <w:t>(1)</w:t>
      </w:r>
      <w:r>
        <w:tab/>
        <w:t>The Authority may place signs in or on Authority property or remove or modify those signs.</w:t>
      </w:r>
    </w:p>
    <w:p>
      <w:pPr>
        <w:pStyle w:val="Subsection"/>
        <w:spacing w:before="120"/>
      </w:pPr>
      <w:r>
        <w:tab/>
        <w:t>(2)</w:t>
      </w:r>
      <w:r>
        <w:tab/>
        <w:t>Signs in or on Authority property immediately before the coming into operation of these regulations are to be taken to have been placed under subregulation (1).</w:t>
      </w:r>
    </w:p>
    <w:p>
      <w:pPr>
        <w:pStyle w:val="Subsection"/>
        <w:spacing w:before="120"/>
      </w:pPr>
      <w:r>
        <w:tab/>
        <w:t>(3)</w:t>
      </w:r>
      <w:r>
        <w:tab/>
        <w:t>The inscription on a sign operates according to its tenor.</w:t>
      </w:r>
    </w:p>
    <w:p>
      <w:pPr>
        <w:pStyle w:val="Subsection"/>
        <w:spacing w:before="120"/>
      </w:pPr>
      <w:r>
        <w:tab/>
        <w:t>(4)</w:t>
      </w:r>
      <w:r>
        <w:tab/>
        <w:t xml:space="preserve">A person must comply with — </w:t>
      </w:r>
    </w:p>
    <w:p>
      <w:pPr>
        <w:pStyle w:val="Indenta"/>
      </w:pPr>
      <w:r>
        <w:tab/>
        <w:t>(a)</w:t>
      </w:r>
      <w:r>
        <w:tab/>
        <w:t>the inscription on a sign placed under subregulation (1) unless authorised by the chief executive officer to disobey the sign; or</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a fine of $50.</w:t>
      </w:r>
    </w:p>
    <w:p>
      <w:pPr>
        <w:pStyle w:val="Penstart"/>
      </w:pPr>
      <w:r>
        <w:tab/>
        <w:t>Penalty: a fine of $250.</w:t>
      </w:r>
    </w:p>
    <w:p>
      <w:pPr>
        <w:pStyle w:val="Footnotesection"/>
      </w:pPr>
      <w:r>
        <w:tab/>
        <w:t>[Regulation 25 amended: Gazette 5 Nov 2013 p. 4951-2 and 4954-5.]</w:t>
      </w:r>
    </w:p>
    <w:p>
      <w:pPr>
        <w:pStyle w:val="Heading5"/>
      </w:pPr>
      <w:bookmarkStart w:id="104" w:name="_Toc119574688"/>
      <w:bookmarkStart w:id="105" w:name="_Toc51756047"/>
      <w:r>
        <w:rPr>
          <w:rStyle w:val="CharSectno"/>
        </w:rPr>
        <w:t>26</w:t>
      </w:r>
      <w:r>
        <w:t>.</w:t>
      </w:r>
      <w:r>
        <w:tab/>
        <w:t>Obstruction</w:t>
      </w:r>
      <w:bookmarkEnd w:id="104"/>
      <w:bookmarkEnd w:id="105"/>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a fine of $50.</w:t>
      </w:r>
    </w:p>
    <w:p>
      <w:pPr>
        <w:pStyle w:val="Penstart"/>
      </w:pPr>
      <w:r>
        <w:tab/>
        <w:t>Penalty: a fine of $250.</w:t>
      </w:r>
    </w:p>
    <w:p>
      <w:pPr>
        <w:pStyle w:val="Footnotesection"/>
      </w:pPr>
      <w:r>
        <w:tab/>
        <w:t>[Regulation 26 amended: Gazette 5 Nov 2013 p. 4954-5.]</w:t>
      </w:r>
    </w:p>
    <w:p>
      <w:pPr>
        <w:pStyle w:val="Heading5"/>
      </w:pPr>
      <w:bookmarkStart w:id="106" w:name="_Toc119574689"/>
      <w:bookmarkStart w:id="107" w:name="_Toc51756048"/>
      <w:r>
        <w:rPr>
          <w:rStyle w:val="CharSectno"/>
        </w:rPr>
        <w:t>27</w:t>
      </w:r>
      <w:r>
        <w:t>.</w:t>
      </w:r>
      <w:r>
        <w:tab/>
        <w:t>Direction not to park in area</w:t>
      </w:r>
      <w:bookmarkEnd w:id="106"/>
      <w:bookmarkEnd w:id="107"/>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a fine of $50.</w:t>
      </w:r>
    </w:p>
    <w:p>
      <w:pPr>
        <w:pStyle w:val="Penstart"/>
      </w:pPr>
      <w:r>
        <w:tab/>
        <w:t>Penalty: a fine of $250.</w:t>
      </w:r>
    </w:p>
    <w:p>
      <w:pPr>
        <w:pStyle w:val="Footnotesection"/>
      </w:pPr>
      <w:r>
        <w:tab/>
        <w:t>[Regulation 27 amended: Gazette 5 Nov 2013 p. 4954-5.]</w:t>
      </w:r>
    </w:p>
    <w:p>
      <w:pPr>
        <w:pStyle w:val="Heading5"/>
      </w:pPr>
      <w:bookmarkStart w:id="108" w:name="_Toc119574690"/>
      <w:bookmarkStart w:id="109" w:name="_Toc51756049"/>
      <w:r>
        <w:rPr>
          <w:rStyle w:val="CharSectno"/>
        </w:rPr>
        <w:t>28</w:t>
      </w:r>
      <w:r>
        <w:t>.</w:t>
      </w:r>
      <w:r>
        <w:tab/>
        <w:t>Loading zone</w:t>
      </w:r>
      <w:bookmarkEnd w:id="108"/>
      <w:bookmarkEnd w:id="109"/>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a fine of $50.</w:t>
      </w:r>
    </w:p>
    <w:p>
      <w:pPr>
        <w:pStyle w:val="Penstart"/>
      </w:pPr>
      <w:r>
        <w:tab/>
        <w:t>Penalty: a fine of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Gazette 12 Dec 2003 p. 5041; amended: Gazette 5 Nov 2013 p. 4954-5.]</w:t>
      </w:r>
    </w:p>
    <w:p>
      <w:pPr>
        <w:pStyle w:val="Heading5"/>
      </w:pPr>
      <w:bookmarkStart w:id="110" w:name="_Toc119574691"/>
      <w:bookmarkStart w:id="111" w:name="_Toc51756050"/>
      <w:r>
        <w:rPr>
          <w:rStyle w:val="CharSectno"/>
        </w:rPr>
        <w:t>29</w:t>
      </w:r>
      <w:r>
        <w:t>.</w:t>
      </w:r>
      <w:r>
        <w:tab/>
        <w:t>Designation of parking spaces for vehicles of persons with disability</w:t>
      </w:r>
      <w:bookmarkEnd w:id="110"/>
      <w:bookmarkEnd w:id="111"/>
    </w:p>
    <w:p>
      <w:pPr>
        <w:pStyle w:val="Subsection"/>
      </w:pPr>
      <w:r>
        <w:tab/>
      </w:r>
      <w:r>
        <w:tab/>
        <w:t>A parking space in or on Authority property for the parking of vehicles of persons with a disability is to be designated by the symbol described in Australian Standard 1428 as the international symbol for access, displayed in the manner set out in Australian Standard 2890.6.</w:t>
      </w:r>
    </w:p>
    <w:p>
      <w:pPr>
        <w:pStyle w:val="Footnotesection"/>
      </w:pPr>
      <w:r>
        <w:tab/>
        <w:t>[Regulation 29 inserted: Gazette 5 Nov 2013 p. 4952.]</w:t>
      </w:r>
    </w:p>
    <w:p>
      <w:pPr>
        <w:pStyle w:val="Heading5"/>
        <w:spacing w:before="180"/>
        <w:rPr>
          <w:snapToGrid w:val="0"/>
        </w:rPr>
      </w:pPr>
      <w:bookmarkStart w:id="112" w:name="_Toc119574692"/>
      <w:bookmarkStart w:id="113" w:name="_Toc51756051"/>
      <w:r>
        <w:rPr>
          <w:rStyle w:val="CharSectno"/>
        </w:rPr>
        <w:t>30</w:t>
      </w:r>
      <w:r>
        <w:t>.</w:t>
      </w:r>
      <w:r>
        <w:tab/>
      </w:r>
      <w:r>
        <w:rPr>
          <w:snapToGrid w:val="0"/>
        </w:rPr>
        <w:t>Disabled parking</w:t>
      </w:r>
      <w:bookmarkEnd w:id="112"/>
      <w:bookmarkEnd w:id="113"/>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permit is displayed in a prominent position </w:t>
      </w:r>
      <w:r>
        <w:rPr>
          <w:snapToGrid w:val="0"/>
        </w:rPr>
        <w:t>in such a manner as to be clearly visible from the front of the vehicle</w:t>
      </w:r>
      <w:r>
        <w:t>.</w:t>
      </w:r>
    </w:p>
    <w:p>
      <w:pPr>
        <w:pStyle w:val="Penstart"/>
      </w:pPr>
      <w:r>
        <w:tab/>
        <w:t>Modified penalty for this subregulation: a fine of $100.</w:t>
      </w:r>
    </w:p>
    <w:p>
      <w:pPr>
        <w:pStyle w:val="Penstart"/>
      </w:pPr>
      <w:r>
        <w:tab/>
        <w:t>Penalty for this subregulation: a fine of $500.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for this subregulation: a fine of $100.</w:t>
      </w:r>
    </w:p>
    <w:p>
      <w:pPr>
        <w:pStyle w:val="Penstart"/>
      </w:pPr>
      <w:r>
        <w:tab/>
        <w:t>Penalty for this subregulation: a fine of $500.</w:t>
      </w:r>
    </w:p>
    <w:p>
      <w:pPr>
        <w:pStyle w:val="Footnotesection"/>
      </w:pPr>
      <w:r>
        <w:tab/>
        <w:t>[Regulation 30 amended: Gazette 5 Nov 2013 p. 4952 and 4954-5; SL 2020/183 r. 10.]</w:t>
      </w:r>
    </w:p>
    <w:p>
      <w:pPr>
        <w:pStyle w:val="Heading5"/>
        <w:spacing w:before="180"/>
      </w:pPr>
      <w:bookmarkStart w:id="114" w:name="_Toc119574693"/>
      <w:bookmarkStart w:id="115" w:name="_Toc51756052"/>
      <w:r>
        <w:rPr>
          <w:rStyle w:val="CharSectno"/>
        </w:rPr>
        <w:t>31</w:t>
      </w:r>
      <w:r>
        <w:t>.</w:t>
      </w:r>
      <w:r>
        <w:tab/>
      </w:r>
      <w:r>
        <w:rPr>
          <w:snapToGrid w:val="0"/>
        </w:rPr>
        <w:t>Vehicles</w:t>
      </w:r>
      <w:r>
        <w:t xml:space="preserve"> and parking</w:t>
      </w:r>
      <w:bookmarkEnd w:id="114"/>
      <w:bookmarkEnd w:id="115"/>
    </w:p>
    <w:p>
      <w:pPr>
        <w:pStyle w:val="Subsection"/>
        <w:keepNext/>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a fine of $50.</w:t>
      </w:r>
    </w:p>
    <w:p>
      <w:pPr>
        <w:pStyle w:val="Penstart"/>
      </w:pPr>
      <w:r>
        <w:tab/>
        <w:t>Penalty: a fine of $250.</w:t>
      </w:r>
    </w:p>
    <w:p>
      <w:pPr>
        <w:pStyle w:val="Footnotesection"/>
      </w:pPr>
      <w:r>
        <w:tab/>
        <w:t>[Regulation 31 amended: Gazette 5 Nov 2013 p. 4954-5.]</w:t>
      </w:r>
    </w:p>
    <w:p>
      <w:pPr>
        <w:pStyle w:val="Heading5"/>
      </w:pPr>
      <w:bookmarkStart w:id="116" w:name="_Toc119574694"/>
      <w:bookmarkStart w:id="117" w:name="_Toc51756053"/>
      <w:r>
        <w:rPr>
          <w:rStyle w:val="CharSectno"/>
        </w:rPr>
        <w:t>32</w:t>
      </w:r>
      <w:r>
        <w:t>.</w:t>
      </w:r>
      <w:r>
        <w:tab/>
        <w:t>Parking charges</w:t>
      </w:r>
      <w:bookmarkEnd w:id="116"/>
      <w:bookmarkEnd w:id="117"/>
    </w:p>
    <w:p>
      <w:pPr>
        <w:pStyle w:val="Subsection"/>
      </w:pPr>
      <w:r>
        <w:tab/>
        <w:t>(1)</w:t>
      </w:r>
      <w:r>
        <w:tab/>
        <w:t>If an area of Authority property is designated for parking subject to the payment of a charge set out in Schedule 1 item 1, a person must not park a vehicle in such an area at any time when the charge applies unless either subregulation (2) or (3) applies.</w:t>
      </w:r>
    </w:p>
    <w:p>
      <w:pPr>
        <w:pStyle w:val="Penstart"/>
      </w:pPr>
      <w:r>
        <w:tab/>
        <w:t>Modified penalty for this subregulation: a fine of $50.</w:t>
      </w:r>
    </w:p>
    <w:p>
      <w:pPr>
        <w:pStyle w:val="Penstart"/>
      </w:pPr>
      <w:r>
        <w:tab/>
        <w:t>Penalty for this subregulation: a fine of $250.</w:t>
      </w:r>
    </w:p>
    <w:p>
      <w:pPr>
        <w:pStyle w:val="Subsection"/>
      </w:pPr>
      <w:r>
        <w:tab/>
        <w:t>(2)</w:t>
      </w:r>
      <w:r>
        <w:tab/>
        <w:t xml:space="preserve">This subregulation applies if — </w:t>
      </w:r>
    </w:p>
    <w:p>
      <w:pPr>
        <w:pStyle w:val="Indenta"/>
      </w:pPr>
      <w:r>
        <w:tab/>
        <w:t>(a)</w:t>
      </w:r>
      <w:r>
        <w:tab/>
        <w:t>the proper charge for parking the vehicle has been paid into a ticket vending machine; and</w:t>
      </w:r>
    </w:p>
    <w:p>
      <w:pPr>
        <w:pStyle w:val="Indenta"/>
      </w:pPr>
      <w:r>
        <w:tab/>
        <w:t>(b)</w:t>
      </w:r>
      <w:r>
        <w:tab/>
        <w:t>a parking ticket has issued from the vending machine; and</w:t>
      </w:r>
    </w:p>
    <w:p>
      <w:pPr>
        <w:pStyle w:val="Indenta"/>
      </w:pPr>
      <w:r>
        <w:tab/>
        <w:t>(c)</w:t>
      </w:r>
      <w:r>
        <w:tab/>
        <w:t>the parking ticket is displayed on the vehicle so that the date and an expiry time for permitted parking are clearly visible from outside the vehicle.</w:t>
      </w:r>
    </w:p>
    <w:p>
      <w:pPr>
        <w:pStyle w:val="Subsection"/>
      </w:pPr>
      <w:r>
        <w:tab/>
        <w:t>(3)</w:t>
      </w:r>
      <w:r>
        <w:tab/>
        <w:t xml:space="preserve">This subregulation applies if the proper charge for parking the vehicle has been paid, or arrangements for its payment have been made, in accordance with a payment mechanism approved by the Authority for the purposes of this regulation by notice published in the </w:t>
      </w:r>
      <w:r>
        <w:rPr>
          <w:i/>
        </w:rPr>
        <w:t>Gazette</w:t>
      </w:r>
      <w:r>
        <w:t>.</w:t>
      </w:r>
    </w:p>
    <w:p>
      <w:pPr>
        <w:pStyle w:val="Footnotesection"/>
      </w:pPr>
      <w:r>
        <w:tab/>
        <w:t>[Regulation 32 inserted: SL 2020/183 r. 11.]</w:t>
      </w:r>
    </w:p>
    <w:p>
      <w:pPr>
        <w:pStyle w:val="Heading5"/>
      </w:pPr>
      <w:bookmarkStart w:id="118" w:name="_Toc119574695"/>
      <w:bookmarkStart w:id="119" w:name="_Toc51756054"/>
      <w:r>
        <w:rPr>
          <w:rStyle w:val="CharSectno"/>
        </w:rPr>
        <w:t>33</w:t>
      </w:r>
      <w:r>
        <w:t>.</w:t>
      </w:r>
      <w:r>
        <w:tab/>
        <w:t>Removing vehicle from secured parking facility</w:t>
      </w:r>
      <w:bookmarkEnd w:id="118"/>
      <w:bookmarkEnd w:id="119"/>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a particular case.</w:t>
      </w:r>
    </w:p>
    <w:p>
      <w:pPr>
        <w:pStyle w:val="Footnotesection"/>
      </w:pPr>
      <w:r>
        <w:tab/>
        <w:t>[Regulation 33 amended: Gazette 5 Nov 2013 p. 4953.]</w:t>
      </w:r>
    </w:p>
    <w:p>
      <w:pPr>
        <w:pStyle w:val="Heading2"/>
      </w:pPr>
      <w:bookmarkStart w:id="120" w:name="_Toc119499009"/>
      <w:bookmarkStart w:id="121" w:name="_Toc119499860"/>
      <w:bookmarkStart w:id="122" w:name="_Toc119574696"/>
      <w:bookmarkStart w:id="123" w:name="_Toc51746019"/>
      <w:bookmarkStart w:id="124" w:name="_Toc51751319"/>
      <w:bookmarkStart w:id="125" w:name="_Toc51751670"/>
      <w:bookmarkStart w:id="126" w:name="_Toc51751734"/>
      <w:bookmarkStart w:id="127" w:name="_Toc51756055"/>
      <w:r>
        <w:rPr>
          <w:rStyle w:val="CharPartNo"/>
        </w:rPr>
        <w:t>Part 4A</w:t>
      </w:r>
      <w:r>
        <w:rPr>
          <w:b w:val="0"/>
        </w:rPr>
        <w:t> </w:t>
      </w:r>
      <w:r>
        <w:t>—</w:t>
      </w:r>
      <w:r>
        <w:rPr>
          <w:b w:val="0"/>
        </w:rPr>
        <w:t> </w:t>
      </w:r>
      <w:r>
        <w:rPr>
          <w:rStyle w:val="CharPartText"/>
        </w:rPr>
        <w:t>Bicycles on passenger trains</w:t>
      </w:r>
      <w:bookmarkEnd w:id="120"/>
      <w:bookmarkEnd w:id="121"/>
      <w:bookmarkEnd w:id="122"/>
      <w:bookmarkEnd w:id="123"/>
      <w:bookmarkEnd w:id="124"/>
      <w:bookmarkEnd w:id="125"/>
      <w:bookmarkEnd w:id="126"/>
      <w:bookmarkEnd w:id="127"/>
    </w:p>
    <w:p>
      <w:pPr>
        <w:pStyle w:val="Footnoteheading"/>
      </w:pPr>
      <w:r>
        <w:tab/>
        <w:t>[Heading inserted: Gazette 11 Feb 2005 p. 697.]</w:t>
      </w:r>
    </w:p>
    <w:p>
      <w:pPr>
        <w:pStyle w:val="Heading5"/>
        <w:spacing w:before="260"/>
      </w:pPr>
      <w:bookmarkStart w:id="128" w:name="_Toc119574697"/>
      <w:bookmarkStart w:id="129" w:name="_Toc51756056"/>
      <w:r>
        <w:rPr>
          <w:rStyle w:val="CharSectno"/>
        </w:rPr>
        <w:t>33A</w:t>
      </w:r>
      <w:r>
        <w:t>.</w:t>
      </w:r>
      <w:r>
        <w:tab/>
        <w:t>Terms used in this Part</w:t>
      </w:r>
      <w:bookmarkEnd w:id="128"/>
      <w:bookmarkEnd w:id="129"/>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Gazette 11 Feb 2005 p. 697.]</w:t>
      </w:r>
    </w:p>
    <w:p>
      <w:pPr>
        <w:pStyle w:val="Heading5"/>
        <w:spacing w:before="260"/>
      </w:pPr>
      <w:bookmarkStart w:id="130" w:name="_Toc119574698"/>
      <w:bookmarkStart w:id="131" w:name="_Toc51756057"/>
      <w:r>
        <w:rPr>
          <w:rStyle w:val="CharSectno"/>
        </w:rPr>
        <w:t>33B</w:t>
      </w:r>
      <w:r>
        <w:t>.</w:t>
      </w:r>
      <w:r>
        <w:tab/>
        <w:t>Bikes on trains generally</w:t>
      </w:r>
      <w:bookmarkEnd w:id="130"/>
      <w:bookmarkEnd w:id="131"/>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Gazette 11 Feb 2005 p. 697.]</w:t>
      </w:r>
    </w:p>
    <w:p>
      <w:pPr>
        <w:pStyle w:val="Heading5"/>
        <w:spacing w:before="260"/>
      </w:pPr>
      <w:bookmarkStart w:id="132" w:name="_Toc119574699"/>
      <w:bookmarkStart w:id="133" w:name="_Toc51756058"/>
      <w:r>
        <w:rPr>
          <w:rStyle w:val="CharSectno"/>
        </w:rPr>
        <w:t>33C</w:t>
      </w:r>
      <w:r>
        <w:t>.</w:t>
      </w:r>
      <w:r>
        <w:tab/>
        <w:t>Bikes on trains in peak times</w:t>
      </w:r>
      <w:bookmarkEnd w:id="132"/>
      <w:bookmarkEnd w:id="133"/>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Canning Bridge, McIver, City West or Leederville station.</w:t>
      </w:r>
    </w:p>
    <w:p>
      <w:pPr>
        <w:pStyle w:val="Penstart"/>
      </w:pPr>
      <w:r>
        <w:tab/>
        <w:t>Modified penalty: a fine of $100.</w:t>
      </w:r>
    </w:p>
    <w:p>
      <w:pPr>
        <w:pStyle w:val="Penstart"/>
      </w:pPr>
      <w:r>
        <w:tab/>
        <w:t>Penalty: a fine of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a fine of $100.</w:t>
      </w:r>
    </w:p>
    <w:p>
      <w:pPr>
        <w:pStyle w:val="Penstart"/>
      </w:pPr>
      <w:r>
        <w:tab/>
        <w:t>Penalty: a fine of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Gazette 11 Feb 2005 p. 697</w:t>
      </w:r>
      <w:r>
        <w:noBreakHyphen/>
        <w:t>8; amended: Gazette 24 Jul 2009 p. 2956; 5 Nov 2013 p. 4954</w:t>
      </w:r>
      <w:r>
        <w:noBreakHyphen/>
        <w:t>5.]</w:t>
      </w:r>
    </w:p>
    <w:p>
      <w:pPr>
        <w:pStyle w:val="Heading5"/>
      </w:pPr>
      <w:bookmarkStart w:id="134" w:name="_Toc119574700"/>
      <w:bookmarkStart w:id="135" w:name="_Toc51756059"/>
      <w:r>
        <w:rPr>
          <w:rStyle w:val="CharSectno"/>
        </w:rPr>
        <w:t>33D</w:t>
      </w:r>
      <w:r>
        <w:t>.</w:t>
      </w:r>
      <w:r>
        <w:tab/>
        <w:t>Special events</w:t>
      </w:r>
      <w:bookmarkEnd w:id="134"/>
      <w:bookmarkEnd w:id="135"/>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keepNext/>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a fine of $100.</w:t>
      </w:r>
    </w:p>
    <w:p>
      <w:pPr>
        <w:pStyle w:val="Penstart"/>
      </w:pPr>
      <w:r>
        <w:tab/>
        <w:t>Penalty: a fine of $2 000.</w:t>
      </w:r>
    </w:p>
    <w:p>
      <w:pPr>
        <w:pStyle w:val="Footnotesection"/>
      </w:pPr>
      <w:r>
        <w:tab/>
        <w:t>[Regulation 33D inserted: Gazette 11 Feb 2005 p. 698; amended: Gazette 24 Jul 2009 p. 2956; 5 Nov 2013 p. 4954</w:t>
      </w:r>
      <w:r>
        <w:noBreakHyphen/>
        <w:t>5.]</w:t>
      </w:r>
    </w:p>
    <w:p>
      <w:pPr>
        <w:pStyle w:val="Heading2"/>
      </w:pPr>
      <w:bookmarkStart w:id="136" w:name="_Toc119499014"/>
      <w:bookmarkStart w:id="137" w:name="_Toc119499865"/>
      <w:bookmarkStart w:id="138" w:name="_Toc119574701"/>
      <w:bookmarkStart w:id="139" w:name="_Toc51746024"/>
      <w:bookmarkStart w:id="140" w:name="_Toc51751324"/>
      <w:bookmarkStart w:id="141" w:name="_Toc51751675"/>
      <w:bookmarkStart w:id="142" w:name="_Toc51751739"/>
      <w:bookmarkStart w:id="143" w:name="_Toc51756060"/>
      <w:r>
        <w:rPr>
          <w:rStyle w:val="CharPartNo"/>
        </w:rPr>
        <w:t>Part 5</w:t>
      </w:r>
      <w:r>
        <w:rPr>
          <w:rStyle w:val="CharDivNo"/>
        </w:rPr>
        <w:t> </w:t>
      </w:r>
      <w:r>
        <w:t>—</w:t>
      </w:r>
      <w:r>
        <w:rPr>
          <w:rStyle w:val="CharDivText"/>
        </w:rPr>
        <w:t> </w:t>
      </w:r>
      <w:r>
        <w:rPr>
          <w:rStyle w:val="CharPartText"/>
        </w:rPr>
        <w:t>Miscellaneous</w:t>
      </w:r>
      <w:bookmarkEnd w:id="136"/>
      <w:bookmarkEnd w:id="137"/>
      <w:bookmarkEnd w:id="138"/>
      <w:bookmarkEnd w:id="139"/>
      <w:bookmarkEnd w:id="140"/>
      <w:bookmarkEnd w:id="141"/>
      <w:bookmarkEnd w:id="142"/>
      <w:bookmarkEnd w:id="143"/>
    </w:p>
    <w:p>
      <w:pPr>
        <w:pStyle w:val="Heading5"/>
      </w:pPr>
      <w:bookmarkStart w:id="144" w:name="_Toc119574702"/>
      <w:bookmarkStart w:id="145" w:name="_Toc51756061"/>
      <w:r>
        <w:rPr>
          <w:rStyle w:val="CharSectno"/>
        </w:rPr>
        <w:t>34</w:t>
      </w:r>
      <w:r>
        <w:t>.</w:t>
      </w:r>
      <w:r>
        <w:tab/>
        <w:t>Secondary functions: section 12(3) of the Act</w:t>
      </w:r>
      <w:bookmarkEnd w:id="144"/>
      <w:bookmarkEnd w:id="145"/>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146" w:name="_Toc119574703"/>
      <w:bookmarkStart w:id="147" w:name="_Toc51756062"/>
      <w:r>
        <w:rPr>
          <w:rStyle w:val="CharSectno"/>
        </w:rPr>
        <w:t>35</w:t>
      </w:r>
      <w:r>
        <w:t>.</w:t>
      </w:r>
      <w:r>
        <w:tab/>
        <w:t>Criteria for Minister’s approval not being required under section 15 of the Act</w:t>
      </w:r>
      <w:bookmarkEnd w:id="146"/>
      <w:bookmarkEnd w:id="147"/>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148" w:name="_Toc119574704"/>
      <w:bookmarkStart w:id="149" w:name="_Toc51756063"/>
      <w:r>
        <w:rPr>
          <w:rStyle w:val="CharSectno"/>
        </w:rPr>
        <w:t>36</w:t>
      </w:r>
      <w:r>
        <w:t>.</w:t>
      </w:r>
      <w:r>
        <w:tab/>
        <w:t>Disposal of an estate in land other than Crown land without the Minister’s approval: section 16 of the Act</w:t>
      </w:r>
      <w:bookmarkEnd w:id="148"/>
      <w:bookmarkEnd w:id="149"/>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150" w:name="_Toc119574705"/>
      <w:bookmarkStart w:id="151" w:name="_Toc51756064"/>
      <w:r>
        <w:rPr>
          <w:rStyle w:val="CharSectno"/>
        </w:rPr>
        <w:t>37</w:t>
      </w:r>
      <w:r>
        <w:t>.</w:t>
      </w:r>
      <w:r>
        <w:tab/>
        <w:t>Crossings by traction engines and large vehicles</w:t>
      </w:r>
      <w:bookmarkEnd w:id="150"/>
      <w:bookmarkEnd w:id="151"/>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a fine of $400.</w:t>
      </w:r>
    </w:p>
    <w:p>
      <w:pPr>
        <w:pStyle w:val="Penstart"/>
      </w:pPr>
      <w:r>
        <w:tab/>
        <w:t>Penalty: a fine of $2 000.</w:t>
      </w:r>
    </w:p>
    <w:p>
      <w:pPr>
        <w:pStyle w:val="Subsection"/>
        <w:keepLines/>
      </w:pPr>
      <w:r>
        <w:tab/>
        <w:t>(3)</w:t>
      </w:r>
      <w:r>
        <w:tab/>
        <w:t>A permit may be granted for the purposes of subregulation (2) subject to such conditions and restrictions as the Authority or authorised person considers necessary to prevent damage being done to the railway.</w:t>
      </w:r>
    </w:p>
    <w:p>
      <w:pPr>
        <w:pStyle w:val="Footnotesection"/>
      </w:pPr>
      <w:r>
        <w:tab/>
        <w:t>[Regulation 37 amended: Gazette 5 Nov 2013 p. 4954-5.]</w:t>
      </w:r>
    </w:p>
    <w:p>
      <w:pPr>
        <w:pStyle w:val="Heading5"/>
      </w:pPr>
      <w:bookmarkStart w:id="152" w:name="_Toc119574706"/>
      <w:bookmarkStart w:id="153" w:name="_Toc51756065"/>
      <w:r>
        <w:rPr>
          <w:rStyle w:val="CharSectno"/>
        </w:rPr>
        <w:t>38</w:t>
      </w:r>
      <w:r>
        <w:t>.</w:t>
      </w:r>
      <w:r>
        <w:tab/>
        <w:t>Sewage etc.</w:t>
      </w:r>
      <w:bookmarkEnd w:id="152"/>
      <w:bookmarkEnd w:id="153"/>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a fine of $400.</w:t>
      </w:r>
    </w:p>
    <w:p>
      <w:pPr>
        <w:pStyle w:val="Penstart"/>
      </w:pPr>
      <w:r>
        <w:tab/>
        <w:t>Penalty: a fine of $2 000.</w:t>
      </w:r>
    </w:p>
    <w:p>
      <w:pPr>
        <w:pStyle w:val="Footnotesection"/>
      </w:pPr>
      <w:r>
        <w:tab/>
        <w:t>[Regulation 38 amended: Gazette 5 Nov 2013 p. 4954-5.]</w:t>
      </w:r>
    </w:p>
    <w:p>
      <w:pPr>
        <w:pStyle w:val="Heading5"/>
      </w:pPr>
      <w:bookmarkStart w:id="154" w:name="_Toc119574707"/>
      <w:bookmarkStart w:id="155" w:name="_Toc51756066"/>
      <w:r>
        <w:rPr>
          <w:rStyle w:val="CharSectno"/>
        </w:rPr>
        <w:t>39</w:t>
      </w:r>
      <w:r>
        <w:t>.</w:t>
      </w:r>
      <w:r>
        <w:tab/>
        <w:t>Animals</w:t>
      </w:r>
      <w:bookmarkEnd w:id="154"/>
      <w:bookmarkEnd w:id="155"/>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a fine of $400.</w:t>
      </w:r>
    </w:p>
    <w:p>
      <w:pPr>
        <w:pStyle w:val="Penstart"/>
      </w:pPr>
      <w:r>
        <w:tab/>
        <w:t>Penalty: a fine of $2 000.</w:t>
      </w:r>
    </w:p>
    <w:p>
      <w:pPr>
        <w:pStyle w:val="Footnotesection"/>
      </w:pPr>
      <w:r>
        <w:tab/>
        <w:t>[Regulation 39 amended: Gazette 5 Nov 2013 p. 4954-5.]</w:t>
      </w:r>
    </w:p>
    <w:p>
      <w:pPr>
        <w:pStyle w:val="Heading5"/>
      </w:pPr>
      <w:bookmarkStart w:id="156" w:name="_Toc119574708"/>
      <w:bookmarkStart w:id="157" w:name="_Toc51756067"/>
      <w:r>
        <w:rPr>
          <w:rStyle w:val="CharSectno"/>
        </w:rPr>
        <w:t>40</w:t>
      </w:r>
      <w:r>
        <w:t>.</w:t>
      </w:r>
      <w:r>
        <w:tab/>
        <w:t>Obstructing an authorised person</w:t>
      </w:r>
      <w:bookmarkEnd w:id="156"/>
      <w:bookmarkEnd w:id="157"/>
    </w:p>
    <w:p>
      <w:pPr>
        <w:pStyle w:val="Subsection"/>
      </w:pPr>
      <w:r>
        <w:tab/>
      </w:r>
      <w:r>
        <w:tab/>
        <w:t>A person who obstructs, hinders, impedes or attempts to obstruct, hinder, or impede an authorised person or a security officer in the course of his or her duties commits an offence.</w:t>
      </w:r>
    </w:p>
    <w:p>
      <w:pPr>
        <w:pStyle w:val="Penstart"/>
        <w:keepNext/>
      </w:pPr>
      <w:r>
        <w:tab/>
        <w:t>Modified penalty: a fine of $200.</w:t>
      </w:r>
    </w:p>
    <w:p>
      <w:pPr>
        <w:pStyle w:val="Penstart"/>
      </w:pPr>
      <w:r>
        <w:tab/>
        <w:t>Penalty: a fine of $1 000.</w:t>
      </w:r>
    </w:p>
    <w:p>
      <w:pPr>
        <w:pStyle w:val="Footnotesection"/>
      </w:pPr>
      <w:r>
        <w:tab/>
        <w:t>[Regulation 40 amended: Gazette 5 Nov 2013 p. 4954-5.]</w:t>
      </w:r>
    </w:p>
    <w:p>
      <w:pPr>
        <w:pStyle w:val="Heading5"/>
      </w:pPr>
      <w:bookmarkStart w:id="158" w:name="_Toc119574709"/>
      <w:bookmarkStart w:id="159" w:name="_Toc51756068"/>
      <w:r>
        <w:rPr>
          <w:rStyle w:val="CharSectno"/>
        </w:rPr>
        <w:t>41</w:t>
      </w:r>
      <w:r>
        <w:t>.</w:t>
      </w:r>
      <w:r>
        <w:tab/>
        <w:t>Refusal of passage</w:t>
      </w:r>
      <w:bookmarkEnd w:id="158"/>
      <w:bookmarkEnd w:id="159"/>
    </w:p>
    <w:p>
      <w:pPr>
        <w:pStyle w:val="Subsection"/>
      </w:pPr>
      <w:r>
        <w:tab/>
        <w:t>(1)</w:t>
      </w:r>
      <w:r>
        <w:tab/>
        <w:t xml:space="preserve">A driver, master or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 or</w:t>
      </w:r>
    </w:p>
    <w:p>
      <w:pPr>
        <w:pStyle w:val="Indenta"/>
        <w:rPr>
          <w:i/>
        </w:rPr>
      </w:pPr>
      <w:r>
        <w:tab/>
        <w:t>(b)</w:t>
      </w:r>
      <w:r>
        <w:tab/>
        <w:t>is engaging in conduct that constitutes an offence under regulation 8; or</w:t>
      </w:r>
    </w:p>
    <w:p>
      <w:pPr>
        <w:pStyle w:val="Indenta"/>
      </w:pPr>
      <w:r>
        <w:tab/>
        <w:t>(c)</w:t>
      </w:r>
      <w:r>
        <w:tab/>
        <w:t>is sitting in a seat other than the seat allocated to him or her by a driver or master, or by the Authority by means of a ticket; or</w:t>
      </w:r>
    </w:p>
    <w:p>
      <w:pPr>
        <w:pStyle w:val="Indenta"/>
        <w:rPr>
          <w:i/>
        </w:rPr>
      </w:pPr>
      <w:r>
        <w:tab/>
        <w:t>(d)</w:t>
      </w:r>
      <w:r>
        <w:tab/>
        <w:t>is engaging in conduct that constitutes an offence under regulation 23; or</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 or</w:t>
      </w:r>
    </w:p>
    <w:p>
      <w:pPr>
        <w:pStyle w:val="Indenta"/>
      </w:pPr>
      <w:r>
        <w:tab/>
        <w:t>(f)</w:t>
      </w:r>
      <w:r>
        <w:tab/>
        <w:t>except in an emergency, is entering or leaving the conveyance through a part of the conveyance other than a door intended for the use of passengers; or</w:t>
      </w:r>
    </w:p>
    <w:p>
      <w:pPr>
        <w:pStyle w:val="Indenta"/>
      </w:pPr>
      <w:r>
        <w:tab/>
        <w:t>(g)</w:t>
      </w:r>
      <w:r>
        <w:tab/>
        <w:t>poses a threat to the safety of the driver or master of or a passenger on the conveyance; or</w:t>
      </w:r>
    </w:p>
    <w:p>
      <w:pPr>
        <w:pStyle w:val="Indenta"/>
      </w:pPr>
      <w:r>
        <w:tab/>
        <w:t>(h)</w:t>
      </w:r>
      <w:r>
        <w:tab/>
        <w:t>is in such an unclean condition that he or she is likely to soil the conveyance; or</w:t>
      </w:r>
    </w:p>
    <w:p>
      <w:pPr>
        <w:pStyle w:val="Indenta"/>
      </w:pPr>
      <w:r>
        <w:tab/>
        <w:t>(i)</w:t>
      </w:r>
      <w:r>
        <w:tab/>
        <w:t>is abusive or disorderly; or</w:t>
      </w:r>
    </w:p>
    <w:p>
      <w:pPr>
        <w:pStyle w:val="Indenta"/>
      </w:pPr>
      <w:r>
        <w:tab/>
        <w:t>(j)</w:t>
      </w:r>
      <w:r>
        <w:tab/>
        <w:t>is under the influence of alcohol or drugs to such an extent that he or she is likely to soil the conveyance or to become abusive or disorderly; or</w:t>
      </w:r>
    </w:p>
    <w:p>
      <w:pPr>
        <w:pStyle w:val="Indenta"/>
      </w:pPr>
      <w:r>
        <w:tab/>
        <w:t>(k)</w:t>
      </w:r>
      <w:r>
        <w:tab/>
        <w:t xml:space="preserve">is in the company of an animal other than an assistance dog by which the person is entitled to be accompanied under the </w:t>
      </w:r>
      <w:r>
        <w:rPr>
          <w:i/>
        </w:rPr>
        <w:t>Dog Act 1976</w:t>
      </w:r>
      <w:r>
        <w:t xml:space="preserve"> section 8; or</w:t>
      </w:r>
    </w:p>
    <w:p>
      <w:pPr>
        <w:pStyle w:val="Indenta"/>
      </w:pPr>
      <w:r>
        <w:tab/>
        <w:t>(l)</w:t>
      </w:r>
      <w:r>
        <w:tab/>
        <w:t>is, without lawful excuse, in possession of a thing referred to in regulation 21; or</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 or</w:t>
      </w:r>
    </w:p>
    <w:p>
      <w:pPr>
        <w:pStyle w:val="Indenta"/>
      </w:pPr>
      <w:r>
        <w:tab/>
        <w:t>(o)</w:t>
      </w:r>
      <w:r>
        <w:tab/>
        <w:t>does not have a valid ticket for a journey the person is making; or</w:t>
      </w:r>
    </w:p>
    <w:p>
      <w:pPr>
        <w:pStyle w:val="Indenta"/>
      </w:pPr>
      <w:r>
        <w:tab/>
        <w:t>(p)</w:t>
      </w:r>
      <w:r>
        <w:tab/>
        <w:t>by boarding the conveyance, will cause or has caused the passenger capacity of the conveyance to be exceeded.</w:t>
      </w:r>
    </w:p>
    <w:p>
      <w:pPr>
        <w:pStyle w:val="Subsection"/>
      </w:pPr>
      <w:r>
        <w:tab/>
        <w:t>(2)</w:t>
      </w:r>
      <w:r>
        <w:tab/>
        <w:t xml:space="preserve">In subregulation (1)(p) — </w:t>
      </w:r>
    </w:p>
    <w:p>
      <w:pPr>
        <w:pStyle w:val="Defstart"/>
      </w:pPr>
      <w:r>
        <w:tab/>
      </w:r>
      <w:r>
        <w:rPr>
          <w:rStyle w:val="CharDefText"/>
        </w:rPr>
        <w:t>passenger capacity</w:t>
      </w:r>
      <w:r>
        <w:t>, of the conveyance, means the number of passengers that the conveyance is permitted to carry.</w:t>
      </w:r>
    </w:p>
    <w:p>
      <w:pPr>
        <w:pStyle w:val="Ednotesubsection"/>
      </w:pPr>
      <w:r>
        <w:tab/>
        <w:t>[(3)</w:t>
      </w:r>
      <w:r>
        <w:tab/>
        <w:t>deleted]</w:t>
      </w:r>
    </w:p>
    <w:p>
      <w:pPr>
        <w:pStyle w:val="Footnotesection"/>
      </w:pPr>
      <w:r>
        <w:tab/>
        <w:t>[Regulation 41 amended: Gazette 13 Jun 2014 p. 1901; 6 Jul 2018 p. 2549</w:t>
      </w:r>
      <w:r>
        <w:noBreakHyphen/>
        <w:t>50; 19 Feb 2019 p. 335; SL 2020/183 r. 12.]</w:t>
      </w:r>
    </w:p>
    <w:p>
      <w:pPr>
        <w:pStyle w:val="Heading5"/>
      </w:pPr>
      <w:bookmarkStart w:id="160" w:name="_Toc119574710"/>
      <w:bookmarkStart w:id="161" w:name="_Toc51756069"/>
      <w:r>
        <w:rPr>
          <w:rStyle w:val="CharSectno"/>
        </w:rPr>
        <w:t>42</w:t>
      </w:r>
      <w:r>
        <w:t>.</w:t>
      </w:r>
      <w:r>
        <w:tab/>
        <w:t>Failure to comply with refusal of travel</w:t>
      </w:r>
      <w:bookmarkEnd w:id="160"/>
      <w:bookmarkEnd w:id="161"/>
    </w:p>
    <w:p>
      <w:pPr>
        <w:pStyle w:val="Subsection"/>
        <w:keepNext/>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a fine of $200.</w:t>
      </w:r>
    </w:p>
    <w:p>
      <w:pPr>
        <w:pStyle w:val="Penstart"/>
      </w:pPr>
      <w:r>
        <w:tab/>
        <w:t>Penalty: a fine of $2 000.</w:t>
      </w:r>
    </w:p>
    <w:p>
      <w:pPr>
        <w:pStyle w:val="Footnotesection"/>
      </w:pPr>
      <w:r>
        <w:tab/>
        <w:t>[Regulation 42 amended: Gazette 5 Nov 2013 p. 4954-5.]</w:t>
      </w:r>
    </w:p>
    <w:p>
      <w:pPr>
        <w:pStyle w:val="Heading5"/>
      </w:pPr>
      <w:bookmarkStart w:id="162" w:name="_Toc119574711"/>
      <w:bookmarkStart w:id="163" w:name="_Toc51756070"/>
      <w:r>
        <w:rPr>
          <w:rStyle w:val="CharSectno"/>
        </w:rPr>
        <w:t>43</w:t>
      </w:r>
      <w:r>
        <w:t>.</w:t>
      </w:r>
      <w:r>
        <w:tab/>
        <w:t>Ejecting people from Authority property: section 65 of the Act</w:t>
      </w:r>
      <w:bookmarkEnd w:id="162"/>
      <w:bookmarkEnd w:id="163"/>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 or</w:t>
      </w:r>
    </w:p>
    <w:p>
      <w:pPr>
        <w:pStyle w:val="Indenta"/>
      </w:pPr>
      <w:r>
        <w:tab/>
        <w:t>(i)</w:t>
      </w:r>
      <w:r>
        <w:tab/>
        <w:t xml:space="preserve">an authorised person, a security officer or a member of the Police Force — </w:t>
      </w:r>
    </w:p>
    <w:p>
      <w:pPr>
        <w:pStyle w:val="Indenti"/>
      </w:pPr>
      <w:r>
        <w:tab/>
        <w:t>(i)</w:t>
      </w:r>
      <w:r>
        <w:tab/>
        <w:t>witnesses the person committing an offence referred to in section 58(2) of the Act in, on, in respect of or in relation to Authority property; or</w:t>
      </w:r>
    </w:p>
    <w:p>
      <w:pPr>
        <w:pStyle w:val="Indenti"/>
      </w:pPr>
      <w:r>
        <w:tab/>
        <w:t>(ii)</w:t>
      </w:r>
      <w:r>
        <w:tab/>
        <w:t>reasonably suspects that the person has committed an offence referred to in that subsection in, on, in respect of or in relation to Authority property.</w:t>
      </w:r>
    </w:p>
    <w:p>
      <w:pPr>
        <w:pStyle w:val="Footnotesection"/>
      </w:pPr>
      <w:r>
        <w:tab/>
        <w:t>[Regulation 43 amended: Gazette 11 Feb 2005 p. 699; 29 Feb 2008 p. 699; 27 Mar 2009 p. 932; 6 Jul 2018 p. 2550; SL 2020/183 r. 13.]</w:t>
      </w:r>
    </w:p>
    <w:p>
      <w:pPr>
        <w:pStyle w:val="Ednotesection"/>
      </w:pPr>
      <w:r>
        <w:t>[</w:t>
      </w:r>
      <w:r>
        <w:rPr>
          <w:b/>
          <w:bCs/>
        </w:rPr>
        <w:t>43A, 43B.</w:t>
      </w:r>
      <w:r>
        <w:rPr>
          <w:b/>
          <w:bCs/>
        </w:rPr>
        <w:tab/>
      </w:r>
      <w:r>
        <w:t>Deleted: Gazette 27 Mar 2009 p. 932.]</w:t>
      </w:r>
    </w:p>
    <w:p>
      <w:pPr>
        <w:pStyle w:val="Heading5"/>
      </w:pPr>
      <w:bookmarkStart w:id="164" w:name="_Toc119574712"/>
      <w:bookmarkStart w:id="165" w:name="_Toc51756071"/>
      <w:r>
        <w:rPr>
          <w:rStyle w:val="CharSectno"/>
        </w:rPr>
        <w:t>44</w:t>
      </w:r>
      <w:r>
        <w:t>.</w:t>
      </w:r>
      <w:r>
        <w:tab/>
        <w:t>Powers of authorised persons to inspect and retain tickets</w:t>
      </w:r>
      <w:bookmarkEnd w:id="164"/>
      <w:bookmarkEnd w:id="165"/>
    </w:p>
    <w:p>
      <w:pPr>
        <w:pStyle w:val="Subsection"/>
      </w:pPr>
      <w:r>
        <w:tab/>
        <w:t>(1)</w:t>
      </w:r>
      <w:r>
        <w:tab/>
        <w:t xml:space="preserve">A driver, master or authorised person to whom a person produces a paper ticket under regulation 6 or 6A may — </w:t>
      </w:r>
    </w:p>
    <w:p>
      <w:pPr>
        <w:pStyle w:val="Indenta"/>
      </w:pPr>
      <w:r>
        <w:tab/>
        <w:t>(a)</w:t>
      </w:r>
      <w:r>
        <w:tab/>
        <w:t>photograph or copy the ticket; or</w:t>
      </w:r>
    </w:p>
    <w:p>
      <w:pPr>
        <w:pStyle w:val="Indenta"/>
      </w:pPr>
      <w:r>
        <w:tab/>
        <w:t>(b)</w:t>
      </w:r>
      <w:r>
        <w:tab/>
        <w:t>take notes of any information on the ticket; or</w:t>
      </w:r>
    </w:p>
    <w:p>
      <w:pPr>
        <w:pStyle w:val="Indenta"/>
      </w:pPr>
      <w:r>
        <w:tab/>
        <w:t>(c)</w:t>
      </w:r>
      <w:r>
        <w:tab/>
        <w:t>if it is a ticket issued on the payment of a cash fare — retain the ticket and give the person who produced the ticket a voucher to the same effect as the ticket.</w:t>
      </w:r>
    </w:p>
    <w:p>
      <w:pPr>
        <w:pStyle w:val="Subsection"/>
      </w:pPr>
      <w:r>
        <w:tab/>
        <w:t>(2)</w:t>
      </w:r>
      <w:r>
        <w:tab/>
        <w:t>A driver, master or authorised person to whom a person produces an electronic ticket under regulation 6 or 6A may read, download or copy data held on the ticket that is relevant to the person’s authorisation to make a journey.</w:t>
      </w:r>
    </w:p>
    <w:p>
      <w:pPr>
        <w:pStyle w:val="Subsection"/>
      </w:pPr>
      <w:r>
        <w:tab/>
        <w:t>(3)</w:t>
      </w:r>
      <w:r>
        <w:tab/>
        <w:t xml:space="preserve">A driver, master or authorised person may retain an electronic ticket that is produced to the driver, master or authorised person under regulation 6 or 6A if — </w:t>
      </w:r>
    </w:p>
    <w:p>
      <w:pPr>
        <w:pStyle w:val="Indenta"/>
      </w:pPr>
      <w:r>
        <w:tab/>
        <w:t>(a)</w:t>
      </w:r>
      <w:r>
        <w:tab/>
        <w:t>it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t>(4)</w:t>
      </w:r>
      <w:r>
        <w:tab/>
        <w:t>If an electronic ticket produced to a driver, master or authorised person under regulation 6 or 6A is not valid under regulation 5(2)(b) because it is not being used in accordance with a condition that it be used only by the person to whom it was issued, the driver, master or authorised person may retain the ticket.</w:t>
      </w:r>
    </w:p>
    <w:p>
      <w:pPr>
        <w:pStyle w:val="Footnotesection"/>
      </w:pPr>
      <w:r>
        <w:tab/>
        <w:t>[Regulation 44 inserted: SL 2020/183 r. 14.]</w:t>
      </w:r>
    </w:p>
    <w:p>
      <w:pPr>
        <w:pStyle w:val="Heading5"/>
      </w:pPr>
      <w:bookmarkStart w:id="166" w:name="_Toc119574713"/>
      <w:bookmarkStart w:id="167" w:name="_Toc51756072"/>
      <w:r>
        <w:rPr>
          <w:rStyle w:val="CharSectno"/>
        </w:rPr>
        <w:t>45</w:t>
      </w:r>
      <w:r>
        <w:t>.</w:t>
      </w:r>
      <w:r>
        <w:tab/>
        <w:t>Infringement notice</w:t>
      </w:r>
      <w:bookmarkEnd w:id="166"/>
      <w:bookmarkEnd w:id="167"/>
    </w:p>
    <w:p>
      <w:pPr>
        <w:pStyle w:val="Subsection"/>
      </w:pPr>
      <w:r>
        <w:tab/>
      </w:r>
      <w:r>
        <w:tab/>
        <w:t>Schedule 2 Form 1 is prescribed, under section 45(1) of the Act, as the form of infringement notice.</w:t>
      </w:r>
    </w:p>
    <w:p>
      <w:pPr>
        <w:pStyle w:val="Heading5"/>
      </w:pPr>
      <w:bookmarkStart w:id="168" w:name="_Toc119574714"/>
      <w:bookmarkStart w:id="169" w:name="_Toc51756073"/>
      <w:r>
        <w:rPr>
          <w:rStyle w:val="CharSectno"/>
        </w:rPr>
        <w:t>46</w:t>
      </w:r>
      <w:r>
        <w:t>.</w:t>
      </w:r>
      <w:r>
        <w:tab/>
        <w:t>Withdrawal of infringement notice</w:t>
      </w:r>
      <w:bookmarkEnd w:id="168"/>
      <w:bookmarkEnd w:id="169"/>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0" w:name="_Toc119499028"/>
      <w:bookmarkStart w:id="171" w:name="_Toc119499879"/>
      <w:bookmarkStart w:id="172" w:name="_Toc119574715"/>
      <w:bookmarkStart w:id="173" w:name="_Toc51746038"/>
      <w:bookmarkStart w:id="174" w:name="_Toc51751338"/>
      <w:bookmarkStart w:id="175" w:name="_Toc51751689"/>
      <w:bookmarkStart w:id="176" w:name="_Toc51751753"/>
      <w:bookmarkStart w:id="177" w:name="_Toc51756074"/>
      <w:r>
        <w:rPr>
          <w:rStyle w:val="CharSchNo"/>
        </w:rPr>
        <w:t>Schedule 1</w:t>
      </w:r>
      <w:r>
        <w:t> — </w:t>
      </w:r>
      <w:r>
        <w:rPr>
          <w:rStyle w:val="CharSchText"/>
        </w:rPr>
        <w:t>Charges</w:t>
      </w:r>
      <w:bookmarkEnd w:id="170"/>
      <w:bookmarkEnd w:id="171"/>
      <w:bookmarkEnd w:id="172"/>
      <w:bookmarkEnd w:id="173"/>
      <w:bookmarkEnd w:id="174"/>
      <w:bookmarkEnd w:id="175"/>
      <w:bookmarkEnd w:id="176"/>
      <w:bookmarkEnd w:id="177"/>
    </w:p>
    <w:p>
      <w:pPr>
        <w:pStyle w:val="yShoulderClause"/>
      </w:pPr>
      <w:r>
        <w:t>[r. 32, 33]</w:t>
      </w:r>
    </w:p>
    <w:p>
      <w:pPr>
        <w:pStyle w:val="yNumberedItem"/>
      </w:pPr>
      <w:r>
        <w:t>1.</w:t>
      </w:r>
      <w:r>
        <w:tab/>
        <w:t>The charge to be paid under regulation 32 for parking a vehicle in a paid parking station on a weekday for any 24 hour period is $2.00 including GST.</w:t>
      </w:r>
    </w:p>
    <w:p>
      <w:pPr>
        <w:pStyle w:val="yNumberedItem"/>
      </w:pPr>
      <w:r>
        <w:t>2.</w:t>
      </w:r>
      <w:r>
        <w:tab/>
        <w:t>The charge to be paid under regulation 33(1) is $10.00 including GST.</w:t>
      </w:r>
    </w:p>
    <w:p>
      <w:pPr>
        <w:pStyle w:val="yFootnotesection"/>
      </w:pPr>
      <w:r>
        <w:tab/>
        <w:t>[Schedule 1 amended: Gazette 26 Jun 2007 p. 3059; 5 Nov 2013 p. 4953; 23 Dec 2016 p. 5912.]</w:t>
      </w:r>
    </w:p>
    <w:p>
      <w:pPr>
        <w:pStyle w:val="yScheduleHeading"/>
        <w:keepNext w:val="0"/>
      </w:pPr>
      <w:bookmarkStart w:id="178" w:name="_Toc119499029"/>
      <w:bookmarkStart w:id="179" w:name="_Toc119499880"/>
      <w:bookmarkStart w:id="180" w:name="_Toc119574716"/>
      <w:bookmarkStart w:id="181" w:name="_Toc51746039"/>
      <w:bookmarkStart w:id="182" w:name="_Toc51751339"/>
      <w:bookmarkStart w:id="183" w:name="_Toc51751690"/>
      <w:bookmarkStart w:id="184" w:name="_Toc51751754"/>
      <w:bookmarkStart w:id="185" w:name="_Toc51756075"/>
      <w:r>
        <w:rPr>
          <w:rStyle w:val="CharSchNo"/>
        </w:rPr>
        <w:t>Schedule 2</w:t>
      </w:r>
      <w:r>
        <w:t> — </w:t>
      </w:r>
      <w:r>
        <w:rPr>
          <w:rStyle w:val="CharSchText"/>
        </w:rPr>
        <w:t>Forms</w:t>
      </w:r>
      <w:bookmarkEnd w:id="178"/>
      <w:bookmarkEnd w:id="179"/>
      <w:bookmarkEnd w:id="180"/>
      <w:bookmarkEnd w:id="181"/>
      <w:bookmarkEnd w:id="182"/>
      <w:bookmarkEnd w:id="183"/>
      <w:bookmarkEnd w:id="184"/>
      <w:bookmarkEnd w:id="185"/>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80" w:type="dxa"/>
        <w:tblLayout w:type="fixed"/>
        <w:tblLook w:val="0000" w:firstRow="0" w:lastRow="0" w:firstColumn="0" w:lastColumn="0" w:noHBand="0" w:noVBand="0"/>
      </w:tblPr>
      <w:tblGrid>
        <w:gridCol w:w="595"/>
        <w:gridCol w:w="426"/>
        <w:gridCol w:w="1275"/>
        <w:gridCol w:w="3686"/>
        <w:gridCol w:w="1134"/>
      </w:tblGrid>
      <w:tr>
        <w:trPr>
          <w:cantSplit/>
        </w:trPr>
        <w:tc>
          <w:tcPr>
            <w:tcW w:w="7116" w:type="dxa"/>
            <w:gridSpan w:val="5"/>
          </w:tcPr>
          <w:p>
            <w:pPr>
              <w:pStyle w:val="yTable"/>
              <w:jc w:val="right"/>
            </w:pPr>
            <w:r>
              <w:t>Serial No.            </w:t>
            </w:r>
          </w:p>
        </w:tc>
      </w:tr>
      <w:tr>
        <w:trPr>
          <w:cantSplit/>
        </w:trPr>
        <w:tc>
          <w:tcPr>
            <w:tcW w:w="595"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95"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116"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1021"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567"/>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709"/>
        </w:tabs>
        <w:spacing w:before="260"/>
        <w:ind w:left="567" w:hanging="567"/>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709"/>
        </w:tabs>
        <w:spacing w:before="260"/>
        <w:ind w:left="567" w:hanging="567"/>
      </w:pPr>
      <w:r>
        <w:t>5.</w:t>
      </w:r>
      <w:r>
        <w:tab/>
        <w:t>Please see the reverse side of this form for payment options.</w:t>
      </w:r>
    </w:p>
    <w:p>
      <w:pPr>
        <w:pStyle w:val="yMiscellaneousBody"/>
        <w:keepNext/>
        <w:keepLines/>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rPr>
          <w:sz w:val="18"/>
          <w:szCs w:val="18"/>
        </w:rPr>
      </w:pPr>
      <w:r>
        <w:rPr>
          <w:sz w:val="18"/>
          <w:szCs w:val="18"/>
        </w:rPr>
        <w:t>Alternatively, the modified penalty may be paid personally by presenting this notice and the payment amount to the following offices:</w:t>
      </w:r>
      <w:r>
        <w:rPr>
          <w:sz w:val="18"/>
          <w:szCs w:val="18"/>
        </w:rPr>
        <w:br/>
      </w:r>
    </w:p>
    <w:tbl>
      <w:tblPr>
        <w:tblStyle w:val="TableGrid"/>
        <w:tblW w:w="0" w:type="auto"/>
        <w:tblInd w:w="108" w:type="dxa"/>
        <w:tblLook w:val="04A0" w:firstRow="1" w:lastRow="0" w:firstColumn="1" w:lastColumn="0" w:noHBand="0" w:noVBand="1"/>
      </w:tblPr>
      <w:tblGrid>
        <w:gridCol w:w="1985"/>
        <w:gridCol w:w="1701"/>
        <w:gridCol w:w="3260"/>
      </w:tblGrid>
      <w:tr>
        <w:trPr>
          <w:tblHeader/>
        </w:trPr>
        <w:tc>
          <w:tcPr>
            <w:tcW w:w="1985" w:type="dxa"/>
          </w:tcPr>
          <w:p>
            <w:pPr>
              <w:pStyle w:val="yTableNAm"/>
              <w:jc w:val="center"/>
            </w:pPr>
            <w:r>
              <w:rPr>
                <w:b/>
                <w:sz w:val="16"/>
                <w:szCs w:val="16"/>
              </w:rPr>
              <w:t>Info Centre / Booking Office</w:t>
            </w:r>
          </w:p>
        </w:tc>
        <w:tc>
          <w:tcPr>
            <w:tcW w:w="1701"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1985" w:type="dxa"/>
          </w:tcPr>
          <w:p>
            <w:pPr>
              <w:pStyle w:val="yTableNAm"/>
            </w:pPr>
            <w:r>
              <w:rPr>
                <w:sz w:val="16"/>
                <w:szCs w:val="16"/>
              </w:rPr>
              <w:t>Perth Station</w:t>
            </w:r>
          </w:p>
        </w:tc>
        <w:tc>
          <w:tcPr>
            <w:tcW w:w="1701"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Saturday: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Sunday:</w:t>
            </w:r>
            <w:r>
              <w:rPr>
                <w:sz w:val="16"/>
                <w:szCs w:val="16"/>
              </w:rPr>
              <w:t xml:space="preserve"> 8.30 a.m. </w:t>
            </w:r>
            <w:r>
              <w:rPr>
                <w:sz w:val="16"/>
                <w:szCs w:val="16"/>
              </w:rPr>
              <w:noBreakHyphen/>
              <w:t xml:space="preserve"> 6.00 p.m.</w:t>
            </w:r>
          </w:p>
          <w:p>
            <w:pPr>
              <w:pStyle w:val="yTableNAm"/>
              <w:spacing w:before="0"/>
              <w:rPr>
                <w:sz w:val="16"/>
                <w:szCs w:val="16"/>
              </w:rPr>
            </w:pPr>
            <w:r>
              <w:rPr>
                <w:b/>
                <w:sz w:val="16"/>
                <w:szCs w:val="16"/>
              </w:rPr>
              <w:t>Public Holidays:</w:t>
            </w:r>
            <w:r>
              <w:rPr>
                <w:sz w:val="16"/>
                <w:szCs w:val="16"/>
              </w:rPr>
              <w:t xml:space="preserve"> 8.30 a.m. </w:t>
            </w:r>
            <w:r>
              <w:rPr>
                <w:sz w:val="16"/>
                <w:szCs w:val="16"/>
              </w:rPr>
              <w:noBreakHyphen/>
              <w:t xml:space="preserve"> 6.00 p.m.</w:t>
            </w:r>
          </w:p>
        </w:tc>
      </w:tr>
      <w:tr>
        <w:tc>
          <w:tcPr>
            <w:tcW w:w="1985" w:type="dxa"/>
          </w:tcPr>
          <w:p>
            <w:pPr>
              <w:pStyle w:val="yTableNAm"/>
            </w:pPr>
            <w:r>
              <w:rPr>
                <w:sz w:val="16"/>
                <w:szCs w:val="16"/>
              </w:rPr>
              <w:t>Perth Underground Station</w:t>
            </w:r>
          </w:p>
        </w:tc>
        <w:tc>
          <w:tcPr>
            <w:tcW w:w="1701"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9.00 a.m. </w:t>
            </w:r>
            <w:r>
              <w:rPr>
                <w:sz w:val="16"/>
                <w:szCs w:val="16"/>
              </w:rPr>
              <w:noBreakHyphen/>
              <w:t xml:space="preserve"> 5.00 p.m.</w:t>
            </w:r>
          </w:p>
          <w:p>
            <w:pPr>
              <w:pStyle w:val="yTableNAm"/>
              <w:spacing w:before="0"/>
              <w:rPr>
                <w:sz w:val="16"/>
                <w:szCs w:val="16"/>
              </w:rPr>
            </w:pPr>
            <w:r>
              <w:rPr>
                <w:b/>
                <w:sz w:val="16"/>
                <w:szCs w:val="16"/>
              </w:rPr>
              <w:t>Sunday:</w:t>
            </w:r>
            <w:r>
              <w:rPr>
                <w:sz w:val="16"/>
                <w:szCs w:val="16"/>
              </w:rPr>
              <w:t xml:space="preserve"> 11.00 a.m. </w:t>
            </w:r>
            <w:r>
              <w:rPr>
                <w:sz w:val="16"/>
                <w:szCs w:val="16"/>
              </w:rPr>
              <w:noBreakHyphen/>
              <w:t xml:space="preserve"> 3.00 p.m.</w:t>
            </w:r>
          </w:p>
          <w:p>
            <w:pPr>
              <w:pStyle w:val="yTableNAm"/>
              <w:spacing w:before="0"/>
              <w:rPr>
                <w:sz w:val="16"/>
                <w:szCs w:val="16"/>
              </w:rPr>
            </w:pPr>
            <w:r>
              <w:rPr>
                <w:b/>
                <w:sz w:val="16"/>
                <w:szCs w:val="16"/>
              </w:rPr>
              <w:t>Public Holidays:</w:t>
            </w:r>
            <w:r>
              <w:rPr>
                <w:sz w:val="16"/>
                <w:szCs w:val="16"/>
              </w:rPr>
              <w:t xml:space="preserve"> 11.00 a.m. </w:t>
            </w:r>
            <w:r>
              <w:rPr>
                <w:sz w:val="16"/>
                <w:szCs w:val="16"/>
              </w:rPr>
              <w:noBreakHyphen/>
              <w:t xml:space="preserve"> 3.00 p.m.</w:t>
            </w:r>
          </w:p>
          <w:p>
            <w:pPr>
              <w:pStyle w:val="yTableNAm"/>
              <w:spacing w:before="0"/>
              <w:rPr>
                <w:sz w:val="16"/>
                <w:szCs w:val="16"/>
              </w:rPr>
            </w:pPr>
            <w:r>
              <w:rPr>
                <w:sz w:val="16"/>
                <w:szCs w:val="16"/>
              </w:rPr>
              <w:t>(excluding Christmas Day and Boxing Day)</w:t>
            </w:r>
          </w:p>
        </w:tc>
      </w:tr>
      <w:tr>
        <w:tc>
          <w:tcPr>
            <w:tcW w:w="1985" w:type="dxa"/>
          </w:tcPr>
          <w:p>
            <w:pPr>
              <w:pStyle w:val="yTableNAm"/>
            </w:pPr>
            <w:r>
              <w:rPr>
                <w:sz w:val="16"/>
                <w:szCs w:val="16"/>
              </w:rPr>
              <w:t>Esplanade Busport</w:t>
            </w:r>
          </w:p>
        </w:tc>
        <w:tc>
          <w:tcPr>
            <w:tcW w:w="1701"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10.00 a.m. </w:t>
            </w:r>
            <w:r>
              <w:rPr>
                <w:sz w:val="16"/>
                <w:szCs w:val="16"/>
              </w:rPr>
              <w:noBreakHyphen/>
              <w:t xml:space="preserve"> 2.00 p.m.</w:t>
            </w:r>
          </w:p>
          <w:p>
            <w:pPr>
              <w:pStyle w:val="yTableNAm"/>
              <w:spacing w:before="0"/>
              <w:rPr>
                <w:sz w:val="16"/>
                <w:szCs w:val="16"/>
              </w:rPr>
            </w:pPr>
            <w:r>
              <w:rPr>
                <w:b/>
                <w:sz w:val="16"/>
                <w:szCs w:val="16"/>
              </w:rPr>
              <w:t>Sunday:</w:t>
            </w:r>
            <w:r>
              <w:rPr>
                <w:sz w:val="16"/>
                <w:szCs w:val="16"/>
              </w:rPr>
              <w:t xml:space="preserve"> 12.00 p.m. </w:t>
            </w:r>
            <w:r>
              <w:rPr>
                <w:sz w:val="16"/>
                <w:szCs w:val="16"/>
              </w:rPr>
              <w:noBreakHyphen/>
              <w:t xml:space="preserve"> 4.00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Wellington Street Bus Station</w:t>
            </w:r>
          </w:p>
        </w:tc>
        <w:tc>
          <w:tcPr>
            <w:tcW w:w="1701"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8.00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w:t>
            </w:r>
            <w:r>
              <w:rPr>
                <w:sz w:val="16"/>
                <w:szCs w:val="16"/>
              </w:rPr>
              <w:t xml:space="preserve"> Closed</w:t>
            </w:r>
          </w:p>
        </w:tc>
      </w:tr>
      <w:tr>
        <w:tc>
          <w:tcPr>
            <w:tcW w:w="1985" w:type="dxa"/>
          </w:tcPr>
          <w:p>
            <w:pPr>
              <w:pStyle w:val="yTableNAm"/>
            </w:pPr>
            <w:r>
              <w:rPr>
                <w:sz w:val="16"/>
                <w:szCs w:val="16"/>
              </w:rPr>
              <w:t>Public Transport Centre</w:t>
            </w:r>
          </w:p>
        </w:tc>
        <w:tc>
          <w:tcPr>
            <w:tcW w:w="1701"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w:t>
            </w:r>
            <w:r>
              <w:rPr>
                <w:sz w:val="16"/>
                <w:szCs w:val="16"/>
              </w:rPr>
              <w:noBreakHyphen/>
              <w:t xml:space="preserve"> 5.00 p.m.</w:t>
            </w:r>
          </w:p>
          <w:p>
            <w:pPr>
              <w:pStyle w:val="yTableNAm"/>
              <w:spacing w:before="0"/>
              <w:rPr>
                <w:sz w:val="16"/>
                <w:szCs w:val="16"/>
              </w:rPr>
            </w:pPr>
            <w:r>
              <w:rPr>
                <w:b/>
                <w:sz w:val="16"/>
                <w:szCs w:val="16"/>
              </w:rPr>
              <w:t>Friday:</w:t>
            </w:r>
            <w:r>
              <w:rPr>
                <w:sz w:val="16"/>
                <w:szCs w:val="16"/>
              </w:rPr>
              <w:t xml:space="preserve"> 6.30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6.30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7.30 a.m. </w:t>
            </w:r>
            <w:r>
              <w:rPr>
                <w:sz w:val="16"/>
                <w:szCs w:val="16"/>
              </w:rPr>
              <w:noBreakHyphen/>
              <w:t xml:space="preserve"> 3.30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Armadale Booking Office</w:t>
            </w:r>
          </w:p>
        </w:tc>
        <w:tc>
          <w:tcPr>
            <w:tcW w:w="1701"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Midland Booking Office</w:t>
            </w:r>
          </w:p>
        </w:tc>
        <w:tc>
          <w:tcPr>
            <w:tcW w:w="1701" w:type="dxa"/>
          </w:tcPr>
          <w:p>
            <w:pPr>
              <w:pStyle w:val="yTableNAm"/>
            </w:pPr>
            <w:r>
              <w:rPr>
                <w:sz w:val="16"/>
                <w:szCs w:val="16"/>
              </w:rPr>
              <w:t>Midland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Transit Admin Office</w:t>
            </w:r>
          </w:p>
        </w:tc>
        <w:tc>
          <w:tcPr>
            <w:tcW w:w="1701" w:type="dxa"/>
          </w:tcPr>
          <w:p>
            <w:pPr>
              <w:pStyle w:val="yTableNAm"/>
              <w:keepNext/>
            </w:pPr>
            <w:r>
              <w:rPr>
                <w:sz w:val="16"/>
                <w:szCs w:val="16"/>
              </w:rPr>
              <w:t>Perth Railway Station</w:t>
            </w:r>
          </w:p>
        </w:tc>
        <w:tc>
          <w:tcPr>
            <w:tcW w:w="3260" w:type="dxa"/>
          </w:tcPr>
          <w:p>
            <w:pPr>
              <w:pStyle w:val="yTableNAm"/>
              <w:keepNext/>
              <w:rPr>
                <w:sz w:val="16"/>
                <w:szCs w:val="16"/>
              </w:rPr>
            </w:pPr>
            <w:r>
              <w:rPr>
                <w:b/>
                <w:sz w:val="16"/>
                <w:szCs w:val="16"/>
              </w:rPr>
              <w:t>Monday — Friday:</w:t>
            </w:r>
            <w:r>
              <w:rPr>
                <w:sz w:val="16"/>
                <w:szCs w:val="16"/>
              </w:rPr>
              <w:t xml:space="preserve"> 8.30 a.m. </w:t>
            </w:r>
            <w:r>
              <w:rPr>
                <w:sz w:val="16"/>
                <w:szCs w:val="16"/>
              </w:rPr>
              <w:noBreakHyphen/>
              <w:t xml:space="preserve"> 4.30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bl>
    <w:p>
      <w:pPr>
        <w:pStyle w:val="yMiscellaneousBody"/>
        <w:rPr>
          <w:sz w:val="18"/>
          <w:szCs w:val="18"/>
        </w:rPr>
      </w:pPr>
      <w:r>
        <w:rPr>
          <w:sz w:val="18"/>
          <w:szCs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r>
        <w:rPr>
          <w:sz w:val="18"/>
          <w:szCs w:val="18"/>
        </w:rPr>
        <w:t>.</w:t>
      </w:r>
    </w:p>
    <w:p>
      <w:pPr>
        <w:pStyle w:val="yFootnotesection"/>
      </w:pPr>
      <w:r>
        <w:tab/>
        <w:t>[Form 1 amended: Gazette 5 Nov 2013 p. 4953-4; 13 Jun 2014 p. 1902.]</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87" w:name="_Toc119499030"/>
      <w:bookmarkStart w:id="188" w:name="_Toc119499881"/>
      <w:bookmarkStart w:id="189" w:name="_Toc119574717"/>
      <w:bookmarkStart w:id="190" w:name="_Toc51756076"/>
      <w:r>
        <w:t>Notes</w:t>
      </w:r>
      <w:bookmarkEnd w:id="187"/>
      <w:bookmarkEnd w:id="188"/>
      <w:bookmarkEnd w:id="189"/>
      <w:bookmarkEnd w:id="190"/>
    </w:p>
    <w:p>
      <w:pPr>
        <w:pStyle w:val="nStatement"/>
      </w:pPr>
      <w:r>
        <w:rPr>
          <w:snapToGrid w:val="0"/>
        </w:rPr>
        <w:t xml:space="preserve">This is a compilation of the </w:t>
      </w:r>
      <w:r>
        <w:rPr>
          <w:i/>
          <w:noProof/>
        </w:rPr>
        <w:t>Public Transport Authority Regulations 2003</w:t>
      </w:r>
      <w:r>
        <w:rPr>
          <w:snapToGrid w:val="0"/>
        </w:rPr>
        <w:t xml:space="preserve"> and includes amendments made by other written laws. For provisions that have come into operation, and for information about any reprints, see the compilation table.</w:t>
      </w:r>
    </w:p>
    <w:p>
      <w:pPr>
        <w:pStyle w:val="nHeading3"/>
      </w:pPr>
      <w:bookmarkStart w:id="191" w:name="_Toc119574718"/>
      <w:bookmarkStart w:id="192" w:name="_Toc51756077"/>
      <w:r>
        <w:t>Compilation table</w:t>
      </w:r>
      <w:bookmarkEnd w:id="191"/>
      <w:bookmarkEnd w:id="1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Public Transport Authority Regulations 2003</w:t>
            </w:r>
          </w:p>
        </w:tc>
        <w:tc>
          <w:tcPr>
            <w:tcW w:w="1276" w:type="dxa"/>
            <w:tcBorders>
              <w:top w:val="single" w:sz="8" w:space="0" w:color="auto"/>
            </w:tcBorders>
          </w:tcPr>
          <w:p>
            <w:pPr>
              <w:pStyle w:val="nTable"/>
              <w:spacing w:after="40"/>
            </w:pPr>
            <w:r>
              <w:t>27 Jun 2003 p. 2465-97</w:t>
            </w:r>
          </w:p>
        </w:tc>
        <w:tc>
          <w:tcPr>
            <w:tcW w:w="2693" w:type="dxa"/>
            <w:tcBorders>
              <w:top w:val="single" w:sz="8" w:space="0" w:color="auto"/>
            </w:tcBorders>
          </w:tcPr>
          <w:p>
            <w:pPr>
              <w:pStyle w:val="nTable"/>
              <w:spacing w:after="40"/>
            </w:pPr>
            <w:r>
              <w:t xml:space="preserve">1 Jul 2003 (see r. 2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2003</w:t>
            </w:r>
          </w:p>
        </w:tc>
        <w:tc>
          <w:tcPr>
            <w:tcW w:w="1276" w:type="dxa"/>
          </w:tcPr>
          <w:p>
            <w:pPr>
              <w:pStyle w:val="nTable"/>
              <w:spacing w:after="40"/>
            </w:pPr>
            <w:r>
              <w:t>12 Dec 2003 p. 5040-1</w:t>
            </w:r>
          </w:p>
        </w:tc>
        <w:tc>
          <w:tcPr>
            <w:tcW w:w="2693" w:type="dxa"/>
          </w:tcPr>
          <w:p>
            <w:pPr>
              <w:pStyle w:val="nTable"/>
              <w:spacing w:after="40"/>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2005</w:t>
            </w:r>
          </w:p>
        </w:tc>
        <w:tc>
          <w:tcPr>
            <w:tcW w:w="1276" w:type="dxa"/>
          </w:tcPr>
          <w:p>
            <w:pPr>
              <w:pStyle w:val="nTable"/>
              <w:spacing w:after="40"/>
            </w:pPr>
            <w:r>
              <w:t>11 Feb 2005 p. 696</w:t>
            </w:r>
            <w:r>
              <w:noBreakHyphen/>
              <w:t>9</w:t>
            </w:r>
          </w:p>
        </w:tc>
        <w:tc>
          <w:tcPr>
            <w:tcW w:w="2693" w:type="dxa"/>
          </w:tcPr>
          <w:p>
            <w:pPr>
              <w:pStyle w:val="nTable"/>
              <w:spacing w:after="40"/>
            </w:pPr>
            <w:r>
              <w:t>11 Feb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2007</w:t>
            </w:r>
          </w:p>
        </w:tc>
        <w:tc>
          <w:tcPr>
            <w:tcW w:w="1276" w:type="dxa"/>
          </w:tcPr>
          <w:p>
            <w:pPr>
              <w:pStyle w:val="nTable"/>
              <w:spacing w:after="40"/>
            </w:pPr>
            <w:r>
              <w:t>9 Jan 2007 p. 27</w:t>
            </w:r>
            <w:r>
              <w:noBreakHyphen/>
              <w:t>8</w:t>
            </w:r>
          </w:p>
        </w:tc>
        <w:tc>
          <w:tcPr>
            <w:tcW w:w="2693" w:type="dxa"/>
          </w:tcPr>
          <w:p>
            <w:pPr>
              <w:pStyle w:val="nTable"/>
              <w:spacing w:after="40"/>
            </w:pPr>
            <w:r>
              <w:t>9 Jan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(No. 3) 2007</w:t>
            </w:r>
          </w:p>
        </w:tc>
        <w:tc>
          <w:tcPr>
            <w:tcW w:w="1276" w:type="dxa"/>
          </w:tcPr>
          <w:p>
            <w:pPr>
              <w:pStyle w:val="nTable"/>
              <w:spacing w:after="40"/>
            </w:pPr>
            <w:r>
              <w:t>26 Jun 2007 p. 3058-9</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2008</w:t>
            </w:r>
          </w:p>
        </w:tc>
        <w:tc>
          <w:tcPr>
            <w:tcW w:w="1276" w:type="dxa"/>
          </w:tcPr>
          <w:p>
            <w:pPr>
              <w:pStyle w:val="nTable"/>
              <w:spacing w:after="40"/>
            </w:pPr>
            <w:r>
              <w:t>29 Feb 2008 p. 698</w:t>
            </w:r>
            <w:r>
              <w:noBreakHyphen/>
              <w:t>700</w:t>
            </w:r>
          </w:p>
        </w:tc>
        <w:tc>
          <w:tcPr>
            <w:tcW w:w="2693" w:type="dxa"/>
          </w:tcPr>
          <w:p>
            <w:pPr>
              <w:pStyle w:val="nTable"/>
              <w:spacing w:after="40"/>
            </w:pPr>
            <w:r>
              <w:rPr>
                <w:snapToGrid w:val="0"/>
              </w:rPr>
              <w:t>r. 1 and 2: 29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Public Transport Authority Regulations 2003</w:t>
            </w:r>
            <w:r>
              <w:rPr>
                <w:b/>
                <w:bCs/>
                <w:snapToGrid w:val="0"/>
              </w:rPr>
              <w:t xml:space="preserve"> as at 4 Jul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2009</w:t>
            </w:r>
          </w:p>
        </w:tc>
        <w:tc>
          <w:tcPr>
            <w:tcW w:w="1276" w:type="dxa"/>
          </w:tcPr>
          <w:p>
            <w:pPr>
              <w:pStyle w:val="nTable"/>
              <w:spacing w:after="40"/>
            </w:pPr>
            <w:r>
              <w:t>27 Mar 2009 p. 931</w:t>
            </w:r>
            <w:r>
              <w:noBreakHyphen/>
              <w:t>2</w:t>
            </w:r>
          </w:p>
        </w:tc>
        <w:tc>
          <w:tcPr>
            <w:tcW w:w="2693" w:type="dxa"/>
          </w:tcPr>
          <w:p>
            <w:pPr>
              <w:pStyle w:val="nTable"/>
              <w:spacing w:after="40"/>
            </w:pPr>
            <w:r>
              <w:rPr>
                <w:snapToGrid w:val="0"/>
              </w:rPr>
              <w:t>r. 1 and 2: 27 Mar 2009 (see r. 2(a));</w:t>
            </w:r>
            <w:r>
              <w:rPr>
                <w:snapToGrid w:val="0"/>
              </w:rPr>
              <w:br/>
              <w:t xml:space="preserve">Regulations other than r. 1 and 2: 28 Mar 2009 (see r. 2(b)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(No. 2) 2009</w:t>
            </w:r>
          </w:p>
        </w:tc>
        <w:tc>
          <w:tcPr>
            <w:tcW w:w="1276" w:type="dxa"/>
          </w:tcPr>
          <w:p>
            <w:pPr>
              <w:pStyle w:val="nTable"/>
              <w:spacing w:after="40"/>
            </w:pPr>
            <w:r>
              <w:t>24 Jul 2009 p. 2953-6</w:t>
            </w:r>
          </w:p>
        </w:tc>
        <w:tc>
          <w:tcPr>
            <w:tcW w:w="2693" w:type="dxa"/>
          </w:tcPr>
          <w:p>
            <w:pPr>
              <w:pStyle w:val="nTable"/>
              <w:spacing w:after="40"/>
              <w:rPr>
                <w:snapToGrid w:val="0"/>
              </w:rPr>
            </w:pPr>
            <w:r>
              <w:rPr>
                <w:snapToGrid w:val="0"/>
                <w:spacing w:val="-2"/>
              </w:rPr>
              <w:t xml:space="preserve">r. 1 and 2: </w:t>
            </w:r>
            <w:r>
              <w:rPr>
                <w:snapToGrid w:val="0"/>
              </w:rPr>
              <w:t>24 Jul 2009</w:t>
            </w:r>
            <w:r>
              <w:rPr>
                <w:snapToGrid w:val="0"/>
                <w:spacing w:val="-2"/>
              </w:rPr>
              <w:t xml:space="preserve"> (see r. 2(a));</w:t>
            </w:r>
            <w:r>
              <w:rPr>
                <w:snapToGrid w:val="0"/>
                <w:spacing w:val="-2"/>
              </w:rPr>
              <w:br/>
              <w:t xml:space="preserve">Regulations other than r. 1 and 2: </w:t>
            </w:r>
            <w:r>
              <w:rPr>
                <w:snapToGrid w:val="0"/>
              </w:rPr>
              <w:t>25 Jul 2009</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2013</w:t>
            </w:r>
          </w:p>
        </w:tc>
        <w:tc>
          <w:tcPr>
            <w:tcW w:w="1276" w:type="dxa"/>
          </w:tcPr>
          <w:p>
            <w:pPr>
              <w:pStyle w:val="nTable"/>
              <w:spacing w:after="40"/>
            </w:pPr>
            <w:r>
              <w:t>5 Nov 2013 p. 4950-5</w:t>
            </w:r>
          </w:p>
        </w:tc>
        <w:tc>
          <w:tcPr>
            <w:tcW w:w="2693" w:type="dxa"/>
          </w:tcPr>
          <w:p>
            <w:pPr>
              <w:pStyle w:val="nTable"/>
              <w:spacing w:after="40"/>
              <w:rPr>
                <w:snapToGrid w:val="0"/>
                <w:spacing w:val="-2"/>
              </w:rPr>
            </w:pPr>
            <w:r>
              <w:rPr>
                <w:snapToGrid w:val="0"/>
              </w:rPr>
              <w:t>r. 1 and 2: 5 Nov 2013 (see r. 2(a));</w:t>
            </w:r>
            <w:r>
              <w:rPr>
                <w:snapToGrid w:val="0"/>
              </w:rPr>
              <w:br/>
              <w:t>Regulations other than r. 1 and 2: 6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2014</w:t>
            </w:r>
          </w:p>
        </w:tc>
        <w:tc>
          <w:tcPr>
            <w:tcW w:w="1276" w:type="dxa"/>
          </w:tcPr>
          <w:p>
            <w:pPr>
              <w:pStyle w:val="nTable"/>
              <w:spacing w:after="40"/>
            </w:pPr>
            <w:r>
              <w:t>13 Jun 2014 p. 1901</w:t>
            </w:r>
            <w:r>
              <w:noBreakHyphen/>
              <w:t>2</w:t>
            </w:r>
          </w:p>
        </w:tc>
        <w:tc>
          <w:tcPr>
            <w:tcW w:w="2693" w:type="dxa"/>
          </w:tcPr>
          <w:p>
            <w:pPr>
              <w:pStyle w:val="nTable"/>
              <w:spacing w:after="40"/>
              <w:rPr>
                <w:snapToGrid w:val="0"/>
              </w:rPr>
            </w:pPr>
            <w:r>
              <w:rPr>
                <w:bCs/>
                <w:snapToGrid w:val="0"/>
                <w:spacing w:val="-2"/>
              </w:rPr>
              <w:t>r. 1 and 2: 13 Jun 2014 (see r. 2(a));</w:t>
            </w:r>
            <w:r>
              <w:rPr>
                <w:bCs/>
                <w:snapToGrid w:val="0"/>
                <w:spacing w:val="-2"/>
              </w:rPr>
              <w:br/>
              <w:t>Regulations other than r. 1 and 2: 14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Public Transport Authority Amendment Regulations 2016</w:t>
            </w:r>
          </w:p>
        </w:tc>
        <w:tc>
          <w:tcPr>
            <w:tcW w:w="1276" w:type="dxa"/>
          </w:tcPr>
          <w:p>
            <w:pPr>
              <w:pStyle w:val="nTable"/>
              <w:spacing w:after="40"/>
            </w:pPr>
            <w:r>
              <w:t>23 Dec 2016 p. 5912</w:t>
            </w:r>
          </w:p>
        </w:tc>
        <w:tc>
          <w:tcPr>
            <w:tcW w:w="2693" w:type="dxa"/>
          </w:tcPr>
          <w:p>
            <w:pPr>
              <w:pStyle w:val="nTable"/>
              <w:spacing w:after="40"/>
              <w:rPr>
                <w:bCs/>
                <w:snapToGrid w:val="0"/>
                <w:spacing w:val="-2"/>
              </w:rPr>
            </w:pPr>
            <w:r>
              <w:rPr>
                <w:bCs/>
                <w:snapToGrid w:val="0"/>
                <w:spacing w:val="-2"/>
              </w:rPr>
              <w:t>r. 1 and 2: 23 Dec 2016 (see r. 2(a));</w:t>
            </w:r>
            <w:r>
              <w:rPr>
                <w:bCs/>
                <w:snapToGrid w:val="0"/>
                <w:spacing w:val="-2"/>
              </w:rPr>
              <w:br/>
              <w:t>Regulations other than r. 1 and 2: 24 Dec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2018</w:t>
            </w:r>
          </w:p>
        </w:tc>
        <w:tc>
          <w:tcPr>
            <w:tcW w:w="1276" w:type="dxa"/>
          </w:tcPr>
          <w:p>
            <w:pPr>
              <w:pStyle w:val="nTable"/>
              <w:spacing w:after="40"/>
            </w:pPr>
            <w:r>
              <w:t>6 Jul 2018 p. 2549</w:t>
            </w:r>
            <w:r>
              <w:noBreakHyphen/>
              <w:t>50</w:t>
            </w:r>
          </w:p>
        </w:tc>
        <w:tc>
          <w:tcPr>
            <w:tcW w:w="2693" w:type="dxa"/>
          </w:tcPr>
          <w:p>
            <w:pPr>
              <w:pStyle w:val="nTable"/>
              <w:spacing w:after="40"/>
              <w:rPr>
                <w:bCs/>
                <w:snapToGrid w:val="0"/>
                <w:spacing w:val="-2"/>
              </w:rPr>
            </w:pPr>
            <w:r>
              <w:rPr>
                <w:bCs/>
                <w:snapToGrid w:val="0"/>
                <w:spacing w:val="-2"/>
              </w:rPr>
              <w:t>r. 1 and 2: 6 Jul 2018 (see r. 2(a));</w:t>
            </w:r>
            <w:r>
              <w:rPr>
                <w:bCs/>
                <w:snapToGrid w:val="0"/>
                <w:spacing w:val="-2"/>
              </w:rPr>
              <w:br/>
              <w:t>Regulations other than r. 1 and 2: 7 Jul 2018 (see r. 2(b))</w:t>
            </w:r>
          </w:p>
        </w:tc>
      </w:tr>
      <w:tr>
        <w:trPr>
          <w:cantSplit/>
        </w:trPr>
        <w:tc>
          <w:tcPr>
            <w:tcW w:w="3119" w:type="dxa"/>
            <w:tcBorders>
              <w:top w:val="nil"/>
              <w:bottom w:val="nil"/>
            </w:tcBorders>
          </w:tcPr>
          <w:p>
            <w:pPr>
              <w:pStyle w:val="nTable"/>
              <w:spacing w:after="40"/>
              <w:rPr>
                <w:i/>
              </w:rPr>
            </w:pPr>
            <w:r>
              <w:rPr>
                <w:i/>
              </w:rPr>
              <w:t>Public Transport Authority Amendment Regulations 2019</w:t>
            </w:r>
          </w:p>
        </w:tc>
        <w:tc>
          <w:tcPr>
            <w:tcW w:w="1276" w:type="dxa"/>
            <w:tcBorders>
              <w:top w:val="nil"/>
              <w:bottom w:val="nil"/>
            </w:tcBorders>
          </w:tcPr>
          <w:p>
            <w:pPr>
              <w:pStyle w:val="nTable"/>
              <w:spacing w:after="40"/>
            </w:pPr>
            <w:r>
              <w:t>19 Feb 2019 p. 335</w:t>
            </w:r>
          </w:p>
        </w:tc>
        <w:tc>
          <w:tcPr>
            <w:tcW w:w="2693" w:type="dxa"/>
            <w:tcBorders>
              <w:top w:val="nil"/>
              <w:bottom w:val="nil"/>
            </w:tcBorders>
          </w:tcPr>
          <w:p>
            <w:pPr>
              <w:pStyle w:val="nTable"/>
              <w:spacing w:after="40"/>
              <w:rPr>
                <w:bCs/>
                <w:snapToGrid w:val="0"/>
                <w:spacing w:val="-2"/>
              </w:rPr>
            </w:pPr>
            <w:r>
              <w:rPr>
                <w:bCs/>
                <w:snapToGrid w:val="0"/>
                <w:spacing w:val="-2"/>
              </w:rPr>
              <w:t>r. 1 and 2: 19 Feb 2019 (see r. 2(a));</w:t>
            </w:r>
            <w:r>
              <w:rPr>
                <w:bCs/>
                <w:snapToGrid w:val="0"/>
                <w:spacing w:val="-2"/>
              </w:rPr>
              <w:br/>
              <w:t>Regulations other than r. 1 and 2: 20 Feb 2019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2020</w:t>
            </w:r>
          </w:p>
        </w:tc>
        <w:tc>
          <w:tcPr>
            <w:tcW w:w="1276" w:type="dxa"/>
          </w:tcPr>
          <w:p>
            <w:pPr>
              <w:pStyle w:val="nTable"/>
              <w:spacing w:after="40"/>
            </w:pPr>
            <w:r>
              <w:t>SL 2020/183 29 Sep 2020</w:t>
            </w:r>
          </w:p>
        </w:tc>
        <w:tc>
          <w:tcPr>
            <w:tcW w:w="2693" w:type="dxa"/>
          </w:tcPr>
          <w:p>
            <w:pPr>
              <w:pStyle w:val="nTable"/>
              <w:keepNext/>
              <w:spacing w:after="40"/>
              <w:rPr>
                <w:bCs/>
                <w:snapToGrid w:val="0"/>
                <w:spacing w:val="-2"/>
              </w:rPr>
            </w:pPr>
            <w:r>
              <w:rPr>
                <w:bCs/>
                <w:snapToGrid w:val="0"/>
              </w:rPr>
              <w:t>r. 1 and 2: 29</w:t>
            </w:r>
            <w:r>
              <w:t> Sep 2020</w:t>
            </w:r>
            <w:r>
              <w:rPr>
                <w:bCs/>
                <w:snapToGrid w:val="0"/>
              </w:rPr>
              <w:t xml:space="preserve"> (see r. 2(a));</w:t>
            </w:r>
            <w:r>
              <w:rPr>
                <w:bCs/>
                <w:snapToGrid w:val="0"/>
              </w:rPr>
              <w:br/>
              <w:t>Regulations other than r. 1 and 2: 30 Sep 2020 (see r. 2(b))</w:t>
            </w:r>
          </w:p>
        </w:tc>
      </w:tr>
      <w:tr>
        <w:tblPrEx>
          <w:tblBorders>
            <w:top w:val="none" w:sz="0" w:space="0" w:color="auto"/>
            <w:bottom w:val="none" w:sz="0" w:space="0" w:color="auto"/>
            <w:insideH w:val="none" w:sz="0" w:space="0" w:color="auto"/>
          </w:tblBorders>
        </w:tblPrEx>
        <w:trPr>
          <w:cantSplit/>
          <w:ins w:id="193" w:author="Master Repository Process" w:date="2022-11-17T15:20:00Z"/>
        </w:trPr>
        <w:tc>
          <w:tcPr>
            <w:tcW w:w="3119" w:type="dxa"/>
            <w:tcBorders>
              <w:bottom w:val="single" w:sz="4" w:space="0" w:color="auto"/>
            </w:tcBorders>
          </w:tcPr>
          <w:p>
            <w:pPr>
              <w:pStyle w:val="nTable"/>
              <w:spacing w:after="40"/>
              <w:rPr>
                <w:ins w:id="194" w:author="Master Repository Process" w:date="2022-11-17T15:20:00Z"/>
                <w:i/>
              </w:rPr>
            </w:pPr>
            <w:ins w:id="195" w:author="Master Repository Process" w:date="2022-11-17T15:20:00Z">
              <w:r>
                <w:rPr>
                  <w:i/>
                </w:rPr>
                <w:t>Public Transport Authority Amendment Regulations (No. 2) 2022</w:t>
              </w:r>
            </w:ins>
          </w:p>
        </w:tc>
        <w:tc>
          <w:tcPr>
            <w:tcW w:w="1276" w:type="dxa"/>
            <w:tcBorders>
              <w:bottom w:val="single" w:sz="4" w:space="0" w:color="auto"/>
            </w:tcBorders>
          </w:tcPr>
          <w:p>
            <w:pPr>
              <w:pStyle w:val="nTable"/>
              <w:spacing w:after="40"/>
              <w:rPr>
                <w:ins w:id="196" w:author="Master Repository Process" w:date="2022-11-17T15:20:00Z"/>
              </w:rPr>
            </w:pPr>
            <w:ins w:id="197" w:author="Master Repository Process" w:date="2022-11-17T15:20:00Z">
              <w:r>
                <w:t>SL 2022/192 18 Nov 2022</w:t>
              </w:r>
            </w:ins>
          </w:p>
        </w:tc>
        <w:tc>
          <w:tcPr>
            <w:tcW w:w="2693" w:type="dxa"/>
            <w:tcBorders>
              <w:bottom w:val="single" w:sz="4" w:space="0" w:color="auto"/>
            </w:tcBorders>
          </w:tcPr>
          <w:p>
            <w:pPr>
              <w:pStyle w:val="nTable"/>
              <w:keepNext/>
              <w:spacing w:after="40"/>
              <w:rPr>
                <w:ins w:id="198" w:author="Master Repository Process" w:date="2022-11-17T15:20:00Z"/>
                <w:bCs/>
                <w:snapToGrid w:val="0"/>
              </w:rPr>
            </w:pPr>
            <w:ins w:id="199" w:author="Master Repository Process" w:date="2022-11-17T15:20:00Z">
              <w:r>
                <w:rPr>
                  <w:bCs/>
                  <w:snapToGrid w:val="0"/>
                </w:rPr>
                <w:t>r. 1 and 2: 18 Nov 2022 (see r. 2(a));</w:t>
              </w:r>
              <w:r>
                <w:rPr>
                  <w:bCs/>
                  <w:snapToGrid w:val="0"/>
                </w:rPr>
                <w:br/>
                <w:t>Regulations other than r. 1 and 2: 19 Nov 2022 (see r. 2(b))</w:t>
              </w:r>
            </w:ins>
          </w:p>
        </w:tc>
      </w:tr>
    </w:tbl>
    <w:p>
      <w:pPr>
        <w:pStyle w:val="nHeading3"/>
      </w:pPr>
      <w:bookmarkStart w:id="200" w:name="_Toc119574719"/>
      <w:bookmarkStart w:id="201" w:name="_Toc51745675"/>
      <w:bookmarkStart w:id="202" w:name="_Toc51756078"/>
      <w:r>
        <w:rPr>
          <w:rStyle w:val="CharPartText"/>
        </w:rPr>
        <w:t>Other notes</w:t>
      </w:r>
      <w:bookmarkEnd w:id="200"/>
      <w:bookmarkEnd w:id="201"/>
      <w:bookmarkEnd w:id="202"/>
    </w:p>
    <w:p>
      <w:pPr>
        <w:pStyle w:val="nNote"/>
      </w:pPr>
      <w:r>
        <w:rPr>
          <w:vertAlign w:val="superscript"/>
        </w:rPr>
        <w:t>1</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4" w:name="Coversheet"/>
    <w:bookmarkEnd w:id="2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86" w:name="Schedule"/>
    <w:bookmarkEnd w:id="1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55ED0E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134432"/>
    <w:docVar w:name="WAFER_20140124140245" w:val="RemoveTocBookmarks,RemoveUnusedBookmarks,RemoveLanguageTags,UsedStyles,ResetPageSize,UpdateArrangement"/>
    <w:docVar w:name="WAFER_20140124140245_GUID" w:val="4113ae48-35ee-4ed2-9a0d-17a4d4f90cf8"/>
    <w:docVar w:name="WAFER_20140124143358" w:val="RemoveTocBookmarks,RunningHeaders"/>
    <w:docVar w:name="WAFER_20140124143358_GUID" w:val="35bb4ffb-e502-4b9f-8c96-d29efb9914f0"/>
    <w:docVar w:name="WAFER_20140612122500" w:val="RemoveTocBookmarks,RemoveUnusedBookmarks,RemoveLanguageTags,UsedStyles,ResetPageSize,UpdateArrangement"/>
    <w:docVar w:name="WAFER_20140612122500_GUID" w:val="67b5eda1-38f0-4f7a-a9cc-b5ace98aed2e"/>
    <w:docVar w:name="WAFER_20150715154334" w:val="ResetPageSize,UpdateArrangement,UpdateNTable"/>
    <w:docVar w:name="WAFER_20150715154334_GUID" w:val="c524ab11-3ea4-4313-b235-cc54e9ae1ac0"/>
    <w:docVar w:name="WAFER_20151126104805" w:val="UpdateStyles"/>
    <w:docVar w:name="WAFER_20151126104805_GUID" w:val="518835ac-74a5-41cc-93c6-534f1264c876"/>
    <w:docVar w:name="WAFER_20151126114539" w:val="UsedStyles"/>
    <w:docVar w:name="WAFER_20151126114539_GUID" w:val="bf26c081-c7a2-4bad-acc4-d800fddcc276"/>
    <w:docVar w:name="WAFER_20161222153607" w:val="RemoveTocBookmarks,RemoveUnusedBookmarks,RemoveLanguageTags,UsedStyles,ResetPageSize"/>
    <w:docVar w:name="WAFER_20161222153607_GUID" w:val="158e1d56-3c7b-4b91-96c8-254473f652a4"/>
    <w:docVar w:name="WAFER_20180705164434" w:val="RemoveTocBookmarks,RemoveUnusedBookmarks,RemoveLanguageTags,UsedStyles,ResetPageSize"/>
    <w:docVar w:name="WAFER_20180705164434_GUID" w:val="9a40de29-e960-430a-aa2a-0b82f5aeed0c"/>
    <w:docVar w:name="WAFER_20190219101325" w:val="RemoveTocBookmarks,RemoveUnusedBookmarks,RemoveLanguageTags,UsedStyles,ResetPageSize"/>
    <w:docVar w:name="WAFER_20190219101325_GUID" w:val="a452cbc4-e07a-49d0-9658-120439e3f844"/>
    <w:docVar w:name="WAFER_20200923093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093139_GUID" w:val="e5d56406-2b69-48a9-96ab-04effffc552f"/>
    <w:docVar w:name="WAFER_202211161344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6134432_GUID" w:val="9d4ac79d-7009-4380-92d8-5518c38b1e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296E16-3BC0-433D-AC03-22B1CB58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2A94-6A62-4E41-9788-037C3B37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8318</Words>
  <Characters>40261</Characters>
  <Application>Microsoft Office Word</Application>
  <DocSecurity>0</DocSecurity>
  <Lines>1150</Lines>
  <Paragraphs>759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47820</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01-i0-00 - 01-j0-00</dc:title>
  <dc:subject/>
  <dc:creator/>
  <cp:keywords/>
  <dc:description/>
  <cp:lastModifiedBy>Master Repository Process</cp:lastModifiedBy>
  <cp:revision>2</cp:revision>
  <cp:lastPrinted>2019-02-19T06:48:00Z</cp:lastPrinted>
  <dcterms:created xsi:type="dcterms:W3CDTF">2022-11-17T07:20:00Z</dcterms:created>
  <dcterms:modified xsi:type="dcterms:W3CDTF">2022-11-17T07:20:00Z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OwlsUID">
    <vt:i4>33768</vt:i4>
  </property>
  <property fmtid="{D5CDD505-2E9C-101B-9397-08002B2CF9AE}" pid="4" name="ReprintNo">
    <vt:lpwstr>1</vt:lpwstr>
  </property>
  <property fmtid="{D5CDD505-2E9C-101B-9397-08002B2CF9AE}" pid="5" name="DocumentType">
    <vt:lpwstr>Reg</vt:lpwstr>
  </property>
  <property fmtid="{D5CDD505-2E9C-101B-9397-08002B2CF9AE}" pid="6" name="CommencementDate">
    <vt:lpwstr>20221119</vt:lpwstr>
  </property>
  <property fmtid="{D5CDD505-2E9C-101B-9397-08002B2CF9AE}" pid="7" name="FromSuffix">
    <vt:lpwstr>01-i0-00</vt:lpwstr>
  </property>
  <property fmtid="{D5CDD505-2E9C-101B-9397-08002B2CF9AE}" pid="8" name="FromAsAtDate">
    <vt:lpwstr>30 Sep 2020</vt:lpwstr>
  </property>
  <property fmtid="{D5CDD505-2E9C-101B-9397-08002B2CF9AE}" pid="9" name="ToSuffix">
    <vt:lpwstr>01-j0-00</vt:lpwstr>
  </property>
  <property fmtid="{D5CDD505-2E9C-101B-9397-08002B2CF9AE}" pid="10" name="ToAsAtDate">
    <vt:lpwstr>19 Nov 2022</vt:lpwstr>
  </property>
</Properties>
</file>