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2022</w:t>
      </w:r>
      <w:r>
        <w:fldChar w:fldCharType="end"/>
      </w:r>
      <w:r>
        <w:t xml:space="preserve">, </w:t>
      </w:r>
      <w:r>
        <w:fldChar w:fldCharType="begin"/>
      </w:r>
      <w:r>
        <w:instrText xml:space="preserve"> DocProperty FromSuffix </w:instrText>
      </w:r>
      <w:r>
        <w:fldChar w:fldCharType="separate"/>
      </w:r>
      <w:r>
        <w:t>09-q0-01</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09-r0-00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113270811"/>
      <w:bookmarkStart w:id="3" w:name="_Toc113272572"/>
      <w:bookmarkStart w:id="4" w:name="_Toc113273967"/>
      <w:bookmarkStart w:id="5" w:name="_Toc115174109"/>
      <w:bookmarkStart w:id="6" w:name="_Toc115180738"/>
      <w:bookmarkStart w:id="7" w:name="_Toc122515495"/>
      <w:bookmarkStart w:id="8" w:name="_Toc122517738"/>
      <w:bookmarkStart w:id="9" w:name="_Toc12328247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23282477"/>
      <w:bookmarkStart w:id="11" w:name="_Toc122517739"/>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2" w:name="_Toc123282478"/>
      <w:bookmarkStart w:id="13" w:name="_Toc122517740"/>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4" w:name="_Toc123282479"/>
      <w:bookmarkStart w:id="15" w:name="_Toc122517741"/>
      <w:r>
        <w:rPr>
          <w:rStyle w:val="CharSectno"/>
        </w:rPr>
        <w:t>3</w:t>
      </w:r>
      <w:r>
        <w:rPr>
          <w:snapToGrid w:val="0"/>
        </w:rPr>
        <w:t>.</w:t>
      </w:r>
      <w:r>
        <w:rPr>
          <w:snapToGrid w:val="0"/>
        </w:rPr>
        <w:tab/>
        <w:t>Terms used</w:t>
      </w:r>
      <w:bookmarkEnd w:id="14"/>
      <w:bookmarkEnd w:id="15"/>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keepNex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tab/>
      </w:r>
      <w:r>
        <w:rPr>
          <w:rStyle w:val="CharDefText"/>
        </w:rPr>
        <w:t>sexual offence</w:t>
      </w:r>
      <w:r>
        <w:t xml:space="preserve"> means — </w:t>
      </w:r>
    </w:p>
    <w:p>
      <w:pPr>
        <w:pStyle w:val="Defpara"/>
      </w:pPr>
      <w:r>
        <w:tab/>
        <w:t>(a)</w:t>
      </w:r>
      <w:r>
        <w:tab/>
        <w:t>an offence described in Schedule 2 that is of a sexual nature; or</w:t>
      </w:r>
    </w:p>
    <w:p>
      <w:pPr>
        <w:pStyle w:val="Defpara"/>
      </w:pPr>
      <w:r>
        <w:tab/>
        <w:t>(b)</w:t>
      </w:r>
      <w:r>
        <w:tab/>
        <w:t>an offence under a written law that has been repealed, if the acts or omissions alleged against the accused that constitute the offence under the repealed written law would constitute an offence referred to in paragraph (a); or</w:t>
      </w:r>
    </w:p>
    <w:p>
      <w:pPr>
        <w:pStyle w:val="Defpara"/>
      </w:pPr>
      <w:r>
        <w:tab/>
        <w:t>(c)</w:t>
      </w:r>
      <w:r>
        <w:tab/>
        <w:t>an offence of attempting, or of conspiracy or incitement, to commit an offence referred to in paragraph (a) or (b); or</w:t>
      </w:r>
    </w:p>
    <w:p>
      <w:pPr>
        <w:pStyle w:val="Defpara"/>
      </w:pPr>
      <w:r>
        <w:tab/>
        <w:t>(d)</w:t>
      </w:r>
      <w:r>
        <w:tab/>
        <w:t xml:space="preserve">an offence of becoming an accessory after the fact (as defined in </w:t>
      </w:r>
      <w:r>
        <w:rPr>
          <w:i/>
        </w:rPr>
        <w:t>The Criminal Code</w:t>
      </w:r>
      <w:r>
        <w:t xml:space="preserve"> section 10) to an offence referred to in paragraph (a) or (b);</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 No. 29 of 2022 s. 4.]</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6" w:name="_Toc123282480"/>
      <w:bookmarkStart w:id="17" w:name="_Toc122517742"/>
      <w:r>
        <w:rPr>
          <w:rStyle w:val="CharSectno"/>
        </w:rPr>
        <w:t>4</w:t>
      </w:r>
      <w:r>
        <w:rPr>
          <w:snapToGrid w:val="0"/>
        </w:rPr>
        <w:t>.</w:t>
      </w:r>
      <w:r>
        <w:rPr>
          <w:snapToGrid w:val="0"/>
        </w:rPr>
        <w:tab/>
        <w:t>Application of this Act</w:t>
      </w:r>
      <w:bookmarkEnd w:id="16"/>
      <w:bookmarkEnd w:id="1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8" w:name="_Toc123282481"/>
      <w:bookmarkStart w:id="19" w:name="_Toc122517743"/>
      <w:r>
        <w:rPr>
          <w:rStyle w:val="CharSectno"/>
        </w:rPr>
        <w:t>4AB</w:t>
      </w:r>
      <w:r>
        <w:t>.</w:t>
      </w:r>
      <w:r>
        <w:tab/>
      </w:r>
      <w:r>
        <w:rPr>
          <w:i/>
        </w:rPr>
        <w:t>Courts and Tribunals (Electronic Processes Facilitation) Act 2013</w:t>
      </w:r>
      <w:r>
        <w:t xml:space="preserve"> Part 2 applies</w:t>
      </w:r>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20" w:name="_Toc123282482"/>
      <w:bookmarkStart w:id="21" w:name="_Toc122517744"/>
      <w:r>
        <w:rPr>
          <w:rStyle w:val="CharSectno"/>
        </w:rPr>
        <w:t>4A</w:t>
      </w:r>
      <w:r>
        <w:t>.</w:t>
      </w:r>
      <w:r>
        <w:tab/>
        <w:t>Accused appearing on summons or court hearing notice, detention and bail of</w:t>
      </w:r>
      <w:bookmarkEnd w:id="20"/>
      <w:bookmarkEnd w:id="21"/>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22" w:name="_Toc113270818"/>
      <w:bookmarkStart w:id="23" w:name="_Toc113272579"/>
      <w:bookmarkStart w:id="24" w:name="_Toc113273974"/>
      <w:bookmarkStart w:id="25" w:name="_Toc115174116"/>
      <w:bookmarkStart w:id="26" w:name="_Toc115180745"/>
      <w:bookmarkStart w:id="27" w:name="_Toc122515502"/>
      <w:bookmarkStart w:id="28" w:name="_Toc122517745"/>
      <w:bookmarkStart w:id="29" w:name="_Toc123282483"/>
      <w:r>
        <w:rPr>
          <w:rStyle w:val="CharPartNo"/>
        </w:rPr>
        <w:t>Part II</w:t>
      </w:r>
      <w:r>
        <w:rPr>
          <w:rStyle w:val="CharDivNo"/>
        </w:rPr>
        <w:t> </w:t>
      </w:r>
      <w:r>
        <w:t>—</w:t>
      </w:r>
      <w:r>
        <w:rPr>
          <w:rStyle w:val="CharDivText"/>
        </w:rPr>
        <w:t> </w:t>
      </w:r>
      <w:r>
        <w:rPr>
          <w:rStyle w:val="CharPartText"/>
        </w:rPr>
        <w:t>Rights of accused in relation to bail</w:t>
      </w:r>
      <w:bookmarkEnd w:id="22"/>
      <w:bookmarkEnd w:id="23"/>
      <w:bookmarkEnd w:id="24"/>
      <w:bookmarkEnd w:id="25"/>
      <w:bookmarkEnd w:id="26"/>
      <w:bookmarkEnd w:id="27"/>
      <w:bookmarkEnd w:id="28"/>
      <w:bookmarkEnd w:id="29"/>
      <w:r>
        <w:rPr>
          <w:rStyle w:val="CharPartText"/>
        </w:rPr>
        <w:t xml:space="preserve"> </w:t>
      </w:r>
    </w:p>
    <w:p>
      <w:pPr>
        <w:pStyle w:val="Footnoteheading"/>
      </w:pPr>
      <w:r>
        <w:tab/>
        <w:t xml:space="preserve">[Heading amended: No. 84 of 2004 s. 82.] </w:t>
      </w:r>
    </w:p>
    <w:p>
      <w:pPr>
        <w:pStyle w:val="Heading5"/>
        <w:rPr>
          <w:snapToGrid w:val="0"/>
        </w:rPr>
      </w:pPr>
      <w:bookmarkStart w:id="30" w:name="_Toc123282484"/>
      <w:bookmarkStart w:id="31" w:name="_Toc122517746"/>
      <w:r>
        <w:rPr>
          <w:rStyle w:val="CharSectno"/>
        </w:rPr>
        <w:t>5</w:t>
      </w:r>
      <w:r>
        <w:rPr>
          <w:snapToGrid w:val="0"/>
        </w:rPr>
        <w:t>.</w:t>
      </w:r>
      <w:r>
        <w:rPr>
          <w:snapToGrid w:val="0"/>
        </w:rPr>
        <w:tab/>
        <w:t>Accused’s rights to have bail considered</w:t>
      </w:r>
      <w:bookmarkEnd w:id="30"/>
      <w:bookmarkEnd w:id="31"/>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32" w:name="_Toc123282485"/>
      <w:bookmarkStart w:id="33" w:name="_Toc122517747"/>
      <w:r>
        <w:rPr>
          <w:rStyle w:val="CharSectno"/>
        </w:rPr>
        <w:t>6</w:t>
      </w:r>
      <w:r>
        <w:t>.</w:t>
      </w:r>
      <w:r>
        <w:tab/>
        <w:t>Arresting officer’s duty to consider bail</w:t>
      </w:r>
      <w:bookmarkEnd w:id="32"/>
      <w:bookmarkEnd w:id="33"/>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34" w:name="_Toc123282486"/>
      <w:bookmarkStart w:id="35" w:name="_Toc122517748"/>
      <w:r>
        <w:rPr>
          <w:rStyle w:val="CharSectno"/>
        </w:rPr>
        <w:t>6A</w:t>
      </w:r>
      <w:r>
        <w:t>.</w:t>
      </w:r>
      <w:r>
        <w:tab/>
        <w:t>Officials considering bail may order release without bail</w:t>
      </w:r>
      <w:bookmarkEnd w:id="34"/>
      <w:bookmarkEnd w:id="3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amended: No. 29 of 2022 s. 5.] </w:t>
      </w:r>
    </w:p>
    <w:p>
      <w:pPr>
        <w:pStyle w:val="Heading5"/>
        <w:spacing w:before="160"/>
        <w:rPr>
          <w:snapToGrid w:val="0"/>
        </w:rPr>
      </w:pPr>
      <w:bookmarkStart w:id="36" w:name="_Toc123282487"/>
      <w:bookmarkStart w:id="37" w:name="_Toc122517749"/>
      <w:r>
        <w:rPr>
          <w:rStyle w:val="CharSectno"/>
        </w:rPr>
        <w:t>7</w:t>
      </w:r>
      <w:r>
        <w:rPr>
          <w:snapToGrid w:val="0"/>
        </w:rPr>
        <w:t>.</w:t>
      </w:r>
      <w:r>
        <w:rPr>
          <w:snapToGrid w:val="0"/>
        </w:rPr>
        <w:tab/>
        <w:t>Unconvicted accused, court to consider bail for</w:t>
      </w:r>
      <w:bookmarkEnd w:id="36"/>
      <w:bookmarkEnd w:id="37"/>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38" w:name="_Toc123282488"/>
      <w:bookmarkStart w:id="39" w:name="_Toc122517750"/>
      <w:r>
        <w:rPr>
          <w:rStyle w:val="CharSectno"/>
        </w:rPr>
        <w:t>7A</w:t>
      </w:r>
      <w:r>
        <w:rPr>
          <w:snapToGrid w:val="0"/>
        </w:rPr>
        <w:t>.</w:t>
      </w:r>
      <w:r>
        <w:rPr>
          <w:snapToGrid w:val="0"/>
        </w:rPr>
        <w:tab/>
        <w:t>Bail may be dispensed with by court</w:t>
      </w:r>
      <w:bookmarkEnd w:id="38"/>
      <w:bookmarkEnd w:id="3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40" w:name="_Toc123282489"/>
      <w:bookmarkStart w:id="41" w:name="_Toc122517751"/>
      <w:r>
        <w:rPr>
          <w:rStyle w:val="CharSectno"/>
        </w:rPr>
        <w:t>7B</w:t>
      </w:r>
      <w:r>
        <w:rPr>
          <w:snapToGrid w:val="0"/>
        </w:rPr>
        <w:t>.</w:t>
      </w:r>
      <w:r>
        <w:rPr>
          <w:snapToGrid w:val="0"/>
        </w:rPr>
        <w:tab/>
        <w:t>Adult accused of murder</w:t>
      </w:r>
      <w:bookmarkEnd w:id="40"/>
      <w:bookmarkEnd w:id="41"/>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42" w:name="_Toc123282490"/>
      <w:bookmarkStart w:id="43" w:name="_Toc122517752"/>
      <w:r>
        <w:rPr>
          <w:rStyle w:val="CharSectno"/>
        </w:rPr>
        <w:t>7C</w:t>
      </w:r>
      <w:r>
        <w:t>.</w:t>
      </w:r>
      <w:r>
        <w:tab/>
        <w:t>C</w:t>
      </w:r>
      <w:r>
        <w:rPr>
          <w:snapToGrid w:val="0"/>
        </w:rPr>
        <w:t>hild accused of murder</w:t>
      </w:r>
      <w:bookmarkEnd w:id="42"/>
      <w:bookmarkEnd w:id="4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44" w:name="_Toc123282491"/>
      <w:bookmarkStart w:id="45" w:name="_Toc122517753"/>
      <w:r>
        <w:rPr>
          <w:rStyle w:val="CharSectno"/>
        </w:rPr>
        <w:t>7D</w:t>
      </w:r>
      <w:r>
        <w:rPr>
          <w:snapToGrid w:val="0"/>
        </w:rPr>
        <w:t>.</w:t>
      </w:r>
      <w:r>
        <w:rPr>
          <w:snapToGrid w:val="0"/>
        </w:rPr>
        <w:tab/>
        <w:t>Bail after initial decision by court, court’s duty as to</w:t>
      </w:r>
      <w:bookmarkEnd w:id="44"/>
      <w:bookmarkEnd w:id="45"/>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46" w:name="_Toc123282492"/>
      <w:bookmarkStart w:id="47" w:name="_Toc122517754"/>
      <w:r>
        <w:rPr>
          <w:rStyle w:val="CharSectno"/>
        </w:rPr>
        <w:t>7E</w:t>
      </w:r>
      <w:r>
        <w:rPr>
          <w:snapToGrid w:val="0"/>
        </w:rPr>
        <w:t>.</w:t>
      </w:r>
      <w:r>
        <w:rPr>
          <w:snapToGrid w:val="0"/>
        </w:rPr>
        <w:tab/>
      </w:r>
      <w:r>
        <w:t>Bail refused for trial, court’s duty during trial</w:t>
      </w:r>
      <w:bookmarkEnd w:id="46"/>
      <w:bookmarkEnd w:id="4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48" w:name="_Toc123282493"/>
      <w:bookmarkStart w:id="49" w:name="_Toc122517755"/>
      <w:r>
        <w:rPr>
          <w:rStyle w:val="CharSectno"/>
        </w:rPr>
        <w:t>7F</w:t>
      </w:r>
      <w:r>
        <w:t>.</w:t>
      </w:r>
      <w:r>
        <w:tab/>
        <w:t>Appeal from court of summary jurisdiction, bail in case of</w:t>
      </w:r>
      <w:bookmarkEnd w:id="48"/>
      <w:bookmarkEnd w:id="49"/>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50" w:name="_Toc123282494"/>
      <w:bookmarkStart w:id="51" w:name="_Toc122517756"/>
      <w:r>
        <w:rPr>
          <w:rStyle w:val="CharSectno"/>
        </w:rPr>
        <w:t>8</w:t>
      </w:r>
      <w:r>
        <w:rPr>
          <w:snapToGrid w:val="0"/>
        </w:rPr>
        <w:t>.</w:t>
      </w:r>
      <w:r>
        <w:rPr>
          <w:snapToGrid w:val="0"/>
        </w:rPr>
        <w:tab/>
        <w:t>Accused to be given information, approved forms etc.</w:t>
      </w:r>
      <w:bookmarkEnd w:id="50"/>
      <w:bookmarkEnd w:id="51"/>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52" w:name="_Toc123282495"/>
      <w:bookmarkStart w:id="53" w:name="_Toc122517757"/>
      <w:r>
        <w:rPr>
          <w:rStyle w:val="CharSectno"/>
        </w:rPr>
        <w:t>9</w:t>
      </w:r>
      <w:r>
        <w:rPr>
          <w:snapToGrid w:val="0"/>
        </w:rPr>
        <w:t>.</w:t>
      </w:r>
      <w:r>
        <w:rPr>
          <w:snapToGrid w:val="0"/>
        </w:rPr>
        <w:tab/>
        <w:t>Bail decision may be deferred until more information obtained</w:t>
      </w:r>
      <w:bookmarkEnd w:id="52"/>
      <w:bookmarkEnd w:id="53"/>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xml:space="preserve">, a judicial officer or authorised officer who is called upon to consider a case for bail may defer consideration of the case for a period not exceeding 30 days if </w:t>
      </w:r>
      <w:r>
        <w:t>the officer</w:t>
      </w:r>
      <w:r>
        <w:rPr>
          <w:snapToGrid w:val="0"/>
        </w:rPr>
        <w:t xml:space="preserv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 xml:space="preserve">without limiting paragraph (a) or (b) — to consider what, if any, conditions should be imposed to enhance the protection of an alleged victim of an offence with which the accused is charged, if — </w:t>
      </w:r>
    </w:p>
    <w:p>
      <w:pPr>
        <w:pStyle w:val="Indenti"/>
      </w:pPr>
      <w:r>
        <w:tab/>
        <w:t>(i)</w:t>
      </w:r>
      <w:r>
        <w:tab/>
        <w:t>the accused and the alleged victim are, or are reasonably believed by the officer to be, in a family relationship; or</w:t>
      </w:r>
    </w:p>
    <w:p>
      <w:pPr>
        <w:pStyle w:val="Indenti"/>
      </w:pPr>
      <w:r>
        <w:tab/>
        <w:t>(ii)</w:t>
      </w:r>
      <w:r>
        <w:tab/>
        <w:t>the offence charged is a sexual offence and the alleged victim is a person who is under 18 years of age when the case for bail is to be considered.</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not released on bail.</w:t>
      </w:r>
    </w:p>
    <w:p>
      <w:pPr>
        <w:pStyle w:val="Footnotesection"/>
      </w:pPr>
      <w:r>
        <w:tab/>
        <w:t>[Section 9 amended: No. 57 of 1997 s. 21(2); No. 84 of 2004 s. 82; No. 6 of 2008 s. 10(1); No. 30 of 2020 s. 42; No. 29 of 2022 s. 6.]</w:t>
      </w:r>
    </w:p>
    <w:p>
      <w:pPr>
        <w:pStyle w:val="Heading5"/>
        <w:spacing w:before="180"/>
        <w:rPr>
          <w:snapToGrid w:val="0"/>
        </w:rPr>
      </w:pPr>
      <w:bookmarkStart w:id="54" w:name="_Toc123282496"/>
      <w:bookmarkStart w:id="55" w:name="_Toc122517758"/>
      <w:r>
        <w:rPr>
          <w:rStyle w:val="CharSectno"/>
        </w:rPr>
        <w:t>10</w:t>
      </w:r>
      <w:r>
        <w:rPr>
          <w:snapToGrid w:val="0"/>
        </w:rPr>
        <w:t>.</w:t>
      </w:r>
      <w:r>
        <w:rPr>
          <w:snapToGrid w:val="0"/>
        </w:rPr>
        <w:tab/>
        <w:t>Sections 5, 6 and 7 do not apply if accused imprisoned for other cause</w:t>
      </w:r>
      <w:bookmarkEnd w:id="54"/>
      <w:bookmarkEnd w:id="5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56" w:name="_Toc123282497"/>
      <w:bookmarkStart w:id="57" w:name="_Toc122517759"/>
      <w:r>
        <w:rPr>
          <w:rStyle w:val="CharSectno"/>
        </w:rPr>
        <w:t>11</w:t>
      </w:r>
      <w:r>
        <w:rPr>
          <w:snapToGrid w:val="0"/>
        </w:rPr>
        <w:t>.</w:t>
      </w:r>
      <w:r>
        <w:rPr>
          <w:snapToGrid w:val="0"/>
        </w:rPr>
        <w:tab/>
        <w:t>Accused’s rights following grant of bail</w:t>
      </w:r>
      <w:bookmarkEnd w:id="56"/>
      <w:bookmarkEnd w:id="57"/>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58" w:name="_Toc123282498"/>
      <w:bookmarkStart w:id="59" w:name="_Toc122517760"/>
      <w:r>
        <w:rPr>
          <w:rStyle w:val="CharSectno"/>
        </w:rPr>
        <w:t>12</w:t>
      </w:r>
      <w:r>
        <w:rPr>
          <w:snapToGrid w:val="0"/>
        </w:rPr>
        <w:t>.</w:t>
      </w:r>
      <w:r>
        <w:rPr>
          <w:snapToGrid w:val="0"/>
        </w:rPr>
        <w:tab/>
        <w:t>Rights in s. 7A(2) and 11, limitations on</w:t>
      </w:r>
      <w:bookmarkEnd w:id="58"/>
      <w:bookmarkEnd w:id="5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60" w:name="_Toc113270834"/>
      <w:bookmarkStart w:id="61" w:name="_Toc113272595"/>
      <w:bookmarkStart w:id="62" w:name="_Toc113273990"/>
      <w:bookmarkStart w:id="63" w:name="_Toc115174132"/>
      <w:bookmarkStart w:id="64" w:name="_Toc115180761"/>
      <w:bookmarkStart w:id="65" w:name="_Toc122515518"/>
      <w:bookmarkStart w:id="66" w:name="_Toc122517761"/>
      <w:bookmarkStart w:id="67" w:name="_Toc123282499"/>
      <w:r>
        <w:rPr>
          <w:rStyle w:val="CharPartNo"/>
        </w:rPr>
        <w:t>Part III</w:t>
      </w:r>
      <w:r>
        <w:rPr>
          <w:rStyle w:val="CharDivNo"/>
        </w:rPr>
        <w:t> </w:t>
      </w:r>
      <w:r>
        <w:t>—</w:t>
      </w:r>
      <w:r>
        <w:rPr>
          <w:rStyle w:val="CharDivText"/>
        </w:rPr>
        <w:t> </w:t>
      </w:r>
      <w:r>
        <w:rPr>
          <w:rStyle w:val="CharPartText"/>
        </w:rPr>
        <w:t>Jurisdiction relating to bail</w:t>
      </w:r>
      <w:bookmarkEnd w:id="60"/>
      <w:bookmarkEnd w:id="61"/>
      <w:bookmarkEnd w:id="62"/>
      <w:bookmarkEnd w:id="63"/>
      <w:bookmarkEnd w:id="64"/>
      <w:bookmarkEnd w:id="65"/>
      <w:bookmarkEnd w:id="66"/>
      <w:bookmarkEnd w:id="67"/>
    </w:p>
    <w:p>
      <w:pPr>
        <w:pStyle w:val="Footnoteheading"/>
      </w:pPr>
      <w:r>
        <w:tab/>
        <w:t>[Heading inserted: No. 6 of 2008 s. 13.]</w:t>
      </w:r>
    </w:p>
    <w:p>
      <w:pPr>
        <w:pStyle w:val="Heading5"/>
        <w:rPr>
          <w:snapToGrid w:val="0"/>
        </w:rPr>
      </w:pPr>
      <w:bookmarkStart w:id="68" w:name="_Toc123282500"/>
      <w:bookmarkStart w:id="69" w:name="_Toc122517762"/>
      <w:r>
        <w:rPr>
          <w:rStyle w:val="CharSectno"/>
        </w:rPr>
        <w:t>13</w:t>
      </w:r>
      <w:r>
        <w:rPr>
          <w:snapToGrid w:val="0"/>
        </w:rPr>
        <w:t>.</w:t>
      </w:r>
      <w:r>
        <w:rPr>
          <w:snapToGrid w:val="0"/>
        </w:rPr>
        <w:tab/>
        <w:t>Jurisdiction to grant bail, who has and exercise of (Sch. 1)</w:t>
      </w:r>
      <w:bookmarkEnd w:id="68"/>
      <w:bookmarkEnd w:id="6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70" w:name="_Toc123282501"/>
      <w:bookmarkStart w:id="71" w:name="_Toc122517763"/>
      <w:r>
        <w:rPr>
          <w:rStyle w:val="CharSectno"/>
        </w:rPr>
        <w:t>13A</w:t>
      </w:r>
      <w:r>
        <w:rPr>
          <w:snapToGrid w:val="0"/>
        </w:rPr>
        <w:t>.</w:t>
      </w:r>
      <w:r>
        <w:rPr>
          <w:snapToGrid w:val="0"/>
        </w:rPr>
        <w:tab/>
        <w:t>Jurisdiction in s. 7A to dispense with bail, who has and exercise of</w:t>
      </w:r>
      <w:bookmarkEnd w:id="70"/>
      <w:bookmarkEnd w:id="7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72" w:name="_Toc123282502"/>
      <w:bookmarkStart w:id="73" w:name="_Toc122517764"/>
      <w:r>
        <w:rPr>
          <w:rStyle w:val="CharSectno"/>
        </w:rPr>
        <w:t>13B</w:t>
      </w:r>
      <w:r>
        <w:rPr>
          <w:snapToGrid w:val="0"/>
        </w:rPr>
        <w:t>.</w:t>
      </w:r>
      <w:r>
        <w:rPr>
          <w:snapToGrid w:val="0"/>
        </w:rPr>
        <w:tab/>
        <w:t>Notices under s. 13A(3), service and proof of</w:t>
      </w:r>
      <w:bookmarkEnd w:id="72"/>
      <w:bookmarkEnd w:id="73"/>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74" w:name="_Toc123282503"/>
      <w:bookmarkStart w:id="75" w:name="_Toc122517765"/>
      <w:r>
        <w:rPr>
          <w:rStyle w:val="CharSectno"/>
        </w:rPr>
        <w:t>14</w:t>
      </w:r>
      <w:r>
        <w:rPr>
          <w:snapToGrid w:val="0"/>
        </w:rPr>
        <w:t>.</w:t>
      </w:r>
      <w:r>
        <w:rPr>
          <w:snapToGrid w:val="0"/>
        </w:rPr>
        <w:tab/>
        <w:t>Judges, jurisdiction of</w:t>
      </w:r>
      <w:bookmarkEnd w:id="74"/>
      <w:bookmarkEnd w:id="75"/>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76" w:name="_Toc123282504"/>
      <w:bookmarkStart w:id="77" w:name="_Toc122517766"/>
      <w:r>
        <w:rPr>
          <w:rStyle w:val="CharSectno"/>
        </w:rPr>
        <w:t>15</w:t>
      </w:r>
      <w:r>
        <w:rPr>
          <w:snapToGrid w:val="0"/>
        </w:rPr>
        <w:t>.</w:t>
      </w:r>
      <w:r>
        <w:rPr>
          <w:snapToGrid w:val="0"/>
        </w:rPr>
        <w:tab/>
        <w:t>Accused charged with murder, jurisdiction as to bail for</w:t>
      </w:r>
      <w:bookmarkEnd w:id="76"/>
      <w:bookmarkEnd w:id="77"/>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78" w:name="_Toc123282505"/>
      <w:bookmarkStart w:id="79" w:name="_Toc122517767"/>
      <w:r>
        <w:rPr>
          <w:rStyle w:val="CharSectno"/>
        </w:rPr>
        <w:t>15A</w:t>
      </w:r>
      <w:r>
        <w:rPr>
          <w:snapToGrid w:val="0"/>
        </w:rPr>
        <w:t>.</w:t>
      </w:r>
      <w:r>
        <w:rPr>
          <w:snapToGrid w:val="0"/>
        </w:rPr>
        <w:tab/>
        <w:t>Appeal against judge’s decision on bail, commencement and conduct</w:t>
      </w:r>
      <w:bookmarkEnd w:id="78"/>
      <w:bookmarkEnd w:id="79"/>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 xml:space="preserve">a judge of the </w:t>
      </w:r>
      <w:r>
        <w:t>Supreme Court</w:t>
      </w:r>
      <w:del w:id="80" w:author="Master Repository Process" w:date="2022-12-30T09:45:00Z">
        <w:r>
          <w:rPr>
            <w:snapToGrid w:val="0"/>
          </w:rPr>
          <w:delText>.</w:delText>
        </w:r>
      </w:del>
      <w:ins w:id="81" w:author="Master Repository Process" w:date="2022-12-30T09:45:00Z">
        <w:r>
          <w:t>; or</w:t>
        </w:r>
      </w:ins>
    </w:p>
    <w:p>
      <w:pPr>
        <w:pStyle w:val="Indenta"/>
        <w:rPr>
          <w:ins w:id="82" w:author="Master Repository Process" w:date="2022-12-30T09:45:00Z"/>
        </w:rPr>
      </w:pPr>
      <w:ins w:id="83" w:author="Master Repository Process" w:date="2022-12-30T09:45:00Z">
        <w:r>
          <w:tab/>
          <w:t>(d)</w:t>
        </w:r>
        <w:r>
          <w:tab/>
          <w:t>a single judge of appeal.</w:t>
        </w:r>
      </w:ins>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w:t>
      </w:r>
      <w:del w:id="84" w:author="Master Repository Process" w:date="2022-12-30T09:45:00Z">
        <w:r>
          <w:delText>16(1).]</w:delText>
        </w:r>
      </w:del>
      <w:ins w:id="85" w:author="Master Repository Process" w:date="2022-12-30T09:45:00Z">
        <w:r>
          <w:t>16(1); amended: No. 18 of 2022 s. 7.]</w:t>
        </w:r>
      </w:ins>
    </w:p>
    <w:p>
      <w:pPr>
        <w:pStyle w:val="Heading5"/>
      </w:pPr>
      <w:bookmarkStart w:id="86" w:name="_Toc123282506"/>
      <w:bookmarkStart w:id="87" w:name="_Toc122517768"/>
      <w:r>
        <w:rPr>
          <w:rStyle w:val="CharSectno"/>
        </w:rPr>
        <w:t>15B</w:t>
      </w:r>
      <w:r>
        <w:rPr>
          <w:snapToGrid w:val="0"/>
        </w:rPr>
        <w:t>.</w:t>
      </w:r>
      <w:r>
        <w:rPr>
          <w:snapToGrid w:val="0"/>
        </w:rPr>
        <w:tab/>
        <w:t>Appeal under s. 15A, determination</w:t>
      </w:r>
      <w:bookmarkEnd w:id="86"/>
      <w:bookmarkEnd w:id="87"/>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88" w:name="_Toc123282507"/>
      <w:bookmarkStart w:id="89" w:name="_Toc122517769"/>
      <w:r>
        <w:rPr>
          <w:rStyle w:val="CharSectno"/>
        </w:rPr>
        <w:t>16</w:t>
      </w:r>
      <w:r>
        <w:rPr>
          <w:snapToGrid w:val="0"/>
        </w:rPr>
        <w:t>.</w:t>
      </w:r>
      <w:r>
        <w:rPr>
          <w:snapToGrid w:val="0"/>
        </w:rPr>
        <w:tab/>
        <w:t>Person arrested on warrant, bail of</w:t>
      </w:r>
      <w:bookmarkEnd w:id="88"/>
      <w:bookmarkEnd w:id="89"/>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90" w:name="_Toc123282508"/>
      <w:bookmarkStart w:id="91" w:name="_Toc122517770"/>
      <w:r>
        <w:rPr>
          <w:rStyle w:val="CharSectno"/>
        </w:rPr>
        <w:t>16A</w:t>
      </w:r>
      <w:r>
        <w:t>.</w:t>
      </w:r>
      <w:r>
        <w:tab/>
        <w:t>Person arrested in urban area, restrictions on who can grant bail for in some cases</w:t>
      </w:r>
      <w:bookmarkEnd w:id="90"/>
      <w:bookmarkEnd w:id="9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92" w:name="_Toc123282509"/>
      <w:bookmarkStart w:id="93" w:name="_Toc122517771"/>
      <w:r>
        <w:rPr>
          <w:rStyle w:val="CharSectno"/>
        </w:rPr>
        <w:t>16B</w:t>
      </w:r>
      <w:r>
        <w:t>.</w:t>
      </w:r>
      <w:r>
        <w:tab/>
        <w:t>Person linked to terrorism</w:t>
      </w:r>
      <w:bookmarkEnd w:id="92"/>
      <w:bookmarkEnd w:id="93"/>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94" w:name="_Toc123282510"/>
      <w:bookmarkStart w:id="95" w:name="_Toc122517772"/>
      <w:r>
        <w:rPr>
          <w:rStyle w:val="CharSectno"/>
        </w:rPr>
        <w:t>17</w:t>
      </w:r>
      <w:r>
        <w:rPr>
          <w:snapToGrid w:val="0"/>
        </w:rPr>
        <w:t>.</w:t>
      </w:r>
      <w:r>
        <w:rPr>
          <w:snapToGrid w:val="0"/>
        </w:rPr>
        <w:tab/>
        <w:t>Conditions on bail which may be imposed</w:t>
      </w:r>
      <w:bookmarkEnd w:id="94"/>
      <w:bookmarkEnd w:id="9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96" w:name="_Toc123282511"/>
      <w:bookmarkStart w:id="97" w:name="_Toc122517773"/>
      <w:r>
        <w:rPr>
          <w:rStyle w:val="CharSectno"/>
        </w:rPr>
        <w:t>17A</w:t>
      </w:r>
      <w:r>
        <w:rPr>
          <w:snapToGrid w:val="0"/>
        </w:rPr>
        <w:t>.</w:t>
      </w:r>
      <w:r>
        <w:rPr>
          <w:snapToGrid w:val="0"/>
        </w:rPr>
        <w:tab/>
        <w:t>Child on bail, changing responsible person for (Sch. 1 Pt. C cl. 2)</w:t>
      </w:r>
      <w:bookmarkEnd w:id="96"/>
      <w:bookmarkEnd w:id="9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98" w:name="_Toc113270847"/>
      <w:bookmarkStart w:id="99" w:name="_Toc113272608"/>
      <w:bookmarkStart w:id="100" w:name="_Toc113274003"/>
      <w:bookmarkStart w:id="101" w:name="_Toc115174145"/>
      <w:bookmarkStart w:id="102" w:name="_Toc115180774"/>
      <w:bookmarkStart w:id="103" w:name="_Toc122515531"/>
      <w:bookmarkStart w:id="104" w:name="_Toc122517774"/>
      <w:bookmarkStart w:id="105" w:name="_Toc123282512"/>
      <w:r>
        <w:rPr>
          <w:rStyle w:val="CharPartNo"/>
        </w:rPr>
        <w:t>Part IV</w:t>
      </w:r>
      <w:r>
        <w:rPr>
          <w:rStyle w:val="CharDivNo"/>
        </w:rPr>
        <w:t> </w:t>
      </w:r>
      <w:r>
        <w:t>—</w:t>
      </w:r>
      <w:r>
        <w:rPr>
          <w:rStyle w:val="CharDivText"/>
        </w:rPr>
        <w:t> </w:t>
      </w:r>
      <w:r>
        <w:rPr>
          <w:rStyle w:val="CharPartText"/>
        </w:rPr>
        <w:t>Hearing of case for bail, parties, and evidence</w:t>
      </w:r>
      <w:bookmarkEnd w:id="98"/>
      <w:bookmarkEnd w:id="99"/>
      <w:bookmarkEnd w:id="100"/>
      <w:bookmarkEnd w:id="101"/>
      <w:bookmarkEnd w:id="102"/>
      <w:bookmarkEnd w:id="103"/>
      <w:bookmarkEnd w:id="104"/>
      <w:bookmarkEnd w:id="105"/>
      <w:r>
        <w:rPr>
          <w:rStyle w:val="CharPartText"/>
        </w:rPr>
        <w:t xml:space="preserve"> </w:t>
      </w:r>
    </w:p>
    <w:p>
      <w:pPr>
        <w:pStyle w:val="Heading5"/>
        <w:spacing w:before="160"/>
        <w:rPr>
          <w:snapToGrid w:val="0"/>
        </w:rPr>
      </w:pPr>
      <w:bookmarkStart w:id="106" w:name="_Toc123282513"/>
      <w:bookmarkStart w:id="107" w:name="_Toc122517775"/>
      <w:r>
        <w:rPr>
          <w:rStyle w:val="CharSectno"/>
        </w:rPr>
        <w:t>20</w:t>
      </w:r>
      <w:r>
        <w:rPr>
          <w:snapToGrid w:val="0"/>
        </w:rPr>
        <w:t>.</w:t>
      </w:r>
      <w:r>
        <w:rPr>
          <w:snapToGrid w:val="0"/>
        </w:rPr>
        <w:tab/>
        <w:t>Bail hearing for indictable offence, court may restrict publication or hold in private</w:t>
      </w:r>
      <w:bookmarkEnd w:id="106"/>
      <w:bookmarkEnd w:id="107"/>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108" w:name="_Toc123282514"/>
      <w:bookmarkStart w:id="109" w:name="_Toc122517776"/>
      <w:r>
        <w:rPr>
          <w:rStyle w:val="CharSectno"/>
        </w:rPr>
        <w:t>21</w:t>
      </w:r>
      <w:r>
        <w:rPr>
          <w:snapToGrid w:val="0"/>
        </w:rPr>
        <w:t>.</w:t>
      </w:r>
      <w:r>
        <w:rPr>
          <w:snapToGrid w:val="0"/>
        </w:rPr>
        <w:tab/>
        <w:t>Parties to bail proceedings</w:t>
      </w:r>
      <w:bookmarkEnd w:id="108"/>
      <w:bookmarkEnd w:id="10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110" w:name="_Toc123282515"/>
      <w:bookmarkStart w:id="111" w:name="_Toc122517777"/>
      <w:r>
        <w:rPr>
          <w:rStyle w:val="CharSectno"/>
        </w:rPr>
        <w:t>22</w:t>
      </w:r>
      <w:r>
        <w:rPr>
          <w:snapToGrid w:val="0"/>
        </w:rPr>
        <w:t>.</w:t>
      </w:r>
      <w:r>
        <w:rPr>
          <w:snapToGrid w:val="0"/>
        </w:rPr>
        <w:tab/>
        <w:t>Evidence at bail hearings</w:t>
      </w:r>
      <w:bookmarkEnd w:id="110"/>
      <w:bookmarkEnd w:id="111"/>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12" w:name="_Toc123282516"/>
      <w:bookmarkStart w:id="113" w:name="_Toc122517778"/>
      <w:r>
        <w:rPr>
          <w:rStyle w:val="CharSectno"/>
        </w:rPr>
        <w:t>23</w:t>
      </w:r>
      <w:r>
        <w:rPr>
          <w:snapToGrid w:val="0"/>
        </w:rPr>
        <w:t>.</w:t>
      </w:r>
      <w:r>
        <w:rPr>
          <w:snapToGrid w:val="0"/>
        </w:rPr>
        <w:tab/>
        <w:t>Accused not bound to supply information</w:t>
      </w:r>
      <w:bookmarkEnd w:id="112"/>
      <w:bookmarkEnd w:id="113"/>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14" w:name="_Toc123282517"/>
      <w:bookmarkStart w:id="115" w:name="_Toc122517779"/>
      <w:r>
        <w:rPr>
          <w:rStyle w:val="CharSectno"/>
        </w:rPr>
        <w:t>24</w:t>
      </w:r>
      <w:r>
        <w:rPr>
          <w:snapToGrid w:val="0"/>
        </w:rPr>
        <w:t>.</w:t>
      </w:r>
      <w:r>
        <w:rPr>
          <w:snapToGrid w:val="0"/>
        </w:rPr>
        <w:tab/>
        <w:t>Court or authorised officer may ask police to verify accused’s information or make report</w:t>
      </w:r>
      <w:bookmarkEnd w:id="114"/>
      <w:bookmarkEnd w:id="115"/>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16" w:name="_Toc123282518"/>
      <w:bookmarkStart w:id="117" w:name="_Toc122517780"/>
      <w:r>
        <w:rPr>
          <w:rStyle w:val="CharSectno"/>
        </w:rPr>
        <w:t>24A</w:t>
      </w:r>
      <w:r>
        <w:rPr>
          <w:snapToGrid w:val="0"/>
        </w:rPr>
        <w:t>.</w:t>
      </w:r>
      <w:r>
        <w:rPr>
          <w:snapToGrid w:val="0"/>
        </w:rPr>
        <w:tab/>
        <w:t>Court may ask community corrections officer to verify accused’s information or make report</w:t>
      </w:r>
      <w:bookmarkEnd w:id="116"/>
      <w:bookmarkEnd w:id="117"/>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18" w:name="_Toc123282519"/>
      <w:bookmarkStart w:id="119" w:name="_Toc122517781"/>
      <w:r>
        <w:rPr>
          <w:rStyle w:val="CharSectno"/>
        </w:rPr>
        <w:t>25</w:t>
      </w:r>
      <w:r>
        <w:rPr>
          <w:snapToGrid w:val="0"/>
        </w:rPr>
        <w:t>.</w:t>
      </w:r>
      <w:r>
        <w:rPr>
          <w:snapToGrid w:val="0"/>
        </w:rPr>
        <w:tab/>
        <w:t>Information given by accused for bail purposes not admissible at trial</w:t>
      </w:r>
      <w:bookmarkEnd w:id="118"/>
      <w:bookmarkEnd w:id="119"/>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20" w:name="_Toc123282520"/>
      <w:bookmarkStart w:id="121" w:name="_Toc122517782"/>
      <w:r>
        <w:rPr>
          <w:rStyle w:val="CharSectno"/>
        </w:rPr>
        <w:t>26</w:t>
      </w:r>
      <w:r>
        <w:rPr>
          <w:snapToGrid w:val="0"/>
        </w:rPr>
        <w:t>.</w:t>
      </w:r>
      <w:r>
        <w:rPr>
          <w:snapToGrid w:val="0"/>
        </w:rPr>
        <w:tab/>
        <w:t>Record of bail decision and reasons</w:t>
      </w:r>
      <w:bookmarkEnd w:id="120"/>
      <w:bookmarkEnd w:id="12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122" w:name="_Toc123282521"/>
      <w:bookmarkStart w:id="123" w:name="_Toc122517783"/>
      <w:r>
        <w:rPr>
          <w:rStyle w:val="CharSectno"/>
        </w:rPr>
        <w:t>27</w:t>
      </w:r>
      <w:r>
        <w:rPr>
          <w:snapToGrid w:val="0"/>
        </w:rPr>
        <w:t>.</w:t>
      </w:r>
      <w:r>
        <w:rPr>
          <w:snapToGrid w:val="0"/>
        </w:rPr>
        <w:tab/>
        <w:t>Relevant papers to be made available to court where accused to appear</w:t>
      </w:r>
      <w:bookmarkEnd w:id="122"/>
      <w:bookmarkEnd w:id="123"/>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24" w:name="_Toc123282522"/>
      <w:bookmarkStart w:id="125" w:name="_Toc122517784"/>
      <w:r>
        <w:rPr>
          <w:rStyle w:val="CharSectno"/>
        </w:rPr>
        <w:t>27A</w:t>
      </w:r>
      <w:r>
        <w:rPr>
          <w:snapToGrid w:val="0"/>
        </w:rPr>
        <w:t>.</w:t>
      </w:r>
      <w:r>
        <w:rPr>
          <w:snapToGrid w:val="0"/>
        </w:rPr>
        <w:tab/>
        <w:t xml:space="preserve">Bail with home detention, papers to be sent to CEO </w:t>
      </w:r>
      <w:r>
        <w:t>(corrections)</w:t>
      </w:r>
      <w:bookmarkEnd w:id="124"/>
      <w:bookmarkEnd w:id="125"/>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26" w:name="_Toc113270858"/>
      <w:bookmarkStart w:id="127" w:name="_Toc113272619"/>
      <w:bookmarkStart w:id="128" w:name="_Toc113274014"/>
      <w:bookmarkStart w:id="129" w:name="_Toc115174156"/>
      <w:bookmarkStart w:id="130" w:name="_Toc115180785"/>
      <w:bookmarkStart w:id="131" w:name="_Toc122515542"/>
      <w:bookmarkStart w:id="132" w:name="_Toc122517785"/>
      <w:bookmarkStart w:id="133" w:name="_Toc123282523"/>
      <w:r>
        <w:rPr>
          <w:rStyle w:val="CharPartNo"/>
        </w:rPr>
        <w:t>Part V</w:t>
      </w:r>
      <w:r>
        <w:rPr>
          <w:rStyle w:val="CharDivNo"/>
        </w:rPr>
        <w:t> </w:t>
      </w:r>
      <w:r>
        <w:t>—</w:t>
      </w:r>
      <w:r>
        <w:rPr>
          <w:rStyle w:val="CharDivText"/>
        </w:rPr>
        <w:t> </w:t>
      </w:r>
      <w:r>
        <w:rPr>
          <w:rStyle w:val="CharPartText"/>
        </w:rPr>
        <w:t>Bail undertakings</w:t>
      </w:r>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123282524"/>
      <w:bookmarkStart w:id="135" w:name="_Toc122517786"/>
      <w:r>
        <w:rPr>
          <w:rStyle w:val="CharSectno"/>
        </w:rPr>
        <w:t>28</w:t>
      </w:r>
      <w:r>
        <w:rPr>
          <w:snapToGrid w:val="0"/>
        </w:rPr>
        <w:t>.</w:t>
      </w:r>
      <w:r>
        <w:rPr>
          <w:snapToGrid w:val="0"/>
        </w:rPr>
        <w:tab/>
        <w:t>Bail undertaking, when required and nature of</w:t>
      </w:r>
      <w:bookmarkEnd w:id="134"/>
      <w:bookmarkEnd w:id="13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36" w:name="_Toc123282525"/>
      <w:bookmarkStart w:id="137" w:name="_Toc122517787"/>
      <w:r>
        <w:rPr>
          <w:rStyle w:val="CharSectno"/>
        </w:rPr>
        <w:t>29</w:t>
      </w:r>
      <w:r>
        <w:rPr>
          <w:snapToGrid w:val="0"/>
        </w:rPr>
        <w:t>.</w:t>
      </w:r>
      <w:r>
        <w:rPr>
          <w:snapToGrid w:val="0"/>
        </w:rPr>
        <w:tab/>
        <w:t>Before whom bail undertaking may be entered into</w:t>
      </w:r>
      <w:bookmarkEnd w:id="136"/>
      <w:bookmarkEnd w:id="137"/>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38" w:name="_Toc123282526"/>
      <w:bookmarkStart w:id="139" w:name="_Toc122517788"/>
      <w:r>
        <w:rPr>
          <w:rStyle w:val="CharSectno"/>
        </w:rPr>
        <w:t>30</w:t>
      </w:r>
      <w:r>
        <w:rPr>
          <w:snapToGrid w:val="0"/>
        </w:rPr>
        <w:t>.</w:t>
      </w:r>
      <w:r>
        <w:rPr>
          <w:snapToGrid w:val="0"/>
        </w:rPr>
        <w:tab/>
      </w:r>
      <w:r>
        <w:rPr>
          <w:snapToGrid w:val="0"/>
          <w:spacing w:val="-4"/>
        </w:rPr>
        <w:t>Duties of person before whom bail undertaking is entered into</w:t>
      </w:r>
      <w:bookmarkEnd w:id="138"/>
      <w:bookmarkEnd w:id="13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40" w:name="_Toc123282527"/>
      <w:bookmarkStart w:id="141" w:name="_Toc122517789"/>
      <w:r>
        <w:rPr>
          <w:rStyle w:val="CharSectno"/>
        </w:rPr>
        <w:t>31</w:t>
      </w:r>
      <w:r>
        <w:rPr>
          <w:snapToGrid w:val="0"/>
        </w:rPr>
        <w:t>.</w:t>
      </w:r>
      <w:r>
        <w:rPr>
          <w:snapToGrid w:val="0"/>
        </w:rPr>
        <w:tab/>
        <w:t>Different time and place for appearance, substituting</w:t>
      </w:r>
      <w:bookmarkEnd w:id="140"/>
      <w:bookmarkEnd w:id="14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42" w:name="_Toc123282528"/>
      <w:bookmarkStart w:id="143" w:name="_Toc122517790"/>
      <w:r>
        <w:rPr>
          <w:rStyle w:val="CharSectno"/>
        </w:rPr>
        <w:t>31A</w:t>
      </w:r>
      <w:r>
        <w:rPr>
          <w:snapToGrid w:val="0"/>
        </w:rPr>
        <w:t>.</w:t>
      </w:r>
      <w:r>
        <w:rPr>
          <w:snapToGrid w:val="0"/>
        </w:rPr>
        <w:tab/>
        <w:t>C</w:t>
      </w:r>
      <w:r>
        <w:t>onditions on bail, amending during trial</w:t>
      </w:r>
      <w:bookmarkEnd w:id="142"/>
      <w:bookmarkEnd w:id="14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44" w:name="_Toc123282529"/>
      <w:bookmarkStart w:id="145" w:name="_Toc122517791"/>
      <w:r>
        <w:rPr>
          <w:rStyle w:val="CharSectno"/>
        </w:rPr>
        <w:t>32</w:t>
      </w:r>
      <w:r>
        <w:rPr>
          <w:snapToGrid w:val="0"/>
        </w:rPr>
        <w:t>.</w:t>
      </w:r>
      <w:r>
        <w:rPr>
          <w:snapToGrid w:val="0"/>
        </w:rPr>
        <w:tab/>
        <w:t>Notices under s. 31, service and proof of</w:t>
      </w:r>
      <w:bookmarkEnd w:id="144"/>
      <w:bookmarkEnd w:id="14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146" w:name="_Toc123282530"/>
      <w:bookmarkStart w:id="147" w:name="_Toc122517792"/>
      <w:r>
        <w:rPr>
          <w:rStyle w:val="CharSectno"/>
        </w:rPr>
        <w:t>33</w:t>
      </w:r>
      <w:r>
        <w:rPr>
          <w:snapToGrid w:val="0"/>
        </w:rPr>
        <w:t>.</w:t>
      </w:r>
      <w:r>
        <w:rPr>
          <w:snapToGrid w:val="0"/>
        </w:rPr>
        <w:tab/>
        <w:t>Judicial officer may order accused to enter into bail undertaking</w:t>
      </w:r>
      <w:bookmarkEnd w:id="146"/>
      <w:bookmarkEnd w:id="14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48" w:name="_Toc123282531"/>
      <w:bookmarkStart w:id="149" w:name="_Toc122517793"/>
      <w:r>
        <w:rPr>
          <w:rStyle w:val="CharSectno"/>
        </w:rPr>
        <w:t>34</w:t>
      </w:r>
      <w:r>
        <w:rPr>
          <w:snapToGrid w:val="0"/>
        </w:rPr>
        <w:t>.</w:t>
      </w:r>
      <w:r>
        <w:rPr>
          <w:snapToGrid w:val="0"/>
        </w:rPr>
        <w:tab/>
        <w:t>When bail undertaking ceases to have effect</w:t>
      </w:r>
      <w:bookmarkEnd w:id="148"/>
      <w:bookmarkEnd w:id="14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50" w:name="_Toc113270867"/>
      <w:bookmarkStart w:id="151" w:name="_Toc113272628"/>
      <w:bookmarkStart w:id="152" w:name="_Toc113274023"/>
      <w:bookmarkStart w:id="153" w:name="_Toc115174165"/>
      <w:bookmarkStart w:id="154" w:name="_Toc115180794"/>
      <w:bookmarkStart w:id="155" w:name="_Toc122515551"/>
      <w:bookmarkStart w:id="156" w:name="_Toc122517794"/>
      <w:bookmarkStart w:id="157" w:name="_Toc123282532"/>
      <w:r>
        <w:rPr>
          <w:rStyle w:val="CharPartNo"/>
        </w:rPr>
        <w:t>Part VI</w:t>
      </w:r>
      <w:r>
        <w:rPr>
          <w:rStyle w:val="CharDivNo"/>
        </w:rPr>
        <w:t> </w:t>
      </w:r>
      <w:r>
        <w:t>—</w:t>
      </w:r>
      <w:r>
        <w:rPr>
          <w:rStyle w:val="CharDivText"/>
        </w:rPr>
        <w:t> </w:t>
      </w:r>
      <w:r>
        <w:rPr>
          <w:rStyle w:val="CharPartText"/>
        </w:rPr>
        <w:t>Sureties and surety undertakings</w:t>
      </w:r>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123282533"/>
      <w:bookmarkStart w:id="159" w:name="_Toc122517795"/>
      <w:r>
        <w:rPr>
          <w:rStyle w:val="CharSectno"/>
        </w:rPr>
        <w:t>35</w:t>
      </w:r>
      <w:r>
        <w:rPr>
          <w:snapToGrid w:val="0"/>
        </w:rPr>
        <w:t>.</w:t>
      </w:r>
      <w:r>
        <w:rPr>
          <w:snapToGrid w:val="0"/>
        </w:rPr>
        <w:tab/>
        <w:t>Surety and surety undertaking</w:t>
      </w:r>
      <w:bookmarkEnd w:id="158"/>
      <w:bookmarkEnd w:id="159"/>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60" w:name="_Toc123282534"/>
      <w:bookmarkStart w:id="161" w:name="_Toc122517796"/>
      <w:r>
        <w:rPr>
          <w:rStyle w:val="CharSectno"/>
        </w:rPr>
        <w:t>36</w:t>
      </w:r>
      <w:r>
        <w:rPr>
          <w:snapToGrid w:val="0"/>
        </w:rPr>
        <w:t>.</w:t>
      </w:r>
      <w:r>
        <w:rPr>
          <w:snapToGrid w:val="0"/>
        </w:rPr>
        <w:tab/>
        <w:t>Sureties, who may approve</w:t>
      </w:r>
      <w:bookmarkEnd w:id="160"/>
      <w:bookmarkEnd w:id="161"/>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62" w:name="_Toc123282535"/>
      <w:bookmarkStart w:id="163" w:name="_Toc122517797"/>
      <w:r>
        <w:rPr>
          <w:rStyle w:val="CharSectno"/>
        </w:rPr>
        <w:t>37</w:t>
      </w:r>
      <w:r>
        <w:rPr>
          <w:snapToGrid w:val="0"/>
        </w:rPr>
        <w:t>.</w:t>
      </w:r>
      <w:r>
        <w:rPr>
          <w:snapToGrid w:val="0"/>
        </w:rPr>
        <w:tab/>
        <w:t>Proposed surety to receive certain information and form</w:t>
      </w:r>
      <w:bookmarkEnd w:id="162"/>
      <w:bookmarkEnd w:id="163"/>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64" w:name="_Toc123282536"/>
      <w:bookmarkStart w:id="165" w:name="_Toc122517798"/>
      <w:r>
        <w:rPr>
          <w:rStyle w:val="CharSectno"/>
        </w:rPr>
        <w:t>38</w:t>
      </w:r>
      <w:r>
        <w:rPr>
          <w:snapToGrid w:val="0"/>
        </w:rPr>
        <w:t>.</w:t>
      </w:r>
      <w:r>
        <w:rPr>
          <w:snapToGrid w:val="0"/>
        </w:rPr>
        <w:tab/>
        <w:t>Persons disqualified from being sureties</w:t>
      </w:r>
      <w:bookmarkEnd w:id="164"/>
      <w:bookmarkEnd w:id="16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66" w:name="_Toc123282537"/>
      <w:bookmarkStart w:id="167" w:name="_Toc122517799"/>
      <w:r>
        <w:rPr>
          <w:rStyle w:val="CharSectno"/>
        </w:rPr>
        <w:t>39</w:t>
      </w:r>
      <w:r>
        <w:rPr>
          <w:snapToGrid w:val="0"/>
        </w:rPr>
        <w:t>.</w:t>
      </w:r>
      <w:r>
        <w:rPr>
          <w:snapToGrid w:val="0"/>
        </w:rPr>
        <w:tab/>
        <w:t>Matters to be regarded when approving sureties</w:t>
      </w:r>
      <w:bookmarkEnd w:id="166"/>
      <w:bookmarkEnd w:id="167"/>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68" w:name="_Toc123282538"/>
      <w:bookmarkStart w:id="169" w:name="_Toc122517800"/>
      <w:r>
        <w:rPr>
          <w:rStyle w:val="CharSectno"/>
        </w:rPr>
        <w:t>40</w:t>
      </w:r>
      <w:r>
        <w:rPr>
          <w:snapToGrid w:val="0"/>
        </w:rPr>
        <w:t>.</w:t>
      </w:r>
      <w:r>
        <w:rPr>
          <w:snapToGrid w:val="0"/>
        </w:rPr>
        <w:tab/>
        <w:t>Decision on application by proposed surety</w:t>
      </w:r>
      <w:bookmarkEnd w:id="168"/>
      <w:bookmarkEnd w:id="169"/>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70" w:name="_Toc123282539"/>
      <w:bookmarkStart w:id="171" w:name="_Toc122517801"/>
      <w:r>
        <w:rPr>
          <w:rStyle w:val="CharSectno"/>
        </w:rPr>
        <w:t>41</w:t>
      </w:r>
      <w:r>
        <w:rPr>
          <w:snapToGrid w:val="0"/>
        </w:rPr>
        <w:t>.</w:t>
      </w:r>
      <w:r>
        <w:rPr>
          <w:snapToGrid w:val="0"/>
        </w:rPr>
        <w:tab/>
        <w:t>Finality of decision to refuse approval of surety</w:t>
      </w:r>
      <w:bookmarkEnd w:id="170"/>
      <w:bookmarkEnd w:id="171"/>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72" w:name="_Toc123282540"/>
      <w:bookmarkStart w:id="173" w:name="_Toc122517802"/>
      <w:r>
        <w:rPr>
          <w:rStyle w:val="CharSectno"/>
        </w:rPr>
        <w:t>42</w:t>
      </w:r>
      <w:r>
        <w:rPr>
          <w:snapToGrid w:val="0"/>
        </w:rPr>
        <w:t>.</w:t>
      </w:r>
      <w:r>
        <w:rPr>
          <w:snapToGrid w:val="0"/>
        </w:rPr>
        <w:tab/>
        <w:t>Before whom surety undertaking may be entered into</w:t>
      </w:r>
      <w:bookmarkEnd w:id="172"/>
      <w:bookmarkEnd w:id="173"/>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74" w:name="_Toc123282541"/>
      <w:bookmarkStart w:id="175" w:name="_Toc122517803"/>
      <w:r>
        <w:rPr>
          <w:rStyle w:val="CharSectno"/>
        </w:rPr>
        <w:t>43</w:t>
      </w:r>
      <w:r>
        <w:rPr>
          <w:snapToGrid w:val="0"/>
        </w:rPr>
        <w:t>.</w:t>
      </w:r>
      <w:r>
        <w:rPr>
          <w:snapToGrid w:val="0"/>
        </w:rPr>
        <w:tab/>
        <w:t>Duties of person before whom surety undertaking is entered into</w:t>
      </w:r>
      <w:bookmarkEnd w:id="174"/>
      <w:bookmarkEnd w:id="175"/>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76" w:name="_Toc123282542"/>
      <w:bookmarkStart w:id="177" w:name="_Toc122517804"/>
      <w:r>
        <w:rPr>
          <w:rStyle w:val="CharSectno"/>
        </w:rPr>
        <w:t>43A</w:t>
      </w:r>
      <w:r>
        <w:t>. </w:t>
      </w:r>
      <w:r>
        <w:rPr>
          <w:vertAlign w:val="superscript"/>
        </w:rPr>
        <w:t>2M</w:t>
      </w:r>
      <w:r>
        <w:tab/>
        <w:t>Entering into surety undertaking where proposed surety interstate</w:t>
      </w:r>
      <w:bookmarkEnd w:id="176"/>
      <w:bookmarkEnd w:id="177"/>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178" w:name="_Toc123282543"/>
      <w:bookmarkStart w:id="179" w:name="_Toc122517805"/>
      <w:r>
        <w:rPr>
          <w:rStyle w:val="CharSectno"/>
        </w:rPr>
        <w:t>44</w:t>
      </w:r>
      <w:r>
        <w:rPr>
          <w:snapToGrid w:val="0"/>
        </w:rPr>
        <w:t>.</w:t>
      </w:r>
      <w:r>
        <w:rPr>
          <w:snapToGrid w:val="0"/>
        </w:rPr>
        <w:tab/>
        <w:t>When surety undertaking extends to different time or different time and place substituted under s. 31</w:t>
      </w:r>
      <w:bookmarkEnd w:id="178"/>
      <w:bookmarkEnd w:id="179"/>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80" w:name="_Toc123282544"/>
      <w:bookmarkStart w:id="181" w:name="_Toc122517806"/>
      <w:r>
        <w:rPr>
          <w:rStyle w:val="CharSectno"/>
        </w:rPr>
        <w:t>45</w:t>
      </w:r>
      <w:r>
        <w:rPr>
          <w:snapToGrid w:val="0"/>
        </w:rPr>
        <w:t>.</w:t>
      </w:r>
      <w:r>
        <w:rPr>
          <w:snapToGrid w:val="0"/>
        </w:rPr>
        <w:tab/>
        <w:t>Notices under s. 44, service and proof of</w:t>
      </w:r>
      <w:bookmarkEnd w:id="180"/>
      <w:bookmarkEnd w:id="181"/>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182" w:name="_Toc123282545"/>
      <w:bookmarkStart w:id="183" w:name="_Toc122517807"/>
      <w:r>
        <w:rPr>
          <w:rStyle w:val="CharSectno"/>
        </w:rPr>
        <w:t>46</w:t>
      </w:r>
      <w:r>
        <w:rPr>
          <w:snapToGrid w:val="0"/>
        </w:rPr>
        <w:t>.</w:t>
      </w:r>
      <w:r>
        <w:rPr>
          <w:snapToGrid w:val="0"/>
        </w:rPr>
        <w:tab/>
        <w:t>Surety’s power to arrest accused</w:t>
      </w:r>
      <w:bookmarkEnd w:id="182"/>
      <w:bookmarkEnd w:id="183"/>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84" w:name="_Toc123282546"/>
      <w:bookmarkStart w:id="185" w:name="_Toc122517808"/>
      <w:r>
        <w:rPr>
          <w:rStyle w:val="CharSectno"/>
        </w:rPr>
        <w:t>47</w:t>
      </w:r>
      <w:r>
        <w:rPr>
          <w:snapToGrid w:val="0"/>
        </w:rPr>
        <w:t>.</w:t>
      </w:r>
      <w:r>
        <w:rPr>
          <w:snapToGrid w:val="0"/>
        </w:rPr>
        <w:tab/>
        <w:t>When surety undertaking ceases to have effect</w:t>
      </w:r>
      <w:bookmarkEnd w:id="184"/>
      <w:bookmarkEnd w:id="18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86" w:name="_Toc123282547"/>
      <w:bookmarkStart w:id="187" w:name="_Toc122517809"/>
      <w:r>
        <w:rPr>
          <w:rStyle w:val="CharSectno"/>
        </w:rPr>
        <w:t>48</w:t>
      </w:r>
      <w:r>
        <w:rPr>
          <w:snapToGrid w:val="0"/>
        </w:rPr>
        <w:t>.</w:t>
      </w:r>
      <w:r>
        <w:rPr>
          <w:snapToGrid w:val="0"/>
        </w:rPr>
        <w:tab/>
        <w:t>Surety may apply for cancellation of his undertaking</w:t>
      </w:r>
      <w:bookmarkEnd w:id="186"/>
      <w:bookmarkEnd w:id="18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88" w:name="_Toc123282548"/>
      <w:bookmarkStart w:id="189" w:name="_Toc122517810"/>
      <w:r>
        <w:rPr>
          <w:rStyle w:val="CharSectno"/>
        </w:rPr>
        <w:t>49</w:t>
      </w:r>
      <w:r>
        <w:rPr>
          <w:snapToGrid w:val="0"/>
        </w:rPr>
        <w:t>.</w:t>
      </w:r>
      <w:r>
        <w:rPr>
          <w:snapToGrid w:val="0"/>
        </w:rPr>
        <w:tab/>
        <w:t>Surety’s undertaking to pay money, enforcing</w:t>
      </w:r>
      <w:bookmarkEnd w:id="188"/>
      <w:bookmarkEnd w:id="189"/>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90" w:name="_Toc123282549"/>
      <w:bookmarkStart w:id="191" w:name="_Toc122517811"/>
      <w:r>
        <w:rPr>
          <w:rStyle w:val="CharSectno"/>
        </w:rPr>
        <w:t>50</w:t>
      </w:r>
      <w:r>
        <w:rPr>
          <w:snapToGrid w:val="0"/>
        </w:rPr>
        <w:t>.</w:t>
      </w:r>
      <w:r>
        <w:rPr>
          <w:snapToGrid w:val="0"/>
        </w:rPr>
        <w:tab/>
        <w:t>Indemnifying surety, offence</w:t>
      </w:r>
      <w:bookmarkEnd w:id="190"/>
      <w:bookmarkEnd w:id="19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92" w:name="_Toc113270885"/>
      <w:bookmarkStart w:id="193" w:name="_Toc113272646"/>
      <w:bookmarkStart w:id="194" w:name="_Toc113274041"/>
      <w:bookmarkStart w:id="195" w:name="_Toc115174183"/>
      <w:bookmarkStart w:id="196" w:name="_Toc115180812"/>
      <w:bookmarkStart w:id="197" w:name="_Toc122515569"/>
      <w:bookmarkStart w:id="198" w:name="_Toc122517812"/>
      <w:bookmarkStart w:id="199" w:name="_Toc123282550"/>
      <w:r>
        <w:rPr>
          <w:rStyle w:val="CharPartNo"/>
        </w:rPr>
        <w:t>Part VIA</w:t>
      </w:r>
      <w:r>
        <w:rPr>
          <w:rStyle w:val="CharDivNo"/>
        </w:rPr>
        <w:t> </w:t>
      </w:r>
      <w:r>
        <w:t>—</w:t>
      </w:r>
      <w:r>
        <w:rPr>
          <w:rStyle w:val="CharDivText"/>
        </w:rPr>
        <w:t> </w:t>
      </w:r>
      <w:r>
        <w:rPr>
          <w:rStyle w:val="CharPartText"/>
        </w:rPr>
        <w:t>Administration of home detention conditions</w:t>
      </w:r>
      <w:bookmarkEnd w:id="192"/>
      <w:bookmarkEnd w:id="193"/>
      <w:bookmarkEnd w:id="194"/>
      <w:bookmarkEnd w:id="195"/>
      <w:bookmarkEnd w:id="196"/>
      <w:bookmarkEnd w:id="197"/>
      <w:bookmarkEnd w:id="198"/>
      <w:bookmarkEnd w:id="199"/>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200" w:name="_Toc123282551"/>
      <w:bookmarkStart w:id="201" w:name="_Toc122517813"/>
      <w:r>
        <w:rPr>
          <w:rStyle w:val="CharSectno"/>
        </w:rPr>
        <w:t>50A</w:t>
      </w:r>
      <w:r>
        <w:rPr>
          <w:snapToGrid w:val="0"/>
        </w:rPr>
        <w:t>.</w:t>
      </w:r>
      <w:r>
        <w:rPr>
          <w:snapToGrid w:val="0"/>
        </w:rPr>
        <w:tab/>
        <w:t xml:space="preserve">Powers of CEO </w:t>
      </w:r>
      <w:r>
        <w:t>(corrections)</w:t>
      </w:r>
      <w:bookmarkEnd w:id="200"/>
      <w:bookmarkEnd w:id="20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202" w:name="_Toc123282552"/>
      <w:bookmarkStart w:id="203" w:name="_Toc122517814"/>
      <w:r>
        <w:rPr>
          <w:rStyle w:val="CharSectno"/>
        </w:rPr>
        <w:t>50C</w:t>
      </w:r>
      <w:r>
        <w:rPr>
          <w:snapToGrid w:val="0"/>
        </w:rPr>
        <w:t>.</w:t>
      </w:r>
      <w:r>
        <w:rPr>
          <w:snapToGrid w:val="0"/>
        </w:rPr>
        <w:tab/>
        <w:t>Powers and duties of community corrections officers</w:t>
      </w:r>
      <w:bookmarkEnd w:id="202"/>
      <w:bookmarkEnd w:id="20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204" w:name="_Toc123282553"/>
      <w:bookmarkStart w:id="205" w:name="_Toc122517815"/>
      <w:r>
        <w:rPr>
          <w:rStyle w:val="CharSectno"/>
        </w:rPr>
        <w:t>50D</w:t>
      </w:r>
      <w:r>
        <w:rPr>
          <w:snapToGrid w:val="0"/>
        </w:rPr>
        <w:t>.</w:t>
      </w:r>
      <w:r>
        <w:rPr>
          <w:snapToGrid w:val="0"/>
        </w:rPr>
        <w:tab/>
        <w:t>Powers of members of Police Force</w:t>
      </w:r>
      <w:bookmarkEnd w:id="204"/>
      <w:bookmarkEnd w:id="205"/>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206" w:name="_Toc123282554"/>
      <w:bookmarkStart w:id="207" w:name="_Toc122517816"/>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06"/>
      <w:bookmarkEnd w:id="207"/>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208" w:name="_Toc123282555"/>
      <w:bookmarkStart w:id="209" w:name="_Toc122517817"/>
      <w:r>
        <w:rPr>
          <w:rStyle w:val="CharSectno"/>
        </w:rPr>
        <w:t>50F</w:t>
      </w:r>
      <w:r>
        <w:rPr>
          <w:snapToGrid w:val="0"/>
        </w:rPr>
        <w:t>.</w:t>
      </w:r>
      <w:r>
        <w:rPr>
          <w:snapToGrid w:val="0"/>
        </w:rPr>
        <w:tab/>
        <w:t>CEO</w:t>
      </w:r>
      <w:r>
        <w:t xml:space="preserve"> (corrections)</w:t>
      </w:r>
      <w:r>
        <w:rPr>
          <w:snapToGrid w:val="0"/>
        </w:rPr>
        <w:t xml:space="preserve"> may revoke bail</w:t>
      </w:r>
      <w:bookmarkEnd w:id="208"/>
      <w:bookmarkEnd w:id="209"/>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210" w:name="_Toc123282556"/>
      <w:bookmarkStart w:id="211" w:name="_Toc122517818"/>
      <w:r>
        <w:rPr>
          <w:rStyle w:val="CharSectno"/>
        </w:rPr>
        <w:t>50G</w:t>
      </w:r>
      <w:r>
        <w:rPr>
          <w:snapToGrid w:val="0"/>
        </w:rPr>
        <w:t>.</w:t>
      </w:r>
      <w:r>
        <w:rPr>
          <w:snapToGrid w:val="0"/>
        </w:rPr>
        <w:tab/>
        <w:t>Procedure on arrest after revocation under s. 50F</w:t>
      </w:r>
      <w:bookmarkEnd w:id="210"/>
      <w:bookmarkEnd w:id="211"/>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212" w:name="_Toc123282557"/>
      <w:bookmarkStart w:id="213" w:name="_Toc122517819"/>
      <w:r>
        <w:rPr>
          <w:rStyle w:val="CharSectno"/>
        </w:rPr>
        <w:t>50H</w:t>
      </w:r>
      <w:r>
        <w:rPr>
          <w:snapToGrid w:val="0"/>
        </w:rPr>
        <w:t>.</w:t>
      </w:r>
      <w:r>
        <w:rPr>
          <w:snapToGrid w:val="0"/>
        </w:rPr>
        <w:tab/>
        <w:t>Rules of natural justice excluded</w:t>
      </w:r>
      <w:bookmarkEnd w:id="212"/>
      <w:bookmarkEnd w:id="213"/>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214" w:name="_Toc123282558"/>
      <w:bookmarkStart w:id="215" w:name="_Toc122517820"/>
      <w:r>
        <w:rPr>
          <w:rStyle w:val="CharSectno"/>
        </w:rPr>
        <w:t>50J</w:t>
      </w:r>
      <w:r>
        <w:rPr>
          <w:snapToGrid w:val="0"/>
        </w:rPr>
        <w:t>.</w:t>
      </w:r>
      <w:r>
        <w:rPr>
          <w:snapToGrid w:val="0"/>
        </w:rPr>
        <w:tab/>
        <w:t>Delegation by CEO</w:t>
      </w:r>
      <w:r>
        <w:t xml:space="preserve"> (corrections)</w:t>
      </w:r>
      <w:bookmarkEnd w:id="214"/>
      <w:bookmarkEnd w:id="215"/>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216" w:name="_Toc123282559"/>
      <w:bookmarkStart w:id="217" w:name="_Toc122517821"/>
      <w:r>
        <w:rPr>
          <w:rStyle w:val="CharSectno"/>
        </w:rPr>
        <w:t>50L</w:t>
      </w:r>
      <w:r>
        <w:rPr>
          <w:snapToGrid w:val="0"/>
        </w:rPr>
        <w:t>.</w:t>
      </w:r>
      <w:r>
        <w:rPr>
          <w:snapToGrid w:val="0"/>
        </w:rPr>
        <w:tab/>
        <w:t>Rules for this Part</w:t>
      </w:r>
      <w:bookmarkEnd w:id="216"/>
      <w:bookmarkEnd w:id="21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218" w:name="_Toc113270895"/>
      <w:bookmarkStart w:id="219" w:name="_Toc113272656"/>
      <w:bookmarkStart w:id="220" w:name="_Toc113274051"/>
      <w:bookmarkStart w:id="221" w:name="_Toc115174193"/>
      <w:bookmarkStart w:id="222" w:name="_Toc115180822"/>
      <w:bookmarkStart w:id="223" w:name="_Toc122515579"/>
      <w:bookmarkStart w:id="224" w:name="_Toc122517822"/>
      <w:bookmarkStart w:id="225" w:name="_Toc123282560"/>
      <w:r>
        <w:rPr>
          <w:rStyle w:val="CharPartNo"/>
        </w:rPr>
        <w:t>Part VII</w:t>
      </w:r>
      <w:r>
        <w:rPr>
          <w:rStyle w:val="CharDivNo"/>
        </w:rPr>
        <w:t> </w:t>
      </w:r>
      <w:r>
        <w:t>—</w:t>
      </w:r>
      <w:r>
        <w:rPr>
          <w:rStyle w:val="CharDivText"/>
        </w:rPr>
        <w:t> </w:t>
      </w:r>
      <w:r>
        <w:rPr>
          <w:rStyle w:val="CharPartText"/>
        </w:rPr>
        <w:t>Enforcement of bail undertakings</w:t>
      </w:r>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123282561"/>
      <w:bookmarkStart w:id="227" w:name="_Toc122517823"/>
      <w:r>
        <w:rPr>
          <w:rStyle w:val="CharSectno"/>
        </w:rPr>
        <w:t>51</w:t>
      </w:r>
      <w:r>
        <w:rPr>
          <w:snapToGrid w:val="0"/>
        </w:rPr>
        <w:t>.</w:t>
      </w:r>
      <w:r>
        <w:rPr>
          <w:snapToGrid w:val="0"/>
        </w:rPr>
        <w:tab/>
        <w:t>Failing to comply with bail undertaking, offence</w:t>
      </w:r>
      <w:bookmarkEnd w:id="226"/>
      <w:bookmarkEnd w:id="22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28" w:name="_Toc123282562"/>
      <w:bookmarkStart w:id="229" w:name="_Toc122517824"/>
      <w:r>
        <w:rPr>
          <w:rStyle w:val="CharSectno"/>
        </w:rPr>
        <w:t>51A</w:t>
      </w:r>
      <w:r>
        <w:t>.</w:t>
      </w:r>
      <w:r>
        <w:tab/>
      </w:r>
      <w:r>
        <w:rPr>
          <w:snapToGrid w:val="0"/>
        </w:rPr>
        <w:t>Prosecuting s. 51 offence for non-appearance in court of summary jurisdiction</w:t>
      </w:r>
      <w:bookmarkEnd w:id="228"/>
      <w:bookmarkEnd w:id="22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30" w:name="_Toc123282563"/>
      <w:bookmarkStart w:id="231" w:name="_Toc122517825"/>
      <w:r>
        <w:rPr>
          <w:rStyle w:val="CharSectno"/>
        </w:rPr>
        <w:t>52</w:t>
      </w:r>
      <w:r>
        <w:rPr>
          <w:snapToGrid w:val="0"/>
        </w:rPr>
        <w:t>.</w:t>
      </w:r>
      <w:r>
        <w:rPr>
          <w:snapToGrid w:val="0"/>
        </w:rPr>
        <w:tab/>
        <w:t>Prosecuting s. 51 offence for non-appearance in superior court</w:t>
      </w:r>
      <w:bookmarkEnd w:id="230"/>
      <w:bookmarkEnd w:id="23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32" w:name="_Toc123282564"/>
      <w:bookmarkStart w:id="233" w:name="_Toc122517826"/>
      <w:r>
        <w:rPr>
          <w:rStyle w:val="CharSectno"/>
        </w:rPr>
        <w:t>53</w:t>
      </w:r>
      <w:r>
        <w:t>.</w:t>
      </w:r>
      <w:r>
        <w:tab/>
        <w:t>Appeal against decision made under s. 52</w:t>
      </w:r>
      <w:bookmarkEnd w:id="232"/>
      <w:bookmarkEnd w:id="23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34" w:name="_Toc123282565"/>
      <w:bookmarkStart w:id="235" w:name="_Toc122517827"/>
      <w:r>
        <w:rPr>
          <w:rStyle w:val="CharSectno"/>
        </w:rPr>
        <w:t>54</w:t>
      </w:r>
      <w:r>
        <w:rPr>
          <w:snapToGrid w:val="0"/>
        </w:rPr>
        <w:t>.</w:t>
      </w:r>
      <w:r>
        <w:rPr>
          <w:snapToGrid w:val="0"/>
        </w:rPr>
        <w:tab/>
        <w:t>Bailed accused may be taken before judicial officer to show cause against variation or revocation of bail</w:t>
      </w:r>
      <w:bookmarkEnd w:id="234"/>
      <w:bookmarkEnd w:id="23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36" w:name="_Toc123282566"/>
      <w:bookmarkStart w:id="237" w:name="_Toc122517828"/>
      <w:r>
        <w:rPr>
          <w:rStyle w:val="CharSectno"/>
        </w:rPr>
        <w:t>54A</w:t>
      </w:r>
      <w:r>
        <w:rPr>
          <w:snapToGrid w:val="0"/>
        </w:rPr>
        <w:t>.</w:t>
      </w:r>
      <w:r>
        <w:rPr>
          <w:snapToGrid w:val="0"/>
        </w:rPr>
        <w:tab/>
        <w:t>Accused on committal may be taken for purposes of s. 54 before judicial officer by which committed</w:t>
      </w:r>
      <w:bookmarkEnd w:id="236"/>
      <w:bookmarkEnd w:id="23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38" w:name="_Toc123282567"/>
      <w:bookmarkStart w:id="239" w:name="_Toc122517829"/>
      <w:r>
        <w:rPr>
          <w:rStyle w:val="CharSectno"/>
        </w:rPr>
        <w:t>55</w:t>
      </w:r>
      <w:r>
        <w:rPr>
          <w:snapToGrid w:val="0"/>
        </w:rPr>
        <w:t>.</w:t>
      </w:r>
      <w:r>
        <w:rPr>
          <w:snapToGrid w:val="0"/>
        </w:rPr>
        <w:tab/>
        <w:t>Accused before court under s. 54, judicial officer may revoke bail of etc.</w:t>
      </w:r>
      <w:bookmarkEnd w:id="238"/>
      <w:bookmarkEnd w:id="23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40" w:name="_Toc123282568"/>
      <w:bookmarkStart w:id="241" w:name="_Toc122517830"/>
      <w:r>
        <w:rPr>
          <w:rStyle w:val="CharSectno"/>
        </w:rPr>
        <w:t>57</w:t>
      </w:r>
      <w:r>
        <w:rPr>
          <w:snapToGrid w:val="0"/>
        </w:rPr>
        <w:t>.</w:t>
      </w:r>
      <w:r>
        <w:rPr>
          <w:snapToGrid w:val="0"/>
        </w:rPr>
        <w:tab/>
        <w:t>Offence under s. 51, court to order forfeiture of money under bail undertaking</w:t>
      </w:r>
      <w:bookmarkEnd w:id="240"/>
      <w:bookmarkEnd w:id="24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42" w:name="_Toc123282569"/>
      <w:bookmarkStart w:id="243" w:name="_Toc122517831"/>
      <w:r>
        <w:rPr>
          <w:rStyle w:val="CharSectno"/>
        </w:rPr>
        <w:t>58</w:t>
      </w:r>
      <w:r>
        <w:rPr>
          <w:snapToGrid w:val="0"/>
        </w:rPr>
        <w:t>.</w:t>
      </w:r>
      <w:r>
        <w:rPr>
          <w:snapToGrid w:val="0"/>
        </w:rPr>
        <w:tab/>
        <w:t>Automatic forfeiture of money on expiration of one year after absconding</w:t>
      </w:r>
      <w:bookmarkEnd w:id="242"/>
      <w:bookmarkEnd w:id="24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44" w:name="_Toc113270905"/>
      <w:bookmarkStart w:id="245" w:name="_Toc113272666"/>
      <w:bookmarkStart w:id="246" w:name="_Toc113274061"/>
      <w:bookmarkStart w:id="247" w:name="_Toc115174203"/>
      <w:bookmarkStart w:id="248" w:name="_Toc115180832"/>
      <w:bookmarkStart w:id="249" w:name="_Toc122515589"/>
      <w:bookmarkStart w:id="250" w:name="_Toc122517832"/>
      <w:bookmarkStart w:id="251" w:name="_Toc123282570"/>
      <w:r>
        <w:rPr>
          <w:rStyle w:val="CharPartNo"/>
        </w:rPr>
        <w:t>Part VIII</w:t>
      </w:r>
      <w:r>
        <w:rPr>
          <w:rStyle w:val="CharDivNo"/>
        </w:rPr>
        <w:t> </w:t>
      </w:r>
      <w:r>
        <w:t>—</w:t>
      </w:r>
      <w:r>
        <w:rPr>
          <w:rStyle w:val="CharDivText"/>
        </w:rPr>
        <w:t> </w:t>
      </w:r>
      <w:r>
        <w:rPr>
          <w:rStyle w:val="CharPartText"/>
        </w:rPr>
        <w:t>Miscellaneous</w:t>
      </w:r>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123282571"/>
      <w:bookmarkStart w:id="253" w:name="_Toc122517833"/>
      <w:r>
        <w:rPr>
          <w:rStyle w:val="CharSectno"/>
        </w:rPr>
        <w:t>59</w:t>
      </w:r>
      <w:r>
        <w:rPr>
          <w:snapToGrid w:val="0"/>
        </w:rPr>
        <w:t>.</w:t>
      </w:r>
      <w:r>
        <w:rPr>
          <w:snapToGrid w:val="0"/>
        </w:rPr>
        <w:tab/>
        <w:t>Order for forfeiture, court’s additional powers as to</w:t>
      </w:r>
      <w:bookmarkEnd w:id="252"/>
      <w:bookmarkEnd w:id="253"/>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54" w:name="_Toc123282572"/>
      <w:bookmarkStart w:id="255" w:name="_Toc122517834"/>
      <w:r>
        <w:rPr>
          <w:rStyle w:val="CharSectno"/>
        </w:rPr>
        <w:t>59A</w:t>
      </w:r>
      <w:r>
        <w:rPr>
          <w:snapToGrid w:val="0"/>
        </w:rPr>
        <w:t>.</w:t>
      </w:r>
      <w:r>
        <w:rPr>
          <w:snapToGrid w:val="0"/>
        </w:rPr>
        <w:tab/>
        <w:t>If bail dispensed with, accused may be taken before judicial officer for reconsideration of matter</w:t>
      </w:r>
      <w:bookmarkEnd w:id="254"/>
      <w:bookmarkEnd w:id="255"/>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56" w:name="_Toc123282573"/>
      <w:bookmarkStart w:id="257" w:name="_Toc122517835"/>
      <w:r>
        <w:rPr>
          <w:rStyle w:val="CharSectno"/>
        </w:rPr>
        <w:t>59B</w:t>
      </w:r>
      <w:r>
        <w:rPr>
          <w:snapToGrid w:val="0"/>
        </w:rPr>
        <w:t>.</w:t>
      </w:r>
      <w:r>
        <w:rPr>
          <w:snapToGrid w:val="0"/>
        </w:rPr>
        <w:tab/>
        <w:t>Absconding accused, warrant for arrest of</w:t>
      </w:r>
      <w:bookmarkEnd w:id="256"/>
      <w:bookmarkEnd w:id="25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58" w:name="_Toc123282574"/>
      <w:bookmarkStart w:id="259" w:name="_Toc122517836"/>
      <w:r>
        <w:rPr>
          <w:rStyle w:val="CharSectno"/>
        </w:rPr>
        <w:t>60</w:t>
      </w:r>
      <w:r>
        <w:rPr>
          <w:snapToGrid w:val="0"/>
        </w:rPr>
        <w:t>.</w:t>
      </w:r>
      <w:r>
        <w:rPr>
          <w:snapToGrid w:val="0"/>
        </w:rPr>
        <w:tab/>
        <w:t>Change of address, accused and surety to notify</w:t>
      </w:r>
      <w:bookmarkEnd w:id="258"/>
      <w:bookmarkEnd w:id="25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60" w:name="_Toc123282575"/>
      <w:bookmarkStart w:id="261" w:name="_Toc122517837"/>
      <w:r>
        <w:rPr>
          <w:rStyle w:val="CharSectno"/>
        </w:rPr>
        <w:t>61</w:t>
      </w:r>
      <w:r>
        <w:rPr>
          <w:snapToGrid w:val="0"/>
        </w:rPr>
        <w:t>.</w:t>
      </w:r>
      <w:r>
        <w:rPr>
          <w:snapToGrid w:val="0"/>
        </w:rPr>
        <w:tab/>
        <w:t>Failing to bring arrested person before court or person able to grant bail, offence</w:t>
      </w:r>
      <w:bookmarkEnd w:id="260"/>
      <w:bookmarkEnd w:id="261"/>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62" w:name="_Toc123282576"/>
      <w:bookmarkStart w:id="263" w:name="_Toc122517838"/>
      <w:r>
        <w:rPr>
          <w:rStyle w:val="CharSectno"/>
        </w:rPr>
        <w:t>62</w:t>
      </w:r>
      <w:r>
        <w:rPr>
          <w:snapToGrid w:val="0"/>
        </w:rPr>
        <w:t>.</w:t>
      </w:r>
      <w:r>
        <w:rPr>
          <w:snapToGrid w:val="0"/>
        </w:rPr>
        <w:tab/>
        <w:t>Giving false information for bail purposes, offence</w:t>
      </w:r>
      <w:bookmarkEnd w:id="262"/>
      <w:bookmarkEnd w:id="26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64" w:name="_Toc123282577"/>
      <w:bookmarkStart w:id="265" w:name="_Toc122517839"/>
      <w:r>
        <w:rPr>
          <w:rStyle w:val="CharSectno"/>
        </w:rPr>
        <w:t>63</w:t>
      </w:r>
      <w:r>
        <w:rPr>
          <w:snapToGrid w:val="0"/>
        </w:rPr>
        <w:t>.</w:t>
      </w:r>
      <w:r>
        <w:rPr>
          <w:snapToGrid w:val="0"/>
        </w:rPr>
        <w:tab/>
        <w:t>Protection from personal liability</w:t>
      </w:r>
      <w:bookmarkEnd w:id="264"/>
      <w:bookmarkEnd w:id="26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66" w:name="_Toc123282578"/>
      <w:bookmarkStart w:id="267" w:name="_Toc122517840"/>
      <w:r>
        <w:rPr>
          <w:rStyle w:val="CharSectno"/>
        </w:rPr>
        <w:t>64</w:t>
      </w:r>
      <w:r>
        <w:rPr>
          <w:snapToGrid w:val="0"/>
        </w:rPr>
        <w:t>.</w:t>
      </w:r>
      <w:r>
        <w:rPr>
          <w:snapToGrid w:val="0"/>
        </w:rPr>
        <w:tab/>
        <w:t>Proving appearance or non</w:t>
      </w:r>
      <w:r>
        <w:rPr>
          <w:snapToGrid w:val="0"/>
        </w:rPr>
        <w:noBreakHyphen/>
        <w:t>appearance by accused</w:t>
      </w:r>
      <w:bookmarkEnd w:id="266"/>
      <w:bookmarkEnd w:id="267"/>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68" w:name="_Toc123282579"/>
      <w:bookmarkStart w:id="269" w:name="_Toc122517841"/>
      <w:r>
        <w:rPr>
          <w:rStyle w:val="CharSectno"/>
        </w:rPr>
        <w:t>65</w:t>
      </w:r>
      <w:r>
        <w:rPr>
          <w:snapToGrid w:val="0"/>
        </w:rPr>
        <w:t>.</w:t>
      </w:r>
      <w:r>
        <w:rPr>
          <w:snapToGrid w:val="0"/>
        </w:rPr>
        <w:tab/>
        <w:t>Bail undertakings by child, effect of</w:t>
      </w:r>
      <w:bookmarkEnd w:id="268"/>
      <w:bookmarkEnd w:id="26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70" w:name="_Toc123282580"/>
      <w:bookmarkStart w:id="271" w:name="_Toc122517842"/>
      <w:r>
        <w:rPr>
          <w:rStyle w:val="CharSectno"/>
        </w:rPr>
        <w:t>66</w:t>
      </w:r>
      <w:r>
        <w:rPr>
          <w:snapToGrid w:val="0"/>
        </w:rPr>
        <w:t>.</w:t>
      </w:r>
      <w:r>
        <w:rPr>
          <w:snapToGrid w:val="0"/>
        </w:rPr>
        <w:tab/>
        <w:t>Other powers or duties to grant bail abolished</w:t>
      </w:r>
      <w:bookmarkEnd w:id="270"/>
      <w:bookmarkEnd w:id="27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72" w:name="_Toc123282581"/>
      <w:bookmarkStart w:id="273" w:name="_Toc122517843"/>
      <w:r>
        <w:rPr>
          <w:rStyle w:val="CharSectno"/>
        </w:rPr>
        <w:t>66A</w:t>
      </w:r>
      <w:r>
        <w:rPr>
          <w:snapToGrid w:val="0"/>
        </w:rPr>
        <w:t>.</w:t>
      </w:r>
      <w:r>
        <w:rPr>
          <w:snapToGrid w:val="0"/>
        </w:rPr>
        <w:tab/>
        <w:t>Delegation by registrar of court</w:t>
      </w:r>
      <w:bookmarkEnd w:id="272"/>
      <w:bookmarkEnd w:id="273"/>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74" w:name="_Toc123282582"/>
      <w:bookmarkStart w:id="275" w:name="_Toc122517844"/>
      <w:r>
        <w:rPr>
          <w:rStyle w:val="CharSectno"/>
        </w:rPr>
        <w:t>66B</w:t>
      </w:r>
      <w:r>
        <w:t>.</w:t>
      </w:r>
      <w:r>
        <w:tab/>
        <w:t>Video link or audio link, use of in bail proceedings</w:t>
      </w:r>
      <w:bookmarkEnd w:id="274"/>
      <w:bookmarkEnd w:id="275"/>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76" w:name="_Toc123282583"/>
      <w:bookmarkStart w:id="277" w:name="_Toc122517845"/>
      <w:r>
        <w:rPr>
          <w:rStyle w:val="CharSectno"/>
        </w:rPr>
        <w:t>66C</w:t>
      </w:r>
      <w:r>
        <w:t>.</w:t>
      </w:r>
      <w:r>
        <w:tab/>
        <w:t>Protection of terrorist intelligence information in bail proceedings</w:t>
      </w:r>
      <w:bookmarkEnd w:id="276"/>
      <w:bookmarkEnd w:id="277"/>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278" w:name="_Toc123282584"/>
      <w:bookmarkStart w:id="279" w:name="_Toc122517846"/>
      <w:r>
        <w:rPr>
          <w:rStyle w:val="CharSectno"/>
        </w:rPr>
        <w:t>66D</w:t>
      </w:r>
      <w:r>
        <w:t>.</w:t>
      </w:r>
      <w:r>
        <w:tab/>
        <w:t>Annual report to include information about application of s. 66C</w:t>
      </w:r>
      <w:bookmarkEnd w:id="278"/>
      <w:bookmarkEnd w:id="279"/>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280" w:name="_Toc123282585"/>
      <w:bookmarkStart w:id="281" w:name="_Toc122517847"/>
      <w:r>
        <w:rPr>
          <w:rStyle w:val="CharSectno"/>
        </w:rPr>
        <w:t>66E</w:t>
      </w:r>
      <w:r>
        <w:t>.</w:t>
      </w:r>
      <w:r>
        <w:tab/>
        <w:t>Retrieving monitoring equipment</w:t>
      </w:r>
      <w:bookmarkEnd w:id="280"/>
      <w:bookmarkEnd w:id="281"/>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282" w:name="_Toc123282586"/>
      <w:bookmarkStart w:id="283" w:name="_Toc122517848"/>
      <w:r>
        <w:rPr>
          <w:rStyle w:val="CharSectno"/>
        </w:rPr>
        <w:t>67</w:t>
      </w:r>
      <w:r>
        <w:rPr>
          <w:snapToGrid w:val="0"/>
        </w:rPr>
        <w:t>.</w:t>
      </w:r>
      <w:r>
        <w:rPr>
          <w:snapToGrid w:val="0"/>
        </w:rPr>
        <w:tab/>
        <w:t>Regulations</w:t>
      </w:r>
      <w:bookmarkEnd w:id="282"/>
      <w:bookmarkEnd w:id="28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284" w:name="_Toc123282587"/>
      <w:bookmarkStart w:id="285" w:name="_Toc122517849"/>
      <w:r>
        <w:rPr>
          <w:rStyle w:val="CharSectno"/>
        </w:rPr>
        <w:t>67A</w:t>
      </w:r>
      <w:r>
        <w:t>.</w:t>
      </w:r>
      <w:r>
        <w:tab/>
        <w:t xml:space="preserve">Review of amendments made by </w:t>
      </w:r>
      <w:r>
        <w:rPr>
          <w:i/>
        </w:rPr>
        <w:t>Bail Amendment (Persons Linked to Terrorism) Act 2019</w:t>
      </w:r>
      <w:bookmarkEnd w:id="284"/>
      <w:bookmarkEnd w:id="285"/>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6" w:name="_Toc113270923"/>
      <w:bookmarkStart w:id="287" w:name="_Toc113272684"/>
      <w:bookmarkStart w:id="288" w:name="_Toc113274079"/>
      <w:bookmarkStart w:id="289" w:name="_Toc115174221"/>
      <w:bookmarkStart w:id="290" w:name="_Toc115180850"/>
      <w:bookmarkStart w:id="291" w:name="_Toc122515607"/>
      <w:bookmarkStart w:id="292" w:name="_Toc122517850"/>
      <w:bookmarkStart w:id="293" w:name="_Toc123282588"/>
      <w:r>
        <w:rPr>
          <w:rStyle w:val="CharSchNo"/>
        </w:rPr>
        <w:t>Schedule 1</w:t>
      </w:r>
      <w:r>
        <w:t> — </w:t>
      </w:r>
      <w:r>
        <w:rPr>
          <w:rStyle w:val="CharSchText"/>
        </w:rPr>
        <w:t>Jurisdiction as to bail and related matters</w:t>
      </w:r>
      <w:bookmarkEnd w:id="286"/>
      <w:bookmarkEnd w:id="287"/>
      <w:bookmarkEnd w:id="288"/>
      <w:bookmarkEnd w:id="289"/>
      <w:bookmarkEnd w:id="290"/>
      <w:bookmarkEnd w:id="291"/>
      <w:bookmarkEnd w:id="292"/>
      <w:bookmarkEnd w:id="293"/>
    </w:p>
    <w:p>
      <w:pPr>
        <w:pStyle w:val="yShoulderClause"/>
      </w:pPr>
      <w:r>
        <w:t>[s. 13, 17]</w:t>
      </w:r>
    </w:p>
    <w:p>
      <w:pPr>
        <w:pStyle w:val="yFootnoteheading"/>
      </w:pPr>
      <w:r>
        <w:tab/>
        <w:t>[Heading inserted: No. 6 of 2008 s. 41(1).]</w:t>
      </w:r>
    </w:p>
    <w:p>
      <w:pPr>
        <w:pStyle w:val="yHeading3"/>
      </w:pPr>
      <w:bookmarkStart w:id="294" w:name="_Toc113270924"/>
      <w:bookmarkStart w:id="295" w:name="_Toc113272685"/>
      <w:bookmarkStart w:id="296" w:name="_Toc113274080"/>
      <w:bookmarkStart w:id="297" w:name="_Toc115174222"/>
      <w:bookmarkStart w:id="298" w:name="_Toc115180851"/>
      <w:bookmarkStart w:id="299" w:name="_Toc122515608"/>
      <w:bookmarkStart w:id="300" w:name="_Toc122517851"/>
      <w:bookmarkStart w:id="301" w:name="_Toc123282589"/>
      <w:r>
        <w:rPr>
          <w:rStyle w:val="CharSDivNo"/>
        </w:rPr>
        <w:t>Part A</w:t>
      </w:r>
      <w:r>
        <w:rPr>
          <w:b w:val="0"/>
        </w:rPr>
        <w:t> — </w:t>
      </w:r>
      <w:r>
        <w:rPr>
          <w:rStyle w:val="CharSDivText"/>
        </w:rPr>
        <w:t>Jurisdiction relating to bail</w:t>
      </w:r>
      <w:bookmarkEnd w:id="294"/>
      <w:bookmarkEnd w:id="295"/>
      <w:bookmarkEnd w:id="296"/>
      <w:bookmarkEnd w:id="297"/>
      <w:bookmarkEnd w:id="298"/>
      <w:bookmarkEnd w:id="299"/>
      <w:bookmarkEnd w:id="300"/>
      <w:bookmarkEnd w:id="301"/>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pPr>
            <w:bookmarkStart w:id="302" w:name="_Toc123282590"/>
            <w:bookmarkStart w:id="303" w:name="_Toc122517852"/>
            <w:r>
              <w:rPr>
                <w:rStyle w:val="CharSClsNo"/>
                <w:bCs/>
              </w:rPr>
              <w:t>1</w:t>
            </w:r>
            <w:r>
              <w:t xml:space="preserve">. </w:t>
            </w:r>
            <w:r>
              <w:rPr>
                <w:b w:val="0"/>
              </w:rPr>
              <w:tab/>
            </w:r>
            <w:r>
              <w:t>Initial appearance</w:t>
            </w:r>
            <w:bookmarkEnd w:id="302"/>
            <w:bookmarkEnd w:id="303"/>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pPr>
            <w:bookmarkStart w:id="304" w:name="_Toc123282591"/>
            <w:bookmarkStart w:id="305" w:name="_Toc122517853"/>
            <w:r>
              <w:rPr>
                <w:rStyle w:val="CharSClsNo"/>
                <w:bCs/>
              </w:rPr>
              <w:t>2</w:t>
            </w:r>
            <w:r>
              <w:t xml:space="preserve">. </w:t>
            </w:r>
            <w:r>
              <w:rPr>
                <w:b w:val="0"/>
              </w:rPr>
              <w:tab/>
            </w:r>
            <w:r>
              <w:rPr>
                <w:rStyle w:val="CharSClsNo"/>
                <w:bCs/>
              </w:rPr>
              <w:t>Appearance after adjournment</w:t>
            </w:r>
            <w:bookmarkEnd w:id="304"/>
            <w:bookmarkEnd w:id="305"/>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pPr>
            <w:bookmarkStart w:id="306" w:name="_Toc123282592"/>
            <w:bookmarkStart w:id="307" w:name="_Toc122517854"/>
            <w:r>
              <w:rPr>
                <w:rStyle w:val="CharSClsNo"/>
                <w:bCs/>
              </w:rPr>
              <w:t>3.</w:t>
            </w:r>
            <w:r>
              <w:t xml:space="preserve"> </w:t>
            </w:r>
            <w:r>
              <w:rPr>
                <w:b w:val="0"/>
              </w:rPr>
              <w:tab/>
            </w:r>
            <w:r>
              <w:rPr>
                <w:rStyle w:val="CharSClsNo"/>
                <w:bCs/>
              </w:rPr>
              <w:t>Appearance on committal to Supreme Court or District Court</w:t>
            </w:r>
            <w:bookmarkEnd w:id="306"/>
            <w:bookmarkEnd w:id="307"/>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pPr>
            <w:bookmarkStart w:id="308" w:name="_Toc123282593"/>
            <w:bookmarkStart w:id="309" w:name="_Toc122517855"/>
            <w:r>
              <w:rPr>
                <w:rStyle w:val="CharSClsNo"/>
                <w:bCs/>
              </w:rPr>
              <w:t>4</w:t>
            </w:r>
            <w:r>
              <w:t xml:space="preserve">. </w:t>
            </w:r>
            <w:r>
              <w:tab/>
            </w:r>
            <w:r>
              <w:rPr>
                <w:rStyle w:val="CharSClsNo"/>
                <w:bCs/>
              </w:rPr>
              <w:t>Appearance in connection with appeal, rehearing etc.</w:t>
            </w:r>
            <w:bookmarkEnd w:id="308"/>
            <w:bookmarkEnd w:id="309"/>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pPr>
            <w:bookmarkStart w:id="310" w:name="_Toc123282594"/>
            <w:bookmarkStart w:id="311" w:name="_Toc122517856"/>
            <w:r>
              <w:rPr>
                <w:rStyle w:val="CharSClsNo"/>
                <w:bCs/>
              </w:rPr>
              <w:t>5</w:t>
            </w:r>
            <w:r>
              <w:t xml:space="preserve">. </w:t>
            </w:r>
            <w:r>
              <w:tab/>
            </w:r>
            <w:r>
              <w:rPr>
                <w:rStyle w:val="CharSClsNo"/>
                <w:bCs/>
              </w:rPr>
              <w:t>Appearance prescribed by regulation</w:t>
            </w:r>
            <w:bookmarkEnd w:id="310"/>
            <w:bookmarkEnd w:id="311"/>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rPr>
                <w:b w:val="0"/>
              </w:rPr>
            </w:pPr>
            <w:bookmarkStart w:id="312" w:name="_Toc123282595"/>
            <w:bookmarkStart w:id="313" w:name="_Toc122517857"/>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312"/>
            <w:bookmarkEnd w:id="313"/>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pPr>
      <w:bookmarkStart w:id="314" w:name="_Toc123282596"/>
      <w:bookmarkStart w:id="315" w:name="_Toc122517858"/>
      <w:r>
        <w:rPr>
          <w:rStyle w:val="CharSClsNo"/>
        </w:rPr>
        <w:t>7</w:t>
      </w:r>
      <w:r>
        <w:t>.</w:t>
      </w:r>
      <w:r>
        <w:rPr>
          <w:b w:val="0"/>
        </w:rPr>
        <w:tab/>
      </w:r>
      <w:r>
        <w:t>Term used: proceedings for an offence</w:t>
      </w:r>
      <w:bookmarkEnd w:id="314"/>
      <w:bookmarkEnd w:id="31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pPr>
      <w:bookmarkStart w:id="316" w:name="_Toc113270932"/>
      <w:bookmarkStart w:id="317" w:name="_Toc113272693"/>
      <w:bookmarkStart w:id="318" w:name="_Toc113274088"/>
      <w:bookmarkStart w:id="319" w:name="_Toc115174230"/>
      <w:bookmarkStart w:id="320" w:name="_Toc115180859"/>
      <w:bookmarkStart w:id="321" w:name="_Toc122515616"/>
      <w:bookmarkStart w:id="322" w:name="_Toc122517859"/>
      <w:bookmarkStart w:id="323" w:name="_Toc123282597"/>
      <w:r>
        <w:rPr>
          <w:rStyle w:val="CharSDivNo"/>
        </w:rPr>
        <w:t>Part B</w:t>
      </w:r>
      <w:r>
        <w:rPr>
          <w:b w:val="0"/>
        </w:rPr>
        <w:t> — </w:t>
      </w:r>
      <w:r>
        <w:rPr>
          <w:rStyle w:val="CharSDivText"/>
        </w:rPr>
        <w:t>Cessation of powers relating to bail</w:t>
      </w:r>
      <w:bookmarkEnd w:id="316"/>
      <w:bookmarkEnd w:id="317"/>
      <w:bookmarkEnd w:id="318"/>
      <w:bookmarkEnd w:id="319"/>
      <w:bookmarkEnd w:id="320"/>
      <w:bookmarkEnd w:id="321"/>
      <w:bookmarkEnd w:id="322"/>
      <w:bookmarkEnd w:id="323"/>
    </w:p>
    <w:p>
      <w:pPr>
        <w:pStyle w:val="yFootnoteheading"/>
        <w:keepNext/>
        <w:keepLines/>
      </w:pPr>
      <w:r>
        <w:tab/>
        <w:t>[Heading inserted: No. 6 of 2008 s. 41(3)(a).]</w:t>
      </w:r>
    </w:p>
    <w:p>
      <w:pPr>
        <w:pStyle w:val="yHeading5"/>
      </w:pPr>
      <w:bookmarkStart w:id="324" w:name="_Toc123282598"/>
      <w:bookmarkStart w:id="325" w:name="_Toc122517860"/>
      <w:r>
        <w:rPr>
          <w:rStyle w:val="CharSClsNo"/>
        </w:rPr>
        <w:t>1</w:t>
      </w:r>
      <w:r>
        <w:t>.</w:t>
      </w:r>
      <w:r>
        <w:tab/>
        <w:t>Upon decision by judge, power of other officers ceases</w:t>
      </w:r>
      <w:bookmarkEnd w:id="324"/>
      <w:bookmarkEnd w:id="32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326" w:name="_Toc123282599"/>
      <w:bookmarkStart w:id="327" w:name="_Toc122517861"/>
      <w:r>
        <w:rPr>
          <w:rStyle w:val="CharSClsNo"/>
        </w:rPr>
        <w:t>1A</w:t>
      </w:r>
      <w:r>
        <w:rPr>
          <w:snapToGrid w:val="0"/>
        </w:rPr>
        <w:t>.</w:t>
      </w:r>
      <w:r>
        <w:rPr>
          <w:b w:val="0"/>
          <w:snapToGrid w:val="0"/>
        </w:rPr>
        <w:tab/>
      </w:r>
      <w:r>
        <w:rPr>
          <w:snapToGrid w:val="0"/>
        </w:rPr>
        <w:t>Upon decision by Court of Appeal, other powers cease</w:t>
      </w:r>
      <w:bookmarkEnd w:id="326"/>
      <w:bookmarkEnd w:id="32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328" w:name="_Toc123282600"/>
      <w:bookmarkStart w:id="329" w:name="_Toc122517862"/>
      <w:r>
        <w:rPr>
          <w:rStyle w:val="CharSClsNo"/>
        </w:rPr>
        <w:t>2</w:t>
      </w:r>
      <w:r>
        <w:t>.</w:t>
      </w:r>
      <w:r>
        <w:tab/>
        <w:t>Upon decision by judicial officer, his power and that of his peers ceases</w:t>
      </w:r>
      <w:bookmarkEnd w:id="328"/>
      <w:bookmarkEnd w:id="329"/>
      <w: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330" w:name="_Toc123282601"/>
      <w:bookmarkStart w:id="331" w:name="_Toc122517863"/>
      <w:r>
        <w:rPr>
          <w:rStyle w:val="CharSClsNo"/>
        </w:rPr>
        <w:t>3</w:t>
      </w:r>
      <w:r>
        <w:t>.</w:t>
      </w:r>
      <w:r>
        <w:tab/>
        <w:t>Upon refusal of bail for initial appearance, certain powers cease</w:t>
      </w:r>
      <w:bookmarkEnd w:id="330"/>
      <w:bookmarkEnd w:id="331"/>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332" w:name="_Toc123282602"/>
      <w:bookmarkStart w:id="333" w:name="_Toc122517864"/>
      <w:r>
        <w:rPr>
          <w:rStyle w:val="CharSClsNo"/>
        </w:rPr>
        <w:t>4</w:t>
      </w:r>
      <w:r>
        <w:t>.</w:t>
      </w:r>
      <w:r>
        <w:tab/>
        <w:t>Judicial officer’s powers if accused proves new facts or changed circumstances</w:t>
      </w:r>
      <w:bookmarkEnd w:id="332"/>
      <w:bookmarkEnd w:id="333"/>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pPr>
      <w:bookmarkStart w:id="334" w:name="_Toc113270938"/>
      <w:bookmarkStart w:id="335" w:name="_Toc113272699"/>
      <w:bookmarkStart w:id="336" w:name="_Toc113274094"/>
      <w:bookmarkStart w:id="337" w:name="_Toc115174236"/>
      <w:bookmarkStart w:id="338" w:name="_Toc115180865"/>
      <w:bookmarkStart w:id="339" w:name="_Toc122515622"/>
      <w:bookmarkStart w:id="340" w:name="_Toc122517865"/>
      <w:bookmarkStart w:id="341" w:name="_Toc123282603"/>
      <w:r>
        <w:rPr>
          <w:rStyle w:val="CharSDivNo"/>
        </w:rPr>
        <w:t>Part C</w:t>
      </w:r>
      <w:r>
        <w:t> — </w:t>
      </w:r>
      <w:r>
        <w:rPr>
          <w:rStyle w:val="CharSDivText"/>
        </w:rPr>
        <w:t>Manner in which jurisdiction to be exercised</w:t>
      </w:r>
      <w:bookmarkEnd w:id="334"/>
      <w:bookmarkEnd w:id="335"/>
      <w:bookmarkEnd w:id="336"/>
      <w:bookmarkEnd w:id="337"/>
      <w:bookmarkEnd w:id="338"/>
      <w:bookmarkEnd w:id="339"/>
      <w:bookmarkEnd w:id="340"/>
      <w:bookmarkEnd w:id="341"/>
    </w:p>
    <w:p>
      <w:pPr>
        <w:pStyle w:val="yFootnoteheading"/>
      </w:pPr>
      <w:r>
        <w:tab/>
        <w:t>[Heading deleted: No. 6 of 2008 s. 41(4)(a).]</w:t>
      </w:r>
    </w:p>
    <w:p>
      <w:pPr>
        <w:pStyle w:val="yHeading5"/>
      </w:pPr>
      <w:bookmarkStart w:id="342" w:name="_Toc113276521"/>
      <w:bookmarkStart w:id="343" w:name="_Toc123282604"/>
      <w:bookmarkStart w:id="344" w:name="_Toc122517866"/>
      <w:r>
        <w:rPr>
          <w:rStyle w:val="CharSClsNo"/>
        </w:rPr>
        <w:t>1A</w:t>
      </w:r>
      <w:r>
        <w:t>.</w:t>
      </w:r>
      <w:r>
        <w:tab/>
        <w:t>Terms used</w:t>
      </w:r>
      <w:bookmarkEnd w:id="342"/>
      <w:bookmarkEnd w:id="343"/>
      <w:bookmarkEnd w:id="344"/>
    </w:p>
    <w:p>
      <w:pPr>
        <w:pStyle w:val="ySubsection"/>
      </w:pPr>
      <w:r>
        <w:tab/>
      </w:r>
      <w:r>
        <w:tab/>
        <w:t xml:space="preserve">In this Part — </w:t>
      </w:r>
    </w:p>
    <w:p>
      <w:pPr>
        <w:pStyle w:val="yDefstart"/>
      </w:pPr>
      <w:r>
        <w:tab/>
      </w:r>
      <w:r>
        <w:rPr>
          <w:rStyle w:val="CharDefText"/>
        </w:rPr>
        <w:t>child victim</w:t>
      </w:r>
      <w:r>
        <w:t xml:space="preserve">, in relation to a discretion to grant bail, means a person — </w:t>
      </w:r>
    </w:p>
    <w:p>
      <w:pPr>
        <w:pStyle w:val="yDefpara"/>
      </w:pPr>
      <w:r>
        <w:tab/>
        <w:t>(a)</w:t>
      </w:r>
      <w:r>
        <w:tab/>
        <w:t>against whom a relevant offence is alleged to have been committed; and</w:t>
      </w:r>
    </w:p>
    <w:p>
      <w:pPr>
        <w:pStyle w:val="yDefpara"/>
      </w:pPr>
      <w:r>
        <w:tab/>
        <w:t>(b)</w:t>
      </w:r>
      <w:r>
        <w:tab/>
        <w:t>who is under 18 years of age when the discretion is to be exercised;</w:t>
      </w:r>
    </w:p>
    <w:p>
      <w:pPr>
        <w:pStyle w:val="yDefstart"/>
      </w:pPr>
      <w:r>
        <w:tab/>
      </w:r>
      <w:r>
        <w:rPr>
          <w:rStyle w:val="CharDefText"/>
        </w:rPr>
        <w:t>family member</w:t>
      </w:r>
      <w:r>
        <w:t xml:space="preserve"> has the meaning given in the </w:t>
      </w:r>
      <w:r>
        <w:rPr>
          <w:i/>
        </w:rPr>
        <w:t>Restraining Orders Act 1997</w:t>
      </w:r>
      <w:r>
        <w:t xml:space="preserve"> section 4(3);</w:t>
      </w:r>
    </w:p>
    <w:p>
      <w:pPr>
        <w:pStyle w:val="yDefstart"/>
      </w:pPr>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p>
    <w:p>
      <w:pPr>
        <w:pStyle w:val="yDefstart"/>
      </w:pPr>
      <w:r>
        <w:tab/>
      </w:r>
      <w:r>
        <w:rPr>
          <w:rStyle w:val="CharDefText"/>
        </w:rPr>
        <w:t>relevant offence</w:t>
      </w:r>
      <w:r>
        <w:t xml:space="preserve">, in relation to a discretion to grant bail, means an offence — </w:t>
      </w:r>
    </w:p>
    <w:p>
      <w:pPr>
        <w:pStyle w:val="yDefpara"/>
      </w:pPr>
      <w:r>
        <w:tab/>
        <w:t>(a)</w:t>
      </w:r>
      <w:r>
        <w:tab/>
        <w:t>in connection with which the accused is, at the time the discretion is to be exercised, in custody awaiting an appearance in court before conviction; and</w:t>
      </w:r>
    </w:p>
    <w:p>
      <w:pPr>
        <w:pStyle w:val="yDefpara"/>
      </w:pPr>
      <w:r>
        <w:tab/>
        <w:t>(b)</w:t>
      </w:r>
      <w:r>
        <w:tab/>
        <w:t>in the course of proceedings relating to which the discretion to grant bail arises.</w:t>
      </w:r>
    </w:p>
    <w:p>
      <w:pPr>
        <w:pStyle w:val="yFootnotesection"/>
      </w:pPr>
      <w:r>
        <w:tab/>
        <w:t>[Clause 1A inserted: No. 29 of 2022 s. 7.]</w:t>
      </w:r>
    </w:p>
    <w:p>
      <w:pPr>
        <w:pStyle w:val="yHeading5"/>
        <w:spacing w:before="160"/>
        <w:rPr>
          <w:snapToGrid w:val="0"/>
        </w:rPr>
      </w:pPr>
      <w:bookmarkStart w:id="345" w:name="_Toc123282605"/>
      <w:bookmarkStart w:id="346" w:name="_Toc122517867"/>
      <w:r>
        <w:rPr>
          <w:rStyle w:val="CharSClsNo"/>
        </w:rPr>
        <w:t>1</w:t>
      </w:r>
      <w:r>
        <w:rPr>
          <w:snapToGrid w:val="0"/>
        </w:rPr>
        <w:t>.</w:t>
      </w:r>
      <w:r>
        <w:rPr>
          <w:snapToGrid w:val="0"/>
        </w:rPr>
        <w:tab/>
        <w:t>Bail before conviction at discretion of court or judicial officer except for child</w:t>
      </w:r>
      <w:bookmarkEnd w:id="345"/>
      <w:bookmarkEnd w:id="346"/>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347" w:name="_Toc123282606"/>
      <w:bookmarkStart w:id="348" w:name="_Toc122517868"/>
      <w:r>
        <w:rPr>
          <w:rStyle w:val="CharSClsNo"/>
        </w:rPr>
        <w:t>2</w:t>
      </w:r>
      <w:r>
        <w:rPr>
          <w:snapToGrid w:val="0"/>
        </w:rPr>
        <w:t>.</w:t>
      </w:r>
      <w:r>
        <w:rPr>
          <w:snapToGrid w:val="0"/>
        </w:rPr>
        <w:tab/>
        <w:t>Child to have qualified right to bail</w:t>
      </w:r>
      <w:bookmarkEnd w:id="347"/>
      <w:bookmarkEnd w:id="348"/>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pPr>
      <w:bookmarkStart w:id="349" w:name="_Toc113276523"/>
      <w:bookmarkStart w:id="350" w:name="_Toc123282607"/>
      <w:bookmarkStart w:id="351" w:name="_Toc122517869"/>
      <w:r>
        <w:rPr>
          <w:rStyle w:val="CharSClsNo"/>
        </w:rPr>
        <w:t>3</w:t>
      </w:r>
      <w:r>
        <w:t>.</w:t>
      </w:r>
      <w:r>
        <w:tab/>
        <w:t>Matters relevant to cl. 1(a)</w:t>
      </w:r>
      <w:bookmarkEnd w:id="349"/>
      <w:bookmarkEnd w:id="350"/>
      <w:bookmarkEnd w:id="351"/>
      <w:r>
        <w:t xml:space="preserve"> </w:t>
      </w:r>
    </w:p>
    <w:p>
      <w:pPr>
        <w:pStyle w:val="ySubsection"/>
      </w:pPr>
      <w:r>
        <w:tab/>
      </w:r>
      <w:r>
        <w:tab/>
        <w:t xml:space="preserve">In considering whether an accused may do any of the things mentioned in clause 1(a), the judicial officer or authorised officer must have regard to the following matters — </w:t>
      </w:r>
    </w:p>
    <w:p>
      <w:pPr>
        <w:pStyle w:val="yIndenta"/>
      </w:pPr>
      <w:r>
        <w:tab/>
        <w:t>(a)</w:t>
      </w:r>
      <w:r>
        <w:tab/>
        <w:t>in relation to each relevant offence — the strength of the evidence against the accused;</w:t>
      </w:r>
    </w:p>
    <w:p>
      <w:pPr>
        <w:pStyle w:val="yIndenta"/>
      </w:pPr>
      <w:r>
        <w:tab/>
        <w:t>(b)</w:t>
      </w:r>
      <w:r>
        <w:tab/>
        <w:t xml:space="preserve">in relation to each pending offence — </w:t>
      </w:r>
    </w:p>
    <w:p>
      <w:pPr>
        <w:pStyle w:val="yIndenti0"/>
      </w:pPr>
      <w:r>
        <w:tab/>
        <w:t>(i)</w:t>
      </w:r>
      <w:r>
        <w:tab/>
        <w:t>the nature and seriousness of the offence; and</w:t>
      </w:r>
    </w:p>
    <w:p>
      <w:pPr>
        <w:pStyle w:val="yIndenti0"/>
      </w:pPr>
      <w:r>
        <w:tab/>
        <w:t>(ii)</w:t>
      </w:r>
      <w:r>
        <w:tab/>
        <w:t>the probable method of dealing with the accused for the offence, if convicted;</w:t>
      </w:r>
    </w:p>
    <w:p>
      <w:pPr>
        <w:pStyle w:val="yIndenta"/>
      </w:pPr>
      <w:r>
        <w:tab/>
        <w:t>(c)</w:t>
      </w:r>
      <w:r>
        <w:tab/>
        <w:t xml:space="preserve">in relation to each pending offence and each offence of which the accused has previously been convicted — the conduct of the accused, after the time or alleged time of the offence, towards — </w:t>
      </w:r>
    </w:p>
    <w:p>
      <w:pPr>
        <w:pStyle w:val="yIndenti0"/>
      </w:pPr>
      <w:r>
        <w:tab/>
        <w:t>(i)</w:t>
      </w:r>
      <w:r>
        <w:tab/>
        <w:t>any person against whom it was, or was alleged to have been, committed; and</w:t>
      </w:r>
    </w:p>
    <w:p>
      <w:pPr>
        <w:pStyle w:val="yIndenti0"/>
      </w:pPr>
      <w:r>
        <w:tab/>
        <w:t>(ii)</w:t>
      </w:r>
      <w:r>
        <w:tab/>
        <w:t>any family member of such a person;</w:t>
      </w:r>
    </w:p>
    <w:p>
      <w:pPr>
        <w:pStyle w:val="yIndenta"/>
      </w:pPr>
      <w:r>
        <w:tab/>
        <w:t>(d)</w:t>
      </w:r>
      <w:r>
        <w:tab/>
        <w:t>the character, previous convictions, antecedents, associations, home environment, background, place of residence, and financial position of the accused;</w:t>
      </w:r>
    </w:p>
    <w:p>
      <w:pPr>
        <w:pStyle w:val="yIndenta"/>
      </w:pPr>
      <w:r>
        <w:tab/>
        <w:t>(e)</w:t>
      </w:r>
      <w:r>
        <w:tab/>
        <w:t>the history of any previous grants of bail to the accused;</w:t>
      </w:r>
    </w:p>
    <w:p>
      <w:pPr>
        <w:pStyle w:val="yIndenta"/>
      </w:pPr>
      <w:r>
        <w:tab/>
        <w:t>(f)</w:t>
      </w:r>
      <w:r>
        <w:tab/>
        <w:t>any other matter which the officer considers relevant.</w:t>
      </w:r>
    </w:p>
    <w:p>
      <w:pPr>
        <w:pStyle w:val="yFootnotesection"/>
      </w:pPr>
      <w:bookmarkStart w:id="352" w:name="_Toc113276524"/>
      <w:r>
        <w:tab/>
        <w:t>[Clause 3 inserted: No. 29 of 2022 s. 8.]</w:t>
      </w:r>
    </w:p>
    <w:p>
      <w:pPr>
        <w:pStyle w:val="yHeading5"/>
      </w:pPr>
      <w:bookmarkStart w:id="353" w:name="_Toc123282608"/>
      <w:bookmarkStart w:id="354" w:name="_Toc122517870"/>
      <w:r>
        <w:rPr>
          <w:rStyle w:val="CharSClsNo"/>
        </w:rPr>
        <w:t>3AA</w:t>
      </w:r>
      <w:r>
        <w:t>.</w:t>
      </w:r>
      <w:r>
        <w:tab/>
        <w:t>Additional relevant matters in cases of sexual offences against child victims</w:t>
      </w:r>
      <w:bookmarkEnd w:id="352"/>
      <w:bookmarkEnd w:id="353"/>
      <w:bookmarkEnd w:id="354"/>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the accused is not a child.</w:t>
      </w:r>
    </w:p>
    <w:p>
      <w:pPr>
        <w:pStyle w:val="ySubsection"/>
      </w:pPr>
      <w:r>
        <w:tab/>
        <w:t>(2)</w:t>
      </w:r>
      <w:r>
        <w:tab/>
        <w:t>In considering under clause 1(a)(iii) whether the accused, if not kept in custody, may endanger the safety or welfare of the child victim, the judicial officer or authorised officer must have regard to the matters mentioned in subclause (3).</w:t>
      </w:r>
    </w:p>
    <w:p>
      <w:pPr>
        <w:pStyle w:val="ySubsection"/>
      </w:pPr>
      <w:r>
        <w:tab/>
        <w:t>(3)</w:t>
      </w:r>
      <w:r>
        <w:tab/>
        <w:t xml:space="preserve">The matters are the following — </w:t>
      </w:r>
    </w:p>
    <w:p>
      <w:pPr>
        <w:pStyle w:val="yIndenta"/>
      </w:pPr>
      <w:r>
        <w:tab/>
        <w:t>(a)</w:t>
      </w:r>
      <w:r>
        <w:tab/>
        <w:t>the age of the child victim;</w:t>
      </w:r>
    </w:p>
    <w:p>
      <w:pPr>
        <w:pStyle w:val="yIndenta"/>
      </w:pPr>
      <w:r>
        <w:tab/>
        <w:t>(b)</w:t>
      </w:r>
      <w:r>
        <w:tab/>
        <w:t>the age of the accused;</w:t>
      </w:r>
    </w:p>
    <w:p>
      <w:pPr>
        <w:pStyle w:val="yIndenta"/>
      </w:pPr>
      <w:r>
        <w:tab/>
        <w:t>(c)</w:t>
      </w:r>
      <w:r>
        <w:tab/>
        <w:t>whether the child victim is in a family relationship with the accused;</w:t>
      </w:r>
    </w:p>
    <w:p>
      <w:pPr>
        <w:pStyle w:val="yIndenta"/>
      </w:pPr>
      <w:r>
        <w:tab/>
        <w:t>(d)</w:t>
      </w:r>
      <w:r>
        <w:tab/>
        <w:t>the living arrangements of the child victim and of the accused;</w:t>
      </w:r>
    </w:p>
    <w:p>
      <w:pPr>
        <w:pStyle w:val="yIndenta"/>
      </w:pPr>
      <w:r>
        <w:tab/>
        <w:t>(e)</w:t>
      </w:r>
      <w:r>
        <w:tab/>
        <w:t xml:space="preserve">the importance of safety, continuity, security and stability in the child victim’s — </w:t>
      </w:r>
    </w:p>
    <w:p>
      <w:pPr>
        <w:pStyle w:val="yIndenti0"/>
      </w:pPr>
      <w:r>
        <w:tab/>
        <w:t>(i)</w:t>
      </w:r>
      <w:r>
        <w:tab/>
        <w:t>living arrangements; and</w:t>
      </w:r>
    </w:p>
    <w:p>
      <w:pPr>
        <w:pStyle w:val="yIndenti0"/>
      </w:pPr>
      <w:r>
        <w:tab/>
        <w:t>(ii)</w:t>
      </w:r>
      <w:r>
        <w:tab/>
        <w:t>family and community relationships;</w:t>
      </w:r>
    </w:p>
    <w:p>
      <w:pPr>
        <w:pStyle w:val="yIndenta"/>
      </w:pPr>
      <w:r>
        <w:tab/>
        <w:t>(f)</w:t>
      </w:r>
      <w:r>
        <w:tab/>
        <w:t>the physical and emotional wellbeing of the child victim.</w:t>
      </w:r>
    </w:p>
    <w:p>
      <w:pPr>
        <w:pStyle w:val="PermNoteHeading"/>
      </w:pPr>
      <w:r>
        <w:tab/>
        <w:t xml:space="preserve">Note for this clause: </w:t>
      </w:r>
    </w:p>
    <w:p>
      <w:pPr>
        <w:pStyle w:val="PermNoteText"/>
      </w:pPr>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p>
    <w:p>
      <w:pPr>
        <w:pStyle w:val="yFootnotesection"/>
      </w:pPr>
      <w:bookmarkStart w:id="355" w:name="_Toc113276525"/>
      <w:r>
        <w:tab/>
        <w:t>[Clause 3AA inserted: No. 29 of 2022 s. 8.]</w:t>
      </w:r>
    </w:p>
    <w:p>
      <w:pPr>
        <w:pStyle w:val="yHeading5"/>
      </w:pPr>
      <w:bookmarkStart w:id="356" w:name="_Toc123282609"/>
      <w:bookmarkStart w:id="357" w:name="_Toc122517871"/>
      <w:r>
        <w:rPr>
          <w:rStyle w:val="CharSClsNo"/>
        </w:rPr>
        <w:t>3AB</w:t>
      </w:r>
      <w:r>
        <w:t>.</w:t>
      </w:r>
      <w:r>
        <w:tab/>
        <w:t>Concerns of child victims</w:t>
      </w:r>
      <w:bookmarkEnd w:id="355"/>
      <w:bookmarkEnd w:id="356"/>
      <w:bookmarkEnd w:id="357"/>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 xml:space="preserve">either — </w:t>
      </w:r>
    </w:p>
    <w:p>
      <w:pPr>
        <w:pStyle w:val="yIndenti0"/>
      </w:pPr>
      <w:r>
        <w:tab/>
        <w:t>(i)</w:t>
      </w:r>
      <w:r>
        <w:tab/>
        <w:t>the child victim expresses concern to the prosecutor that the accused, if not kept in custody, may endanger the safety or welfare of the child victim; or</w:t>
      </w:r>
    </w:p>
    <w:p>
      <w:pPr>
        <w:pStyle w:val="yIndenti0"/>
      </w:pPr>
      <w:r>
        <w:tab/>
        <w:t>(ii)</w:t>
      </w:r>
      <w:r>
        <w:tab/>
        <w:t>a family member of the child victim or a police officer investigating the relevant offence informs the prosecutor that the child victim has expressed that concern;</w:t>
      </w:r>
    </w:p>
    <w:p>
      <w:pPr>
        <w:pStyle w:val="yIndenta"/>
      </w:pPr>
      <w:r>
        <w:tab/>
      </w:r>
      <w:r>
        <w:tab/>
        <w:t>and</w:t>
      </w:r>
    </w:p>
    <w:p>
      <w:pPr>
        <w:pStyle w:val="yIndenta"/>
      </w:pPr>
      <w:r>
        <w:tab/>
        <w:t>(c)</w:t>
      </w:r>
      <w:r>
        <w:tab/>
        <w:t>the accused is not a child.</w:t>
      </w:r>
    </w:p>
    <w:p>
      <w:pPr>
        <w:pStyle w:val="ySubsection"/>
      </w:pPr>
      <w:r>
        <w:tab/>
        <w:t>(2)</w:t>
      </w:r>
      <w:r>
        <w:tab/>
        <w:t>The prosecutor must inform the judicial officer or authorised officer about —</w:t>
      </w:r>
    </w:p>
    <w:p>
      <w:pPr>
        <w:pStyle w:val="yIndenta"/>
      </w:pPr>
      <w:r>
        <w:tab/>
        <w:t>(a)</w:t>
      </w:r>
      <w:r>
        <w:tab/>
        <w:t>the child victim’s expression of concern; and</w:t>
      </w:r>
    </w:p>
    <w:p>
      <w:pPr>
        <w:pStyle w:val="yIndenta"/>
      </w:pPr>
      <w:r>
        <w:tab/>
        <w:t>(b)</w:t>
      </w:r>
      <w:r>
        <w:tab/>
        <w:t>so far as practicable, the reasons for that concern.</w:t>
      </w:r>
    </w:p>
    <w:p>
      <w:pPr>
        <w:pStyle w:val="ySubsection"/>
      </w:pPr>
      <w:r>
        <w:tab/>
        <w:t>(3)</w:t>
      </w:r>
      <w:r>
        <w:tab/>
        <w:t>In considering under clause 1(a)(iii) whether the accused, if not kept in custody, may endanger the safety or welfare of the child victim, the judicial officer or authorised officer must have regard to that information.</w:t>
      </w:r>
    </w:p>
    <w:p>
      <w:pPr>
        <w:pStyle w:val="yFootnotesection"/>
      </w:pPr>
      <w:r>
        <w:tab/>
        <w:t>[Clause 3AB inserted: No. 29 of 2022 s. 8.]</w:t>
      </w:r>
    </w:p>
    <w:p>
      <w:pPr>
        <w:pStyle w:val="yHeading5"/>
        <w:spacing w:before="240"/>
        <w:rPr>
          <w:snapToGrid w:val="0"/>
        </w:rPr>
      </w:pPr>
      <w:bookmarkStart w:id="358" w:name="_Toc123282610"/>
      <w:bookmarkStart w:id="359" w:name="_Toc122517872"/>
      <w:r>
        <w:rPr>
          <w:rStyle w:val="CharSClsNo"/>
        </w:rPr>
        <w:t>3A</w:t>
      </w:r>
      <w:r>
        <w:rPr>
          <w:snapToGrid w:val="0"/>
        </w:rPr>
        <w:t>.</w:t>
      </w:r>
      <w:r>
        <w:rPr>
          <w:snapToGrid w:val="0"/>
        </w:rPr>
        <w:tab/>
        <w:t>Bail for accused charged with serious offence committed while on bail or early release for another serious offence</w:t>
      </w:r>
      <w:bookmarkEnd w:id="358"/>
      <w:bookmarkEnd w:id="359"/>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60" w:name="_Toc123282611"/>
      <w:bookmarkStart w:id="361" w:name="_Toc122517873"/>
      <w:r>
        <w:rPr>
          <w:rStyle w:val="CharSClsNo"/>
        </w:rPr>
        <w:t>3B</w:t>
      </w:r>
      <w:r>
        <w:t>.</w:t>
      </w:r>
      <w:r>
        <w:tab/>
        <w:t>Exceptional reasons under cl. 3A(1), determining</w:t>
      </w:r>
      <w:bookmarkEnd w:id="360"/>
      <w:bookmarkEnd w:id="361"/>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62" w:name="_Toc123282612"/>
      <w:bookmarkStart w:id="363" w:name="_Toc122517874"/>
      <w:r>
        <w:rPr>
          <w:rStyle w:val="CharSClsNo"/>
        </w:rPr>
        <w:t>3C</w:t>
      </w:r>
      <w:r>
        <w:rPr>
          <w:snapToGrid w:val="0"/>
        </w:rPr>
        <w:t>.</w:t>
      </w:r>
      <w:r>
        <w:rPr>
          <w:snapToGrid w:val="0"/>
        </w:rPr>
        <w:tab/>
        <w:t>Bail in murder cases</w:t>
      </w:r>
      <w:bookmarkEnd w:id="362"/>
      <w:bookmarkEnd w:id="363"/>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64" w:name="_Toc123282613"/>
      <w:bookmarkStart w:id="365" w:name="_Toc122517875"/>
      <w:r>
        <w:rPr>
          <w:rStyle w:val="CharSClsNo"/>
        </w:rPr>
        <w:t>3D</w:t>
      </w:r>
      <w:r>
        <w:t>.</w:t>
      </w:r>
      <w:r>
        <w:tab/>
        <w:t xml:space="preserve">Bail in cases under </w:t>
      </w:r>
      <w:r>
        <w:rPr>
          <w:i/>
        </w:rPr>
        <w:t>High Risk Serious Offenders Act 2020</w:t>
      </w:r>
      <w:r>
        <w:t xml:space="preserve"> section 80(1)</w:t>
      </w:r>
      <w:bookmarkEnd w:id="364"/>
      <w:bookmarkEnd w:id="365"/>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366" w:name="_Toc123282614"/>
      <w:bookmarkStart w:id="367" w:name="_Toc122517876"/>
      <w:r>
        <w:rPr>
          <w:rStyle w:val="CharSClsNo"/>
        </w:rPr>
        <w:t>3E</w:t>
      </w:r>
      <w:r>
        <w:t>.</w:t>
      </w:r>
      <w:r>
        <w:tab/>
        <w:t>Bail in cases of person linked to terrorism</w:t>
      </w:r>
      <w:bookmarkEnd w:id="366"/>
      <w:bookmarkEnd w:id="367"/>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368" w:name="_Toc123282615"/>
      <w:bookmarkStart w:id="369" w:name="_Toc122517877"/>
      <w:r>
        <w:rPr>
          <w:rStyle w:val="CharSClsNo"/>
        </w:rPr>
        <w:t>3F</w:t>
      </w:r>
      <w:r>
        <w:t>.</w:t>
      </w:r>
      <w:r>
        <w:tab/>
        <w:t>Bail in cases of family violence offence involving serial family violence offender</w:t>
      </w:r>
      <w:bookmarkEnd w:id="368"/>
      <w:bookmarkEnd w:id="369"/>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370" w:name="_Toc123282616"/>
      <w:bookmarkStart w:id="371" w:name="_Toc122517878"/>
      <w:r>
        <w:rPr>
          <w:rStyle w:val="CharSClsNo"/>
        </w:rPr>
        <w:t>4</w:t>
      </w:r>
      <w:r>
        <w:t>.</w:t>
      </w:r>
      <w:r>
        <w:rPr>
          <w:b w:val="0"/>
        </w:rPr>
        <w:tab/>
      </w:r>
      <w:r>
        <w:t>Bail after conviction for accused awaiting sentence</w:t>
      </w:r>
      <w:bookmarkEnd w:id="370"/>
      <w:bookmarkEnd w:id="371"/>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372" w:name="_Toc123282617"/>
      <w:bookmarkStart w:id="373" w:name="_Toc122517879"/>
      <w:r>
        <w:rPr>
          <w:rStyle w:val="CharSClsNo"/>
        </w:rPr>
        <w:t>4A</w:t>
      </w:r>
      <w:r>
        <w:t>.</w:t>
      </w:r>
      <w:r>
        <w:rPr>
          <w:b w:val="0"/>
        </w:rPr>
        <w:tab/>
      </w:r>
      <w:r>
        <w:t>Bail after conviction for accused awaiting disposal of appeal</w:t>
      </w:r>
      <w:bookmarkEnd w:id="372"/>
      <w:bookmarkEnd w:id="373"/>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74" w:name="_Toc123282618"/>
      <w:bookmarkStart w:id="375" w:name="_Toc122517880"/>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74"/>
      <w:bookmarkEnd w:id="375"/>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376" w:name="_Toc123282619"/>
      <w:bookmarkStart w:id="377" w:name="_Toc122517881"/>
      <w:r>
        <w:rPr>
          <w:rStyle w:val="CharSClsNo"/>
        </w:rPr>
        <w:t>6</w:t>
      </w:r>
      <w:r>
        <w:rPr>
          <w:snapToGrid w:val="0"/>
        </w:rPr>
        <w:t>.</w:t>
      </w:r>
      <w:r>
        <w:rPr>
          <w:snapToGrid w:val="0"/>
        </w:rPr>
        <w:tab/>
        <w:t>Bail of people on community or similar orders</w:t>
      </w:r>
      <w:bookmarkEnd w:id="376"/>
      <w:bookmarkEnd w:id="377"/>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378" w:name="_Toc123282620"/>
      <w:bookmarkStart w:id="379" w:name="_Toc122517882"/>
      <w:r>
        <w:rPr>
          <w:rStyle w:val="CharSClsNo"/>
        </w:rPr>
        <w:t>7</w:t>
      </w:r>
      <w:r>
        <w:rPr>
          <w:snapToGrid w:val="0"/>
        </w:rPr>
        <w:t>.</w:t>
      </w:r>
      <w:r>
        <w:rPr>
          <w:snapToGrid w:val="0"/>
        </w:rPr>
        <w:tab/>
        <w:t>Bail for initial appearance to be for not more than 30 days</w:t>
      </w:r>
      <w:bookmarkEnd w:id="378"/>
      <w:bookmarkEnd w:id="379"/>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380" w:name="_Toc123282621"/>
      <w:bookmarkStart w:id="381" w:name="_Toc122517883"/>
      <w:r>
        <w:rPr>
          <w:rStyle w:val="CharSClsNo"/>
        </w:rPr>
        <w:t>8</w:t>
      </w:r>
      <w:r>
        <w:rPr>
          <w:snapToGrid w:val="0"/>
        </w:rPr>
        <w:t>.</w:t>
      </w:r>
      <w:r>
        <w:rPr>
          <w:snapToGrid w:val="0"/>
        </w:rPr>
        <w:tab/>
        <w:t>Bail on adjournment in court of summary jurisdiction to be for not more than 30 days except by consent</w:t>
      </w:r>
      <w:bookmarkEnd w:id="380"/>
      <w:bookmarkEnd w:id="381"/>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382" w:name="_Toc123282622"/>
      <w:bookmarkStart w:id="383" w:name="_Toc122517884"/>
      <w:r>
        <w:rPr>
          <w:rStyle w:val="CharSClsNo"/>
        </w:rPr>
        <w:t>9</w:t>
      </w:r>
      <w:r>
        <w:rPr>
          <w:snapToGrid w:val="0"/>
        </w:rPr>
        <w:t>.</w:t>
      </w:r>
      <w:r>
        <w:rPr>
          <w:snapToGrid w:val="0"/>
        </w:rPr>
        <w:tab/>
        <w:t>Calculating periods for cl. 7 and 8</w:t>
      </w:r>
      <w:bookmarkEnd w:id="382"/>
      <w:bookmarkEnd w:id="383"/>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pPr>
      <w:bookmarkStart w:id="384" w:name="_Toc113270955"/>
      <w:bookmarkStart w:id="385" w:name="_Toc113272716"/>
      <w:bookmarkStart w:id="386" w:name="_Toc113274111"/>
      <w:bookmarkStart w:id="387" w:name="_Toc115174256"/>
      <w:bookmarkStart w:id="388" w:name="_Toc115180885"/>
      <w:bookmarkStart w:id="389" w:name="_Toc122515642"/>
      <w:bookmarkStart w:id="390" w:name="_Toc122517885"/>
      <w:bookmarkStart w:id="391" w:name="_Toc123282623"/>
      <w:r>
        <w:rPr>
          <w:rStyle w:val="CharSDivNo"/>
        </w:rPr>
        <w:t>Part D</w:t>
      </w:r>
      <w:r>
        <w:t> — </w:t>
      </w:r>
      <w:r>
        <w:rPr>
          <w:rStyle w:val="CharSDivText"/>
        </w:rPr>
        <w:t>Conditions which may be imposed on a grant of bail</w:t>
      </w:r>
      <w:bookmarkEnd w:id="384"/>
      <w:bookmarkEnd w:id="385"/>
      <w:bookmarkEnd w:id="386"/>
      <w:bookmarkEnd w:id="387"/>
      <w:bookmarkEnd w:id="388"/>
      <w:bookmarkEnd w:id="389"/>
      <w:bookmarkEnd w:id="390"/>
      <w:bookmarkEnd w:id="391"/>
    </w:p>
    <w:p>
      <w:pPr>
        <w:pStyle w:val="yHeading5"/>
      </w:pPr>
      <w:bookmarkStart w:id="392" w:name="_Toc123282624"/>
      <w:bookmarkStart w:id="393" w:name="_Toc122517886"/>
      <w:r>
        <w:rPr>
          <w:rStyle w:val="CharSClsNo"/>
        </w:rPr>
        <w:t>1</w:t>
      </w:r>
      <w:r>
        <w:t>.</w:t>
      </w:r>
      <w:r>
        <w:tab/>
        <w:t>Conditions as to forfeiture, sureties, security etc.</w:t>
      </w:r>
      <w:bookmarkEnd w:id="392"/>
      <w:bookmarkEnd w:id="393"/>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394" w:name="_Toc123282625"/>
      <w:bookmarkStart w:id="395" w:name="_Toc122517887"/>
      <w:r>
        <w:rPr>
          <w:rStyle w:val="CharSClsNo"/>
        </w:rPr>
        <w:t>2</w:t>
      </w:r>
      <w:r>
        <w:t>.</w:t>
      </w:r>
      <w:r>
        <w:tab/>
        <w:t>Other conditions</w:t>
      </w:r>
      <w:bookmarkEnd w:id="394"/>
      <w:bookmarkEnd w:id="395"/>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396" w:name="_Toc123282626"/>
      <w:bookmarkStart w:id="397" w:name="_Toc122517888"/>
      <w:r>
        <w:rPr>
          <w:rStyle w:val="CharSClsNo"/>
        </w:rPr>
        <w:t>3</w:t>
      </w:r>
      <w:r>
        <w:t>.</w:t>
      </w:r>
      <w:r>
        <w:tab/>
        <w:t>Home detention condition</w:t>
      </w:r>
      <w:bookmarkEnd w:id="396"/>
      <w:bookmarkEnd w:id="397"/>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99" w:name="_Toc113270959"/>
      <w:bookmarkStart w:id="400" w:name="_Toc113272720"/>
      <w:bookmarkStart w:id="401" w:name="_Toc113274115"/>
      <w:bookmarkStart w:id="402" w:name="_Toc115174260"/>
      <w:bookmarkStart w:id="403" w:name="_Toc115180889"/>
      <w:bookmarkStart w:id="404" w:name="_Toc122515646"/>
      <w:bookmarkStart w:id="405" w:name="_Toc122517889"/>
      <w:bookmarkStart w:id="406" w:name="_Toc123282627"/>
      <w:r>
        <w:rPr>
          <w:rStyle w:val="CharSchNo"/>
        </w:rPr>
        <w:t>Schedule 2</w:t>
      </w:r>
      <w:r>
        <w:t> — </w:t>
      </w:r>
      <w:r>
        <w:rPr>
          <w:rStyle w:val="CharSchText"/>
        </w:rPr>
        <w:t>Serious offences</w:t>
      </w:r>
      <w:bookmarkEnd w:id="399"/>
      <w:bookmarkEnd w:id="400"/>
      <w:bookmarkEnd w:id="401"/>
      <w:bookmarkEnd w:id="402"/>
      <w:bookmarkEnd w:id="403"/>
      <w:bookmarkEnd w:id="404"/>
      <w:bookmarkEnd w:id="405"/>
      <w:bookmarkEnd w:id="406"/>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Association by controlled person with another controlled person on 3 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trPr>
        <w:tc>
          <w:tcPr>
            <w:tcW w:w="719" w:type="dxa"/>
          </w:tcPr>
          <w:p>
            <w:pPr>
              <w:pStyle w:val="yTableNAm"/>
            </w:pPr>
            <w:r>
              <w:rPr>
                <w:rStyle w:val="CharSClsNo"/>
                <w:b/>
              </w:rPr>
              <w:t>4</w:t>
            </w:r>
            <w:r>
              <w:rPr>
                <w:b/>
              </w:rPr>
              <w:t>.</w:t>
            </w:r>
          </w:p>
        </w:tc>
        <w:tc>
          <w:tcPr>
            <w:tcW w:w="6361" w:type="dxa"/>
            <w:gridSpan w:val="2"/>
          </w:tcPr>
          <w:p>
            <w:pPr>
              <w:pStyle w:val="yTableNAm"/>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No. 29 of 2022 s. 10.]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07" w:name="_Toc113270960"/>
      <w:bookmarkStart w:id="408" w:name="_Toc113272721"/>
      <w:bookmarkStart w:id="409" w:name="_Toc113274116"/>
      <w:bookmarkStart w:id="410" w:name="_Toc115174261"/>
      <w:bookmarkStart w:id="411" w:name="_Toc115180890"/>
      <w:bookmarkStart w:id="412" w:name="_Toc122515647"/>
      <w:bookmarkStart w:id="413" w:name="_Toc122517890"/>
      <w:bookmarkStart w:id="414" w:name="_Toc123282628"/>
      <w:r>
        <w:t>Notes</w:t>
      </w:r>
      <w:bookmarkEnd w:id="407"/>
      <w:bookmarkEnd w:id="408"/>
      <w:bookmarkEnd w:id="409"/>
      <w:bookmarkEnd w:id="410"/>
      <w:bookmarkEnd w:id="411"/>
      <w:bookmarkEnd w:id="412"/>
      <w:bookmarkEnd w:id="413"/>
      <w:bookmarkEnd w:id="414"/>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xml:space="preserve">. For provisions that have come into operation, and for information about any reprints, see the compilation table. </w:t>
      </w:r>
      <w:del w:id="415" w:author="Master Repository Process" w:date="2022-12-30T09:45:00Z">
        <w:r>
          <w:delText>For provisions that have not yet come into operation see the uncommenced provisions table.</w:delText>
        </w:r>
      </w:del>
    </w:p>
    <w:p>
      <w:pPr>
        <w:pStyle w:val="nHeading3"/>
      </w:pPr>
      <w:bookmarkStart w:id="416" w:name="_Toc123282629"/>
      <w:bookmarkStart w:id="417" w:name="_Toc122517891"/>
      <w:r>
        <w:t>Compilation table</w:t>
      </w:r>
      <w:bookmarkEnd w:id="416"/>
      <w:bookmarkEnd w:id="417"/>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Bail Amendment Act 2022</w:t>
            </w:r>
            <w:r>
              <w:t xml:space="preserve"> </w:t>
            </w:r>
          </w:p>
        </w:tc>
        <w:tc>
          <w:tcPr>
            <w:tcW w:w="1134" w:type="dxa"/>
            <w:tcBorders>
              <w:top w:val="nil"/>
              <w:left w:val="nil"/>
              <w:bottom w:val="nil"/>
              <w:right w:val="nil"/>
            </w:tcBorders>
            <w:shd w:val="clear" w:color="auto" w:fill="auto"/>
          </w:tcPr>
          <w:p>
            <w:pPr>
              <w:pStyle w:val="nTable"/>
              <w:spacing w:after="40"/>
            </w:pPr>
            <w:r>
              <w:t>29 of 2022</w:t>
            </w:r>
          </w:p>
        </w:tc>
        <w:tc>
          <w:tcPr>
            <w:tcW w:w="1134" w:type="dxa"/>
            <w:tcBorders>
              <w:top w:val="nil"/>
              <w:left w:val="nil"/>
              <w:bottom w:val="nil"/>
              <w:right w:val="nil"/>
            </w:tcBorders>
            <w:shd w:val="clear" w:color="auto" w:fill="auto"/>
          </w:tcPr>
          <w:p>
            <w:pPr>
              <w:pStyle w:val="nTable"/>
              <w:spacing w:after="40"/>
            </w:pPr>
            <w:r>
              <w:t>3 Sep 2022</w:t>
            </w:r>
          </w:p>
        </w:tc>
        <w:tc>
          <w:tcPr>
            <w:tcW w:w="2552" w:type="dxa"/>
            <w:tcBorders>
              <w:top w:val="nil"/>
              <w:left w:val="nil"/>
              <w:bottom w:val="nil"/>
            </w:tcBorders>
            <w:shd w:val="clear" w:color="auto" w:fill="auto"/>
          </w:tcPr>
          <w:p>
            <w:pPr>
              <w:pStyle w:val="nTable"/>
              <w:spacing w:after="40"/>
            </w:pPr>
            <w:r>
              <w:t>s. 1 and 2: 3 Sep 2022 (see s. 2(a));</w:t>
            </w:r>
            <w:r>
              <w:br/>
              <w:t>s. 9 and 10: 4 Sep 2022 (see s. 2(b));</w:t>
            </w:r>
            <w:r>
              <w:br/>
              <w:t>s. 3-8: 1 Oct 2022 (see s. 2(c))</w:t>
            </w:r>
          </w:p>
        </w:tc>
      </w:tr>
    </w:tbl>
    <w:p>
      <w:pPr>
        <w:pStyle w:val="nHeading3"/>
        <w:rPr>
          <w:del w:id="418" w:author="Master Repository Process" w:date="2022-12-30T09:45:00Z"/>
        </w:rPr>
      </w:pPr>
      <w:bookmarkStart w:id="419" w:name="_Toc122517892"/>
      <w:del w:id="420" w:author="Master Repository Process" w:date="2022-12-30T09:45:00Z">
        <w:r>
          <w:delText>Uncommenced provisions table</w:delText>
        </w:r>
        <w:bookmarkEnd w:id="419"/>
      </w:del>
    </w:p>
    <w:p>
      <w:pPr>
        <w:pStyle w:val="nStatement"/>
        <w:keepNext/>
        <w:spacing w:after="240"/>
        <w:rPr>
          <w:del w:id="421" w:author="Master Repository Process" w:date="2022-12-30T09:45:00Z"/>
        </w:rPr>
      </w:pPr>
      <w:del w:id="422" w:author="Master Repository Process" w:date="2022-12-30T09:45: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
        <w:gridCol w:w="2268"/>
        <w:gridCol w:w="1134"/>
        <w:gridCol w:w="1134"/>
        <w:gridCol w:w="2552"/>
      </w:tblGrid>
      <w:tr>
        <w:trPr>
          <w:gridBefore w:val="1"/>
          <w:tblHeader/>
          <w:del w:id="423" w:author="Master Repository Process" w:date="2022-12-30T09:45:00Z"/>
        </w:trPr>
        <w:tc>
          <w:tcPr>
            <w:tcW w:w="2268" w:type="dxa"/>
            <w:tcBorders>
              <w:bottom w:val="single" w:sz="8" w:space="0" w:color="auto"/>
            </w:tcBorders>
          </w:tcPr>
          <w:p>
            <w:pPr>
              <w:pStyle w:val="nTable"/>
              <w:spacing w:after="40"/>
              <w:rPr>
                <w:del w:id="424" w:author="Master Repository Process" w:date="2022-12-30T09:45:00Z"/>
                <w:b/>
              </w:rPr>
            </w:pPr>
            <w:del w:id="425" w:author="Master Repository Process" w:date="2022-12-30T09:45:00Z">
              <w:r>
                <w:rPr>
                  <w:b/>
                </w:rPr>
                <w:delText>Short title</w:delText>
              </w:r>
            </w:del>
          </w:p>
        </w:tc>
        <w:tc>
          <w:tcPr>
            <w:tcW w:w="1134" w:type="dxa"/>
            <w:tcBorders>
              <w:bottom w:val="single" w:sz="8" w:space="0" w:color="auto"/>
            </w:tcBorders>
          </w:tcPr>
          <w:p>
            <w:pPr>
              <w:pStyle w:val="nTable"/>
              <w:spacing w:after="40"/>
              <w:rPr>
                <w:del w:id="426" w:author="Master Repository Process" w:date="2022-12-30T09:45:00Z"/>
                <w:b/>
              </w:rPr>
            </w:pPr>
            <w:del w:id="427" w:author="Master Repository Process" w:date="2022-12-30T09:45:00Z">
              <w:r>
                <w:rPr>
                  <w:b/>
                </w:rPr>
                <w:delText>Number and year</w:delText>
              </w:r>
            </w:del>
          </w:p>
        </w:tc>
        <w:tc>
          <w:tcPr>
            <w:tcW w:w="1134" w:type="dxa"/>
            <w:tcBorders>
              <w:bottom w:val="single" w:sz="8" w:space="0" w:color="auto"/>
            </w:tcBorders>
          </w:tcPr>
          <w:p>
            <w:pPr>
              <w:pStyle w:val="nTable"/>
              <w:spacing w:after="40"/>
              <w:rPr>
                <w:del w:id="428" w:author="Master Repository Process" w:date="2022-12-30T09:45:00Z"/>
                <w:b/>
              </w:rPr>
            </w:pPr>
            <w:del w:id="429" w:author="Master Repository Process" w:date="2022-12-30T09:45:00Z">
              <w:r>
                <w:rPr>
                  <w:b/>
                </w:rPr>
                <w:delText>Assent</w:delText>
              </w:r>
            </w:del>
          </w:p>
        </w:tc>
        <w:tc>
          <w:tcPr>
            <w:tcW w:w="2552" w:type="dxa"/>
            <w:tcBorders>
              <w:bottom w:val="single" w:sz="8" w:space="0" w:color="auto"/>
            </w:tcBorders>
          </w:tcPr>
          <w:p>
            <w:pPr>
              <w:pStyle w:val="nTable"/>
              <w:spacing w:after="40"/>
              <w:rPr>
                <w:del w:id="430" w:author="Master Repository Process" w:date="2022-12-30T09:45:00Z"/>
                <w:b/>
              </w:rPr>
            </w:pPr>
            <w:del w:id="431" w:author="Master Repository Process" w:date="2022-12-30T09:45:00Z">
              <w:r>
                <w:rPr>
                  <w:b/>
                </w:rPr>
                <w:delText>Commencement</w:delText>
              </w:r>
            </w:del>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gridSpan w:val="2"/>
            <w:tcBorders>
              <w:top w:val="nil"/>
              <w:bottom w:val="single" w:sz="8" w:space="0" w:color="auto"/>
              <w:right w:val="nil"/>
            </w:tcBorders>
            <w:shd w:val="clear" w:color="auto" w:fill="auto"/>
          </w:tcPr>
          <w:p>
            <w:pPr>
              <w:pStyle w:val="nTable"/>
              <w:spacing w:after="40"/>
              <w:rPr>
                <w:i/>
              </w:rPr>
            </w:pPr>
            <w:r>
              <w:rPr>
                <w:i/>
              </w:rPr>
              <w:t>Criminal Appeals Amendment Act 2022</w:t>
            </w:r>
            <w:r>
              <w:t xml:space="preserve"> Pt. 3 Div. 1</w:t>
            </w:r>
          </w:p>
        </w:tc>
        <w:tc>
          <w:tcPr>
            <w:tcW w:w="1134" w:type="dxa"/>
            <w:tcBorders>
              <w:top w:val="nil"/>
              <w:left w:val="nil"/>
              <w:bottom w:val="single" w:sz="8" w:space="0" w:color="auto"/>
              <w:right w:val="nil"/>
            </w:tcBorders>
            <w:shd w:val="clear" w:color="auto" w:fill="auto"/>
          </w:tcPr>
          <w:p>
            <w:pPr>
              <w:pStyle w:val="nTable"/>
              <w:spacing w:after="40"/>
            </w:pPr>
            <w:r>
              <w:t>18 of 2022</w:t>
            </w:r>
          </w:p>
        </w:tc>
        <w:tc>
          <w:tcPr>
            <w:tcW w:w="1134" w:type="dxa"/>
            <w:tcBorders>
              <w:top w:val="nil"/>
              <w:left w:val="nil"/>
              <w:bottom w:val="single" w:sz="8" w:space="0" w:color="auto"/>
              <w:right w:val="nil"/>
            </w:tcBorders>
            <w:shd w:val="clear" w:color="auto" w:fill="auto"/>
          </w:tcPr>
          <w:p>
            <w:pPr>
              <w:pStyle w:val="nTable"/>
              <w:spacing w:after="40"/>
            </w:pPr>
            <w:r>
              <w:t>24 Jun 2022</w:t>
            </w:r>
          </w:p>
        </w:tc>
        <w:tc>
          <w:tcPr>
            <w:tcW w:w="2552" w:type="dxa"/>
            <w:tcBorders>
              <w:top w:val="nil"/>
              <w:left w:val="nil"/>
              <w:bottom w:val="single" w:sz="8" w:space="0" w:color="auto"/>
            </w:tcBorders>
            <w:shd w:val="clear" w:color="auto" w:fill="auto"/>
          </w:tcPr>
          <w:p>
            <w:pPr>
              <w:pStyle w:val="nTable"/>
              <w:spacing w:after="40"/>
            </w:pPr>
            <w:r>
              <w:t>1 Jan 2023 (see s. 2(b) and SL 2022/212 cl. 2)</w:t>
            </w:r>
          </w:p>
        </w:tc>
      </w:tr>
    </w:tbl>
    <w:p>
      <w:pPr>
        <w:pStyle w:val="nHeading3"/>
      </w:pPr>
      <w:bookmarkStart w:id="432" w:name="_Toc123282630"/>
      <w:bookmarkStart w:id="433" w:name="_Toc122517893"/>
      <w:r>
        <w:t>Other notes</w:t>
      </w:r>
      <w:bookmarkEnd w:id="432"/>
      <w:bookmarkEnd w:id="433"/>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5" w:name="Coversheet"/>
    <w:bookmarkEnd w:id="4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98" w:name="Schedule"/>
    <w:bookmarkEnd w:id="3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511454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96C2-4AA1-44C9-9E48-E6B92494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38757</Words>
  <Characters>178671</Characters>
  <Application>Microsoft Office Word</Application>
  <DocSecurity>0</DocSecurity>
  <Lines>5414</Lines>
  <Paragraphs>2787</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09-q0-01 - 09-r0-00</dc:title>
  <dc:subject/>
  <dc:creator/>
  <cp:keywords/>
  <dc:description/>
  <cp:lastModifiedBy>Master Repository Process</cp:lastModifiedBy>
  <cp:revision>2</cp:revision>
  <cp:lastPrinted>2019-12-03T08:23:00Z</cp:lastPrinted>
  <dcterms:created xsi:type="dcterms:W3CDTF">2022-12-30T01:45:00Z</dcterms:created>
  <dcterms:modified xsi:type="dcterms:W3CDTF">2022-12-30T01:46:00Z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20230101</vt:lpwstr>
  </property>
  <property fmtid="{D5CDD505-2E9C-101B-9397-08002B2CF9AE}" pid="8" name="FromSuffix">
    <vt:lpwstr>09-q0-01</vt:lpwstr>
  </property>
  <property fmtid="{D5CDD505-2E9C-101B-9397-08002B2CF9AE}" pid="9" name="FromAsAtDate">
    <vt:lpwstr>01 Oct 2022</vt:lpwstr>
  </property>
  <property fmtid="{D5CDD505-2E9C-101B-9397-08002B2CF9AE}" pid="10" name="ToSuffix">
    <vt:lpwstr>09-r0-00</vt:lpwstr>
  </property>
  <property fmtid="{D5CDD505-2E9C-101B-9397-08002B2CF9AE}" pid="11" name="ToAsAtDate">
    <vt:lpwstr>01 Jan 2023</vt:lpwstr>
  </property>
</Properties>
</file>