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Appeals Act 2004</w:t>
      </w:r>
    </w:p>
    <w:p>
      <w:pPr>
        <w:pStyle w:val="LongTitle"/>
        <w:suppressLineNumbers/>
        <w:rPr>
          <w:snapToGrid w:val="0"/>
        </w:rPr>
      </w:pPr>
      <w:bookmarkStart w:id="1" w:name="BillCited"/>
      <w:bookmarkEnd w:id="1"/>
      <w:r>
        <w:rPr>
          <w:snapToGrid w:val="0"/>
        </w:rPr>
        <w:t>A</w:t>
      </w:r>
      <w:bookmarkStart w:id="2" w:name="_GoBack"/>
      <w:bookmarkEnd w:id="2"/>
      <w:r>
        <w:rPr>
          <w:snapToGrid w:val="0"/>
        </w:rPr>
        <w:t>n Act about appeals in criminal cases and about related matters.</w:t>
      </w:r>
    </w:p>
    <w:p>
      <w:pPr>
        <w:pStyle w:val="Heading2"/>
      </w:pPr>
      <w:bookmarkStart w:id="3" w:name="_Toc122515998"/>
      <w:bookmarkStart w:id="4" w:name="_Toc122518087"/>
      <w:bookmarkStart w:id="5" w:name="_Toc123281913"/>
      <w:bookmarkStart w:id="6" w:name="_Toc1232822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23282265"/>
      <w:bookmarkStart w:id="8" w:name="_Toc122518088"/>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9" w:name="_Toc123282266"/>
      <w:bookmarkStart w:id="10" w:name="_Toc122518089"/>
      <w:r>
        <w:rPr>
          <w:rStyle w:val="CharSectno"/>
        </w:rPr>
        <w:t>2</w:t>
      </w:r>
      <w:r>
        <w:t>.</w:t>
      </w:r>
      <w:r>
        <w:tab/>
        <w:t>Commencement</w:t>
      </w:r>
      <w:bookmarkEnd w:id="9"/>
      <w:bookmarkEnd w:id="10"/>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1" w:name="_Toc123282267"/>
      <w:bookmarkStart w:id="12" w:name="_Toc122518090"/>
      <w:r>
        <w:rPr>
          <w:rStyle w:val="CharSectno"/>
        </w:rPr>
        <w:t>3</w:t>
      </w:r>
      <w:r>
        <w:t>.</w:t>
      </w:r>
      <w:r>
        <w:tab/>
        <w:t xml:space="preserve">This Act to be read with </w:t>
      </w:r>
      <w:r>
        <w:rPr>
          <w:i/>
        </w:rPr>
        <w:t>Criminal Procedure Act 2004</w:t>
      </w:r>
      <w:bookmarkEnd w:id="11"/>
      <w:bookmarkEnd w:id="12"/>
    </w:p>
    <w:p>
      <w:pPr>
        <w:pStyle w:val="Subsection"/>
        <w:rPr>
          <w:i/>
        </w:rPr>
      </w:pPr>
      <w:r>
        <w:tab/>
      </w:r>
      <w:r>
        <w:tab/>
        <w:t xml:space="preserve">This Act is to be read with the </w:t>
      </w:r>
      <w:r>
        <w:rPr>
          <w:i/>
        </w:rPr>
        <w:t>Criminal Procedure Act 2004.</w:t>
      </w:r>
    </w:p>
    <w:p>
      <w:pPr>
        <w:pStyle w:val="Heading5"/>
      </w:pPr>
      <w:bookmarkStart w:id="13" w:name="_Toc123282268"/>
      <w:bookmarkStart w:id="14" w:name="_Toc122518091"/>
      <w:r>
        <w:rPr>
          <w:rStyle w:val="CharSectno"/>
        </w:rPr>
        <w:t>4A</w:t>
      </w:r>
      <w:r>
        <w:t>.</w:t>
      </w:r>
      <w:r>
        <w:tab/>
      </w:r>
      <w:r>
        <w:rPr>
          <w:i/>
        </w:rPr>
        <w:t>Courts and Tribunals (Electronic Processes Facilitation) Act 2013</w:t>
      </w:r>
      <w:r>
        <w:t xml:space="preserve"> Part 2 applies</w:t>
      </w:r>
      <w:bookmarkEnd w:id="13"/>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41.]</w:t>
      </w:r>
    </w:p>
    <w:p>
      <w:pPr>
        <w:pStyle w:val="Heading5"/>
      </w:pPr>
      <w:bookmarkStart w:id="15" w:name="_Toc123282269"/>
      <w:bookmarkStart w:id="16" w:name="_Toc122518092"/>
      <w:r>
        <w:rPr>
          <w:rStyle w:val="CharSectno"/>
        </w:rPr>
        <w:t>4</w:t>
      </w:r>
      <w:r>
        <w:t>.</w:t>
      </w:r>
      <w:r>
        <w:tab/>
        <w:t>Terms used</w:t>
      </w:r>
      <w:bookmarkEnd w:id="15"/>
      <w:bookmarkEnd w:id="16"/>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7" w:name="_Toc123282270"/>
      <w:bookmarkStart w:id="18" w:name="_Toc122518093"/>
      <w:r>
        <w:rPr>
          <w:rStyle w:val="CharSectno"/>
        </w:rPr>
        <w:t>5</w:t>
      </w:r>
      <w:r>
        <w:t>.</w:t>
      </w:r>
      <w:r>
        <w:tab/>
        <w:t>Appeal against sentence of superior court after conviction by lower court, commencement of</w:t>
      </w:r>
      <w:bookmarkEnd w:id="17"/>
      <w:bookmarkEnd w:id="18"/>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9" w:name="_Toc122516005"/>
      <w:bookmarkStart w:id="20" w:name="_Toc122518094"/>
      <w:bookmarkStart w:id="21" w:name="_Toc123281920"/>
      <w:bookmarkStart w:id="22" w:name="_Toc123282271"/>
      <w:r>
        <w:rPr>
          <w:rStyle w:val="CharPartNo"/>
        </w:rPr>
        <w:t>Part 2</w:t>
      </w:r>
      <w:r>
        <w:t> — </w:t>
      </w:r>
      <w:r>
        <w:rPr>
          <w:rStyle w:val="CharPartText"/>
        </w:rPr>
        <w:t>Appeals from courts of summary jurisdiction</w:t>
      </w:r>
      <w:bookmarkEnd w:id="19"/>
      <w:bookmarkEnd w:id="20"/>
      <w:bookmarkEnd w:id="21"/>
      <w:bookmarkEnd w:id="22"/>
    </w:p>
    <w:p>
      <w:pPr>
        <w:pStyle w:val="Heading3"/>
      </w:pPr>
      <w:bookmarkStart w:id="23" w:name="_Toc122516006"/>
      <w:bookmarkStart w:id="24" w:name="_Toc122518095"/>
      <w:bookmarkStart w:id="25" w:name="_Toc123281921"/>
      <w:bookmarkStart w:id="26" w:name="_Toc123282272"/>
      <w:r>
        <w:rPr>
          <w:rStyle w:val="CharDivNo"/>
        </w:rPr>
        <w:t>Division 1</w:t>
      </w:r>
      <w:r>
        <w:t> — </w:t>
      </w:r>
      <w:r>
        <w:rPr>
          <w:rStyle w:val="CharDivText"/>
        </w:rPr>
        <w:t>Preliminary</w:t>
      </w:r>
      <w:bookmarkEnd w:id="23"/>
      <w:bookmarkEnd w:id="24"/>
      <w:bookmarkEnd w:id="25"/>
      <w:bookmarkEnd w:id="26"/>
    </w:p>
    <w:p>
      <w:pPr>
        <w:pStyle w:val="Heading5"/>
      </w:pPr>
      <w:bookmarkStart w:id="27" w:name="_Toc123282273"/>
      <w:bookmarkStart w:id="28" w:name="_Toc122518096"/>
      <w:r>
        <w:rPr>
          <w:rStyle w:val="CharSectno"/>
        </w:rPr>
        <w:t>6</w:t>
      </w:r>
      <w:r>
        <w:t>.</w:t>
      </w:r>
      <w:r>
        <w:tab/>
        <w:t>Terms used</w:t>
      </w:r>
      <w:bookmarkEnd w:id="27"/>
      <w:bookmarkEnd w:id="28"/>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No. 59 of 2006 s. 73.]</w:t>
      </w:r>
    </w:p>
    <w:p>
      <w:pPr>
        <w:pStyle w:val="Heading3"/>
      </w:pPr>
      <w:bookmarkStart w:id="29" w:name="_Toc122516008"/>
      <w:bookmarkStart w:id="30" w:name="_Toc122518097"/>
      <w:bookmarkStart w:id="31" w:name="_Toc123281923"/>
      <w:bookmarkStart w:id="32" w:name="_Toc123282274"/>
      <w:r>
        <w:rPr>
          <w:rStyle w:val="CharDivNo"/>
        </w:rPr>
        <w:t>Division 2</w:t>
      </w:r>
      <w:r>
        <w:t> — </w:t>
      </w:r>
      <w:r>
        <w:rPr>
          <w:rStyle w:val="CharDivText"/>
        </w:rPr>
        <w:t>Appeals to a single judge</w:t>
      </w:r>
      <w:bookmarkEnd w:id="29"/>
      <w:bookmarkEnd w:id="30"/>
      <w:bookmarkEnd w:id="31"/>
      <w:bookmarkEnd w:id="32"/>
    </w:p>
    <w:p>
      <w:pPr>
        <w:pStyle w:val="Heading5"/>
      </w:pPr>
      <w:bookmarkStart w:id="33" w:name="_Toc123282275"/>
      <w:bookmarkStart w:id="34" w:name="_Toc122518098"/>
      <w:r>
        <w:rPr>
          <w:rStyle w:val="CharSectno"/>
        </w:rPr>
        <w:t>7</w:t>
      </w:r>
      <w:r>
        <w:t>.</w:t>
      </w:r>
      <w:r>
        <w:tab/>
        <w:t>Right of appeal</w:t>
      </w:r>
      <w:bookmarkEnd w:id="33"/>
      <w:bookmarkEnd w:id="34"/>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35" w:name="_Toc123282276"/>
      <w:bookmarkStart w:id="36" w:name="_Toc122518099"/>
      <w:r>
        <w:rPr>
          <w:rStyle w:val="CharSectno"/>
        </w:rPr>
        <w:t>8</w:t>
      </w:r>
      <w:r>
        <w:t>.</w:t>
      </w:r>
      <w:r>
        <w:tab/>
        <w:t>Grounds for appealing</w:t>
      </w:r>
      <w:bookmarkEnd w:id="35"/>
      <w:bookmarkEnd w:id="36"/>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7" w:name="_Toc123282277"/>
      <w:bookmarkStart w:id="38" w:name="_Toc122518100"/>
      <w:r>
        <w:rPr>
          <w:rStyle w:val="CharSectno"/>
        </w:rPr>
        <w:t>9</w:t>
      </w:r>
      <w:r>
        <w:t>.</w:t>
      </w:r>
      <w:r>
        <w:tab/>
        <w:t>Leave to appeal required in all cases</w:t>
      </w:r>
      <w:bookmarkEnd w:id="37"/>
      <w:bookmarkEnd w:id="38"/>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9" w:name="_Toc123282278"/>
      <w:bookmarkStart w:id="40" w:name="_Toc122518101"/>
      <w:r>
        <w:rPr>
          <w:rStyle w:val="CharSectno"/>
        </w:rPr>
        <w:t>10</w:t>
      </w:r>
      <w:r>
        <w:t>.</w:t>
      </w:r>
      <w:r>
        <w:tab/>
        <w:t>Commencing an appeal</w:t>
      </w:r>
      <w:bookmarkEnd w:id="39"/>
      <w:bookmarkEnd w:id="40"/>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No. 5 of 2008 s. 26.]</w:t>
      </w:r>
    </w:p>
    <w:p>
      <w:pPr>
        <w:pStyle w:val="Heading5"/>
      </w:pPr>
      <w:bookmarkStart w:id="41" w:name="_Toc123282279"/>
      <w:bookmarkStart w:id="42" w:name="_Toc122518102"/>
      <w:r>
        <w:rPr>
          <w:rStyle w:val="CharSectno"/>
        </w:rPr>
        <w:t>11</w:t>
      </w:r>
      <w:r>
        <w:t>.</w:t>
      </w:r>
      <w:r>
        <w:tab/>
        <w:t>Sentences etc., effect of appeal on</w:t>
      </w:r>
      <w:bookmarkEnd w:id="41"/>
      <w:bookmarkEnd w:id="42"/>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a road law as defined in the </w:t>
      </w:r>
      <w:r>
        <w:rPr>
          <w:i/>
          <w:iCs/>
        </w:rPr>
        <w:t>Road Traffic (Administration) Act 2008</w:t>
      </w:r>
      <w:r>
        <w:t xml:space="preserve"> section 4,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Footnotesection"/>
      </w:pPr>
      <w:r>
        <w:tab/>
        <w:t>[Section 11 amended: No. 8 of 2012 s. 75.]</w:t>
      </w:r>
    </w:p>
    <w:p>
      <w:pPr>
        <w:pStyle w:val="Heading5"/>
      </w:pPr>
      <w:bookmarkStart w:id="43" w:name="_Toc123282280"/>
      <w:bookmarkStart w:id="44" w:name="_Toc122518103"/>
      <w:r>
        <w:rPr>
          <w:rStyle w:val="CharSectno"/>
        </w:rPr>
        <w:t>12</w:t>
      </w:r>
      <w:r>
        <w:t>.</w:t>
      </w:r>
      <w:r>
        <w:tab/>
        <w:t>Sentences etc., Supreme Court may suspend etc.</w:t>
      </w:r>
      <w:bookmarkEnd w:id="43"/>
      <w:bookmarkEnd w:id="44"/>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 11.</w:t>
      </w:r>
    </w:p>
    <w:p>
      <w:pPr>
        <w:pStyle w:val="Heading5"/>
      </w:pPr>
      <w:bookmarkStart w:id="45" w:name="_Toc123282281"/>
      <w:bookmarkStart w:id="46" w:name="_Toc122518104"/>
      <w:r>
        <w:rPr>
          <w:rStyle w:val="CharSectno"/>
        </w:rPr>
        <w:t>13</w:t>
      </w:r>
      <w:r>
        <w:t>.</w:t>
      </w:r>
      <w:r>
        <w:tab/>
        <w:t>Supreme Court may refer appeal to Court of Appeal</w:t>
      </w:r>
      <w:bookmarkEnd w:id="45"/>
      <w:bookmarkEnd w:id="46"/>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keepNext/>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7" w:name="_Toc123282282"/>
      <w:bookmarkStart w:id="48" w:name="_Toc122518105"/>
      <w:r>
        <w:rPr>
          <w:rStyle w:val="CharSectno"/>
        </w:rPr>
        <w:t>14</w:t>
      </w:r>
      <w:r>
        <w:t>.</w:t>
      </w:r>
      <w:r>
        <w:tab/>
        <w:t>Supreme Court’s powers on an appeal</w:t>
      </w:r>
      <w:bookmarkEnd w:id="47"/>
      <w:bookmarkEnd w:id="48"/>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9" w:name="_Toc123282283"/>
      <w:bookmarkStart w:id="50" w:name="_Toc122518106"/>
      <w:r>
        <w:rPr>
          <w:rStyle w:val="CharSectno"/>
        </w:rPr>
        <w:t>15</w:t>
      </w:r>
      <w:r>
        <w:t>.</w:t>
      </w:r>
      <w:r>
        <w:tab/>
        <w:t>Conclusion of appeal, consequences</w:t>
      </w:r>
      <w:bookmarkEnd w:id="49"/>
      <w:bookmarkEnd w:id="50"/>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keepNext/>
        <w:keepLines/>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51" w:name="_Toc122516018"/>
      <w:bookmarkStart w:id="52" w:name="_Toc122518107"/>
      <w:bookmarkStart w:id="53" w:name="_Toc123281933"/>
      <w:bookmarkStart w:id="54" w:name="_Toc123282284"/>
      <w:r>
        <w:rPr>
          <w:rStyle w:val="CharDivNo"/>
        </w:rPr>
        <w:t>Division 3</w:t>
      </w:r>
      <w:r>
        <w:t> — </w:t>
      </w:r>
      <w:r>
        <w:rPr>
          <w:rStyle w:val="CharDivText"/>
        </w:rPr>
        <w:t>Appeals from a single judge to the Court of Appeal</w:t>
      </w:r>
      <w:bookmarkEnd w:id="51"/>
      <w:bookmarkEnd w:id="52"/>
      <w:bookmarkEnd w:id="53"/>
      <w:bookmarkEnd w:id="54"/>
    </w:p>
    <w:p>
      <w:pPr>
        <w:pStyle w:val="Heading5"/>
      </w:pPr>
      <w:bookmarkStart w:id="55" w:name="_Toc123282285"/>
      <w:bookmarkStart w:id="56" w:name="_Toc122518108"/>
      <w:r>
        <w:rPr>
          <w:rStyle w:val="CharSectno"/>
        </w:rPr>
        <w:t>16</w:t>
      </w:r>
      <w:r>
        <w:t>.</w:t>
      </w:r>
      <w:r>
        <w:tab/>
        <w:t>Right of appeal to Court of Appeal</w:t>
      </w:r>
      <w:bookmarkEnd w:id="55"/>
      <w:bookmarkEnd w:id="56"/>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7" w:name="_Toc123282286"/>
      <w:bookmarkStart w:id="58" w:name="_Toc122518109"/>
      <w:r>
        <w:rPr>
          <w:rStyle w:val="CharSectno"/>
        </w:rPr>
        <w:t>17</w:t>
      </w:r>
      <w:r>
        <w:t>.</w:t>
      </w:r>
      <w:r>
        <w:tab/>
        <w:t>Commencing an appeal</w:t>
      </w:r>
      <w:bookmarkEnd w:id="57"/>
      <w:bookmarkEnd w:id="58"/>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9" w:name="_Toc123282287"/>
      <w:bookmarkStart w:id="60" w:name="_Toc122518110"/>
      <w:r>
        <w:rPr>
          <w:rStyle w:val="CharSectno"/>
        </w:rPr>
        <w:t>18</w:t>
      </w:r>
      <w:r>
        <w:t>.</w:t>
      </w:r>
      <w:r>
        <w:tab/>
        <w:t>Provisions applicable to appeals to Court of Appeal</w:t>
      </w:r>
      <w:bookmarkEnd w:id="59"/>
      <w:bookmarkEnd w:id="60"/>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61" w:name="_Toc123282288"/>
      <w:bookmarkStart w:id="62" w:name="_Toc122518111"/>
      <w:r>
        <w:rPr>
          <w:rStyle w:val="CharSectno"/>
        </w:rPr>
        <w:t>19</w:t>
      </w:r>
      <w:r>
        <w:t>.</w:t>
      </w:r>
      <w:r>
        <w:tab/>
        <w:t>Court of Appeal’s additional powers on an appeal</w:t>
      </w:r>
      <w:bookmarkEnd w:id="61"/>
      <w:bookmarkEnd w:id="62"/>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63" w:name="_Toc122516023"/>
      <w:bookmarkStart w:id="64" w:name="_Toc122518112"/>
      <w:bookmarkStart w:id="65" w:name="_Toc123281938"/>
      <w:bookmarkStart w:id="66" w:name="_Toc123282289"/>
      <w:r>
        <w:rPr>
          <w:rStyle w:val="CharDivNo"/>
        </w:rPr>
        <w:t>Division 4</w:t>
      </w:r>
      <w:r>
        <w:t> — </w:t>
      </w:r>
      <w:r>
        <w:rPr>
          <w:rStyle w:val="CharDivText"/>
        </w:rPr>
        <w:t>Costs</w:t>
      </w:r>
      <w:bookmarkEnd w:id="63"/>
      <w:bookmarkEnd w:id="64"/>
      <w:bookmarkEnd w:id="65"/>
      <w:bookmarkEnd w:id="66"/>
    </w:p>
    <w:p>
      <w:pPr>
        <w:pStyle w:val="Heading5"/>
      </w:pPr>
      <w:bookmarkStart w:id="67" w:name="_Toc123282290"/>
      <w:bookmarkStart w:id="68" w:name="_Toc122518113"/>
      <w:r>
        <w:rPr>
          <w:rStyle w:val="CharSectno"/>
        </w:rPr>
        <w:t>20</w:t>
      </w:r>
      <w:r>
        <w:t>.</w:t>
      </w:r>
      <w:r>
        <w:tab/>
        <w:t>Costs against Attorney General, JPs or police officers</w:t>
      </w:r>
      <w:bookmarkEnd w:id="67"/>
      <w:bookmarkEnd w:id="68"/>
    </w:p>
    <w:p>
      <w:pPr>
        <w:pStyle w:val="Subsection"/>
        <w:keepNext/>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9" w:name="_Toc123282291"/>
      <w:bookmarkStart w:id="70" w:name="_Toc122518114"/>
      <w:r>
        <w:rPr>
          <w:rStyle w:val="CharSectno"/>
        </w:rPr>
        <w:t>21</w:t>
      </w:r>
      <w:r>
        <w:t>.</w:t>
      </w:r>
      <w:r>
        <w:tab/>
        <w:t>Costs orders, enforcement of</w:t>
      </w:r>
      <w:bookmarkEnd w:id="69"/>
      <w:bookmarkEnd w:id="70"/>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71" w:name="_Toc122516026"/>
      <w:bookmarkStart w:id="72" w:name="_Toc122518115"/>
      <w:bookmarkStart w:id="73" w:name="_Toc123281941"/>
      <w:bookmarkStart w:id="74" w:name="_Toc123282292"/>
      <w:r>
        <w:rPr>
          <w:rStyle w:val="CharPartNo"/>
        </w:rPr>
        <w:t>Part 3</w:t>
      </w:r>
      <w:r>
        <w:t> — </w:t>
      </w:r>
      <w:r>
        <w:rPr>
          <w:rStyle w:val="CharPartText"/>
        </w:rPr>
        <w:t>Appeals from superior courts</w:t>
      </w:r>
      <w:bookmarkEnd w:id="71"/>
      <w:bookmarkEnd w:id="72"/>
      <w:bookmarkEnd w:id="73"/>
      <w:bookmarkEnd w:id="74"/>
    </w:p>
    <w:p>
      <w:pPr>
        <w:pStyle w:val="Heading3"/>
      </w:pPr>
      <w:bookmarkStart w:id="75" w:name="_Toc122516027"/>
      <w:bookmarkStart w:id="76" w:name="_Toc122518116"/>
      <w:bookmarkStart w:id="77" w:name="_Toc123281942"/>
      <w:bookmarkStart w:id="78" w:name="_Toc123282293"/>
      <w:r>
        <w:rPr>
          <w:rStyle w:val="CharDivNo"/>
        </w:rPr>
        <w:t>Division 1</w:t>
      </w:r>
      <w:r>
        <w:t> — </w:t>
      </w:r>
      <w:r>
        <w:rPr>
          <w:rStyle w:val="CharDivText"/>
        </w:rPr>
        <w:t>Preliminary</w:t>
      </w:r>
      <w:bookmarkEnd w:id="75"/>
      <w:bookmarkEnd w:id="76"/>
      <w:bookmarkEnd w:id="77"/>
      <w:bookmarkEnd w:id="78"/>
    </w:p>
    <w:p>
      <w:pPr>
        <w:pStyle w:val="Heading5"/>
      </w:pPr>
      <w:bookmarkStart w:id="79" w:name="_Toc123282294"/>
      <w:bookmarkStart w:id="80" w:name="_Toc122518117"/>
      <w:r>
        <w:rPr>
          <w:rStyle w:val="CharSectno"/>
        </w:rPr>
        <w:t>22</w:t>
      </w:r>
      <w:r>
        <w:t>.</w:t>
      </w:r>
      <w:r>
        <w:tab/>
        <w:t>Terms used</w:t>
      </w:r>
      <w:bookmarkEnd w:id="79"/>
      <w:bookmarkEnd w:id="80"/>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81" w:name="_Toc122516029"/>
      <w:bookmarkStart w:id="82" w:name="_Toc122518118"/>
      <w:bookmarkStart w:id="83" w:name="_Toc123281944"/>
      <w:bookmarkStart w:id="84" w:name="_Toc123282295"/>
      <w:r>
        <w:rPr>
          <w:rStyle w:val="CharDivNo"/>
        </w:rPr>
        <w:t>Division 2</w:t>
      </w:r>
      <w:r>
        <w:t> — </w:t>
      </w:r>
      <w:r>
        <w:rPr>
          <w:rStyle w:val="CharDivText"/>
        </w:rPr>
        <w:t>Rights of appeal</w:t>
      </w:r>
      <w:bookmarkEnd w:id="81"/>
      <w:bookmarkEnd w:id="82"/>
      <w:bookmarkEnd w:id="83"/>
      <w:bookmarkEnd w:id="84"/>
    </w:p>
    <w:p>
      <w:pPr>
        <w:pStyle w:val="Heading5"/>
      </w:pPr>
      <w:bookmarkStart w:id="85" w:name="_Toc123282296"/>
      <w:bookmarkStart w:id="86" w:name="_Toc122518119"/>
      <w:r>
        <w:rPr>
          <w:rStyle w:val="CharSectno"/>
        </w:rPr>
        <w:t>23</w:t>
      </w:r>
      <w:r>
        <w:t>.</w:t>
      </w:r>
      <w:r>
        <w:tab/>
        <w:t>Rights of appeal of offender</w:t>
      </w:r>
      <w:bookmarkEnd w:id="85"/>
      <w:bookmarkEnd w:id="86"/>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7" w:name="_Toc123282297"/>
      <w:bookmarkStart w:id="88" w:name="_Toc122518120"/>
      <w:r>
        <w:rPr>
          <w:rStyle w:val="CharSectno"/>
        </w:rPr>
        <w:t>24</w:t>
      </w:r>
      <w:r>
        <w:t>.</w:t>
      </w:r>
      <w:r>
        <w:tab/>
        <w:t>Rights of appeal of prosecutor</w:t>
      </w:r>
      <w:bookmarkEnd w:id="87"/>
      <w:bookmarkEnd w:id="88"/>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No. 2 of 2008 s. 32.]</w:t>
      </w:r>
    </w:p>
    <w:p>
      <w:pPr>
        <w:pStyle w:val="Heading5"/>
        <w:spacing w:before="180"/>
      </w:pPr>
      <w:bookmarkStart w:id="89" w:name="_Toc123282298"/>
      <w:bookmarkStart w:id="90" w:name="_Toc122518121"/>
      <w:r>
        <w:rPr>
          <w:rStyle w:val="CharSectno"/>
        </w:rPr>
        <w:t>25</w:t>
      </w:r>
      <w:r>
        <w:t>.</w:t>
      </w:r>
      <w:r>
        <w:tab/>
        <w:t>Rights of appeal if acquittal on account of unsoundness of mind</w:t>
      </w:r>
      <w:bookmarkEnd w:id="89"/>
      <w:bookmarkEnd w:id="90"/>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No. 2 of 2008 s. 33.]</w:t>
      </w:r>
    </w:p>
    <w:p>
      <w:pPr>
        <w:pStyle w:val="Heading5"/>
      </w:pPr>
      <w:bookmarkStart w:id="91" w:name="_Toc123282299"/>
      <w:bookmarkStart w:id="92" w:name="_Toc122518122"/>
      <w:r>
        <w:rPr>
          <w:rStyle w:val="CharSectno"/>
        </w:rPr>
        <w:t>26</w:t>
      </w:r>
      <w:r>
        <w:t>.</w:t>
      </w:r>
      <w:r>
        <w:tab/>
        <w:t>Separate trial decision, preliminary appeal against</w:t>
      </w:r>
      <w:bookmarkEnd w:id="91"/>
      <w:bookmarkEnd w:id="92"/>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No. 2 of 2008 s. 34.]</w:t>
      </w:r>
    </w:p>
    <w:p>
      <w:pPr>
        <w:pStyle w:val="Heading3"/>
      </w:pPr>
      <w:bookmarkStart w:id="93" w:name="_Toc122516034"/>
      <w:bookmarkStart w:id="94" w:name="_Toc122518123"/>
      <w:bookmarkStart w:id="95" w:name="_Toc123281949"/>
      <w:bookmarkStart w:id="96" w:name="_Toc123282300"/>
      <w:r>
        <w:rPr>
          <w:rStyle w:val="CharDivNo"/>
        </w:rPr>
        <w:t>Division 3</w:t>
      </w:r>
      <w:r>
        <w:t> — </w:t>
      </w:r>
      <w:r>
        <w:rPr>
          <w:rStyle w:val="CharDivText"/>
        </w:rPr>
        <w:t>Commencing and deciding appeals</w:t>
      </w:r>
      <w:bookmarkEnd w:id="93"/>
      <w:bookmarkEnd w:id="94"/>
      <w:bookmarkEnd w:id="95"/>
      <w:bookmarkEnd w:id="96"/>
    </w:p>
    <w:p>
      <w:pPr>
        <w:pStyle w:val="Heading5"/>
      </w:pPr>
      <w:bookmarkStart w:id="97" w:name="_Toc123282301"/>
      <w:bookmarkStart w:id="98" w:name="_Toc122518124"/>
      <w:r>
        <w:rPr>
          <w:rStyle w:val="CharSectno"/>
        </w:rPr>
        <w:t>27</w:t>
      </w:r>
      <w:r>
        <w:t>.</w:t>
      </w:r>
      <w:r>
        <w:tab/>
        <w:t>Leave to appeal required in all cases</w:t>
      </w:r>
      <w:bookmarkEnd w:id="97"/>
      <w:bookmarkEnd w:id="98"/>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99" w:name="_Toc123282302"/>
      <w:bookmarkStart w:id="100" w:name="_Toc122518125"/>
      <w:r>
        <w:rPr>
          <w:rStyle w:val="CharSectno"/>
        </w:rPr>
        <w:t>28</w:t>
      </w:r>
      <w:r>
        <w:t>.</w:t>
      </w:r>
      <w:r>
        <w:tab/>
        <w:t>Commencing an appeal</w:t>
      </w:r>
      <w:bookmarkEnd w:id="99"/>
      <w:bookmarkEnd w:id="100"/>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No. 5 of 2008 s. 27.]</w:t>
      </w:r>
    </w:p>
    <w:p>
      <w:pPr>
        <w:pStyle w:val="Heading5"/>
      </w:pPr>
      <w:bookmarkStart w:id="101" w:name="_Toc123282303"/>
      <w:bookmarkStart w:id="102" w:name="_Toc122518126"/>
      <w:r>
        <w:rPr>
          <w:rStyle w:val="CharSectno"/>
        </w:rPr>
        <w:t>29</w:t>
      </w:r>
      <w:r>
        <w:t>.</w:t>
      </w:r>
      <w:r>
        <w:tab/>
        <w:t>Sentences etc., Court of Appeal may stay etc.</w:t>
      </w:r>
      <w:bookmarkEnd w:id="101"/>
      <w:bookmarkEnd w:id="102"/>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103" w:name="_Toc123282304"/>
      <w:bookmarkStart w:id="104" w:name="_Toc122518127"/>
      <w:r>
        <w:rPr>
          <w:rStyle w:val="CharSectno"/>
        </w:rPr>
        <w:t>30</w:t>
      </w:r>
      <w:r>
        <w:t>.</w:t>
      </w:r>
      <w:r>
        <w:tab/>
        <w:t>Appeal against conviction, decision on</w:t>
      </w:r>
      <w:bookmarkEnd w:id="103"/>
      <w:bookmarkEnd w:id="104"/>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05" w:name="_Toc123282305"/>
      <w:bookmarkStart w:id="106" w:name="_Toc122518128"/>
      <w:r>
        <w:rPr>
          <w:rStyle w:val="CharSectno"/>
        </w:rPr>
        <w:t>31</w:t>
      </w:r>
      <w:r>
        <w:t>.</w:t>
      </w:r>
      <w:r>
        <w:tab/>
        <w:t>Appeal against sentence etc., decision on</w:t>
      </w:r>
      <w:bookmarkEnd w:id="105"/>
      <w:bookmarkEnd w:id="106"/>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No. 2 of 2008 s. 35.]</w:t>
      </w:r>
    </w:p>
    <w:p>
      <w:pPr>
        <w:pStyle w:val="Heading5"/>
      </w:pPr>
      <w:bookmarkStart w:id="107" w:name="_Toc123282306"/>
      <w:bookmarkStart w:id="108" w:name="_Toc122518129"/>
      <w:r>
        <w:rPr>
          <w:rStyle w:val="CharSectno"/>
        </w:rPr>
        <w:t>32</w:t>
      </w:r>
      <w:r>
        <w:t>.</w:t>
      </w:r>
      <w:r>
        <w:tab/>
        <w:t>Appeal under s. 25, decision on</w:t>
      </w:r>
      <w:bookmarkEnd w:id="107"/>
      <w:bookmarkEnd w:id="108"/>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09" w:name="_Toc123282307"/>
      <w:bookmarkStart w:id="110" w:name="_Toc122518130"/>
      <w:r>
        <w:rPr>
          <w:rStyle w:val="CharSectno"/>
        </w:rPr>
        <w:t>33</w:t>
      </w:r>
      <w:r>
        <w:t>.</w:t>
      </w:r>
      <w:r>
        <w:tab/>
        <w:t>Other appeals by prosecutor, decision on</w:t>
      </w:r>
      <w:bookmarkEnd w:id="109"/>
      <w:bookmarkEnd w:id="110"/>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No. 2 of 2008 s. 36.]</w:t>
      </w:r>
    </w:p>
    <w:p>
      <w:pPr>
        <w:pStyle w:val="Heading5"/>
      </w:pPr>
      <w:bookmarkStart w:id="111" w:name="_Toc123282308"/>
      <w:bookmarkStart w:id="112" w:name="_Toc122518131"/>
      <w:r>
        <w:rPr>
          <w:rStyle w:val="CharSectno"/>
        </w:rPr>
        <w:t>34</w:t>
      </w:r>
      <w:r>
        <w:t>.</w:t>
      </w:r>
      <w:r>
        <w:tab/>
        <w:t>New trial etc., procedure if ordered</w:t>
      </w:r>
      <w:bookmarkEnd w:id="111"/>
      <w:bookmarkEnd w:id="112"/>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No. 2 of 2008 s. 37.]</w:t>
      </w:r>
    </w:p>
    <w:p>
      <w:pPr>
        <w:pStyle w:val="Heading3"/>
      </w:pPr>
      <w:bookmarkStart w:id="113" w:name="_Toc122516043"/>
      <w:bookmarkStart w:id="114" w:name="_Toc122518132"/>
      <w:bookmarkStart w:id="115" w:name="_Toc123281958"/>
      <w:bookmarkStart w:id="116" w:name="_Toc123282309"/>
      <w:r>
        <w:rPr>
          <w:rStyle w:val="CharDivNo"/>
        </w:rPr>
        <w:t>Division 4</w:t>
      </w:r>
      <w:r>
        <w:t> — </w:t>
      </w:r>
      <w:r>
        <w:rPr>
          <w:rStyle w:val="CharDivText"/>
        </w:rPr>
        <w:t>Miscellaneous</w:t>
      </w:r>
      <w:bookmarkEnd w:id="113"/>
      <w:bookmarkEnd w:id="114"/>
      <w:bookmarkEnd w:id="115"/>
      <w:bookmarkEnd w:id="116"/>
    </w:p>
    <w:p>
      <w:pPr>
        <w:pStyle w:val="Heading5"/>
      </w:pPr>
      <w:bookmarkStart w:id="117" w:name="_Toc123282310"/>
      <w:bookmarkStart w:id="118" w:name="_Toc122518133"/>
      <w:r>
        <w:rPr>
          <w:rStyle w:val="CharSectno"/>
        </w:rPr>
        <w:t>35</w:t>
      </w:r>
      <w:r>
        <w:t>.</w:t>
      </w:r>
      <w:r>
        <w:tab/>
        <w:t>No fees or costs</w:t>
      </w:r>
      <w:bookmarkEnd w:id="117"/>
      <w:bookmarkEnd w:id="118"/>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19" w:name="_Toc123282311"/>
      <w:bookmarkStart w:id="120" w:name="_Toc122518134"/>
      <w:r>
        <w:rPr>
          <w:rStyle w:val="CharSectno"/>
        </w:rPr>
        <w:t>35A</w:t>
      </w:r>
      <w:r>
        <w:t>.</w:t>
      </w:r>
      <w:r>
        <w:tab/>
        <w:t>Accused’s costs in some appeals to be paid by State</w:t>
      </w:r>
      <w:bookmarkEnd w:id="119"/>
      <w:bookmarkEnd w:id="120"/>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No. 2 of 2008 s. 38.]</w:t>
      </w:r>
    </w:p>
    <w:p>
      <w:pPr>
        <w:pStyle w:val="Heading2"/>
        <w:rPr>
          <w:ins w:id="121" w:author="Master Repository Process" w:date="2022-12-30T09:46:00Z"/>
        </w:rPr>
      </w:pPr>
      <w:bookmarkStart w:id="122" w:name="_Toc74897429"/>
      <w:bookmarkStart w:id="123" w:name="_Toc74897723"/>
      <w:bookmarkStart w:id="124" w:name="_Toc75185295"/>
      <w:bookmarkStart w:id="125" w:name="_Toc79488342"/>
      <w:bookmarkStart w:id="126" w:name="_Toc79490297"/>
      <w:bookmarkStart w:id="127" w:name="_Toc106212195"/>
      <w:bookmarkStart w:id="128" w:name="_Toc106974270"/>
      <w:bookmarkStart w:id="129" w:name="_Toc123281961"/>
      <w:bookmarkStart w:id="130" w:name="_Toc123282312"/>
      <w:ins w:id="131" w:author="Master Repository Process" w:date="2022-12-30T09:46:00Z">
        <w:r>
          <w:rPr>
            <w:rStyle w:val="CharPartNo"/>
          </w:rPr>
          <w:t>Part 3A</w:t>
        </w:r>
        <w:r>
          <w:rPr>
            <w:b w:val="0"/>
          </w:rPr>
          <w:t> </w:t>
        </w:r>
        <w:r>
          <w:t>—</w:t>
        </w:r>
        <w:r>
          <w:rPr>
            <w:b w:val="0"/>
          </w:rPr>
          <w:t> </w:t>
        </w:r>
        <w:r>
          <w:rPr>
            <w:rStyle w:val="CharPartText"/>
          </w:rPr>
          <w:t>Further appeals against conviction</w:t>
        </w:r>
        <w:bookmarkEnd w:id="122"/>
        <w:bookmarkEnd w:id="123"/>
        <w:bookmarkEnd w:id="124"/>
        <w:bookmarkEnd w:id="125"/>
        <w:bookmarkEnd w:id="126"/>
        <w:bookmarkEnd w:id="127"/>
        <w:bookmarkEnd w:id="128"/>
        <w:bookmarkEnd w:id="129"/>
        <w:bookmarkEnd w:id="130"/>
      </w:ins>
    </w:p>
    <w:p>
      <w:pPr>
        <w:pStyle w:val="Footnoteheading"/>
        <w:rPr>
          <w:ins w:id="132" w:author="Master Repository Process" w:date="2022-12-30T09:46:00Z"/>
        </w:rPr>
      </w:pPr>
      <w:ins w:id="133" w:author="Master Repository Process" w:date="2022-12-30T09:46:00Z">
        <w:r>
          <w:tab/>
          <w:t>[Heading inserted: No. 18 of 2022 s. 4.]</w:t>
        </w:r>
      </w:ins>
    </w:p>
    <w:p>
      <w:pPr>
        <w:pStyle w:val="Heading3"/>
        <w:rPr>
          <w:ins w:id="134" w:author="Master Repository Process" w:date="2022-12-30T09:46:00Z"/>
        </w:rPr>
      </w:pPr>
      <w:bookmarkStart w:id="135" w:name="_Toc74897430"/>
      <w:bookmarkStart w:id="136" w:name="_Toc74897724"/>
      <w:bookmarkStart w:id="137" w:name="_Toc75185296"/>
      <w:bookmarkStart w:id="138" w:name="_Toc79488343"/>
      <w:bookmarkStart w:id="139" w:name="_Toc79490298"/>
      <w:bookmarkStart w:id="140" w:name="_Toc106212196"/>
      <w:bookmarkStart w:id="141" w:name="_Toc106974271"/>
      <w:bookmarkStart w:id="142" w:name="_Toc123281962"/>
      <w:bookmarkStart w:id="143" w:name="_Toc123282313"/>
      <w:ins w:id="144" w:author="Master Repository Process" w:date="2022-12-30T09:46:00Z">
        <w:r>
          <w:rPr>
            <w:rStyle w:val="CharDivNo"/>
          </w:rPr>
          <w:t>Division 1</w:t>
        </w:r>
        <w:r>
          <w:t> — </w:t>
        </w:r>
        <w:r>
          <w:rPr>
            <w:rStyle w:val="CharDivText"/>
          </w:rPr>
          <w:t>Preliminary</w:t>
        </w:r>
        <w:bookmarkEnd w:id="135"/>
        <w:bookmarkEnd w:id="136"/>
        <w:bookmarkEnd w:id="137"/>
        <w:bookmarkEnd w:id="138"/>
        <w:bookmarkEnd w:id="139"/>
        <w:bookmarkEnd w:id="140"/>
        <w:bookmarkEnd w:id="141"/>
        <w:bookmarkEnd w:id="142"/>
        <w:bookmarkEnd w:id="143"/>
      </w:ins>
    </w:p>
    <w:p>
      <w:pPr>
        <w:pStyle w:val="Footnoteheading"/>
        <w:rPr>
          <w:ins w:id="145" w:author="Master Repository Process" w:date="2022-12-30T09:46:00Z"/>
        </w:rPr>
      </w:pPr>
      <w:bookmarkStart w:id="146" w:name="_Toc106212197"/>
      <w:bookmarkStart w:id="147" w:name="_Toc106974272"/>
      <w:ins w:id="148" w:author="Master Repository Process" w:date="2022-12-30T09:46:00Z">
        <w:r>
          <w:tab/>
          <w:t>[Heading inserted: No. 18 of 2022 s. 4.]</w:t>
        </w:r>
      </w:ins>
    </w:p>
    <w:p>
      <w:pPr>
        <w:pStyle w:val="Heading5"/>
        <w:rPr>
          <w:ins w:id="149" w:author="Master Repository Process" w:date="2022-12-30T09:46:00Z"/>
        </w:rPr>
      </w:pPr>
      <w:bookmarkStart w:id="150" w:name="_Toc123282314"/>
      <w:ins w:id="151" w:author="Master Repository Process" w:date="2022-12-30T09:46:00Z">
        <w:r>
          <w:rPr>
            <w:rStyle w:val="CharSectno"/>
          </w:rPr>
          <w:t>35B</w:t>
        </w:r>
        <w:r>
          <w:t>.</w:t>
        </w:r>
        <w:r>
          <w:tab/>
          <w:t>Application of this Part</w:t>
        </w:r>
        <w:bookmarkEnd w:id="146"/>
        <w:bookmarkEnd w:id="147"/>
        <w:bookmarkEnd w:id="150"/>
        <w:r>
          <w:t> </w:t>
        </w:r>
      </w:ins>
    </w:p>
    <w:p>
      <w:pPr>
        <w:pStyle w:val="Subsection"/>
        <w:rPr>
          <w:ins w:id="152" w:author="Master Repository Process" w:date="2022-12-30T09:46:00Z"/>
        </w:rPr>
      </w:pPr>
      <w:ins w:id="153" w:author="Master Repository Process" w:date="2022-12-30T09:46:00Z">
        <w:r>
          <w:tab/>
        </w:r>
        <w:r>
          <w:tab/>
          <w:t xml:space="preserve">This Part applies to an offender whether the offender was convicted of the offence to which an appeal under this Part relates before or after the </w:t>
        </w:r>
        <w:r>
          <w:rPr>
            <w:i/>
          </w:rPr>
          <w:t>Criminal Appeals Amendment Act 2022</w:t>
        </w:r>
        <w:r>
          <w:t xml:space="preserve"> came into operation.</w:t>
        </w:r>
      </w:ins>
    </w:p>
    <w:p>
      <w:pPr>
        <w:pStyle w:val="Footnotesection"/>
        <w:rPr>
          <w:ins w:id="154" w:author="Master Repository Process" w:date="2022-12-30T09:46:00Z"/>
        </w:rPr>
      </w:pPr>
      <w:ins w:id="155" w:author="Master Repository Process" w:date="2022-12-30T09:46:00Z">
        <w:r>
          <w:tab/>
          <w:t>[Section 35B inserted: No. 18 of 2022 s. 4.]</w:t>
        </w:r>
      </w:ins>
    </w:p>
    <w:p>
      <w:pPr>
        <w:pStyle w:val="Heading5"/>
        <w:rPr>
          <w:ins w:id="156" w:author="Master Repository Process" w:date="2022-12-30T09:46:00Z"/>
        </w:rPr>
      </w:pPr>
      <w:bookmarkStart w:id="157" w:name="_Toc106212198"/>
      <w:bookmarkStart w:id="158" w:name="_Toc106974273"/>
      <w:bookmarkStart w:id="159" w:name="_Toc123282315"/>
      <w:ins w:id="160" w:author="Master Repository Process" w:date="2022-12-30T09:46:00Z">
        <w:r>
          <w:rPr>
            <w:rStyle w:val="CharSectno"/>
          </w:rPr>
          <w:t>35C</w:t>
        </w:r>
        <w:r>
          <w:t>.</w:t>
        </w:r>
        <w:r>
          <w:tab/>
          <w:t>Term used: offender</w:t>
        </w:r>
        <w:bookmarkEnd w:id="157"/>
        <w:bookmarkEnd w:id="158"/>
        <w:bookmarkEnd w:id="159"/>
      </w:ins>
    </w:p>
    <w:p>
      <w:pPr>
        <w:pStyle w:val="Subsection"/>
        <w:rPr>
          <w:ins w:id="161" w:author="Master Repository Process" w:date="2022-12-30T09:46:00Z"/>
        </w:rPr>
      </w:pPr>
      <w:ins w:id="162" w:author="Master Repository Process" w:date="2022-12-30T09:46:00Z">
        <w:r>
          <w:tab/>
        </w:r>
        <w:r>
          <w:tab/>
          <w:t xml:space="preserve">In this Part — </w:t>
        </w:r>
      </w:ins>
    </w:p>
    <w:p>
      <w:pPr>
        <w:pStyle w:val="Defstart"/>
        <w:rPr>
          <w:ins w:id="163" w:author="Master Repository Process" w:date="2022-12-30T09:46:00Z"/>
        </w:rPr>
      </w:pPr>
      <w:ins w:id="164" w:author="Master Repository Process" w:date="2022-12-30T09:46:00Z">
        <w:r>
          <w:tab/>
        </w:r>
        <w:r>
          <w:rPr>
            <w:rStyle w:val="CharDefText"/>
          </w:rPr>
          <w:t>offender</w:t>
        </w:r>
        <w:r>
          <w:t xml:space="preserve"> has the meaning given in section 22.</w:t>
        </w:r>
      </w:ins>
    </w:p>
    <w:p>
      <w:pPr>
        <w:pStyle w:val="Footnotesection"/>
        <w:rPr>
          <w:ins w:id="165" w:author="Master Repository Process" w:date="2022-12-30T09:46:00Z"/>
        </w:rPr>
      </w:pPr>
      <w:bookmarkStart w:id="166" w:name="_Toc106212199"/>
      <w:bookmarkStart w:id="167" w:name="_Toc106974274"/>
      <w:ins w:id="168" w:author="Master Repository Process" w:date="2022-12-30T09:46:00Z">
        <w:r>
          <w:tab/>
          <w:t>[Section 35C inserted: No. 18 of 2022 s. 4.]</w:t>
        </w:r>
      </w:ins>
    </w:p>
    <w:p>
      <w:pPr>
        <w:pStyle w:val="Heading5"/>
        <w:rPr>
          <w:ins w:id="169" w:author="Master Repository Process" w:date="2022-12-30T09:46:00Z"/>
        </w:rPr>
      </w:pPr>
      <w:bookmarkStart w:id="170" w:name="_Toc123282316"/>
      <w:ins w:id="171" w:author="Master Repository Process" w:date="2022-12-30T09:46:00Z">
        <w:r>
          <w:rPr>
            <w:rStyle w:val="CharSectno"/>
          </w:rPr>
          <w:t>35D</w:t>
        </w:r>
        <w:r>
          <w:t>.</w:t>
        </w:r>
        <w:r>
          <w:tab/>
          <w:t>Fresh, new and compelling evidence</w:t>
        </w:r>
        <w:bookmarkEnd w:id="166"/>
        <w:bookmarkEnd w:id="167"/>
        <w:bookmarkEnd w:id="170"/>
      </w:ins>
    </w:p>
    <w:p>
      <w:pPr>
        <w:pStyle w:val="Subsection"/>
        <w:rPr>
          <w:ins w:id="172" w:author="Master Repository Process" w:date="2022-12-30T09:46:00Z"/>
        </w:rPr>
      </w:pPr>
      <w:ins w:id="173" w:author="Master Repository Process" w:date="2022-12-30T09:46:00Z">
        <w:r>
          <w:tab/>
          <w:t>(1)</w:t>
        </w:r>
        <w:r>
          <w:tab/>
          <w:t xml:space="preserve">For the purposes of this Part, evidence relating to an offence of which an offender was convicted is </w:t>
        </w:r>
        <w:r>
          <w:rPr>
            <w:b/>
            <w:i/>
          </w:rPr>
          <w:t>fresh</w:t>
        </w:r>
        <w:r>
          <w:t> —</w:t>
        </w:r>
      </w:ins>
    </w:p>
    <w:p>
      <w:pPr>
        <w:pStyle w:val="Indenta"/>
        <w:rPr>
          <w:ins w:id="174" w:author="Master Repository Process" w:date="2022-12-30T09:46:00Z"/>
        </w:rPr>
      </w:pPr>
      <w:ins w:id="175" w:author="Master Repository Process" w:date="2022-12-30T09:46:00Z">
        <w:r>
          <w:tab/>
          <w:t>(a)</w:t>
        </w:r>
        <w:r>
          <w:tab/>
          <w:t>if, despite the exercise of reasonable diligence, the evidence was not and could not have been tendered at the trial of the offence or any previous appeal; or</w:t>
        </w:r>
      </w:ins>
    </w:p>
    <w:p>
      <w:pPr>
        <w:pStyle w:val="Indenta"/>
        <w:rPr>
          <w:ins w:id="176" w:author="Master Repository Process" w:date="2022-12-30T09:46:00Z"/>
        </w:rPr>
      </w:pPr>
      <w:ins w:id="177" w:author="Master Repository Process" w:date="2022-12-30T09:46:00Z">
        <w:r>
          <w:tab/>
          <w:t>(b)</w:t>
        </w:r>
        <w:r>
          <w:tab/>
          <w:t xml:space="preserve">if — </w:t>
        </w:r>
      </w:ins>
    </w:p>
    <w:p>
      <w:pPr>
        <w:pStyle w:val="Indenti"/>
        <w:rPr>
          <w:ins w:id="178" w:author="Master Repository Process" w:date="2022-12-30T09:46:00Z"/>
        </w:rPr>
      </w:pPr>
      <w:ins w:id="179" w:author="Master Repository Process" w:date="2022-12-30T09:46:00Z">
        <w:r>
          <w:tab/>
          <w:t>(i)</w:t>
        </w:r>
        <w:r>
          <w:tab/>
          <w:t>the evidence was not tendered at the trial of the offence or any previous appeal but, with the exercise of reasonable diligence, could have been tendered at the trial of the offence or any previous appeal; and</w:t>
        </w:r>
      </w:ins>
    </w:p>
    <w:p>
      <w:pPr>
        <w:pStyle w:val="Indenti"/>
        <w:rPr>
          <w:ins w:id="180" w:author="Master Repository Process" w:date="2022-12-30T09:46:00Z"/>
        </w:rPr>
      </w:pPr>
      <w:ins w:id="181" w:author="Master Repository Process" w:date="2022-12-30T09:46:00Z">
        <w:r>
          <w:tab/>
          <w:t>(ii)</w:t>
        </w:r>
        <w:r>
          <w:tab/>
          <w:t>the failure to tender the evidence was due to the incompetence or negligence of a lawyer representing the offender.</w:t>
        </w:r>
      </w:ins>
    </w:p>
    <w:p>
      <w:pPr>
        <w:pStyle w:val="Subsection"/>
        <w:rPr>
          <w:ins w:id="182" w:author="Master Repository Process" w:date="2022-12-30T09:46:00Z"/>
        </w:rPr>
      </w:pPr>
      <w:ins w:id="183" w:author="Master Repository Process" w:date="2022-12-30T09:46:00Z">
        <w:r>
          <w:tab/>
          <w:t>(2)</w:t>
        </w:r>
        <w:r>
          <w:tab/>
          <w:t xml:space="preserve">For the purposes of this Part, evidence relating to an offence of which an offender was convicted is </w:t>
        </w:r>
        <w:r>
          <w:rPr>
            <w:b/>
            <w:i/>
          </w:rPr>
          <w:t>new</w:t>
        </w:r>
        <w:r>
          <w:t xml:space="preserve"> if the evidence was not tendered at the trial of the offence or any previous appeal but, with the exercise of reasonable diligence, could have been tendered at the trial of the offence or any previous appeal.</w:t>
        </w:r>
      </w:ins>
    </w:p>
    <w:p>
      <w:pPr>
        <w:pStyle w:val="Subsection"/>
        <w:rPr>
          <w:ins w:id="184" w:author="Master Repository Process" w:date="2022-12-30T09:46:00Z"/>
        </w:rPr>
      </w:pPr>
      <w:ins w:id="185" w:author="Master Repository Process" w:date="2022-12-30T09:46:00Z">
        <w:r>
          <w:tab/>
          <w:t>(3)</w:t>
        </w:r>
        <w:r>
          <w:tab/>
          <w:t>Despite subsection (2), evidence is not new evidence if it is fresh evidence under subsection (1)(b).</w:t>
        </w:r>
      </w:ins>
    </w:p>
    <w:p>
      <w:pPr>
        <w:pStyle w:val="Subsection"/>
        <w:rPr>
          <w:ins w:id="186" w:author="Master Repository Process" w:date="2022-12-30T09:46:00Z"/>
        </w:rPr>
      </w:pPr>
      <w:ins w:id="187" w:author="Master Repository Process" w:date="2022-12-30T09:46:00Z">
        <w:r>
          <w:tab/>
          <w:t>(4)</w:t>
        </w:r>
        <w:r>
          <w:tab/>
          <w:t xml:space="preserve">For the purposes of this Part, evidence relating to an offence of which an offender was convicted is </w:t>
        </w:r>
        <w:r>
          <w:rPr>
            <w:b/>
            <w:i/>
          </w:rPr>
          <w:t>compelling</w:t>
        </w:r>
        <w:r>
          <w:t xml:space="preserve"> if it is highly probative in the context of the issues in dispute at the trial of the offence.</w:t>
        </w:r>
      </w:ins>
    </w:p>
    <w:p>
      <w:pPr>
        <w:pStyle w:val="Footnotesection"/>
        <w:rPr>
          <w:ins w:id="188" w:author="Master Repository Process" w:date="2022-12-30T09:46:00Z"/>
        </w:rPr>
      </w:pPr>
      <w:bookmarkStart w:id="189" w:name="_Toc74897434"/>
      <w:bookmarkStart w:id="190" w:name="_Toc74897728"/>
      <w:bookmarkStart w:id="191" w:name="_Toc75185300"/>
      <w:bookmarkStart w:id="192" w:name="_Toc79488347"/>
      <w:bookmarkStart w:id="193" w:name="_Toc79490302"/>
      <w:bookmarkStart w:id="194" w:name="_Toc106212200"/>
      <w:bookmarkStart w:id="195" w:name="_Toc106974275"/>
      <w:ins w:id="196" w:author="Master Repository Process" w:date="2022-12-30T09:46:00Z">
        <w:r>
          <w:tab/>
          <w:t>[Section 35D inserted: No. 18 of 2022 s. 4.]</w:t>
        </w:r>
      </w:ins>
    </w:p>
    <w:p>
      <w:pPr>
        <w:pStyle w:val="Heading3"/>
        <w:rPr>
          <w:ins w:id="197" w:author="Master Repository Process" w:date="2022-12-30T09:46:00Z"/>
        </w:rPr>
      </w:pPr>
      <w:bookmarkStart w:id="198" w:name="_Toc123281966"/>
      <w:bookmarkStart w:id="199" w:name="_Toc123282317"/>
      <w:ins w:id="200" w:author="Master Repository Process" w:date="2022-12-30T09:46:00Z">
        <w:r>
          <w:rPr>
            <w:rStyle w:val="CharDivNo"/>
          </w:rPr>
          <w:t>Division 2</w:t>
        </w:r>
        <w:r>
          <w:t> — </w:t>
        </w:r>
        <w:r>
          <w:rPr>
            <w:rStyle w:val="CharDivText"/>
          </w:rPr>
          <w:t>Rights of appeal</w:t>
        </w:r>
        <w:bookmarkEnd w:id="189"/>
        <w:bookmarkEnd w:id="190"/>
        <w:bookmarkEnd w:id="191"/>
        <w:bookmarkEnd w:id="192"/>
        <w:bookmarkEnd w:id="193"/>
        <w:bookmarkEnd w:id="194"/>
        <w:bookmarkEnd w:id="195"/>
        <w:bookmarkEnd w:id="198"/>
        <w:bookmarkEnd w:id="199"/>
      </w:ins>
    </w:p>
    <w:p>
      <w:pPr>
        <w:pStyle w:val="Footnoteheading"/>
        <w:rPr>
          <w:ins w:id="201" w:author="Master Repository Process" w:date="2022-12-30T09:46:00Z"/>
        </w:rPr>
      </w:pPr>
      <w:bookmarkStart w:id="202" w:name="_Toc106212201"/>
      <w:bookmarkStart w:id="203" w:name="_Toc106974276"/>
      <w:ins w:id="204" w:author="Master Repository Process" w:date="2022-12-30T09:46:00Z">
        <w:r>
          <w:tab/>
          <w:t>[Heading inserted: No. 18 of 2022 s. 4.]</w:t>
        </w:r>
      </w:ins>
    </w:p>
    <w:p>
      <w:pPr>
        <w:pStyle w:val="Heading5"/>
        <w:rPr>
          <w:ins w:id="205" w:author="Master Repository Process" w:date="2022-12-30T09:46:00Z"/>
        </w:rPr>
      </w:pPr>
      <w:bookmarkStart w:id="206" w:name="_Toc123282318"/>
      <w:ins w:id="207" w:author="Master Repository Process" w:date="2022-12-30T09:46:00Z">
        <w:r>
          <w:rPr>
            <w:rStyle w:val="CharSectno"/>
          </w:rPr>
          <w:t>35E</w:t>
        </w:r>
        <w:r>
          <w:t>.</w:t>
        </w:r>
        <w:r>
          <w:tab/>
          <w:t>Second or subsequent appeal against conviction</w:t>
        </w:r>
        <w:bookmarkEnd w:id="202"/>
        <w:bookmarkEnd w:id="203"/>
        <w:bookmarkEnd w:id="206"/>
      </w:ins>
    </w:p>
    <w:p>
      <w:pPr>
        <w:pStyle w:val="Subsection"/>
        <w:rPr>
          <w:ins w:id="208" w:author="Master Repository Process" w:date="2022-12-30T09:46:00Z"/>
        </w:rPr>
      </w:pPr>
      <w:ins w:id="209" w:author="Master Repository Process" w:date="2022-12-30T09:46:00Z">
        <w:r>
          <w:tab/>
          <w:t>(1)</w:t>
        </w:r>
        <w:r>
          <w:tab/>
          <w:t>Subject to this Part, an offender convicted of an offence on indictment may bring a 2</w:t>
        </w:r>
        <w:r>
          <w:rPr>
            <w:vertAlign w:val="superscript"/>
          </w:rPr>
          <w:t>nd</w:t>
        </w:r>
        <w:r>
          <w:t xml:space="preserve"> or subsequent appeal to the Court of Appeal against conviction if — </w:t>
        </w:r>
      </w:ins>
    </w:p>
    <w:p>
      <w:pPr>
        <w:pStyle w:val="Indenta"/>
        <w:rPr>
          <w:ins w:id="210" w:author="Master Repository Process" w:date="2022-12-30T09:46:00Z"/>
        </w:rPr>
      </w:pPr>
      <w:ins w:id="211" w:author="Master Repository Process" w:date="2022-12-30T09:46:00Z">
        <w:r>
          <w:tab/>
          <w:t>(a)</w:t>
        </w:r>
        <w:r>
          <w:tab/>
          <w:t>there is fresh and compelling evidence relating to the offence; or</w:t>
        </w:r>
      </w:ins>
    </w:p>
    <w:p>
      <w:pPr>
        <w:pStyle w:val="Indenta"/>
        <w:rPr>
          <w:ins w:id="212" w:author="Master Repository Process" w:date="2022-12-30T09:46:00Z"/>
        </w:rPr>
      </w:pPr>
      <w:ins w:id="213" w:author="Master Repository Process" w:date="2022-12-30T09:46:00Z">
        <w:r>
          <w:tab/>
          <w:t>(b)</w:t>
        </w:r>
        <w:r>
          <w:tab/>
          <w:t>there is new and compelling evidence relating to the offence.</w:t>
        </w:r>
      </w:ins>
    </w:p>
    <w:p>
      <w:pPr>
        <w:pStyle w:val="Subsection"/>
        <w:rPr>
          <w:ins w:id="214" w:author="Master Repository Process" w:date="2022-12-30T09:46:00Z"/>
        </w:rPr>
      </w:pPr>
      <w:ins w:id="215" w:author="Master Repository Process" w:date="2022-12-30T09:46:00Z">
        <w:r>
          <w:tab/>
          <w:t>(2)</w:t>
        </w:r>
        <w:r>
          <w:tab/>
          <w:t>Evidence is not precluded from being admissible on an appeal brought under this Part just because it would not have been admissible in the earlier trial of the offence resulting in the relevant conviction.</w:t>
        </w:r>
      </w:ins>
    </w:p>
    <w:p>
      <w:pPr>
        <w:pStyle w:val="Footnotesection"/>
        <w:rPr>
          <w:ins w:id="216" w:author="Master Repository Process" w:date="2022-12-30T09:46:00Z"/>
        </w:rPr>
      </w:pPr>
      <w:bookmarkStart w:id="217" w:name="_Toc74897436"/>
      <w:bookmarkStart w:id="218" w:name="_Toc74897730"/>
      <w:bookmarkStart w:id="219" w:name="_Toc75185302"/>
      <w:bookmarkStart w:id="220" w:name="_Toc79488349"/>
      <w:bookmarkStart w:id="221" w:name="_Toc79490304"/>
      <w:bookmarkStart w:id="222" w:name="_Toc106212202"/>
      <w:bookmarkStart w:id="223" w:name="_Toc106974277"/>
      <w:ins w:id="224" w:author="Master Repository Process" w:date="2022-12-30T09:46:00Z">
        <w:r>
          <w:tab/>
          <w:t>[Section 35E inserted: No. 18 of 2022 s. 4.]</w:t>
        </w:r>
      </w:ins>
    </w:p>
    <w:p>
      <w:pPr>
        <w:pStyle w:val="Heading3"/>
        <w:rPr>
          <w:ins w:id="225" w:author="Master Repository Process" w:date="2022-12-30T09:46:00Z"/>
        </w:rPr>
      </w:pPr>
      <w:bookmarkStart w:id="226" w:name="_Toc123281968"/>
      <w:bookmarkStart w:id="227" w:name="_Toc123282319"/>
      <w:ins w:id="228" w:author="Master Repository Process" w:date="2022-12-30T09:46:00Z">
        <w:r>
          <w:rPr>
            <w:rStyle w:val="CharDivNo"/>
          </w:rPr>
          <w:t>Division 3</w:t>
        </w:r>
        <w:r>
          <w:t> — </w:t>
        </w:r>
        <w:r>
          <w:rPr>
            <w:rStyle w:val="CharDivText"/>
          </w:rPr>
          <w:t>Commencing and deciding appeals</w:t>
        </w:r>
        <w:bookmarkEnd w:id="217"/>
        <w:bookmarkEnd w:id="218"/>
        <w:bookmarkEnd w:id="219"/>
        <w:bookmarkEnd w:id="220"/>
        <w:bookmarkEnd w:id="221"/>
        <w:bookmarkEnd w:id="222"/>
        <w:bookmarkEnd w:id="223"/>
        <w:bookmarkEnd w:id="226"/>
        <w:bookmarkEnd w:id="227"/>
      </w:ins>
    </w:p>
    <w:p>
      <w:pPr>
        <w:pStyle w:val="Footnoteheading"/>
        <w:keepNext/>
        <w:rPr>
          <w:ins w:id="229" w:author="Master Repository Process" w:date="2022-12-30T09:46:00Z"/>
        </w:rPr>
      </w:pPr>
      <w:ins w:id="230" w:author="Master Repository Process" w:date="2022-12-30T09:46:00Z">
        <w:r>
          <w:tab/>
          <w:t>[Heading inserted: No. 18 of 2022 s. 4.]</w:t>
        </w:r>
      </w:ins>
    </w:p>
    <w:p>
      <w:pPr>
        <w:pStyle w:val="Heading5"/>
        <w:rPr>
          <w:ins w:id="231" w:author="Master Repository Process" w:date="2022-12-30T09:46:00Z"/>
        </w:rPr>
      </w:pPr>
      <w:bookmarkStart w:id="232" w:name="_Toc106212203"/>
      <w:bookmarkStart w:id="233" w:name="_Toc106974278"/>
      <w:bookmarkStart w:id="234" w:name="_Toc123282320"/>
      <w:ins w:id="235" w:author="Master Repository Process" w:date="2022-12-30T09:46:00Z">
        <w:r>
          <w:rPr>
            <w:rStyle w:val="CharSectno"/>
          </w:rPr>
          <w:t>35F</w:t>
        </w:r>
        <w:r>
          <w:t>.</w:t>
        </w:r>
        <w:r>
          <w:tab/>
          <w:t>Leave to appeal required in all cases</w:t>
        </w:r>
        <w:bookmarkEnd w:id="232"/>
        <w:bookmarkEnd w:id="233"/>
        <w:bookmarkEnd w:id="234"/>
      </w:ins>
    </w:p>
    <w:p>
      <w:pPr>
        <w:pStyle w:val="Subsection"/>
        <w:rPr>
          <w:ins w:id="236" w:author="Master Repository Process" w:date="2022-12-30T09:46:00Z"/>
        </w:rPr>
      </w:pPr>
      <w:ins w:id="237" w:author="Master Repository Process" w:date="2022-12-30T09:46:00Z">
        <w:r>
          <w:tab/>
          <w:t>(1)</w:t>
        </w:r>
        <w:r>
          <w:tab/>
          <w:t>Leave of the Court of Appeal is required for each ground of appeal in an appeal brought under this Part.</w:t>
        </w:r>
      </w:ins>
    </w:p>
    <w:p>
      <w:pPr>
        <w:pStyle w:val="Subsection"/>
        <w:rPr>
          <w:ins w:id="238" w:author="Master Repository Process" w:date="2022-12-30T09:46:00Z"/>
        </w:rPr>
      </w:pPr>
      <w:ins w:id="239" w:author="Master Repository Process" w:date="2022-12-30T09:46:00Z">
        <w:r>
          <w:tab/>
          <w:t>(2)</w:t>
        </w:r>
        <w:r>
          <w:tab/>
          <w:t>Except as provided in subsection (3), the Court of Appeal must decide whether to give leave to appeal on a ground of the appeal before the hearing of the appeal.</w:t>
        </w:r>
      </w:ins>
    </w:p>
    <w:p>
      <w:pPr>
        <w:pStyle w:val="Subsection"/>
        <w:rPr>
          <w:ins w:id="240" w:author="Master Repository Process" w:date="2022-12-30T09:46:00Z"/>
        </w:rPr>
      </w:pPr>
      <w:ins w:id="241" w:author="Master Repository Process" w:date="2022-12-30T09:46:00Z">
        <w:r>
          <w:tab/>
          <w:t>(3)</w:t>
        </w:r>
        <w:r>
          <w:tab/>
          <w:t>If the Court of Appeal considers it necessary or desirable, it may give leave to appeal at the hearing of, or when giving judgment on, the appeal.</w:t>
        </w:r>
      </w:ins>
    </w:p>
    <w:p>
      <w:pPr>
        <w:pStyle w:val="Subsection"/>
        <w:rPr>
          <w:ins w:id="242" w:author="Master Repository Process" w:date="2022-12-30T09:46:00Z"/>
        </w:rPr>
      </w:pPr>
      <w:ins w:id="243" w:author="Master Repository Process" w:date="2022-12-30T09:46:00Z">
        <w:r>
          <w:tab/>
          <w:t>(4)</w:t>
        </w:r>
        <w:r>
          <w:tab/>
          <w:t xml:space="preserve">After an appeal has commenced, the Court of Appeal must not give leave to appeal on a ground of appeal unless it is satisfied — </w:t>
        </w:r>
      </w:ins>
    </w:p>
    <w:p>
      <w:pPr>
        <w:pStyle w:val="Indenta"/>
        <w:rPr>
          <w:ins w:id="244" w:author="Master Repository Process" w:date="2022-12-30T09:46:00Z"/>
        </w:rPr>
      </w:pPr>
      <w:ins w:id="245" w:author="Master Repository Process" w:date="2022-12-30T09:46:00Z">
        <w:r>
          <w:tab/>
          <w:t>(a)</w:t>
        </w:r>
        <w:r>
          <w:tab/>
          <w:t>the ground identifies fresh and compelling evidence or new and compelling evidence that should, in the interests of justice, be considered on an appeal; and</w:t>
        </w:r>
      </w:ins>
    </w:p>
    <w:p>
      <w:pPr>
        <w:pStyle w:val="Indenta"/>
        <w:rPr>
          <w:ins w:id="246" w:author="Master Repository Process" w:date="2022-12-30T09:46:00Z"/>
        </w:rPr>
      </w:pPr>
      <w:ins w:id="247" w:author="Master Repository Process" w:date="2022-12-30T09:46:00Z">
        <w:r>
          <w:tab/>
          <w:t>(b)</w:t>
        </w:r>
        <w:r>
          <w:tab/>
          <w:t>the ground has a reasonable prospect of succeeding.</w:t>
        </w:r>
      </w:ins>
    </w:p>
    <w:p>
      <w:pPr>
        <w:pStyle w:val="Subsection"/>
        <w:rPr>
          <w:ins w:id="248" w:author="Master Repository Process" w:date="2022-12-30T09:46:00Z"/>
        </w:rPr>
      </w:pPr>
      <w:ins w:id="249" w:author="Master Repository Process" w:date="2022-12-30T09:46:00Z">
        <w:r>
          <w:tab/>
          <w:t>(5)</w:t>
        </w:r>
        <w:r>
          <w:tab/>
          <w:t>Unless the Court of Appeal gives leave to appeal on at least 1 ground of appeal, the appeal is taken to have been dismissed.</w:t>
        </w:r>
      </w:ins>
    </w:p>
    <w:p>
      <w:pPr>
        <w:pStyle w:val="Footnotesection"/>
        <w:rPr>
          <w:ins w:id="250" w:author="Master Repository Process" w:date="2022-12-30T09:46:00Z"/>
        </w:rPr>
      </w:pPr>
      <w:bookmarkStart w:id="251" w:name="_Toc106212204"/>
      <w:bookmarkStart w:id="252" w:name="_Toc106974279"/>
      <w:ins w:id="253" w:author="Master Repository Process" w:date="2022-12-30T09:46:00Z">
        <w:r>
          <w:tab/>
          <w:t>[Section 35F inserted: No. 18 of 2022 s. 4.]</w:t>
        </w:r>
      </w:ins>
    </w:p>
    <w:p>
      <w:pPr>
        <w:pStyle w:val="Heading5"/>
        <w:rPr>
          <w:ins w:id="254" w:author="Master Repository Process" w:date="2022-12-30T09:46:00Z"/>
        </w:rPr>
      </w:pPr>
      <w:bookmarkStart w:id="255" w:name="_Toc123282321"/>
      <w:ins w:id="256" w:author="Master Repository Process" w:date="2022-12-30T09:46:00Z">
        <w:r>
          <w:rPr>
            <w:rStyle w:val="CharSectno"/>
          </w:rPr>
          <w:t>35G</w:t>
        </w:r>
        <w:r>
          <w:t>.</w:t>
        </w:r>
        <w:r>
          <w:tab/>
          <w:t>Commencing appeal</w:t>
        </w:r>
        <w:bookmarkEnd w:id="251"/>
        <w:bookmarkEnd w:id="252"/>
        <w:bookmarkEnd w:id="255"/>
      </w:ins>
    </w:p>
    <w:p>
      <w:pPr>
        <w:pStyle w:val="Subsection"/>
        <w:rPr>
          <w:ins w:id="257" w:author="Master Repository Process" w:date="2022-12-30T09:46:00Z"/>
        </w:rPr>
      </w:pPr>
      <w:ins w:id="258" w:author="Master Repository Process" w:date="2022-12-30T09:46:00Z">
        <w:r>
          <w:tab/>
          <w:t>(1)</w:t>
        </w:r>
        <w:r>
          <w:tab/>
          <w:t>An appeal under this Part must be commenced and conducted in accordance with this Part and rules of court.</w:t>
        </w:r>
      </w:ins>
    </w:p>
    <w:p>
      <w:pPr>
        <w:pStyle w:val="Subsection"/>
        <w:rPr>
          <w:ins w:id="259" w:author="Master Repository Process" w:date="2022-12-30T09:46:00Z"/>
        </w:rPr>
      </w:pPr>
      <w:ins w:id="260" w:author="Master Repository Process" w:date="2022-12-30T09:46:00Z">
        <w:r>
          <w:tab/>
          <w:t>(2)</w:t>
        </w:r>
        <w:r>
          <w:tab/>
          <w:t>An appeal under this Part must be commenced by lodging with the Court of Appeal an application for leave to appeal that sets out the grounds for appeal.</w:t>
        </w:r>
      </w:ins>
    </w:p>
    <w:p>
      <w:pPr>
        <w:pStyle w:val="Subsection"/>
        <w:rPr>
          <w:ins w:id="261" w:author="Master Repository Process" w:date="2022-12-30T09:46:00Z"/>
        </w:rPr>
      </w:pPr>
      <w:ins w:id="262" w:author="Master Repository Process" w:date="2022-12-30T09:46:00Z">
        <w:r>
          <w:tab/>
          <w:t>(3)</w:t>
        </w:r>
        <w:r>
          <w:tab/>
          <w:t>On commencing an appeal, the appellant must serve a copy of the application for leave to appeal on the other party or parties to the proceedings before the trial court.</w:t>
        </w:r>
      </w:ins>
    </w:p>
    <w:p>
      <w:pPr>
        <w:pStyle w:val="Subsection"/>
        <w:rPr>
          <w:ins w:id="263" w:author="Master Repository Process" w:date="2022-12-30T09:46:00Z"/>
        </w:rPr>
      </w:pPr>
      <w:ins w:id="264" w:author="Master Repository Process" w:date="2022-12-30T09:46:00Z">
        <w:r>
          <w:tab/>
          <w:t>(4)</w:t>
        </w:r>
        <w:r>
          <w:tab/>
          <w:t>The Court of Appeal may at any time order the appellant to serve a copy of the application for leave to appeal on any other person that the court thinks fit.</w:t>
        </w:r>
      </w:ins>
    </w:p>
    <w:p>
      <w:pPr>
        <w:pStyle w:val="Footnotesection"/>
        <w:rPr>
          <w:ins w:id="265" w:author="Master Repository Process" w:date="2022-12-30T09:46:00Z"/>
        </w:rPr>
      </w:pPr>
      <w:bookmarkStart w:id="266" w:name="_Toc106212205"/>
      <w:bookmarkStart w:id="267" w:name="_Toc106974280"/>
      <w:ins w:id="268" w:author="Master Repository Process" w:date="2022-12-30T09:46:00Z">
        <w:r>
          <w:tab/>
          <w:t>[Section 35G inserted: No. 18 of 2022 s. 4.]</w:t>
        </w:r>
      </w:ins>
    </w:p>
    <w:p>
      <w:pPr>
        <w:pStyle w:val="Heading5"/>
        <w:rPr>
          <w:ins w:id="269" w:author="Master Repository Process" w:date="2022-12-30T09:46:00Z"/>
        </w:rPr>
      </w:pPr>
      <w:bookmarkStart w:id="270" w:name="_Toc123282322"/>
      <w:ins w:id="271" w:author="Master Repository Process" w:date="2022-12-30T09:46:00Z">
        <w:r>
          <w:rPr>
            <w:rStyle w:val="CharSectno"/>
          </w:rPr>
          <w:t>35H</w:t>
        </w:r>
        <w:r>
          <w:t>.</w:t>
        </w:r>
        <w:r>
          <w:tab/>
          <w:t>Decision on appeal</w:t>
        </w:r>
        <w:bookmarkEnd w:id="266"/>
        <w:bookmarkEnd w:id="267"/>
        <w:bookmarkEnd w:id="270"/>
      </w:ins>
    </w:p>
    <w:p>
      <w:pPr>
        <w:pStyle w:val="Subsection"/>
        <w:rPr>
          <w:ins w:id="272" w:author="Master Repository Process" w:date="2022-12-30T09:46:00Z"/>
        </w:rPr>
      </w:pPr>
      <w:ins w:id="273" w:author="Master Repository Process" w:date="2022-12-30T09:46:00Z">
        <w:r>
          <w:tab/>
          <w:t>(1)</w:t>
        </w:r>
        <w:r>
          <w:tab/>
          <w:t>Unless, under subsection (2) or (4), the Court of Appeal allows an appeal, it must dismiss the appeal.</w:t>
        </w:r>
      </w:ins>
    </w:p>
    <w:p>
      <w:pPr>
        <w:pStyle w:val="Subsection"/>
        <w:rPr>
          <w:ins w:id="274" w:author="Master Repository Process" w:date="2022-12-30T09:46:00Z"/>
        </w:rPr>
      </w:pPr>
      <w:ins w:id="275" w:author="Master Repository Process" w:date="2022-12-30T09:46:00Z">
        <w:r>
          <w:tab/>
          <w:t>(2)</w:t>
        </w:r>
        <w:r>
          <w:tab/>
          <w:t>The Court of Appeal must allow an appeal based on fresh and compelling evidence if it is satisfied there was a miscarriage of justice.</w:t>
        </w:r>
      </w:ins>
    </w:p>
    <w:p>
      <w:pPr>
        <w:pStyle w:val="Subsection"/>
        <w:rPr>
          <w:ins w:id="276" w:author="Master Repository Process" w:date="2022-12-30T09:46:00Z"/>
        </w:rPr>
      </w:pPr>
      <w:ins w:id="277" w:author="Master Repository Process" w:date="2022-12-30T09:46:00Z">
        <w:r>
          <w:tab/>
          <w:t>(3)</w:t>
        </w:r>
        <w:r>
          <w:tab/>
          <w:t>Despite subsection (2), even if 1 or more grounds might be decided in favour of the offender, the Court of Appeal may dismiss the appeal if it considers that no substantial miscarriage of justice has occurred.</w:t>
        </w:r>
      </w:ins>
    </w:p>
    <w:p>
      <w:pPr>
        <w:pStyle w:val="Subsection"/>
        <w:rPr>
          <w:ins w:id="278" w:author="Master Repository Process" w:date="2022-12-30T09:46:00Z"/>
        </w:rPr>
      </w:pPr>
      <w:ins w:id="279" w:author="Master Repository Process" w:date="2022-12-30T09:46:00Z">
        <w:r>
          <w:tab/>
          <w:t>(4)</w:t>
        </w:r>
        <w:r>
          <w:tab/>
          <w:t>The Court of Appeal must allow an appeal based on new and compelling evidence if it is satisfied on the balance of probabilities that, in light of all the evidence, the evidence establishes that the offender is innocent.</w:t>
        </w:r>
      </w:ins>
    </w:p>
    <w:p>
      <w:pPr>
        <w:pStyle w:val="Subsection"/>
        <w:rPr>
          <w:ins w:id="280" w:author="Master Repository Process" w:date="2022-12-30T09:46:00Z"/>
        </w:rPr>
      </w:pPr>
      <w:ins w:id="281" w:author="Master Repository Process" w:date="2022-12-30T09:46:00Z">
        <w:r>
          <w:tab/>
          <w:t>(5)</w:t>
        </w:r>
        <w:r>
          <w:tab/>
          <w:t xml:space="preserve">If the Court of Appeal allows the appeal, it must set aside the conviction of the offence and must — </w:t>
        </w:r>
      </w:ins>
    </w:p>
    <w:p>
      <w:pPr>
        <w:pStyle w:val="Indenta"/>
        <w:rPr>
          <w:ins w:id="282" w:author="Master Repository Process" w:date="2022-12-30T09:46:00Z"/>
        </w:rPr>
      </w:pPr>
      <w:ins w:id="283" w:author="Master Repository Process" w:date="2022-12-30T09:46:00Z">
        <w:r>
          <w:tab/>
          <w:t>(a)</w:t>
        </w:r>
        <w:r>
          <w:tab/>
          <w:t>order a new trial; or</w:t>
        </w:r>
      </w:ins>
    </w:p>
    <w:p>
      <w:pPr>
        <w:pStyle w:val="Indenta"/>
        <w:rPr>
          <w:ins w:id="284" w:author="Master Repository Process" w:date="2022-12-30T09:46:00Z"/>
        </w:rPr>
      </w:pPr>
      <w:ins w:id="285" w:author="Master Repository Process" w:date="2022-12-30T09:46:00Z">
        <w:r>
          <w:tab/>
          <w:t>(b)</w:t>
        </w:r>
        <w:r>
          <w:tab/>
          <w:t>enter a judgment, and deal with the offender in a manner, referred to in section 30(5)(b) to (e).</w:t>
        </w:r>
      </w:ins>
    </w:p>
    <w:p>
      <w:pPr>
        <w:pStyle w:val="Subsection"/>
        <w:rPr>
          <w:ins w:id="286" w:author="Master Repository Process" w:date="2022-12-30T09:46:00Z"/>
        </w:rPr>
      </w:pPr>
      <w:ins w:id="287" w:author="Master Repository Process" w:date="2022-12-30T09:46:00Z">
        <w:r>
          <w:tab/>
          <w:t>(6)</w:t>
        </w:r>
        <w:r>
          <w:tab/>
          <w:t>If the Court of Appeal orders a new trial under subsection (5)(a), section 34 applies, with any necessary modifications, as if the appeal had been brought under Part 3.</w:t>
        </w:r>
      </w:ins>
    </w:p>
    <w:p>
      <w:pPr>
        <w:pStyle w:val="Subsection"/>
        <w:rPr>
          <w:ins w:id="288" w:author="Master Repository Process" w:date="2022-12-30T09:46:00Z"/>
        </w:rPr>
      </w:pPr>
      <w:ins w:id="289" w:author="Master Repository Process" w:date="2022-12-30T09:46:00Z">
        <w:r>
          <w:tab/>
          <w:t>(7)</w:t>
        </w:r>
        <w:r>
          <w:tab/>
          <w:t>If the Court of Appeal enters a judgment under subsection (5)(b), section 30(6) applies, with any necessary modifications, as if the appeal had been brought under Part 3.</w:t>
        </w:r>
      </w:ins>
    </w:p>
    <w:p>
      <w:pPr>
        <w:pStyle w:val="Footnotesection"/>
        <w:rPr>
          <w:ins w:id="290" w:author="Master Repository Process" w:date="2022-12-30T09:46:00Z"/>
        </w:rPr>
      </w:pPr>
      <w:bookmarkStart w:id="291" w:name="_Toc74897440"/>
      <w:bookmarkStart w:id="292" w:name="_Toc74897734"/>
      <w:bookmarkStart w:id="293" w:name="_Toc75185306"/>
      <w:bookmarkStart w:id="294" w:name="_Toc79488353"/>
      <w:bookmarkStart w:id="295" w:name="_Toc79490308"/>
      <w:bookmarkStart w:id="296" w:name="_Toc106212206"/>
      <w:bookmarkStart w:id="297" w:name="_Toc106974281"/>
      <w:ins w:id="298" w:author="Master Repository Process" w:date="2022-12-30T09:46:00Z">
        <w:r>
          <w:tab/>
          <w:t>[Section 35H inserted: No. 18 of 2022 s. 4.]</w:t>
        </w:r>
      </w:ins>
    </w:p>
    <w:p>
      <w:pPr>
        <w:pStyle w:val="Heading3"/>
        <w:rPr>
          <w:ins w:id="299" w:author="Master Repository Process" w:date="2022-12-30T09:46:00Z"/>
        </w:rPr>
      </w:pPr>
      <w:bookmarkStart w:id="300" w:name="_Toc123281972"/>
      <w:bookmarkStart w:id="301" w:name="_Toc123282323"/>
      <w:ins w:id="302" w:author="Master Repository Process" w:date="2022-12-30T09:46:00Z">
        <w:r>
          <w:rPr>
            <w:rStyle w:val="CharDivNo"/>
          </w:rPr>
          <w:t>Division 4</w:t>
        </w:r>
        <w:r>
          <w:t> — </w:t>
        </w:r>
        <w:r>
          <w:rPr>
            <w:rStyle w:val="CharDivText"/>
          </w:rPr>
          <w:t>Fees and costs</w:t>
        </w:r>
        <w:bookmarkEnd w:id="291"/>
        <w:bookmarkEnd w:id="292"/>
        <w:bookmarkEnd w:id="293"/>
        <w:bookmarkEnd w:id="294"/>
        <w:bookmarkEnd w:id="295"/>
        <w:bookmarkEnd w:id="296"/>
        <w:bookmarkEnd w:id="297"/>
        <w:bookmarkEnd w:id="300"/>
        <w:bookmarkEnd w:id="301"/>
      </w:ins>
    </w:p>
    <w:p>
      <w:pPr>
        <w:pStyle w:val="Footnoteheading"/>
        <w:keepNext/>
        <w:rPr>
          <w:ins w:id="303" w:author="Master Repository Process" w:date="2022-12-30T09:46:00Z"/>
        </w:rPr>
      </w:pPr>
      <w:bookmarkStart w:id="304" w:name="_Toc106212207"/>
      <w:bookmarkStart w:id="305" w:name="_Toc106974282"/>
      <w:ins w:id="306" w:author="Master Repository Process" w:date="2022-12-30T09:46:00Z">
        <w:r>
          <w:tab/>
          <w:t>[Heading inserted: No. 18 of 2022 s. 4.]</w:t>
        </w:r>
      </w:ins>
    </w:p>
    <w:p>
      <w:pPr>
        <w:pStyle w:val="Heading5"/>
        <w:rPr>
          <w:ins w:id="307" w:author="Master Repository Process" w:date="2022-12-30T09:46:00Z"/>
        </w:rPr>
      </w:pPr>
      <w:bookmarkStart w:id="308" w:name="_Toc123282324"/>
      <w:ins w:id="309" w:author="Master Repository Process" w:date="2022-12-30T09:46:00Z">
        <w:r>
          <w:t>35I.</w:t>
        </w:r>
        <w:r>
          <w:tab/>
          <w:t>No fees</w:t>
        </w:r>
        <w:bookmarkEnd w:id="304"/>
        <w:bookmarkEnd w:id="305"/>
        <w:bookmarkEnd w:id="308"/>
      </w:ins>
    </w:p>
    <w:p>
      <w:pPr>
        <w:pStyle w:val="Subsection"/>
        <w:rPr>
          <w:ins w:id="310" w:author="Master Repository Process" w:date="2022-12-30T09:46:00Z"/>
        </w:rPr>
      </w:pPr>
      <w:ins w:id="311" w:author="Master Repository Process" w:date="2022-12-30T09:46:00Z">
        <w:r>
          <w:tab/>
        </w:r>
        <w:r>
          <w:tab/>
          <w:t>A party to an appeal under this Part must not be charged a fee by a court for, or in respect of, any act or proceeding that relates to the appeal or its commencement.</w:t>
        </w:r>
      </w:ins>
    </w:p>
    <w:p>
      <w:pPr>
        <w:pStyle w:val="Footnotesection"/>
        <w:rPr>
          <w:ins w:id="312" w:author="Master Repository Process" w:date="2022-12-30T09:46:00Z"/>
        </w:rPr>
      </w:pPr>
      <w:bookmarkStart w:id="313" w:name="_Toc106212208"/>
      <w:bookmarkStart w:id="314" w:name="_Toc106974283"/>
      <w:ins w:id="315" w:author="Master Repository Process" w:date="2022-12-30T09:46:00Z">
        <w:r>
          <w:tab/>
          <w:t>[Section 35I inserted: No. 18 of 2022 s. 4.]</w:t>
        </w:r>
      </w:ins>
    </w:p>
    <w:p>
      <w:pPr>
        <w:pStyle w:val="Heading5"/>
        <w:rPr>
          <w:ins w:id="316" w:author="Master Repository Process" w:date="2022-12-30T09:46:00Z"/>
        </w:rPr>
      </w:pPr>
      <w:bookmarkStart w:id="317" w:name="_Toc123282325"/>
      <w:ins w:id="318" w:author="Master Repository Process" w:date="2022-12-30T09:46:00Z">
        <w:r>
          <w:t>35J.</w:t>
        </w:r>
        <w:r>
          <w:tab/>
          <w:t>Costs against appellant</w:t>
        </w:r>
        <w:bookmarkEnd w:id="313"/>
        <w:bookmarkEnd w:id="314"/>
        <w:bookmarkEnd w:id="317"/>
      </w:ins>
    </w:p>
    <w:p>
      <w:pPr>
        <w:pStyle w:val="Subsection"/>
        <w:rPr>
          <w:ins w:id="319" w:author="Master Repository Process" w:date="2022-12-30T09:46:00Z"/>
        </w:rPr>
      </w:pPr>
      <w:ins w:id="320" w:author="Master Repository Process" w:date="2022-12-30T09:46:00Z">
        <w:r>
          <w:tab/>
          <w:t>(1)</w:t>
        </w:r>
        <w:r>
          <w:tab/>
          <w:t>This section applies if an application for leave to appeal under this Part is dismissed under section 35F(5).</w:t>
        </w:r>
      </w:ins>
    </w:p>
    <w:p>
      <w:pPr>
        <w:pStyle w:val="Subsection"/>
        <w:rPr>
          <w:ins w:id="321" w:author="Master Repository Process" w:date="2022-12-30T09:46:00Z"/>
        </w:rPr>
      </w:pPr>
      <w:ins w:id="322" w:author="Master Repository Process" w:date="2022-12-30T09:46:00Z">
        <w:r>
          <w:tab/>
          <w:t>(2)</w:t>
        </w:r>
        <w:r>
          <w:tab/>
          <w:t>The Court of Appeal may order the appellant to pay another party’s costs of, or relating to, the appeal.</w:t>
        </w:r>
      </w:ins>
    </w:p>
    <w:p>
      <w:pPr>
        <w:pStyle w:val="Subsection"/>
        <w:rPr>
          <w:ins w:id="323" w:author="Master Repository Process" w:date="2022-12-30T09:46:00Z"/>
        </w:rPr>
      </w:pPr>
      <w:ins w:id="324" w:author="Master Repository Process" w:date="2022-12-30T09:46:00Z">
        <w:r>
          <w:tab/>
          <w:t>(3)</w:t>
        </w:r>
        <w:r>
          <w:tab/>
          <w:t>If the Court of Appeal orders the appellant to pay any costs under subsection (2), section 21 applies, with any necessary modifications, as if the order were made under Part 2.</w:t>
        </w:r>
      </w:ins>
    </w:p>
    <w:p>
      <w:pPr>
        <w:pStyle w:val="Footnotesection"/>
        <w:rPr>
          <w:ins w:id="325" w:author="Master Repository Process" w:date="2022-12-30T09:46:00Z"/>
        </w:rPr>
      </w:pPr>
      <w:ins w:id="326" w:author="Master Repository Process" w:date="2022-12-30T09:46:00Z">
        <w:r>
          <w:tab/>
          <w:t>[Section 35J inserted: No. 18 of 2022 s. 4.]</w:t>
        </w:r>
      </w:ins>
    </w:p>
    <w:p>
      <w:pPr>
        <w:pStyle w:val="Heading2"/>
      </w:pPr>
      <w:bookmarkStart w:id="327" w:name="_Toc122516046"/>
      <w:bookmarkStart w:id="328" w:name="_Toc122518135"/>
      <w:bookmarkStart w:id="329" w:name="_Toc123281975"/>
      <w:bookmarkStart w:id="330" w:name="_Toc123282326"/>
      <w:r>
        <w:rPr>
          <w:rStyle w:val="CharPartNo"/>
        </w:rPr>
        <w:t>Part 4</w:t>
      </w:r>
      <w:r>
        <w:rPr>
          <w:rStyle w:val="CharDivNo"/>
        </w:rPr>
        <w:t> </w:t>
      </w:r>
      <w:r>
        <w:t>—</w:t>
      </w:r>
      <w:r>
        <w:rPr>
          <w:rStyle w:val="CharDivText"/>
        </w:rPr>
        <w:t> </w:t>
      </w:r>
      <w:r>
        <w:rPr>
          <w:rStyle w:val="CharPartText"/>
        </w:rPr>
        <w:t>Provisions applicable to any appeal</w:t>
      </w:r>
      <w:bookmarkEnd w:id="327"/>
      <w:bookmarkEnd w:id="328"/>
      <w:bookmarkEnd w:id="329"/>
      <w:bookmarkEnd w:id="330"/>
    </w:p>
    <w:p>
      <w:pPr>
        <w:pStyle w:val="Heading5"/>
      </w:pPr>
      <w:bookmarkStart w:id="331" w:name="_Toc123282327"/>
      <w:bookmarkStart w:id="332" w:name="_Toc122518136"/>
      <w:r>
        <w:rPr>
          <w:rStyle w:val="CharSectno"/>
        </w:rPr>
        <w:t>36</w:t>
      </w:r>
      <w:r>
        <w:t>.</w:t>
      </w:r>
      <w:r>
        <w:tab/>
        <w:t>Terms used</w:t>
      </w:r>
      <w:bookmarkEnd w:id="331"/>
      <w:bookmarkEnd w:id="332"/>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333" w:name="_Toc123282328"/>
      <w:bookmarkStart w:id="334" w:name="_Toc122518137"/>
      <w:r>
        <w:rPr>
          <w:rStyle w:val="CharSectno"/>
        </w:rPr>
        <w:t>37</w:t>
      </w:r>
      <w:r>
        <w:t>.</w:t>
      </w:r>
      <w:r>
        <w:tab/>
        <w:t>Application of this Part</w:t>
      </w:r>
      <w:bookmarkEnd w:id="333"/>
      <w:bookmarkEnd w:id="334"/>
    </w:p>
    <w:p>
      <w:pPr>
        <w:pStyle w:val="Subsection"/>
      </w:pPr>
      <w:r>
        <w:tab/>
      </w:r>
      <w:r>
        <w:tab/>
        <w:t>This Part applies to any appeal under this Act.</w:t>
      </w:r>
    </w:p>
    <w:p>
      <w:pPr>
        <w:pStyle w:val="Heading5"/>
      </w:pPr>
      <w:bookmarkStart w:id="335" w:name="_Toc123282329"/>
      <w:bookmarkStart w:id="336" w:name="_Toc122518138"/>
      <w:r>
        <w:rPr>
          <w:rStyle w:val="CharSectno"/>
        </w:rPr>
        <w:t>38</w:t>
      </w:r>
      <w:r>
        <w:t>.</w:t>
      </w:r>
      <w:r>
        <w:tab/>
        <w:t>Multiple appeals, consolidation etc.</w:t>
      </w:r>
      <w:bookmarkEnd w:id="335"/>
      <w:bookmarkEnd w:id="336"/>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337" w:name="_Toc123282330"/>
      <w:bookmarkStart w:id="338" w:name="_Toc122518139"/>
      <w:r>
        <w:rPr>
          <w:rStyle w:val="CharSectno"/>
        </w:rPr>
        <w:t>39</w:t>
      </w:r>
      <w:r>
        <w:t>.</w:t>
      </w:r>
      <w:r>
        <w:tab/>
        <w:t>Material to be considered on appeal</w:t>
      </w:r>
      <w:bookmarkEnd w:id="337"/>
      <w:bookmarkEnd w:id="338"/>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339" w:name="_Toc123282331"/>
      <w:bookmarkStart w:id="340" w:name="_Toc122518140"/>
      <w:r>
        <w:rPr>
          <w:rStyle w:val="CharSectno"/>
        </w:rPr>
        <w:t>40</w:t>
      </w:r>
      <w:r>
        <w:t>.</w:t>
      </w:r>
      <w:r>
        <w:tab/>
        <w:t>General powers to deal with appeals</w:t>
      </w:r>
      <w:bookmarkEnd w:id="339"/>
      <w:bookmarkEnd w:id="340"/>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341" w:name="_Toc123282332"/>
      <w:bookmarkStart w:id="342" w:name="_Toc122518141"/>
      <w:r>
        <w:rPr>
          <w:rStyle w:val="CharSectno"/>
        </w:rPr>
        <w:t>41</w:t>
      </w:r>
      <w:r>
        <w:t>.</w:t>
      </w:r>
      <w:r>
        <w:tab/>
        <w:t>Sentencing or re</w:t>
      </w:r>
      <w:r>
        <w:noBreakHyphen/>
        <w:t>sentencing on appeal</w:t>
      </w:r>
      <w:bookmarkEnd w:id="341"/>
      <w:bookmarkEnd w:id="342"/>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No. 2 of 2008 s. 39.]</w:t>
      </w:r>
    </w:p>
    <w:p>
      <w:pPr>
        <w:pStyle w:val="Heading5"/>
      </w:pPr>
      <w:bookmarkStart w:id="343" w:name="_Toc123282333"/>
      <w:bookmarkStart w:id="344" w:name="_Toc122518142"/>
      <w:r>
        <w:rPr>
          <w:rStyle w:val="CharSectno"/>
        </w:rPr>
        <w:t>42</w:t>
      </w:r>
      <w:r>
        <w:t>.</w:t>
      </w:r>
      <w:r>
        <w:tab/>
        <w:t>Result of appeal to be given to other court</w:t>
      </w:r>
      <w:bookmarkEnd w:id="343"/>
      <w:bookmarkEnd w:id="344"/>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345" w:name="_Toc123282334"/>
      <w:bookmarkStart w:id="346" w:name="_Toc122518143"/>
      <w:r>
        <w:rPr>
          <w:rStyle w:val="CharSectno"/>
        </w:rPr>
        <w:t>43</w:t>
      </w:r>
      <w:r>
        <w:t>.</w:t>
      </w:r>
      <w:r>
        <w:tab/>
        <w:t>Party in custody, entitlement to be present at appeal</w:t>
      </w:r>
      <w:bookmarkEnd w:id="345"/>
      <w:bookmarkEnd w:id="346"/>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347" w:name="_Toc123282335"/>
      <w:bookmarkStart w:id="348" w:name="_Toc122518144"/>
      <w:r>
        <w:rPr>
          <w:rStyle w:val="CharSectno"/>
        </w:rPr>
        <w:t>44</w:t>
      </w:r>
      <w:r>
        <w:t>.</w:t>
      </w:r>
      <w:r>
        <w:tab/>
        <w:t>Appellant in custody, treatment of</w:t>
      </w:r>
      <w:bookmarkEnd w:id="347"/>
      <w:bookmarkEnd w:id="348"/>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349" w:name="_Toc123282336"/>
      <w:bookmarkStart w:id="350" w:name="_Toc122518145"/>
      <w:r>
        <w:rPr>
          <w:rStyle w:val="CharSectno"/>
        </w:rPr>
        <w:t>45</w:t>
      </w:r>
      <w:r>
        <w:t>.</w:t>
      </w:r>
      <w:r>
        <w:tab/>
        <w:t>Exhibits</w:t>
      </w:r>
      <w:bookmarkEnd w:id="349"/>
      <w:bookmarkEnd w:id="350"/>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No. 5 of 2008 s. 28.]</w:t>
      </w:r>
    </w:p>
    <w:p>
      <w:pPr>
        <w:pStyle w:val="Heading2"/>
      </w:pPr>
      <w:bookmarkStart w:id="351" w:name="_Toc122516057"/>
      <w:bookmarkStart w:id="352" w:name="_Toc122518146"/>
      <w:bookmarkStart w:id="353" w:name="_Toc123281986"/>
      <w:bookmarkStart w:id="354" w:name="_Toc123282337"/>
      <w:r>
        <w:rPr>
          <w:rStyle w:val="CharPartNo"/>
        </w:rPr>
        <w:t>Part 5A</w:t>
      </w:r>
      <w:r>
        <w:rPr>
          <w:rStyle w:val="CharDivNo"/>
        </w:rPr>
        <w:t> </w:t>
      </w:r>
      <w:r>
        <w:t>—</w:t>
      </w:r>
      <w:r>
        <w:rPr>
          <w:rStyle w:val="CharDivText"/>
        </w:rPr>
        <w:t> </w:t>
      </w:r>
      <w:r>
        <w:rPr>
          <w:rStyle w:val="CharPartText"/>
        </w:rPr>
        <w:t>Prosecuting acquitted accused</w:t>
      </w:r>
      <w:bookmarkEnd w:id="351"/>
      <w:bookmarkEnd w:id="352"/>
      <w:bookmarkEnd w:id="353"/>
      <w:bookmarkEnd w:id="354"/>
    </w:p>
    <w:p>
      <w:pPr>
        <w:pStyle w:val="Footnoteheading"/>
      </w:pPr>
      <w:r>
        <w:tab/>
        <w:t>[Heading inserted: No. 9 of 2012 s. 4.]</w:t>
      </w:r>
    </w:p>
    <w:p>
      <w:pPr>
        <w:pStyle w:val="Heading5"/>
      </w:pPr>
      <w:bookmarkStart w:id="355" w:name="_Toc123282338"/>
      <w:bookmarkStart w:id="356" w:name="_Toc122518147"/>
      <w:r>
        <w:rPr>
          <w:rStyle w:val="CharSectno"/>
        </w:rPr>
        <w:t>46A</w:t>
      </w:r>
      <w:r>
        <w:t>.</w:t>
      </w:r>
      <w:r>
        <w:tab/>
        <w:t>Terms used</w:t>
      </w:r>
      <w:bookmarkEnd w:id="355"/>
      <w:bookmarkEnd w:id="356"/>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r>
        <w:tab/>
        <w:t>[Section 46A inserted: No. 9 of 2012 s. 4.]</w:t>
      </w:r>
    </w:p>
    <w:p>
      <w:pPr>
        <w:pStyle w:val="Heading5"/>
        <w:spacing w:before="600"/>
      </w:pPr>
      <w:bookmarkStart w:id="357" w:name="_Toc123282339"/>
      <w:bookmarkStart w:id="358" w:name="_Toc122518148"/>
      <w:r>
        <w:rPr>
          <w:rStyle w:val="CharSectno"/>
        </w:rPr>
        <w:t>46B</w:t>
      </w:r>
      <w:r>
        <w:t>.</w:t>
      </w:r>
      <w:r>
        <w:tab/>
        <w:t>Term used: acquitted accused</w:t>
      </w:r>
      <w:bookmarkEnd w:id="357"/>
      <w:bookmarkEnd w:id="358"/>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r>
        <w:tab/>
        <w:t>[Section 46B inserted: No. 9 of 2012 s. 4.]</w:t>
      </w:r>
    </w:p>
    <w:p>
      <w:pPr>
        <w:pStyle w:val="Heading5"/>
      </w:pPr>
      <w:bookmarkStart w:id="359" w:name="_Toc123282340"/>
      <w:bookmarkStart w:id="360" w:name="_Toc122518149"/>
      <w:r>
        <w:rPr>
          <w:rStyle w:val="CharSectno"/>
        </w:rPr>
        <w:t>46C</w:t>
      </w:r>
      <w:r>
        <w:t>.</w:t>
      </w:r>
      <w:r>
        <w:tab/>
        <w:t>Criminal investigations of acquitted accused that need authorised officer’s authority</w:t>
      </w:r>
      <w:bookmarkEnd w:id="359"/>
      <w:bookmarkEnd w:id="360"/>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r>
        <w:tab/>
        <w:t>[Section 46C inserted: No. 9 of 2012 s. 4.]</w:t>
      </w:r>
    </w:p>
    <w:p>
      <w:pPr>
        <w:pStyle w:val="Heading5"/>
      </w:pPr>
      <w:bookmarkStart w:id="361" w:name="_Toc123282341"/>
      <w:bookmarkStart w:id="362" w:name="_Toc122518150"/>
      <w:r>
        <w:rPr>
          <w:rStyle w:val="CharSectno"/>
        </w:rPr>
        <w:t>46D</w:t>
      </w:r>
      <w:r>
        <w:t>.</w:t>
      </w:r>
      <w:r>
        <w:tab/>
        <w:t>Charges against acquitted accused that need leave</w:t>
      </w:r>
      <w:bookmarkEnd w:id="361"/>
      <w:bookmarkEnd w:id="362"/>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r>
        <w:tab/>
        <w:t>[Section 46D inserted: No. 9 of 2012 s. 4.]</w:t>
      </w:r>
    </w:p>
    <w:p>
      <w:pPr>
        <w:pStyle w:val="Heading5"/>
      </w:pPr>
      <w:bookmarkStart w:id="363" w:name="_Toc123282342"/>
      <w:bookmarkStart w:id="364" w:name="_Toc122518151"/>
      <w:r>
        <w:rPr>
          <w:rStyle w:val="CharSectno"/>
        </w:rPr>
        <w:t>46E</w:t>
      </w:r>
      <w:r>
        <w:t>.</w:t>
      </w:r>
      <w:r>
        <w:tab/>
        <w:t>Applying for leave for new charge</w:t>
      </w:r>
      <w:bookmarkEnd w:id="363"/>
      <w:bookmarkEnd w:id="364"/>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r>
        <w:tab/>
        <w:t>[Section 46E inserted: No. 9 of 2012 s. 4.]</w:t>
      </w:r>
    </w:p>
    <w:p>
      <w:pPr>
        <w:pStyle w:val="Heading5"/>
      </w:pPr>
      <w:bookmarkStart w:id="365" w:name="_Toc123282343"/>
      <w:bookmarkStart w:id="366" w:name="_Toc122518152"/>
      <w:r>
        <w:rPr>
          <w:rStyle w:val="CharSectno"/>
        </w:rPr>
        <w:t>46F</w:t>
      </w:r>
      <w:r>
        <w:t>.</w:t>
      </w:r>
      <w:r>
        <w:tab/>
        <w:t>Procedure on leave applications</w:t>
      </w:r>
      <w:bookmarkEnd w:id="365"/>
      <w:bookmarkEnd w:id="366"/>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r>
        <w:tab/>
        <w:t>[Section 46F inserted: No. 9 of 2012 s. 4.]</w:t>
      </w:r>
    </w:p>
    <w:p>
      <w:pPr>
        <w:pStyle w:val="Heading5"/>
      </w:pPr>
      <w:bookmarkStart w:id="367" w:name="_Toc123282344"/>
      <w:bookmarkStart w:id="368" w:name="_Toc122518153"/>
      <w:r>
        <w:rPr>
          <w:rStyle w:val="CharSectno"/>
        </w:rPr>
        <w:t>46G</w:t>
      </w:r>
      <w:r>
        <w:t>.</w:t>
      </w:r>
      <w:r>
        <w:tab/>
        <w:t>Hearing leave applications</w:t>
      </w:r>
      <w:bookmarkEnd w:id="367"/>
      <w:bookmarkEnd w:id="368"/>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r>
        <w:tab/>
        <w:t>[Section 46G inserted: No. 9 of 2012 s. 4.]</w:t>
      </w:r>
    </w:p>
    <w:p>
      <w:pPr>
        <w:pStyle w:val="Heading5"/>
      </w:pPr>
      <w:bookmarkStart w:id="369" w:name="_Toc123282345"/>
      <w:bookmarkStart w:id="370" w:name="_Toc122518154"/>
      <w:r>
        <w:rPr>
          <w:rStyle w:val="CharSectno"/>
        </w:rPr>
        <w:t>46H</w:t>
      </w:r>
      <w:r>
        <w:t>.</w:t>
      </w:r>
      <w:r>
        <w:tab/>
        <w:t>Deciding leave applications</w:t>
      </w:r>
      <w:bookmarkEnd w:id="369"/>
      <w:bookmarkEnd w:id="370"/>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r>
        <w:tab/>
        <w:t>[Section 46H inserted: No. 9 of 2012 s. 4.]</w:t>
      </w:r>
    </w:p>
    <w:p>
      <w:pPr>
        <w:pStyle w:val="Heading5"/>
      </w:pPr>
      <w:bookmarkStart w:id="371" w:name="_Toc123282346"/>
      <w:bookmarkStart w:id="372" w:name="_Toc122518155"/>
      <w:r>
        <w:rPr>
          <w:rStyle w:val="CharSectno"/>
        </w:rPr>
        <w:t>46I</w:t>
      </w:r>
      <w:r>
        <w:t>.</w:t>
      </w:r>
      <w:r>
        <w:tab/>
        <w:t>Meaning of fresh and compelling evidence</w:t>
      </w:r>
      <w:bookmarkEnd w:id="371"/>
      <w:bookmarkEnd w:id="372"/>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r>
        <w:tab/>
        <w:t>[Section 46I inserted: No. 9 of 2012 s. 4.]</w:t>
      </w:r>
    </w:p>
    <w:p>
      <w:pPr>
        <w:pStyle w:val="Heading5"/>
      </w:pPr>
      <w:bookmarkStart w:id="373" w:name="_Toc123282347"/>
      <w:bookmarkStart w:id="374" w:name="_Toc122518156"/>
      <w:r>
        <w:rPr>
          <w:rStyle w:val="CharSectno"/>
        </w:rPr>
        <w:t>46J</w:t>
      </w:r>
      <w:r>
        <w:t>.</w:t>
      </w:r>
      <w:r>
        <w:tab/>
        <w:t>Meaning of tainted acquittal</w:t>
      </w:r>
      <w:bookmarkEnd w:id="373"/>
      <w:bookmarkEnd w:id="374"/>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r>
        <w:tab/>
        <w:t>[Section 46J inserted: No. 9 of 2012 s. 4.]</w:t>
      </w:r>
    </w:p>
    <w:p>
      <w:pPr>
        <w:pStyle w:val="Heading5"/>
      </w:pPr>
      <w:bookmarkStart w:id="375" w:name="_Toc123282348"/>
      <w:bookmarkStart w:id="376" w:name="_Toc122518157"/>
      <w:r>
        <w:rPr>
          <w:rStyle w:val="CharSectno"/>
        </w:rPr>
        <w:t>46K</w:t>
      </w:r>
      <w:r>
        <w:t>.</w:t>
      </w:r>
      <w:r>
        <w:tab/>
        <w:t>Interests of justice, matters to be considered</w:t>
      </w:r>
      <w:bookmarkEnd w:id="375"/>
      <w:bookmarkEnd w:id="376"/>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r>
        <w:tab/>
        <w:t>[Section 46K inserted: No. 9 of 2012 s. 4.]</w:t>
      </w:r>
    </w:p>
    <w:p>
      <w:pPr>
        <w:pStyle w:val="Heading5"/>
      </w:pPr>
      <w:bookmarkStart w:id="377" w:name="_Toc123282349"/>
      <w:bookmarkStart w:id="378" w:name="_Toc122518158"/>
      <w:r>
        <w:rPr>
          <w:rStyle w:val="CharSectno"/>
        </w:rPr>
        <w:t>46L</w:t>
      </w:r>
      <w:r>
        <w:t>.</w:t>
      </w:r>
      <w:r>
        <w:tab/>
        <w:t>Restrictions on publicity</w:t>
      </w:r>
      <w:bookmarkEnd w:id="377"/>
      <w:bookmarkEnd w:id="378"/>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r>
        <w:tab/>
        <w:t>[Section 46L inserted: No. 9 of 2012 s. 4.]</w:t>
      </w:r>
    </w:p>
    <w:p>
      <w:pPr>
        <w:pStyle w:val="Heading5"/>
      </w:pPr>
      <w:bookmarkStart w:id="379" w:name="_Toc123282350"/>
      <w:bookmarkStart w:id="380" w:name="_Toc122518159"/>
      <w:r>
        <w:rPr>
          <w:rStyle w:val="CharSectno"/>
        </w:rPr>
        <w:t>46M</w:t>
      </w:r>
      <w:r>
        <w:t>.</w:t>
      </w:r>
      <w:r>
        <w:tab/>
        <w:t>Leave for new charge, effect of</w:t>
      </w:r>
      <w:bookmarkEnd w:id="379"/>
      <w:bookmarkEnd w:id="380"/>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No. 9 of 2012 s. 4.]</w:t>
      </w:r>
    </w:p>
    <w:p>
      <w:pPr>
        <w:pStyle w:val="Heading2"/>
        <w:ind w:left="284" w:right="283"/>
      </w:pPr>
      <w:bookmarkStart w:id="381" w:name="_Toc122516071"/>
      <w:bookmarkStart w:id="382" w:name="_Toc122518160"/>
      <w:bookmarkStart w:id="383" w:name="_Toc123282000"/>
      <w:bookmarkStart w:id="384" w:name="_Toc123282351"/>
      <w:r>
        <w:rPr>
          <w:rStyle w:val="CharPartNo"/>
        </w:rPr>
        <w:t>Part 5</w:t>
      </w:r>
      <w:r>
        <w:rPr>
          <w:rStyle w:val="CharDivNo"/>
        </w:rPr>
        <w:t> </w:t>
      </w:r>
      <w:r>
        <w:t>—</w:t>
      </w:r>
      <w:r>
        <w:rPr>
          <w:rStyle w:val="CharDivText"/>
        </w:rPr>
        <w:t> </w:t>
      </w:r>
      <w:r>
        <w:rPr>
          <w:rStyle w:val="CharPartText"/>
        </w:rPr>
        <w:t>Referrals of questions of law to the Court of Appeal</w:t>
      </w:r>
      <w:bookmarkEnd w:id="381"/>
      <w:bookmarkEnd w:id="382"/>
      <w:bookmarkEnd w:id="383"/>
      <w:bookmarkEnd w:id="384"/>
    </w:p>
    <w:p>
      <w:pPr>
        <w:pStyle w:val="Heading5"/>
      </w:pPr>
      <w:bookmarkStart w:id="385" w:name="_Toc123282352"/>
      <w:bookmarkStart w:id="386" w:name="_Toc122518161"/>
      <w:r>
        <w:rPr>
          <w:rStyle w:val="CharSectno"/>
        </w:rPr>
        <w:t>46</w:t>
      </w:r>
      <w:r>
        <w:t>.</w:t>
      </w:r>
      <w:r>
        <w:tab/>
        <w:t>Referrals by superior courts</w:t>
      </w:r>
      <w:bookmarkEnd w:id="385"/>
      <w:bookmarkEnd w:id="386"/>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387" w:name="_Toc123282353"/>
      <w:bookmarkStart w:id="388" w:name="_Toc122518162"/>
      <w:r>
        <w:rPr>
          <w:rStyle w:val="CharSectno"/>
        </w:rPr>
        <w:t>47</w:t>
      </w:r>
      <w:r>
        <w:t>.</w:t>
      </w:r>
      <w:r>
        <w:tab/>
        <w:t>Referrals by Attorney General</w:t>
      </w:r>
      <w:bookmarkEnd w:id="387"/>
      <w:bookmarkEnd w:id="388"/>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389" w:name="_Toc123282354"/>
      <w:bookmarkStart w:id="390" w:name="_Toc122518163"/>
      <w:r>
        <w:rPr>
          <w:rStyle w:val="CharSectno"/>
        </w:rPr>
        <w:t>48</w:t>
      </w:r>
      <w:r>
        <w:t>.</w:t>
      </w:r>
      <w:r>
        <w:tab/>
        <w:t>Referrals, general provisions about</w:t>
      </w:r>
      <w:bookmarkEnd w:id="389"/>
      <w:bookmarkEnd w:id="390"/>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391" w:name="_Toc122516075"/>
      <w:bookmarkStart w:id="392" w:name="_Toc122518164"/>
      <w:bookmarkStart w:id="393" w:name="_Toc123282004"/>
      <w:bookmarkStart w:id="394" w:name="_Toc123282355"/>
      <w:r>
        <w:rPr>
          <w:rStyle w:val="CharPartNo"/>
        </w:rPr>
        <w:t>Part 6</w:t>
      </w:r>
      <w:r>
        <w:rPr>
          <w:rStyle w:val="CharDivNo"/>
        </w:rPr>
        <w:t> </w:t>
      </w:r>
      <w:r>
        <w:t>—</w:t>
      </w:r>
      <w:r>
        <w:rPr>
          <w:rStyle w:val="CharDivText"/>
        </w:rPr>
        <w:t> </w:t>
      </w:r>
      <w:r>
        <w:rPr>
          <w:rStyle w:val="CharPartText"/>
        </w:rPr>
        <w:t>Miscellaneous</w:t>
      </w:r>
      <w:bookmarkEnd w:id="391"/>
      <w:bookmarkEnd w:id="392"/>
      <w:bookmarkEnd w:id="393"/>
      <w:bookmarkEnd w:id="394"/>
    </w:p>
    <w:p>
      <w:pPr>
        <w:pStyle w:val="Heading5"/>
      </w:pPr>
      <w:bookmarkStart w:id="395" w:name="_Toc123282356"/>
      <w:bookmarkStart w:id="396" w:name="_Toc122518165"/>
      <w:r>
        <w:rPr>
          <w:rStyle w:val="CharSectno"/>
        </w:rPr>
        <w:t>49</w:t>
      </w:r>
      <w:r>
        <w:t>.</w:t>
      </w:r>
      <w:r>
        <w:tab/>
        <w:t>Sentence may be varied etc. in specific cases</w:t>
      </w:r>
      <w:bookmarkEnd w:id="395"/>
      <w:bookmarkEnd w:id="396"/>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397" w:name="_Toc123282357"/>
      <w:bookmarkStart w:id="398" w:name="_Toc122518166"/>
      <w:r>
        <w:rPr>
          <w:rStyle w:val="CharSectno"/>
        </w:rPr>
        <w:t>50</w:t>
      </w:r>
      <w:r>
        <w:t>.</w:t>
      </w:r>
      <w:r>
        <w:tab/>
        <w:t>Rules of court</w:t>
      </w:r>
      <w:bookmarkEnd w:id="397"/>
      <w:bookmarkEnd w:id="398"/>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399" w:name="_Toc123282358"/>
      <w:bookmarkStart w:id="400" w:name="_Toc122518167"/>
      <w:r>
        <w:rPr>
          <w:rStyle w:val="CharSectno"/>
        </w:rPr>
        <w:t>51</w:t>
      </w:r>
      <w:r>
        <w:rPr>
          <w:szCs w:val="22"/>
        </w:rPr>
        <w:t>.</w:t>
      </w:r>
      <w:r>
        <w:rPr>
          <w:szCs w:val="22"/>
        </w:rPr>
        <w:tab/>
        <w:t>Certain amendments to be reviewed</w:t>
      </w:r>
      <w:bookmarkEnd w:id="399"/>
      <w:bookmarkEnd w:id="400"/>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No. 2 of 2008 s. 40.]</w:t>
      </w:r>
    </w:p>
    <w:p>
      <w:pPr>
        <w:pStyle w:val="Heading5"/>
      </w:pPr>
      <w:bookmarkStart w:id="401" w:name="_Toc123282359"/>
      <w:bookmarkStart w:id="402" w:name="_Toc122518168"/>
      <w:r>
        <w:rPr>
          <w:rStyle w:val="CharSectno"/>
        </w:rPr>
        <w:t>52</w:t>
      </w:r>
      <w:r>
        <w:t>.</w:t>
      </w:r>
      <w:r>
        <w:tab/>
        <w:t>Double jeopardy amendments to be reviewed</w:t>
      </w:r>
      <w:bookmarkEnd w:id="401"/>
      <w:bookmarkEnd w:id="402"/>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No. 9 of 2012 s. 5.]</w:t>
      </w:r>
    </w:p>
    <w:p>
      <w:pPr>
        <w:pStyle w:val="Heading5"/>
        <w:rPr>
          <w:ins w:id="403" w:author="Master Repository Process" w:date="2022-12-30T09:46:00Z"/>
        </w:rPr>
      </w:pPr>
      <w:bookmarkStart w:id="404" w:name="_Toc106212210"/>
      <w:bookmarkStart w:id="405" w:name="_Toc106974285"/>
      <w:bookmarkStart w:id="406" w:name="_Toc123282360"/>
      <w:ins w:id="407" w:author="Master Repository Process" w:date="2022-12-30T09:46:00Z">
        <w:r>
          <w:rPr>
            <w:rStyle w:val="CharSectno"/>
          </w:rPr>
          <w:t>53</w:t>
        </w:r>
        <w:r>
          <w:t>.</w:t>
        </w:r>
        <w:r>
          <w:tab/>
          <w:t xml:space="preserve">Review of amendments made by </w:t>
        </w:r>
        <w:r>
          <w:rPr>
            <w:i/>
          </w:rPr>
          <w:t>Criminal Appeals Amendment Act 2022</w:t>
        </w:r>
        <w:bookmarkEnd w:id="404"/>
        <w:bookmarkEnd w:id="405"/>
        <w:bookmarkEnd w:id="406"/>
      </w:ins>
    </w:p>
    <w:p>
      <w:pPr>
        <w:pStyle w:val="Subsection"/>
        <w:rPr>
          <w:ins w:id="408" w:author="Master Repository Process" w:date="2022-12-30T09:46:00Z"/>
        </w:rPr>
      </w:pPr>
      <w:ins w:id="409" w:author="Master Repository Process" w:date="2022-12-30T09:46:00Z">
        <w:r>
          <w:tab/>
          <w:t>(1)</w:t>
        </w:r>
        <w:r>
          <w:tab/>
        </w:r>
        <w:r>
          <w:rPr>
            <w:snapToGrid w:val="0"/>
          </w:rPr>
          <w:t xml:space="preserve">The Minister must review the operation and effectiveness of the amendments made to this Act by the </w:t>
        </w:r>
        <w:r>
          <w:rPr>
            <w:i/>
          </w:rPr>
          <w:t>Criminal Appeals Amendment Act 2022</w:t>
        </w:r>
        <w:r>
          <w:t xml:space="preserve">, </w:t>
        </w:r>
        <w:r>
          <w:rPr>
            <w:snapToGrid w:val="0"/>
          </w:rPr>
          <w:t>and prepare a report based on the review, as soon as practicable after the 5</w:t>
        </w:r>
        <w:r>
          <w:rPr>
            <w:snapToGrid w:val="0"/>
            <w:vertAlign w:val="superscript"/>
          </w:rPr>
          <w:t>th</w:t>
        </w:r>
        <w:r>
          <w:rPr>
            <w:snapToGrid w:val="0"/>
          </w:rPr>
          <w:t xml:space="preserve"> anniversary of the day on which the </w:t>
        </w:r>
        <w:r>
          <w:rPr>
            <w:i/>
          </w:rPr>
          <w:t>Criminal Appeals Amendment Act 2022</w:t>
        </w:r>
        <w:r>
          <w:t xml:space="preserve"> section 4 comes into operation.</w:t>
        </w:r>
      </w:ins>
    </w:p>
    <w:p>
      <w:pPr>
        <w:pStyle w:val="Subsection"/>
        <w:rPr>
          <w:ins w:id="410" w:author="Master Repository Process" w:date="2022-12-30T09:46:00Z"/>
        </w:rPr>
      </w:pPr>
      <w:ins w:id="411" w:author="Master Repository Process" w:date="2022-12-30T09:46:00Z">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ins>
    </w:p>
    <w:p>
      <w:pPr>
        <w:pStyle w:val="Footnotesection"/>
        <w:rPr>
          <w:ins w:id="412" w:author="Master Repository Process" w:date="2022-12-30T09:46:00Z"/>
        </w:rPr>
      </w:pPr>
      <w:ins w:id="413" w:author="Master Repository Process" w:date="2022-12-30T09:46:00Z">
        <w:r>
          <w:tab/>
          <w:t>[Section 53 inserted: No. 18 of 2022 s. 5.]</w:t>
        </w:r>
      </w:ins>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14" w:name="_Toc122516080"/>
      <w:bookmarkStart w:id="415" w:name="_Toc122518169"/>
      <w:bookmarkStart w:id="416" w:name="_Toc123282010"/>
      <w:bookmarkStart w:id="417" w:name="_Toc123282361"/>
      <w:r>
        <w:t>Notes</w:t>
      </w:r>
      <w:bookmarkEnd w:id="414"/>
      <w:bookmarkEnd w:id="415"/>
      <w:bookmarkEnd w:id="416"/>
      <w:bookmarkEnd w:id="417"/>
    </w:p>
    <w:p>
      <w:pPr>
        <w:pStyle w:val="nStatement"/>
      </w:pPr>
      <w:r>
        <w:t xml:space="preserve">This is a compilation of the </w:t>
      </w:r>
      <w:r>
        <w:rPr>
          <w:i/>
          <w:noProof/>
        </w:rPr>
        <w:t>Criminal Appeals Act 2004</w:t>
      </w:r>
      <w:r>
        <w:t xml:space="preserve"> and includes amendments made by other written laws. For provisions that have come into operation, and for information about any reprints, see the compilation table. </w:t>
      </w:r>
      <w:del w:id="418" w:author="Master Repository Process" w:date="2022-12-30T09:46:00Z">
        <w:r>
          <w:delText>For provisions that have not yet come into operation see the uncommenced provisions table.</w:delText>
        </w:r>
      </w:del>
    </w:p>
    <w:p>
      <w:pPr>
        <w:pStyle w:val="nHeading3"/>
      </w:pPr>
      <w:bookmarkStart w:id="419" w:name="_Toc123282362"/>
      <w:bookmarkStart w:id="420" w:name="_Toc122518170"/>
      <w:r>
        <w:t>Compilation table</w:t>
      </w:r>
      <w:bookmarkEnd w:id="419"/>
      <w:bookmarkEnd w:id="420"/>
    </w:p>
    <w:tbl>
      <w:tblPr>
        <w:tblW w:w="7184" w:type="dxa"/>
        <w:tblInd w:w="28" w:type="dxa"/>
        <w:tblLayout w:type="fixed"/>
        <w:tblCellMar>
          <w:left w:w="56" w:type="dxa"/>
          <w:right w:w="56" w:type="dxa"/>
        </w:tblCellMar>
        <w:tblLook w:val="0000" w:firstRow="0" w:lastRow="0" w:firstColumn="0" w:lastColumn="0" w:noHBand="0" w:noVBand="0"/>
      </w:tblPr>
      <w:tblGrid>
        <w:gridCol w:w="28"/>
        <w:gridCol w:w="2240"/>
        <w:gridCol w:w="27"/>
        <w:gridCol w:w="1107"/>
        <w:gridCol w:w="27"/>
        <w:gridCol w:w="1107"/>
        <w:gridCol w:w="67"/>
        <w:gridCol w:w="2485"/>
        <w:gridCol w:w="65"/>
        <w:gridCol w:w="31"/>
      </w:tblGrid>
      <w:tr>
        <w:trPr>
          <w:gridAfter w:val="2"/>
          <w:wAfter w:w="96"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2"/>
          <w:wAfter w:w="96" w:type="dxa"/>
        </w:trPr>
        <w:tc>
          <w:tcPr>
            <w:tcW w:w="2268" w:type="dxa"/>
            <w:gridSpan w:val="2"/>
            <w:tcBorders>
              <w:top w:val="single" w:sz="8" w:space="0" w:color="auto"/>
            </w:tcBorders>
          </w:tcPr>
          <w:p>
            <w:pPr>
              <w:pStyle w:val="nTable"/>
              <w:spacing w:after="40"/>
              <w:rPr>
                <w:i/>
              </w:rPr>
            </w:pPr>
            <w:r>
              <w:rPr>
                <w:i/>
              </w:rPr>
              <w:t>Criminal Appeals Act 2004</w:t>
            </w:r>
          </w:p>
        </w:tc>
        <w:tc>
          <w:tcPr>
            <w:tcW w:w="1134" w:type="dxa"/>
            <w:gridSpan w:val="2"/>
            <w:tcBorders>
              <w:top w:val="single" w:sz="8" w:space="0" w:color="auto"/>
            </w:tcBorders>
          </w:tcPr>
          <w:p>
            <w:pPr>
              <w:pStyle w:val="nTable"/>
              <w:spacing w:after="40"/>
            </w:pPr>
            <w:r>
              <w:t>60 of 2004</w:t>
            </w:r>
          </w:p>
        </w:tc>
        <w:tc>
          <w:tcPr>
            <w:tcW w:w="1134" w:type="dxa"/>
            <w:gridSpan w:val="2"/>
            <w:tcBorders>
              <w:top w:val="single" w:sz="8" w:space="0" w:color="auto"/>
            </w:tcBorders>
          </w:tcPr>
          <w:p>
            <w:pPr>
              <w:pStyle w:val="nTable"/>
              <w:spacing w:after="40"/>
            </w:pPr>
            <w:r>
              <w:t>23 Nov 2004</w:t>
            </w:r>
          </w:p>
        </w:tc>
        <w:tc>
          <w:tcPr>
            <w:tcW w:w="2552" w:type="dxa"/>
            <w:gridSpan w:val="2"/>
            <w:tcBorders>
              <w:top w:val="single" w:sz="8" w:space="0" w:color="auto"/>
            </w:tcBorders>
          </w:tcPr>
          <w:p>
            <w:pPr>
              <w:pStyle w:val="nTable"/>
              <w:spacing w:after="40"/>
            </w:pPr>
            <w:r>
              <w:t>s. 1 and 2: 23 Nov 2004;</w:t>
            </w:r>
            <w:r>
              <w:br/>
              <w:t>Act other than s. 1 and 2: 2 May 2005 (see s. 2 and Gazette 31 Dec 2004 p. 7129)</w:t>
            </w:r>
          </w:p>
        </w:tc>
      </w:tr>
      <w:tr>
        <w:trPr>
          <w:gridAfter w:val="2"/>
          <w:wAfter w:w="96" w:type="dxa"/>
        </w:trPr>
        <w:tc>
          <w:tcPr>
            <w:tcW w:w="2268" w:type="dxa"/>
            <w:gridSpan w:val="2"/>
          </w:tcPr>
          <w:p>
            <w:pPr>
              <w:pStyle w:val="nTable"/>
              <w:spacing w:after="40"/>
              <w:rPr>
                <w:i/>
              </w:rPr>
            </w:pPr>
            <w:r>
              <w:rPr>
                <w:i/>
              </w:rPr>
              <w:t>Criminal Investigation (Consequential Provisions) Act 2006 s. 73</w:t>
            </w:r>
          </w:p>
        </w:tc>
        <w:tc>
          <w:tcPr>
            <w:tcW w:w="1134" w:type="dxa"/>
            <w:gridSpan w:val="2"/>
          </w:tcPr>
          <w:p>
            <w:pPr>
              <w:pStyle w:val="nTable"/>
              <w:spacing w:after="40"/>
            </w:pPr>
            <w:r>
              <w:t>59 of 2006</w:t>
            </w:r>
          </w:p>
        </w:tc>
        <w:tc>
          <w:tcPr>
            <w:tcW w:w="1134" w:type="dxa"/>
            <w:gridSpan w:val="2"/>
          </w:tcPr>
          <w:p>
            <w:pPr>
              <w:pStyle w:val="nTable"/>
              <w:spacing w:after="40"/>
            </w:pPr>
            <w:r>
              <w:t>16 Nov 2006</w:t>
            </w:r>
          </w:p>
        </w:tc>
        <w:tc>
          <w:tcPr>
            <w:tcW w:w="2552" w:type="dxa"/>
            <w:gridSpan w:val="2"/>
          </w:tcPr>
          <w:p>
            <w:pPr>
              <w:pStyle w:val="nTable"/>
              <w:spacing w:after="40"/>
            </w:pPr>
            <w:r>
              <w:t>1 Jul 2007 (see s. 2 and Gazette 22 Jun 2007 p. 2838)</w:t>
            </w:r>
          </w:p>
        </w:tc>
      </w:tr>
      <w:tr>
        <w:trPr>
          <w:gridAfter w:val="2"/>
          <w:wAfter w:w="96" w:type="dxa"/>
        </w:trPr>
        <w:tc>
          <w:tcPr>
            <w:tcW w:w="2268" w:type="dxa"/>
            <w:gridSpan w:val="2"/>
          </w:tcPr>
          <w:p>
            <w:pPr>
              <w:pStyle w:val="nTable"/>
              <w:spacing w:after="40"/>
              <w:rPr>
                <w:i/>
              </w:rPr>
            </w:pPr>
            <w:r>
              <w:rPr>
                <w:i/>
              </w:rPr>
              <w:t>Criminal Law and Evidence Amendment Act 2008 Pt. 4</w:t>
            </w:r>
          </w:p>
        </w:tc>
        <w:tc>
          <w:tcPr>
            <w:tcW w:w="1134" w:type="dxa"/>
            <w:gridSpan w:val="2"/>
          </w:tcPr>
          <w:p>
            <w:pPr>
              <w:pStyle w:val="nTable"/>
              <w:spacing w:after="40"/>
            </w:pPr>
            <w:r>
              <w:t>2 of 2008</w:t>
            </w:r>
          </w:p>
        </w:tc>
        <w:tc>
          <w:tcPr>
            <w:tcW w:w="1134" w:type="dxa"/>
            <w:gridSpan w:val="2"/>
          </w:tcPr>
          <w:p>
            <w:pPr>
              <w:pStyle w:val="nTable"/>
              <w:spacing w:after="40"/>
            </w:pPr>
            <w:r>
              <w:t>12 Mar 2008</w:t>
            </w:r>
          </w:p>
        </w:tc>
        <w:tc>
          <w:tcPr>
            <w:tcW w:w="2552" w:type="dxa"/>
            <w:gridSpan w:val="2"/>
          </w:tcPr>
          <w:p>
            <w:pPr>
              <w:pStyle w:val="nTable"/>
              <w:spacing w:after="40"/>
            </w:pPr>
            <w:r>
              <w:t>27 Apr 2008 (see s. 2 and Gazette 24 Apr 2008 p. 1559)</w:t>
            </w:r>
          </w:p>
        </w:tc>
      </w:tr>
      <w:tr>
        <w:trPr>
          <w:gridAfter w:val="2"/>
          <w:wAfter w:w="96" w:type="dxa"/>
        </w:trPr>
        <w:tc>
          <w:tcPr>
            <w:tcW w:w="2268" w:type="dxa"/>
            <w:gridSpan w:val="2"/>
          </w:tcPr>
          <w:p>
            <w:pPr>
              <w:pStyle w:val="nTable"/>
              <w:spacing w:after="40"/>
              <w:rPr>
                <w:i/>
              </w:rPr>
            </w:pPr>
            <w:r>
              <w:rPr>
                <w:i/>
              </w:rPr>
              <w:t>Acts Amendment (Justice) Act 2008 Pt. 6</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2" w:type="dxa"/>
            <w:gridSpan w:val="2"/>
          </w:tcPr>
          <w:p>
            <w:pPr>
              <w:pStyle w:val="nTable"/>
              <w:spacing w:after="40"/>
            </w:pPr>
            <w:r>
              <w:t>30 Sep 2008 (see s. 2(d) and Gazette 11 Jul 2008 p. 3253)</w:t>
            </w:r>
          </w:p>
        </w:tc>
      </w:tr>
      <w:tr>
        <w:trPr>
          <w:gridBefore w:val="1"/>
          <w:gridAfter w:val="1"/>
          <w:wBefore w:w="28" w:type="dxa"/>
          <w:wAfter w:w="31" w:type="dxa"/>
        </w:trPr>
        <w:tc>
          <w:tcPr>
            <w:tcW w:w="7125" w:type="dxa"/>
            <w:gridSpan w:val="8"/>
          </w:tcPr>
          <w:p>
            <w:pPr>
              <w:pStyle w:val="nTable"/>
              <w:spacing w:after="40"/>
              <w:rPr>
                <w:snapToGrid w:val="0"/>
              </w:rPr>
            </w:pPr>
            <w:r>
              <w:rPr>
                <w:b/>
                <w:bCs/>
                <w:snapToGrid w:val="0"/>
              </w:rPr>
              <w:t xml:space="preserve">Reprint 1: The </w:t>
            </w:r>
            <w:r>
              <w:rPr>
                <w:b/>
                <w:bCs/>
                <w:i/>
                <w:noProof/>
                <w:snapToGrid w:val="0"/>
              </w:rPr>
              <w:t>Criminal Appeals Act 2004</w:t>
            </w:r>
            <w:r>
              <w:rPr>
                <w:b/>
                <w:bCs/>
                <w:snapToGrid w:val="0"/>
              </w:rPr>
              <w:t xml:space="preserve"> as at 23 Jan 2009</w:t>
            </w:r>
            <w:r>
              <w:rPr>
                <w:snapToGrid w:val="0"/>
              </w:rPr>
              <w:t xml:space="preserve"> (includes amendments listed above)</w:t>
            </w:r>
          </w:p>
        </w:tc>
      </w:tr>
      <w:tr>
        <w:tblPrEx>
          <w:tblCellMar>
            <w:left w:w="57" w:type="dxa"/>
            <w:right w:w="57" w:type="dxa"/>
          </w:tblCellMar>
        </w:tblPrEx>
        <w:trPr>
          <w:gridBefore w:val="1"/>
          <w:wBefore w:w="28" w:type="dxa"/>
        </w:trPr>
        <w:tc>
          <w:tcPr>
            <w:tcW w:w="2267" w:type="dxa"/>
            <w:gridSpan w:val="2"/>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13</w:t>
            </w:r>
            <w:r>
              <w:rPr>
                <w:vertAlign w:val="superscript"/>
              </w:rPr>
              <w:t> </w:t>
            </w:r>
          </w:p>
        </w:tc>
        <w:tc>
          <w:tcPr>
            <w:tcW w:w="1134" w:type="dxa"/>
            <w:gridSpan w:val="2"/>
            <w:shd w:val="clear" w:color="auto" w:fill="auto"/>
          </w:tcPr>
          <w:p>
            <w:pPr>
              <w:pStyle w:val="nTable"/>
              <w:spacing w:after="40"/>
              <w:rPr>
                <w:snapToGrid w:val="0"/>
              </w:rPr>
            </w:pPr>
            <w:r>
              <w:rPr>
                <w:snapToGrid w:val="0"/>
              </w:rPr>
              <w:t>8 of 2012</w:t>
            </w:r>
          </w:p>
        </w:tc>
        <w:tc>
          <w:tcPr>
            <w:tcW w:w="1174" w:type="dxa"/>
            <w:gridSpan w:val="2"/>
            <w:shd w:val="clear" w:color="auto" w:fill="auto"/>
          </w:tcPr>
          <w:p>
            <w:pPr>
              <w:pStyle w:val="nTable"/>
              <w:spacing w:after="40"/>
              <w:rPr>
                <w:snapToGrid w:val="0"/>
              </w:rPr>
            </w:pPr>
            <w:r>
              <w:t>21 May 2012</w:t>
            </w:r>
          </w:p>
        </w:tc>
        <w:tc>
          <w:tcPr>
            <w:tcW w:w="2581" w:type="dxa"/>
            <w:gridSpan w:val="3"/>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28" w:type="dxa"/>
          <w:wAfter w:w="31" w:type="dxa"/>
        </w:trPr>
        <w:tc>
          <w:tcPr>
            <w:tcW w:w="2267" w:type="dxa"/>
            <w:gridSpan w:val="2"/>
            <w:shd w:val="clear" w:color="auto" w:fill="auto"/>
          </w:tcPr>
          <w:p>
            <w:pPr>
              <w:pStyle w:val="nTable"/>
              <w:spacing w:after="40"/>
              <w:rPr>
                <w:i/>
                <w:snapToGrid w:val="0"/>
              </w:rPr>
            </w:pPr>
            <w:r>
              <w:rPr>
                <w:i/>
                <w:snapToGrid w:val="0"/>
              </w:rPr>
              <w:t>Criminal Appeals Amendment (Double Jeopardy) Act 2012</w:t>
            </w:r>
            <w:r>
              <w:rPr>
                <w:snapToGrid w:val="0"/>
              </w:rPr>
              <w:t xml:space="preserve"> Pt. 2</w:t>
            </w:r>
          </w:p>
        </w:tc>
        <w:tc>
          <w:tcPr>
            <w:tcW w:w="1134" w:type="dxa"/>
            <w:gridSpan w:val="2"/>
            <w:shd w:val="clear" w:color="auto" w:fill="auto"/>
          </w:tcPr>
          <w:p>
            <w:pPr>
              <w:pStyle w:val="nTable"/>
              <w:spacing w:after="40"/>
              <w:rPr>
                <w:snapToGrid w:val="0"/>
              </w:rPr>
            </w:pPr>
            <w:r>
              <w:t>9 of 2012</w:t>
            </w:r>
          </w:p>
        </w:tc>
        <w:tc>
          <w:tcPr>
            <w:tcW w:w="1174" w:type="dxa"/>
            <w:gridSpan w:val="2"/>
            <w:shd w:val="clear" w:color="auto" w:fill="auto"/>
          </w:tcPr>
          <w:p>
            <w:pPr>
              <w:pStyle w:val="nTable"/>
              <w:spacing w:after="40"/>
            </w:pPr>
            <w:r>
              <w:t>21 May 2012</w:t>
            </w:r>
          </w:p>
        </w:tc>
        <w:tc>
          <w:tcPr>
            <w:tcW w:w="2550" w:type="dxa"/>
            <w:gridSpan w:val="2"/>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gridBefore w:val="1"/>
          <w:gridAfter w:val="1"/>
          <w:wBefore w:w="28" w:type="dxa"/>
          <w:wAfter w:w="31" w:type="dxa"/>
        </w:trPr>
        <w:tc>
          <w:tcPr>
            <w:tcW w:w="7125" w:type="dxa"/>
            <w:gridSpan w:val="8"/>
            <w:shd w:val="clear" w:color="auto" w:fill="auto"/>
          </w:tcPr>
          <w:p>
            <w:pPr>
              <w:pStyle w:val="nTable"/>
              <w:spacing w:after="40"/>
              <w:rPr>
                <w:snapToGrid w:val="0"/>
              </w:rPr>
            </w:pPr>
            <w:r>
              <w:rPr>
                <w:b/>
                <w:bCs/>
                <w:snapToGrid w:val="0"/>
              </w:rPr>
              <w:t xml:space="preserve">Reprint 2: The </w:t>
            </w:r>
            <w:r>
              <w:rPr>
                <w:b/>
                <w:bCs/>
                <w:i/>
                <w:noProof/>
                <w:snapToGrid w:val="0"/>
              </w:rPr>
              <w:t>Criminal Appeals Act 2004</w:t>
            </w:r>
            <w:r>
              <w:rPr>
                <w:b/>
                <w:bCs/>
                <w:snapToGrid w:val="0"/>
              </w:rPr>
              <w:t xml:space="preserve"> as at 12 Apr 2013</w:t>
            </w:r>
            <w:r>
              <w:rPr>
                <w:snapToGrid w:val="0"/>
              </w:rPr>
              <w:t xml:space="preserve"> (includes amendments listed above except those in the </w:t>
            </w:r>
            <w:r>
              <w:rPr>
                <w:i/>
                <w:snapToGrid w:val="0"/>
              </w:rPr>
              <w:t xml:space="preserve">Road Traffic Legislation Amendment Act 2012 </w:t>
            </w:r>
            <w:r>
              <w:rPr>
                <w:snapToGrid w:val="0"/>
              </w:rPr>
              <w:t>Pt. 4 Div. 13)</w:t>
            </w:r>
          </w:p>
        </w:tc>
      </w:tr>
      <w:tr>
        <w:trPr>
          <w:gridBefore w:val="1"/>
          <w:gridAfter w:val="1"/>
          <w:wBefore w:w="28" w:type="dxa"/>
          <w:wAfter w:w="31" w:type="dxa"/>
        </w:trPr>
        <w:tc>
          <w:tcPr>
            <w:tcW w:w="2267" w:type="dxa"/>
            <w:gridSpan w:val="2"/>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5</w:t>
            </w:r>
          </w:p>
        </w:tc>
        <w:tc>
          <w:tcPr>
            <w:tcW w:w="1134" w:type="dxa"/>
            <w:gridSpan w:val="2"/>
            <w:shd w:val="clear" w:color="auto" w:fill="auto"/>
          </w:tcPr>
          <w:p>
            <w:pPr>
              <w:pStyle w:val="nTable"/>
              <w:spacing w:after="40"/>
              <w:rPr>
                <w:snapToGrid w:val="0"/>
              </w:rPr>
            </w:pPr>
            <w:r>
              <w:rPr>
                <w:snapToGrid w:val="0"/>
              </w:rPr>
              <w:t>20 of 2013</w:t>
            </w:r>
          </w:p>
        </w:tc>
        <w:tc>
          <w:tcPr>
            <w:tcW w:w="1174" w:type="dxa"/>
            <w:gridSpan w:val="2"/>
            <w:shd w:val="clear" w:color="auto" w:fill="auto"/>
          </w:tcPr>
          <w:p>
            <w:pPr>
              <w:pStyle w:val="nTable"/>
              <w:spacing w:after="40"/>
            </w:pPr>
            <w:r>
              <w:t>4 Nov 2013</w:t>
            </w:r>
          </w:p>
        </w:tc>
        <w:tc>
          <w:tcPr>
            <w:tcW w:w="2550" w:type="dxa"/>
            <w:gridSpan w:val="2"/>
            <w:shd w:val="clear" w:color="auto" w:fill="auto"/>
          </w:tcPr>
          <w:p>
            <w:pPr>
              <w:pStyle w:val="nTable"/>
              <w:spacing w:after="40"/>
              <w:rPr>
                <w:snapToGrid w:val="0"/>
              </w:rPr>
            </w:pPr>
            <w:r>
              <w:rPr>
                <w:snapToGrid w:val="0"/>
              </w:rPr>
              <w:t xml:space="preserve">25 Nov 2013 (see s. 2(b) and </w:t>
            </w:r>
            <w:r>
              <w:rPr>
                <w:i/>
                <w:snapToGrid w:val="0"/>
              </w:rPr>
              <w:t>Gazette</w:t>
            </w:r>
            <w:r>
              <w:rPr>
                <w:snapToGrid w:val="0"/>
              </w:rPr>
              <w:t xml:space="preserve"> 22 Nov 2013 p. 5391)</w:t>
            </w:r>
          </w:p>
        </w:tc>
      </w:tr>
    </w:tbl>
    <w:p>
      <w:pPr>
        <w:pStyle w:val="nHeading3"/>
        <w:rPr>
          <w:del w:id="421" w:author="Master Repository Process" w:date="2022-12-30T09:46:00Z"/>
        </w:rPr>
      </w:pPr>
      <w:bookmarkStart w:id="422" w:name="_Toc122518171"/>
      <w:del w:id="423" w:author="Master Repository Process" w:date="2022-12-30T09:46:00Z">
        <w:r>
          <w:delText>Uncommenced provisions table</w:delText>
        </w:r>
        <w:bookmarkEnd w:id="422"/>
      </w:del>
    </w:p>
    <w:p>
      <w:pPr>
        <w:pStyle w:val="nStatement"/>
        <w:keepNext/>
        <w:spacing w:after="240"/>
        <w:rPr>
          <w:del w:id="424" w:author="Master Repository Process" w:date="2022-12-30T09:46:00Z"/>
        </w:rPr>
      </w:pPr>
      <w:del w:id="425" w:author="Master Repository Process" w:date="2022-12-30T09:4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7"/>
        <w:gridCol w:w="1107"/>
        <w:gridCol w:w="27"/>
        <w:gridCol w:w="1107"/>
        <w:gridCol w:w="67"/>
        <w:gridCol w:w="2485"/>
        <w:gridCol w:w="65"/>
      </w:tblGrid>
      <w:tr>
        <w:trPr>
          <w:gridAfter w:val="1"/>
          <w:wAfter w:w="65" w:type="dxa"/>
          <w:tblHeader/>
          <w:del w:id="426" w:author="Master Repository Process" w:date="2022-12-30T09:46:00Z"/>
        </w:trPr>
        <w:tc>
          <w:tcPr>
            <w:tcW w:w="2268" w:type="dxa"/>
            <w:gridSpan w:val="2"/>
          </w:tcPr>
          <w:p>
            <w:pPr>
              <w:pStyle w:val="nTable"/>
              <w:spacing w:after="40"/>
              <w:rPr>
                <w:del w:id="427" w:author="Master Repository Process" w:date="2022-12-30T09:46:00Z"/>
                <w:b/>
              </w:rPr>
            </w:pPr>
            <w:del w:id="428" w:author="Master Repository Process" w:date="2022-12-30T09:46:00Z">
              <w:r>
                <w:rPr>
                  <w:b/>
                </w:rPr>
                <w:delText>Short title</w:delText>
              </w:r>
            </w:del>
          </w:p>
        </w:tc>
        <w:tc>
          <w:tcPr>
            <w:tcW w:w="1134" w:type="dxa"/>
            <w:gridSpan w:val="2"/>
          </w:tcPr>
          <w:p>
            <w:pPr>
              <w:pStyle w:val="nTable"/>
              <w:spacing w:after="40"/>
              <w:rPr>
                <w:del w:id="429" w:author="Master Repository Process" w:date="2022-12-30T09:46:00Z"/>
                <w:b/>
              </w:rPr>
            </w:pPr>
            <w:del w:id="430" w:author="Master Repository Process" w:date="2022-12-30T09:46:00Z">
              <w:r>
                <w:rPr>
                  <w:b/>
                </w:rPr>
                <w:delText>Number and year</w:delText>
              </w:r>
            </w:del>
          </w:p>
        </w:tc>
        <w:tc>
          <w:tcPr>
            <w:tcW w:w="1134" w:type="dxa"/>
            <w:gridSpan w:val="2"/>
          </w:tcPr>
          <w:p>
            <w:pPr>
              <w:pStyle w:val="nTable"/>
              <w:spacing w:after="40"/>
              <w:rPr>
                <w:del w:id="431" w:author="Master Repository Process" w:date="2022-12-30T09:46:00Z"/>
                <w:b/>
              </w:rPr>
            </w:pPr>
            <w:del w:id="432" w:author="Master Repository Process" w:date="2022-12-30T09:46:00Z">
              <w:r>
                <w:rPr>
                  <w:b/>
                </w:rPr>
                <w:delText>Assent</w:delText>
              </w:r>
            </w:del>
          </w:p>
        </w:tc>
        <w:tc>
          <w:tcPr>
            <w:tcW w:w="2552" w:type="dxa"/>
            <w:gridSpan w:val="2"/>
          </w:tcPr>
          <w:p>
            <w:pPr>
              <w:pStyle w:val="nTable"/>
              <w:spacing w:after="40"/>
              <w:rPr>
                <w:del w:id="433" w:author="Master Repository Process" w:date="2022-12-30T09:46:00Z"/>
                <w:b/>
              </w:rPr>
            </w:pPr>
            <w:del w:id="434" w:author="Master Repository Process" w:date="2022-12-30T09:46:00Z">
              <w:r>
                <w:rPr>
                  <w:b/>
                </w:rPr>
                <w:delText>Commencement</w:delText>
              </w:r>
            </w:del>
          </w:p>
        </w:tc>
      </w:tr>
      <w:tr>
        <w:tblPrEx>
          <w:tblBorders>
            <w:top w:val="none" w:sz="0" w:space="0" w:color="auto"/>
            <w:bottom w:val="none" w:sz="0" w:space="0" w:color="auto"/>
            <w:insideH w:val="none" w:sz="0" w:space="0" w:color="auto"/>
          </w:tblBorders>
        </w:tblPrEx>
        <w:trPr>
          <w:gridBefore w:val="1"/>
          <w:wBefore w:w="28" w:type="dxa"/>
        </w:trPr>
        <w:tc>
          <w:tcPr>
            <w:tcW w:w="2267" w:type="dxa"/>
            <w:gridSpan w:val="2"/>
            <w:tcBorders>
              <w:bottom w:val="single" w:sz="8" w:space="0" w:color="auto"/>
            </w:tcBorders>
            <w:shd w:val="clear" w:color="auto" w:fill="auto"/>
          </w:tcPr>
          <w:p>
            <w:pPr>
              <w:pStyle w:val="nTable"/>
              <w:spacing w:after="40"/>
              <w:rPr>
                <w:i/>
                <w:snapToGrid w:val="0"/>
              </w:rPr>
            </w:pPr>
            <w:r>
              <w:rPr>
                <w:i/>
              </w:rPr>
              <w:t>Criminal Appeals Amendment Act 2022</w:t>
            </w:r>
            <w:r>
              <w:t xml:space="preserve"> Pt. 2</w:t>
            </w:r>
          </w:p>
        </w:tc>
        <w:tc>
          <w:tcPr>
            <w:tcW w:w="1134" w:type="dxa"/>
            <w:gridSpan w:val="2"/>
            <w:tcBorders>
              <w:bottom w:val="single" w:sz="8" w:space="0" w:color="auto"/>
            </w:tcBorders>
            <w:shd w:val="clear" w:color="auto" w:fill="auto"/>
          </w:tcPr>
          <w:p>
            <w:pPr>
              <w:pStyle w:val="nTable"/>
              <w:spacing w:after="40"/>
              <w:rPr>
                <w:snapToGrid w:val="0"/>
              </w:rPr>
            </w:pPr>
            <w:r>
              <w:t>18 of 2022</w:t>
            </w:r>
          </w:p>
        </w:tc>
        <w:tc>
          <w:tcPr>
            <w:tcW w:w="1174" w:type="dxa"/>
            <w:gridSpan w:val="2"/>
            <w:tcBorders>
              <w:bottom w:val="single" w:sz="8" w:space="0" w:color="auto"/>
            </w:tcBorders>
            <w:shd w:val="clear" w:color="auto" w:fill="auto"/>
          </w:tcPr>
          <w:p>
            <w:pPr>
              <w:pStyle w:val="nTable"/>
              <w:spacing w:after="40"/>
            </w:pPr>
            <w:r>
              <w:t>24 Jun 2022</w:t>
            </w:r>
          </w:p>
        </w:tc>
        <w:tc>
          <w:tcPr>
            <w:tcW w:w="2550" w:type="dxa"/>
            <w:gridSpan w:val="2"/>
            <w:tcBorders>
              <w:bottom w:val="single" w:sz="8" w:space="0" w:color="auto"/>
            </w:tcBorders>
            <w:shd w:val="clear" w:color="auto" w:fill="auto"/>
          </w:tcPr>
          <w:p>
            <w:pPr>
              <w:pStyle w:val="nTable"/>
              <w:spacing w:after="40"/>
              <w:rPr>
                <w:snapToGrid w:val="0"/>
              </w:rPr>
            </w:pPr>
            <w:r>
              <w:t>1 Jan 2023 (see s. 2(b) and SL 2022/212 cl. 2)</w:t>
            </w:r>
          </w:p>
        </w:tc>
      </w:tr>
    </w:tbl>
    <w:p/>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6" w:name="Coversheet"/>
    <w:bookmarkEnd w:id="4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5" w:name="Compilation"/>
    <w:bookmarkEnd w:id="4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3946"/>
    <w:docVar w:name="WAFER_20140115095234" w:val="RemoveTocBookmarks,RemoveUnusedBookmarks,RemoveLanguageTags,UsedStyles,ResetPageSize,UpdateArrangement"/>
    <w:docVar w:name="WAFER_20140115095234_GUID" w:val="75e36350-13ee-4c4b-b411-7d2979d29009"/>
    <w:docVar w:name="WAFER_20140115095242" w:val="RemoveTocBookmarks,RunningHeaders"/>
    <w:docVar w:name="WAFER_20140115095242_GUID" w:val="51069801-15ff-4bfb-b926-a5cdb63cd1ee"/>
    <w:docVar w:name="WAFER_20140306114325" w:val="RemoveTocBookmarks,RemoveUnusedBookmarks,RemoveLanguageTags,UsedStyles,ResetPageSize"/>
    <w:docVar w:name="WAFER_20140306114325_GUID" w:val="69560688-7df2-4202-b1f3-d58d91138a1b"/>
    <w:docVar w:name="WAFER_20140306114930" w:val="RemoveTocBookmarks,RunningHeaders"/>
    <w:docVar w:name="WAFER_20140306114930_GUID" w:val="dada7dea-073a-4a1d-bc38-8c4494f1d40a"/>
    <w:docVar w:name="WAFER_20150401134952" w:val="ResetPageSize,UpdateArrangement,UpdateNTable"/>
    <w:docVar w:name="WAFER_20150401134952_GUID" w:val="fe03ad76-96ba-4c4d-afde-955c85d5da68"/>
    <w:docVar w:name="WAFER_20151103102611" w:val="UpdateStyles,UsedStyles"/>
    <w:docVar w:name="WAFER_20151103102611_GUID" w:val="2b5b64ec-1b28-422f-9631-d88430d82b12"/>
    <w:docVar w:name="WAFER_202206241515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516_GUID" w:val="19e8aaf3-ba81-4be4-b57c-1f5654574c80"/>
    <w:docVar w:name="WAFER_202212211139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3946_GUID" w:val="1014f502-b69d-442e-ade3-b1f781dbbd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3447-1B15-41B6-A764-1471C1C6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15521</Words>
  <Characters>70002</Characters>
  <Application>Microsoft Office Word</Application>
  <DocSecurity>0</DocSecurity>
  <Lines>1891</Lines>
  <Paragraphs>1069</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84454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02-e0-01 - 02-f0-00</dc:title>
  <dc:subject/>
  <dc:creator/>
  <cp:keywords/>
  <dc:description/>
  <cp:lastModifiedBy>Master Repository Process</cp:lastModifiedBy>
  <cp:revision>2</cp:revision>
  <cp:lastPrinted>2013-04-10T23:57:00Z</cp:lastPrinted>
  <dcterms:created xsi:type="dcterms:W3CDTF">2022-12-30T01:46:00Z</dcterms:created>
  <dcterms:modified xsi:type="dcterms:W3CDTF">2022-12-30T01:47:00Z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DocumentType">
    <vt:lpwstr>Act</vt:lpwstr>
  </property>
  <property fmtid="{D5CDD505-2E9C-101B-9397-08002B2CF9AE}" pid="4" name="OwlsUID">
    <vt:i4>9267</vt:i4>
  </property>
  <property fmtid="{D5CDD505-2E9C-101B-9397-08002B2CF9AE}" pid="5" name="ReprintNo">
    <vt:lpwstr>2</vt:lpwstr>
  </property>
  <property fmtid="{D5CDD505-2E9C-101B-9397-08002B2CF9AE}" pid="6" name="ReprintedAsAt">
    <vt:filetime>2013-04-11T16:00:00Z</vt:filetime>
  </property>
  <property fmtid="{D5CDD505-2E9C-101B-9397-08002B2CF9AE}" pid="7" name="CommencementDate">
    <vt:lpwstr>20230101</vt:lpwstr>
  </property>
  <property fmtid="{D5CDD505-2E9C-101B-9397-08002B2CF9AE}" pid="8" name="FromSuffix">
    <vt:lpwstr>02-e0-01</vt:lpwstr>
  </property>
  <property fmtid="{D5CDD505-2E9C-101B-9397-08002B2CF9AE}" pid="9" name="FromAsAtDate">
    <vt:lpwstr>24 Jun 2022</vt:lpwstr>
  </property>
  <property fmtid="{D5CDD505-2E9C-101B-9397-08002B2CF9AE}" pid="10" name="ToSuffix">
    <vt:lpwstr>02-f0-00</vt:lpwstr>
  </property>
  <property fmtid="{D5CDD505-2E9C-101B-9397-08002B2CF9AE}" pid="11" name="ToAsAtDate">
    <vt:lpwstr>01 Jan 2023</vt:lpwstr>
  </property>
</Properties>
</file>