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 xml:space="preserve">n Act to provide for prompt and coordinated organisation of emergency management </w:t>
      </w:r>
      <w:r>
        <w:t>and the management of COVID</w:t>
      </w:r>
      <w:r>
        <w:noBreakHyphen/>
        <w:t xml:space="preserve">19 </w:t>
      </w:r>
      <w:r>
        <w:rPr>
          <w:snapToGrid w:val="0"/>
        </w:rPr>
        <w:t>in the State, and for related purposes.</w:t>
      </w:r>
    </w:p>
    <w:p>
      <w:pPr>
        <w:pStyle w:val="Footnotelongtitle"/>
      </w:pPr>
      <w:r>
        <w:tab/>
        <w:t>[Long title amended: No. 33 of 2022 s. 4.]</w:t>
      </w:r>
    </w:p>
    <w:p>
      <w:pPr>
        <w:pStyle w:val="Heading2"/>
        <w:spacing w:before="240"/>
      </w:pPr>
      <w:bookmarkStart w:id="2" w:name="_Toc117777609"/>
      <w:bookmarkStart w:id="3" w:name="_Toc117779293"/>
      <w:bookmarkStart w:id="4" w:name="_Toc117845215"/>
      <w:bookmarkStart w:id="5" w:name="_Toc118299601"/>
      <w:bookmarkStart w:id="6" w:name="_Toc118299965"/>
      <w:bookmarkStart w:id="7" w:name="_Toc131502792"/>
      <w:bookmarkStart w:id="8" w:name="_Toc131503033"/>
      <w:bookmarkStart w:id="9" w:name="_Toc131513236"/>
      <w:bookmarkStart w:id="10" w:name="_Toc13151340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131513408"/>
      <w:bookmarkStart w:id="12" w:name="_Toc118299966"/>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3" w:name="_Toc131513409"/>
      <w:bookmarkStart w:id="14" w:name="_Toc118299967"/>
      <w:r>
        <w:rPr>
          <w:rStyle w:val="CharSectno"/>
        </w:rPr>
        <w:t>2</w:t>
      </w:r>
      <w:r>
        <w:t>.</w:t>
      </w:r>
      <w:r>
        <w:tab/>
        <w:t>Commencement</w:t>
      </w:r>
      <w:bookmarkEnd w:id="13"/>
      <w:bookmarkEnd w:id="14"/>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5" w:name="_Toc131513410"/>
      <w:bookmarkStart w:id="16" w:name="_Toc118299968"/>
      <w:r>
        <w:rPr>
          <w:rStyle w:val="CharSectno"/>
        </w:rPr>
        <w:t>3</w:t>
      </w:r>
      <w:r>
        <w:t>.</w:t>
      </w:r>
      <w:r>
        <w:tab/>
        <w:t>Terms used</w:t>
      </w:r>
      <w:bookmarkEnd w:id="15"/>
      <w:bookmarkEnd w:id="16"/>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the Police Force of Western Australia;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17" w:name="_Toc131513411"/>
      <w:bookmarkStart w:id="18" w:name="_Toc118299969"/>
      <w:r>
        <w:rPr>
          <w:rStyle w:val="CharSectno"/>
        </w:rPr>
        <w:t>4</w:t>
      </w:r>
      <w:r>
        <w:t>.</w:t>
      </w:r>
      <w:r>
        <w:tab/>
        <w:t>Hazard management agencies may be prescribed</w:t>
      </w:r>
      <w:bookmarkEnd w:id="17"/>
      <w:bookmarkEnd w:id="18"/>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9" w:name="_Toc131513412"/>
      <w:bookmarkStart w:id="20" w:name="_Toc118299970"/>
      <w:r>
        <w:rPr>
          <w:rStyle w:val="CharSectno"/>
        </w:rPr>
        <w:t>5</w:t>
      </w:r>
      <w:r>
        <w:t>.</w:t>
      </w:r>
      <w:r>
        <w:tab/>
        <w:t>Delegation by hazard management agency</w:t>
      </w:r>
      <w:bookmarkEnd w:id="19"/>
      <w:bookmarkEnd w:id="20"/>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1" w:name="_Toc131513413"/>
      <w:bookmarkStart w:id="22" w:name="_Toc118299971"/>
      <w:r>
        <w:rPr>
          <w:rStyle w:val="CharSectno"/>
        </w:rPr>
        <w:t>6</w:t>
      </w:r>
      <w:r>
        <w:t>.</w:t>
      </w:r>
      <w:r>
        <w:tab/>
        <w:t>Combat agencies and support organisations may be prescribed</w:t>
      </w:r>
      <w:bookmarkEnd w:id="21"/>
      <w:bookmarkEnd w:id="22"/>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23" w:name="_Toc131513414"/>
      <w:bookmarkStart w:id="24" w:name="_Toc118299972"/>
      <w:r>
        <w:rPr>
          <w:rStyle w:val="CharSectno"/>
        </w:rPr>
        <w:t>7</w:t>
      </w:r>
      <w:r>
        <w:t>.</w:t>
      </w:r>
      <w:r>
        <w:tab/>
        <w:t>Act binds the Crown</w:t>
      </w:r>
      <w:bookmarkEnd w:id="23"/>
      <w:bookmarkEnd w:id="24"/>
    </w:p>
    <w:p>
      <w:pPr>
        <w:pStyle w:val="Subsection"/>
      </w:pPr>
      <w:r>
        <w:tab/>
      </w:r>
      <w:r>
        <w:tab/>
        <w:t>This Act binds the Crown in right of the State and, so far as the legislative power of the State permits, the Crown in its other capacities.</w:t>
      </w:r>
    </w:p>
    <w:p>
      <w:pPr>
        <w:pStyle w:val="Heading5"/>
      </w:pPr>
      <w:bookmarkStart w:id="25" w:name="_Toc131513415"/>
      <w:bookmarkStart w:id="26" w:name="_Toc118299973"/>
      <w:r>
        <w:rPr>
          <w:rStyle w:val="CharSectno"/>
        </w:rPr>
        <w:t>8</w:t>
      </w:r>
      <w:r>
        <w:t>.</w:t>
      </w:r>
      <w:r>
        <w:tab/>
        <w:t>Relationship to other Acts</w:t>
      </w:r>
      <w:bookmarkEnd w:id="25"/>
      <w:bookmarkEnd w:id="26"/>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27" w:name="_Toc131513416"/>
      <w:bookmarkStart w:id="28" w:name="_Toc118299974"/>
      <w:r>
        <w:rPr>
          <w:rStyle w:val="CharSectno"/>
        </w:rPr>
        <w:t>9</w:t>
      </w:r>
      <w:r>
        <w:t>.</w:t>
      </w:r>
      <w:r>
        <w:tab/>
        <w:t>Limitation on Act — industrial disputes and civil disturbances</w:t>
      </w:r>
      <w:bookmarkEnd w:id="27"/>
      <w:bookmarkEnd w:id="28"/>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29" w:name="_Toc117777619"/>
      <w:bookmarkStart w:id="30" w:name="_Toc117779303"/>
      <w:bookmarkStart w:id="31" w:name="_Toc117845225"/>
      <w:bookmarkStart w:id="32" w:name="_Toc118299611"/>
      <w:bookmarkStart w:id="33" w:name="_Toc118299975"/>
      <w:bookmarkStart w:id="34" w:name="_Toc131502802"/>
      <w:bookmarkStart w:id="35" w:name="_Toc131503043"/>
      <w:bookmarkStart w:id="36" w:name="_Toc131513246"/>
      <w:bookmarkStart w:id="37" w:name="_Toc131513417"/>
      <w:r>
        <w:rPr>
          <w:rStyle w:val="CharPartNo"/>
        </w:rPr>
        <w:t>Part 2</w:t>
      </w:r>
      <w:r>
        <w:t> — </w:t>
      </w:r>
      <w:r>
        <w:rPr>
          <w:rStyle w:val="CharPartText"/>
        </w:rPr>
        <w:t>State arrangements</w:t>
      </w:r>
      <w:bookmarkEnd w:id="29"/>
      <w:bookmarkEnd w:id="30"/>
      <w:bookmarkEnd w:id="31"/>
      <w:bookmarkEnd w:id="32"/>
      <w:bookmarkEnd w:id="33"/>
      <w:bookmarkEnd w:id="34"/>
      <w:bookmarkEnd w:id="35"/>
      <w:bookmarkEnd w:id="36"/>
      <w:bookmarkEnd w:id="37"/>
    </w:p>
    <w:p>
      <w:pPr>
        <w:pStyle w:val="Heading3"/>
      </w:pPr>
      <w:bookmarkStart w:id="38" w:name="_Toc117777620"/>
      <w:bookmarkStart w:id="39" w:name="_Toc117779304"/>
      <w:bookmarkStart w:id="40" w:name="_Toc117845226"/>
      <w:bookmarkStart w:id="41" w:name="_Toc118299612"/>
      <w:bookmarkStart w:id="42" w:name="_Toc118299976"/>
      <w:bookmarkStart w:id="43" w:name="_Toc131502803"/>
      <w:bookmarkStart w:id="44" w:name="_Toc131503044"/>
      <w:bookmarkStart w:id="45" w:name="_Toc131513247"/>
      <w:bookmarkStart w:id="46" w:name="_Toc131513418"/>
      <w:r>
        <w:rPr>
          <w:rStyle w:val="CharDivNo"/>
        </w:rPr>
        <w:t>Division 1</w:t>
      </w:r>
      <w:r>
        <w:t> — </w:t>
      </w:r>
      <w:r>
        <w:rPr>
          <w:rStyle w:val="CharDivText"/>
        </w:rPr>
        <w:t>The State Emergency Coordinator</w:t>
      </w:r>
      <w:bookmarkEnd w:id="38"/>
      <w:bookmarkEnd w:id="39"/>
      <w:bookmarkEnd w:id="40"/>
      <w:bookmarkEnd w:id="41"/>
      <w:bookmarkEnd w:id="42"/>
      <w:bookmarkEnd w:id="43"/>
      <w:bookmarkEnd w:id="44"/>
      <w:bookmarkEnd w:id="45"/>
      <w:bookmarkEnd w:id="46"/>
    </w:p>
    <w:p>
      <w:pPr>
        <w:pStyle w:val="Heading5"/>
      </w:pPr>
      <w:bookmarkStart w:id="47" w:name="_Toc131513419"/>
      <w:bookmarkStart w:id="48" w:name="_Toc118299977"/>
      <w:r>
        <w:rPr>
          <w:rStyle w:val="CharSectno"/>
        </w:rPr>
        <w:t>10</w:t>
      </w:r>
      <w:r>
        <w:t>.</w:t>
      </w:r>
      <w:r>
        <w:tab/>
        <w:t>State Emergency Coordinator</w:t>
      </w:r>
      <w:bookmarkEnd w:id="47"/>
      <w:bookmarkEnd w:id="48"/>
    </w:p>
    <w:p>
      <w:pPr>
        <w:pStyle w:val="Subsection"/>
      </w:pPr>
      <w:r>
        <w:tab/>
      </w:r>
      <w:r>
        <w:tab/>
        <w:t>The Commissioner of Police is to hold the office of State Emergency Coordinator.</w:t>
      </w:r>
    </w:p>
    <w:p>
      <w:pPr>
        <w:pStyle w:val="Heading5"/>
      </w:pPr>
      <w:bookmarkStart w:id="49" w:name="_Toc131513420"/>
      <w:bookmarkStart w:id="50" w:name="_Toc118299978"/>
      <w:r>
        <w:rPr>
          <w:rStyle w:val="CharSectno"/>
        </w:rPr>
        <w:t>11</w:t>
      </w:r>
      <w:r>
        <w:t>.</w:t>
      </w:r>
      <w:r>
        <w:tab/>
        <w:t>Functions of the State Emergency Coordinator</w:t>
      </w:r>
      <w:bookmarkEnd w:id="49"/>
      <w:bookmarkEnd w:id="50"/>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keepNext/>
      </w:pPr>
      <w:r>
        <w:tab/>
      </w:r>
      <w:r>
        <w:tab/>
        <w:t>to assist the State to manage emergencies.</w:t>
      </w:r>
    </w:p>
    <w:p>
      <w:pPr>
        <w:pStyle w:val="Footnotesection"/>
      </w:pPr>
      <w:r>
        <w:tab/>
        <w:t>[Section 11: modified by section 77X(1).]</w:t>
      </w:r>
    </w:p>
    <w:p>
      <w:pPr>
        <w:pStyle w:val="Heading5"/>
      </w:pPr>
      <w:bookmarkStart w:id="51" w:name="_Toc131513421"/>
      <w:bookmarkStart w:id="52" w:name="_Toc118299979"/>
      <w:r>
        <w:rPr>
          <w:rStyle w:val="CharSectno"/>
        </w:rPr>
        <w:t>12</w:t>
      </w:r>
      <w:r>
        <w:t>.</w:t>
      </w:r>
      <w:r>
        <w:tab/>
        <w:t>Delegation by State Emergency Coordinator</w:t>
      </w:r>
      <w:bookmarkEnd w:id="51"/>
      <w:bookmarkEnd w:id="52"/>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53" w:name="_Toc117777624"/>
      <w:bookmarkStart w:id="54" w:name="_Toc117779308"/>
      <w:bookmarkStart w:id="55" w:name="_Toc117845230"/>
      <w:bookmarkStart w:id="56" w:name="_Toc118299616"/>
      <w:bookmarkStart w:id="57" w:name="_Toc118299980"/>
      <w:bookmarkStart w:id="58" w:name="_Toc131502807"/>
      <w:bookmarkStart w:id="59" w:name="_Toc131503048"/>
      <w:bookmarkStart w:id="60" w:name="_Toc131513251"/>
      <w:bookmarkStart w:id="61" w:name="_Toc131513422"/>
      <w:r>
        <w:rPr>
          <w:rStyle w:val="CharDivNo"/>
        </w:rPr>
        <w:t>Division 2</w:t>
      </w:r>
      <w:r>
        <w:t> — </w:t>
      </w:r>
      <w:r>
        <w:rPr>
          <w:rStyle w:val="CharDivText"/>
        </w:rPr>
        <w:t>The State Emergency Management Committee</w:t>
      </w:r>
      <w:bookmarkEnd w:id="53"/>
      <w:bookmarkEnd w:id="54"/>
      <w:bookmarkEnd w:id="55"/>
      <w:bookmarkEnd w:id="56"/>
      <w:bookmarkEnd w:id="57"/>
      <w:bookmarkEnd w:id="58"/>
      <w:bookmarkEnd w:id="59"/>
      <w:bookmarkEnd w:id="60"/>
      <w:bookmarkEnd w:id="61"/>
    </w:p>
    <w:p>
      <w:pPr>
        <w:pStyle w:val="Heading5"/>
      </w:pPr>
      <w:bookmarkStart w:id="62" w:name="_Toc131513423"/>
      <w:bookmarkStart w:id="63" w:name="_Toc118299981"/>
      <w:r>
        <w:rPr>
          <w:rStyle w:val="CharSectno"/>
        </w:rPr>
        <w:t>13</w:t>
      </w:r>
      <w:r>
        <w:t>.</w:t>
      </w:r>
      <w:r>
        <w:tab/>
        <w:t>State Emergency Management Committee</w:t>
      </w:r>
      <w:bookmarkEnd w:id="62"/>
      <w:bookmarkEnd w:id="63"/>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keepNext/>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64" w:name="_Toc131513424"/>
      <w:bookmarkStart w:id="65" w:name="_Toc118299982"/>
      <w:r>
        <w:rPr>
          <w:rStyle w:val="CharSectno"/>
        </w:rPr>
        <w:t>14</w:t>
      </w:r>
      <w:r>
        <w:t>.</w:t>
      </w:r>
      <w:r>
        <w:tab/>
        <w:t>Functions of the SEMC</w:t>
      </w:r>
      <w:bookmarkEnd w:id="64"/>
      <w:bookmarkEnd w:id="65"/>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66" w:name="_Toc131513425"/>
      <w:bookmarkStart w:id="67" w:name="_Toc118299983"/>
      <w:r>
        <w:rPr>
          <w:rStyle w:val="CharSectno"/>
        </w:rPr>
        <w:t>15</w:t>
      </w:r>
      <w:r>
        <w:t>.</w:t>
      </w:r>
      <w:r>
        <w:tab/>
        <w:t>Powers of the SEMC</w:t>
      </w:r>
      <w:bookmarkEnd w:id="66"/>
      <w:bookmarkEnd w:id="67"/>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68" w:name="_Toc131513426"/>
      <w:bookmarkStart w:id="69" w:name="_Toc118299984"/>
      <w:r>
        <w:rPr>
          <w:rStyle w:val="CharSectno"/>
        </w:rPr>
        <w:t>16</w:t>
      </w:r>
      <w:r>
        <w:t>.</w:t>
      </w:r>
      <w:r>
        <w:tab/>
        <w:t>Designation of cyclone areas</w:t>
      </w:r>
      <w:bookmarkEnd w:id="68"/>
      <w:bookmarkEnd w:id="69"/>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70" w:name="_Toc131513427"/>
      <w:bookmarkStart w:id="71" w:name="_Toc118299985"/>
      <w:r>
        <w:rPr>
          <w:rStyle w:val="CharSectno"/>
        </w:rPr>
        <w:t>17</w:t>
      </w:r>
      <w:r>
        <w:t>.</w:t>
      </w:r>
      <w:r>
        <w:tab/>
        <w:t>State emergency management policies</w:t>
      </w:r>
      <w:bookmarkEnd w:id="70"/>
      <w:bookmarkEnd w:id="71"/>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72" w:name="_Toc131513428"/>
      <w:bookmarkStart w:id="73" w:name="_Toc118299986"/>
      <w:r>
        <w:rPr>
          <w:rStyle w:val="CharSectno"/>
        </w:rPr>
        <w:t>18</w:t>
      </w:r>
      <w:r>
        <w:t>.</w:t>
      </w:r>
      <w:r>
        <w:tab/>
        <w:t>State emergency management plans</w:t>
      </w:r>
      <w:bookmarkEnd w:id="72"/>
      <w:bookmarkEnd w:id="73"/>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74" w:name="_Toc131513429"/>
      <w:bookmarkStart w:id="75" w:name="_Toc118299987"/>
      <w:r>
        <w:rPr>
          <w:rStyle w:val="CharSectno"/>
        </w:rPr>
        <w:t>19</w:t>
      </w:r>
      <w:r>
        <w:t>.</w:t>
      </w:r>
      <w:r>
        <w:tab/>
        <w:t>Reviewing State emergency management policies and State emergency management plans</w:t>
      </w:r>
      <w:bookmarkEnd w:id="74"/>
      <w:bookmarkEnd w:id="75"/>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76" w:name="_Toc131513430"/>
      <w:bookmarkStart w:id="77" w:name="_Toc118299988"/>
      <w:r>
        <w:rPr>
          <w:rStyle w:val="CharSectno"/>
        </w:rPr>
        <w:t>20</w:t>
      </w:r>
      <w:r>
        <w:t>.</w:t>
      </w:r>
      <w:r>
        <w:tab/>
        <w:t>Directions to, and duties of, public authorities</w:t>
      </w:r>
      <w:bookmarkEnd w:id="76"/>
      <w:bookmarkEnd w:id="77"/>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78" w:name="_Toc131513431"/>
      <w:bookmarkStart w:id="79" w:name="_Toc118299989"/>
      <w:r>
        <w:rPr>
          <w:rStyle w:val="CharSectno"/>
        </w:rPr>
        <w:t>21</w:t>
      </w:r>
      <w:r>
        <w:t>.</w:t>
      </w:r>
      <w:r>
        <w:tab/>
        <w:t>Sub</w:t>
      </w:r>
      <w:r>
        <w:noBreakHyphen/>
        <w:t>committees</w:t>
      </w:r>
      <w:bookmarkEnd w:id="78"/>
      <w:bookmarkEnd w:id="79"/>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80" w:name="_Toc131513432"/>
      <w:bookmarkStart w:id="81" w:name="_Toc118299990"/>
      <w:r>
        <w:rPr>
          <w:rStyle w:val="CharSectno"/>
        </w:rPr>
        <w:t>22</w:t>
      </w:r>
      <w:r>
        <w:t>.</w:t>
      </w:r>
      <w:r>
        <w:tab/>
        <w:t>SEMC may delegate</w:t>
      </w:r>
      <w:bookmarkEnd w:id="80"/>
      <w:bookmarkEnd w:id="81"/>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82" w:name="_Toc131513433"/>
      <w:bookmarkStart w:id="83" w:name="_Toc118299991"/>
      <w:r>
        <w:rPr>
          <w:rStyle w:val="CharSectno"/>
        </w:rPr>
        <w:t>23</w:t>
      </w:r>
      <w:r>
        <w:t>.</w:t>
      </w:r>
      <w:r>
        <w:tab/>
        <w:t>Minister may give directions</w:t>
      </w:r>
      <w:bookmarkEnd w:id="82"/>
      <w:bookmarkEnd w:id="83"/>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84" w:name="_Toc131513434"/>
      <w:bookmarkStart w:id="85" w:name="_Toc118299992"/>
      <w:r>
        <w:rPr>
          <w:rStyle w:val="CharSectno"/>
        </w:rPr>
        <w:t>24</w:t>
      </w:r>
      <w:r>
        <w:t>.</w:t>
      </w:r>
      <w:r>
        <w:tab/>
        <w:t>Facilities and services for SEMC</w:t>
      </w:r>
      <w:bookmarkEnd w:id="84"/>
      <w:bookmarkEnd w:id="85"/>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86" w:name="_Toc131513435"/>
      <w:bookmarkStart w:id="87" w:name="_Toc118299993"/>
      <w:r>
        <w:rPr>
          <w:rStyle w:val="CharSectno"/>
        </w:rPr>
        <w:t>25</w:t>
      </w:r>
      <w:r>
        <w:t>.</w:t>
      </w:r>
      <w:r>
        <w:tab/>
        <w:t>Annual report of SEMC</w:t>
      </w:r>
      <w:bookmarkEnd w:id="86"/>
      <w:bookmarkEnd w:id="87"/>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88" w:name="_Toc117777638"/>
      <w:bookmarkStart w:id="89" w:name="_Toc117779322"/>
      <w:bookmarkStart w:id="90" w:name="_Toc117845244"/>
      <w:bookmarkStart w:id="91" w:name="_Toc118299630"/>
      <w:bookmarkStart w:id="92" w:name="_Toc118299994"/>
      <w:bookmarkStart w:id="93" w:name="_Toc131502821"/>
      <w:bookmarkStart w:id="94" w:name="_Toc131503062"/>
      <w:bookmarkStart w:id="95" w:name="_Toc131513265"/>
      <w:bookmarkStart w:id="96" w:name="_Toc131513436"/>
      <w:r>
        <w:rPr>
          <w:rStyle w:val="CharDivNo"/>
        </w:rPr>
        <w:t>Division 3</w:t>
      </w:r>
      <w:r>
        <w:t> — </w:t>
      </w:r>
      <w:r>
        <w:rPr>
          <w:rStyle w:val="CharDivText"/>
        </w:rPr>
        <w:t>The State Emergency Coordination Group</w:t>
      </w:r>
      <w:bookmarkEnd w:id="88"/>
      <w:bookmarkEnd w:id="89"/>
      <w:bookmarkEnd w:id="90"/>
      <w:bookmarkEnd w:id="91"/>
      <w:bookmarkEnd w:id="92"/>
      <w:bookmarkEnd w:id="93"/>
      <w:bookmarkEnd w:id="94"/>
      <w:bookmarkEnd w:id="95"/>
      <w:bookmarkEnd w:id="96"/>
    </w:p>
    <w:p>
      <w:pPr>
        <w:pStyle w:val="Heading5"/>
      </w:pPr>
      <w:bookmarkStart w:id="97" w:name="_Toc131513437"/>
      <w:bookmarkStart w:id="98" w:name="_Toc118299995"/>
      <w:r>
        <w:rPr>
          <w:rStyle w:val="CharSectno"/>
        </w:rPr>
        <w:t>26</w:t>
      </w:r>
      <w:r>
        <w:t>.</w:t>
      </w:r>
      <w:r>
        <w:tab/>
        <w:t>State Emergency Coordination Group</w:t>
      </w:r>
      <w:bookmarkEnd w:id="97"/>
      <w:bookmarkEnd w:id="98"/>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99" w:name="_Toc131513438"/>
      <w:bookmarkStart w:id="100" w:name="_Toc118299996"/>
      <w:r>
        <w:rPr>
          <w:rStyle w:val="CharSectno"/>
        </w:rPr>
        <w:t>27</w:t>
      </w:r>
      <w:r>
        <w:t>.</w:t>
      </w:r>
      <w:r>
        <w:tab/>
        <w:t>Functions of the State Emergency Coordination Group</w:t>
      </w:r>
      <w:bookmarkEnd w:id="99"/>
      <w:bookmarkEnd w:id="100"/>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01" w:name="_Toc117777641"/>
      <w:bookmarkStart w:id="102" w:name="_Toc117779325"/>
      <w:bookmarkStart w:id="103" w:name="_Toc117845247"/>
      <w:bookmarkStart w:id="104" w:name="_Toc118299633"/>
      <w:bookmarkStart w:id="105" w:name="_Toc118299997"/>
      <w:bookmarkStart w:id="106" w:name="_Toc131502824"/>
      <w:bookmarkStart w:id="107" w:name="_Toc131503065"/>
      <w:bookmarkStart w:id="108" w:name="_Toc131513268"/>
      <w:bookmarkStart w:id="109" w:name="_Toc131513439"/>
      <w:r>
        <w:rPr>
          <w:rStyle w:val="CharDivNo"/>
        </w:rPr>
        <w:t>Division 4</w:t>
      </w:r>
      <w:r>
        <w:t> — </w:t>
      </w:r>
      <w:r>
        <w:rPr>
          <w:rStyle w:val="CharDivText"/>
        </w:rPr>
        <w:t>Emergency management districts</w:t>
      </w:r>
      <w:bookmarkEnd w:id="101"/>
      <w:bookmarkEnd w:id="102"/>
      <w:bookmarkEnd w:id="103"/>
      <w:bookmarkEnd w:id="104"/>
      <w:bookmarkEnd w:id="105"/>
      <w:bookmarkEnd w:id="106"/>
      <w:bookmarkEnd w:id="107"/>
      <w:bookmarkEnd w:id="108"/>
      <w:bookmarkEnd w:id="109"/>
    </w:p>
    <w:p>
      <w:pPr>
        <w:pStyle w:val="Heading5"/>
      </w:pPr>
      <w:bookmarkStart w:id="110" w:name="_Toc131513440"/>
      <w:bookmarkStart w:id="111" w:name="_Toc118299998"/>
      <w:r>
        <w:rPr>
          <w:rStyle w:val="CharSectno"/>
        </w:rPr>
        <w:t>28</w:t>
      </w:r>
      <w:r>
        <w:t>.</w:t>
      </w:r>
      <w:r>
        <w:tab/>
        <w:t>Establishment of emergency management districts</w:t>
      </w:r>
      <w:bookmarkEnd w:id="110"/>
      <w:bookmarkEnd w:id="111"/>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12" w:name="_Toc131513441"/>
      <w:bookmarkStart w:id="113" w:name="_Toc118299999"/>
      <w:r>
        <w:rPr>
          <w:rStyle w:val="CharSectno"/>
        </w:rPr>
        <w:t>29</w:t>
      </w:r>
      <w:r>
        <w:t>.</w:t>
      </w:r>
      <w:r>
        <w:tab/>
        <w:t>District emergency coordinator</w:t>
      </w:r>
      <w:bookmarkEnd w:id="112"/>
      <w:bookmarkEnd w:id="113"/>
    </w:p>
    <w:p>
      <w:pPr>
        <w:pStyle w:val="Subsection"/>
      </w:pPr>
      <w:r>
        <w:tab/>
      </w:r>
      <w:r>
        <w:tab/>
        <w:t>The State Emergency Coordinator is to appoint a district emergency coordinator for each emergency management district.</w:t>
      </w:r>
    </w:p>
    <w:p>
      <w:pPr>
        <w:pStyle w:val="Heading5"/>
      </w:pPr>
      <w:bookmarkStart w:id="114" w:name="_Toc131513442"/>
      <w:bookmarkStart w:id="115" w:name="_Toc118300000"/>
      <w:r>
        <w:rPr>
          <w:rStyle w:val="CharSectno"/>
        </w:rPr>
        <w:t>30</w:t>
      </w:r>
      <w:r>
        <w:t>.</w:t>
      </w:r>
      <w:r>
        <w:tab/>
        <w:t>Functions of district emergency coordinator</w:t>
      </w:r>
      <w:bookmarkEnd w:id="114"/>
      <w:bookmarkEnd w:id="115"/>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16" w:name="_Toc131513443"/>
      <w:bookmarkStart w:id="117" w:name="_Toc118300001"/>
      <w:r>
        <w:rPr>
          <w:rStyle w:val="CharSectno"/>
        </w:rPr>
        <w:t>31</w:t>
      </w:r>
      <w:r>
        <w:t>.</w:t>
      </w:r>
      <w:r>
        <w:tab/>
        <w:t>District emergency management committees</w:t>
      </w:r>
      <w:bookmarkEnd w:id="116"/>
      <w:bookmarkEnd w:id="117"/>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18" w:name="_Toc131513444"/>
      <w:bookmarkStart w:id="119" w:name="_Toc118300002"/>
      <w:r>
        <w:rPr>
          <w:rStyle w:val="CharSectno"/>
        </w:rPr>
        <w:t>32</w:t>
      </w:r>
      <w:r>
        <w:t>.</w:t>
      </w:r>
      <w:r>
        <w:tab/>
        <w:t>Functions of district emergency management committees</w:t>
      </w:r>
      <w:bookmarkEnd w:id="118"/>
      <w:bookmarkEnd w:id="119"/>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20" w:name="_Toc131513445"/>
      <w:bookmarkStart w:id="121" w:name="_Toc118300003"/>
      <w:r>
        <w:rPr>
          <w:rStyle w:val="CharSectno"/>
        </w:rPr>
        <w:t>33</w:t>
      </w:r>
      <w:r>
        <w:t>.</w:t>
      </w:r>
      <w:r>
        <w:tab/>
        <w:t>Annual report of district emergency management committees</w:t>
      </w:r>
      <w:bookmarkEnd w:id="120"/>
      <w:bookmarkEnd w:id="121"/>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22" w:name="_Toc117777648"/>
      <w:bookmarkStart w:id="123" w:name="_Toc117779332"/>
      <w:bookmarkStart w:id="124" w:name="_Toc117845254"/>
      <w:bookmarkStart w:id="125" w:name="_Toc118299640"/>
      <w:bookmarkStart w:id="126" w:name="_Toc118300004"/>
      <w:bookmarkStart w:id="127" w:name="_Toc131502831"/>
      <w:bookmarkStart w:id="128" w:name="_Toc131503072"/>
      <w:bookmarkStart w:id="129" w:name="_Toc131513275"/>
      <w:bookmarkStart w:id="130" w:name="_Toc131513446"/>
      <w:r>
        <w:rPr>
          <w:rStyle w:val="CharPartNo"/>
        </w:rPr>
        <w:t>Part 3</w:t>
      </w:r>
      <w:r>
        <w:t> — </w:t>
      </w:r>
      <w:r>
        <w:rPr>
          <w:rStyle w:val="CharPartText"/>
        </w:rPr>
        <w:t>Local arrangements</w:t>
      </w:r>
      <w:bookmarkEnd w:id="122"/>
      <w:bookmarkEnd w:id="123"/>
      <w:bookmarkEnd w:id="124"/>
      <w:bookmarkEnd w:id="125"/>
      <w:bookmarkEnd w:id="126"/>
      <w:bookmarkEnd w:id="127"/>
      <w:bookmarkEnd w:id="128"/>
      <w:bookmarkEnd w:id="129"/>
      <w:bookmarkEnd w:id="130"/>
    </w:p>
    <w:p>
      <w:pPr>
        <w:pStyle w:val="Heading3"/>
      </w:pPr>
      <w:bookmarkStart w:id="131" w:name="_Toc117777649"/>
      <w:bookmarkStart w:id="132" w:name="_Toc117779333"/>
      <w:bookmarkStart w:id="133" w:name="_Toc117845255"/>
      <w:bookmarkStart w:id="134" w:name="_Toc118299641"/>
      <w:bookmarkStart w:id="135" w:name="_Toc118300005"/>
      <w:bookmarkStart w:id="136" w:name="_Toc131502832"/>
      <w:bookmarkStart w:id="137" w:name="_Toc131503073"/>
      <w:bookmarkStart w:id="138" w:name="_Toc131513276"/>
      <w:bookmarkStart w:id="139" w:name="_Toc131513447"/>
      <w:r>
        <w:rPr>
          <w:rStyle w:val="CharDivNo"/>
        </w:rPr>
        <w:t>Division 1</w:t>
      </w:r>
      <w:r>
        <w:t> — </w:t>
      </w:r>
      <w:r>
        <w:rPr>
          <w:rStyle w:val="CharDivText"/>
        </w:rPr>
        <w:t>Local emergency authorities</w:t>
      </w:r>
      <w:bookmarkEnd w:id="131"/>
      <w:bookmarkEnd w:id="132"/>
      <w:bookmarkEnd w:id="133"/>
      <w:bookmarkEnd w:id="134"/>
      <w:bookmarkEnd w:id="135"/>
      <w:bookmarkEnd w:id="136"/>
      <w:bookmarkEnd w:id="137"/>
      <w:bookmarkEnd w:id="138"/>
      <w:bookmarkEnd w:id="139"/>
    </w:p>
    <w:p>
      <w:pPr>
        <w:pStyle w:val="Heading5"/>
      </w:pPr>
      <w:bookmarkStart w:id="140" w:name="_Toc131513448"/>
      <w:bookmarkStart w:id="141" w:name="_Toc118300006"/>
      <w:r>
        <w:rPr>
          <w:rStyle w:val="CharSectno"/>
        </w:rPr>
        <w:t>34</w:t>
      </w:r>
      <w:r>
        <w:t>.</w:t>
      </w:r>
      <w:r>
        <w:tab/>
        <w:t>Local governments may combine</w:t>
      </w:r>
      <w:bookmarkEnd w:id="140"/>
      <w:bookmarkEnd w:id="141"/>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42" w:name="_Toc131513449"/>
      <w:bookmarkStart w:id="143" w:name="_Toc118300007"/>
      <w:r>
        <w:rPr>
          <w:rStyle w:val="CharSectno"/>
        </w:rPr>
        <w:t>35</w:t>
      </w:r>
      <w:r>
        <w:t>.</w:t>
      </w:r>
      <w:r>
        <w:tab/>
        <w:t>Specified public authority may exercise functions of local government</w:t>
      </w:r>
      <w:bookmarkEnd w:id="142"/>
      <w:bookmarkEnd w:id="143"/>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44" w:name="_Toc131513450"/>
      <w:bookmarkStart w:id="145" w:name="_Toc118300008"/>
      <w:r>
        <w:rPr>
          <w:rStyle w:val="CharSectno"/>
        </w:rPr>
        <w:t>36</w:t>
      </w:r>
      <w:r>
        <w:t>.</w:t>
      </w:r>
      <w:r>
        <w:tab/>
        <w:t>Functions of local government</w:t>
      </w:r>
      <w:bookmarkEnd w:id="144"/>
      <w:bookmarkEnd w:id="145"/>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46" w:name="_Toc131513451"/>
      <w:bookmarkStart w:id="147" w:name="_Toc118300009"/>
      <w:r>
        <w:rPr>
          <w:rStyle w:val="CharSectno"/>
        </w:rPr>
        <w:t>37</w:t>
      </w:r>
      <w:r>
        <w:t>.</w:t>
      </w:r>
      <w:r>
        <w:tab/>
        <w:t>Local emergency coordinators</w:t>
      </w:r>
      <w:bookmarkEnd w:id="146"/>
      <w:bookmarkEnd w:id="147"/>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48" w:name="_Toc131513452"/>
      <w:bookmarkStart w:id="149" w:name="_Toc118300010"/>
      <w:r>
        <w:rPr>
          <w:rStyle w:val="CharSectno"/>
        </w:rPr>
        <w:t>38</w:t>
      </w:r>
      <w:r>
        <w:t>.</w:t>
      </w:r>
      <w:r>
        <w:tab/>
        <w:t>Local emergency management committees</w:t>
      </w:r>
      <w:bookmarkEnd w:id="148"/>
      <w:bookmarkEnd w:id="149"/>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50" w:name="_Toc131513453"/>
      <w:bookmarkStart w:id="151" w:name="_Toc118300011"/>
      <w:r>
        <w:rPr>
          <w:rStyle w:val="CharSectno"/>
        </w:rPr>
        <w:t>39</w:t>
      </w:r>
      <w:r>
        <w:t>.</w:t>
      </w:r>
      <w:r>
        <w:tab/>
        <w:t>Functions of local emergency management committees</w:t>
      </w:r>
      <w:bookmarkEnd w:id="150"/>
      <w:bookmarkEnd w:id="151"/>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152" w:name="_Toc131513454"/>
      <w:bookmarkStart w:id="153" w:name="_Toc118300012"/>
      <w:r>
        <w:rPr>
          <w:rStyle w:val="CharSectno"/>
        </w:rPr>
        <w:t>40</w:t>
      </w:r>
      <w:r>
        <w:t>.</w:t>
      </w:r>
      <w:r>
        <w:tab/>
        <w:t>Annual report of local emergency management committee</w:t>
      </w:r>
      <w:bookmarkEnd w:id="152"/>
      <w:bookmarkEnd w:id="153"/>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154" w:name="_Toc117777657"/>
      <w:bookmarkStart w:id="155" w:name="_Toc117779341"/>
      <w:bookmarkStart w:id="156" w:name="_Toc117845263"/>
      <w:bookmarkStart w:id="157" w:name="_Toc118299649"/>
      <w:bookmarkStart w:id="158" w:name="_Toc118300013"/>
      <w:bookmarkStart w:id="159" w:name="_Toc131502840"/>
      <w:bookmarkStart w:id="160" w:name="_Toc131503081"/>
      <w:bookmarkStart w:id="161" w:name="_Toc131513284"/>
      <w:bookmarkStart w:id="162" w:name="_Toc131513455"/>
      <w:r>
        <w:rPr>
          <w:rStyle w:val="CharDivNo"/>
        </w:rPr>
        <w:t>Division 2</w:t>
      </w:r>
      <w:r>
        <w:t> — </w:t>
      </w:r>
      <w:r>
        <w:rPr>
          <w:rStyle w:val="CharDivText"/>
        </w:rPr>
        <w:t>Emergency management arrangements for local governments</w:t>
      </w:r>
      <w:bookmarkEnd w:id="154"/>
      <w:bookmarkEnd w:id="155"/>
      <w:bookmarkEnd w:id="156"/>
      <w:bookmarkEnd w:id="157"/>
      <w:bookmarkEnd w:id="158"/>
      <w:bookmarkEnd w:id="159"/>
      <w:bookmarkEnd w:id="160"/>
      <w:bookmarkEnd w:id="161"/>
      <w:bookmarkEnd w:id="162"/>
    </w:p>
    <w:p>
      <w:pPr>
        <w:pStyle w:val="Heading5"/>
      </w:pPr>
      <w:bookmarkStart w:id="163" w:name="_Toc131513456"/>
      <w:bookmarkStart w:id="164" w:name="_Toc118300014"/>
      <w:r>
        <w:rPr>
          <w:rStyle w:val="CharSectno"/>
        </w:rPr>
        <w:t>41</w:t>
      </w:r>
      <w:r>
        <w:t>.</w:t>
      </w:r>
      <w:r>
        <w:tab/>
        <w:t>Emergency management arrangements in local government district</w:t>
      </w:r>
      <w:bookmarkEnd w:id="163"/>
      <w:bookmarkEnd w:id="164"/>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165" w:name="_Toc131513457"/>
      <w:bookmarkStart w:id="166" w:name="_Toc118300015"/>
      <w:r>
        <w:rPr>
          <w:rStyle w:val="CharSectno"/>
        </w:rPr>
        <w:t>42</w:t>
      </w:r>
      <w:r>
        <w:t>.</w:t>
      </w:r>
      <w:r>
        <w:tab/>
        <w:t>Reviewing and renewing local emergency management arrangements</w:t>
      </w:r>
      <w:bookmarkEnd w:id="165"/>
      <w:bookmarkEnd w:id="166"/>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167" w:name="_Toc131513458"/>
      <w:bookmarkStart w:id="168" w:name="_Toc118300016"/>
      <w:r>
        <w:rPr>
          <w:rStyle w:val="CharSectno"/>
        </w:rPr>
        <w:t>43</w:t>
      </w:r>
      <w:r>
        <w:t>.</w:t>
      </w:r>
      <w:r>
        <w:tab/>
        <w:t>Local emergency management arrangements to be available for inspection</w:t>
      </w:r>
      <w:bookmarkEnd w:id="167"/>
      <w:bookmarkEnd w:id="168"/>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169" w:name="_Toc117777661"/>
      <w:bookmarkStart w:id="170" w:name="_Toc117779345"/>
      <w:bookmarkStart w:id="171" w:name="_Toc117845267"/>
      <w:bookmarkStart w:id="172" w:name="_Toc118299653"/>
      <w:bookmarkStart w:id="173" w:name="_Toc118300017"/>
      <w:bookmarkStart w:id="174" w:name="_Toc131502844"/>
      <w:bookmarkStart w:id="175" w:name="_Toc131503085"/>
      <w:bookmarkStart w:id="176" w:name="_Toc131513288"/>
      <w:bookmarkStart w:id="177" w:name="_Toc131513459"/>
      <w:r>
        <w:rPr>
          <w:rStyle w:val="CharDivNo"/>
        </w:rPr>
        <w:t>Division 3</w:t>
      </w:r>
      <w:r>
        <w:t> — </w:t>
      </w:r>
      <w:r>
        <w:rPr>
          <w:rStyle w:val="CharDivText"/>
        </w:rPr>
        <w:t>Powers of local government during cyclone</w:t>
      </w:r>
      <w:bookmarkEnd w:id="169"/>
      <w:bookmarkEnd w:id="170"/>
      <w:bookmarkEnd w:id="171"/>
      <w:bookmarkEnd w:id="172"/>
      <w:bookmarkEnd w:id="173"/>
      <w:bookmarkEnd w:id="174"/>
      <w:bookmarkEnd w:id="175"/>
      <w:bookmarkEnd w:id="176"/>
      <w:bookmarkEnd w:id="177"/>
    </w:p>
    <w:p>
      <w:pPr>
        <w:pStyle w:val="Heading5"/>
      </w:pPr>
      <w:bookmarkStart w:id="178" w:name="_Toc131513460"/>
      <w:bookmarkStart w:id="179" w:name="_Toc118300018"/>
      <w:r>
        <w:rPr>
          <w:rStyle w:val="CharSectno"/>
        </w:rPr>
        <w:t>44</w:t>
      </w:r>
      <w:r>
        <w:t>.</w:t>
      </w:r>
      <w:r>
        <w:tab/>
        <w:t>Term used: cyclone area</w:t>
      </w:r>
      <w:bookmarkEnd w:id="178"/>
      <w:bookmarkEnd w:id="179"/>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180" w:name="_Toc131513461"/>
      <w:bookmarkStart w:id="181" w:name="_Toc118300019"/>
      <w:r>
        <w:rPr>
          <w:rStyle w:val="CharSectno"/>
        </w:rPr>
        <w:t>45</w:t>
      </w:r>
      <w:r>
        <w:t>.</w:t>
      </w:r>
      <w:r>
        <w:tab/>
        <w:t>Exercise of powers under this Division</w:t>
      </w:r>
      <w:bookmarkEnd w:id="180"/>
      <w:bookmarkEnd w:id="181"/>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182" w:name="_Toc131513462"/>
      <w:bookmarkStart w:id="183" w:name="_Toc118300020"/>
      <w:r>
        <w:rPr>
          <w:rStyle w:val="CharSectno"/>
        </w:rPr>
        <w:t>46</w:t>
      </w:r>
      <w:r>
        <w:t>.</w:t>
      </w:r>
      <w:r>
        <w:tab/>
        <w:t>Power of local government to destroy dangerous vegetation or premises in cyclone area</w:t>
      </w:r>
      <w:bookmarkEnd w:id="182"/>
      <w:bookmarkEnd w:id="183"/>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184" w:name="_Toc131513463"/>
      <w:bookmarkStart w:id="185" w:name="_Toc118300021"/>
      <w:r>
        <w:rPr>
          <w:rStyle w:val="CharSectno"/>
        </w:rPr>
        <w:t>47</w:t>
      </w:r>
      <w:r>
        <w:t>.</w:t>
      </w:r>
      <w:r>
        <w:tab/>
        <w:t>Local government may require owner or occupier of land to take action</w:t>
      </w:r>
      <w:bookmarkEnd w:id="184"/>
      <w:bookmarkEnd w:id="185"/>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186" w:name="_Toc131513464"/>
      <w:bookmarkStart w:id="187" w:name="_Toc118300022"/>
      <w:r>
        <w:rPr>
          <w:rStyle w:val="CharSectno"/>
        </w:rPr>
        <w:t>48</w:t>
      </w:r>
      <w:r>
        <w:t>.</w:t>
      </w:r>
      <w:r>
        <w:tab/>
        <w:t>Additional powers when direction given</w:t>
      </w:r>
      <w:bookmarkEnd w:id="186"/>
      <w:bookmarkEnd w:id="187"/>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188" w:name="_Toc131513465"/>
      <w:bookmarkStart w:id="189" w:name="_Toc118300023"/>
      <w:r>
        <w:rPr>
          <w:rStyle w:val="CharSectno"/>
        </w:rPr>
        <w:t>49</w:t>
      </w:r>
      <w:r>
        <w:t>.</w:t>
      </w:r>
      <w:r>
        <w:tab/>
        <w:t>Provisions are in addition to other powers</w:t>
      </w:r>
      <w:bookmarkEnd w:id="188"/>
      <w:bookmarkEnd w:id="189"/>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190" w:name="_Toc117777668"/>
      <w:bookmarkStart w:id="191" w:name="_Toc117779352"/>
      <w:bookmarkStart w:id="192" w:name="_Toc117845274"/>
      <w:bookmarkStart w:id="193" w:name="_Toc118299660"/>
      <w:bookmarkStart w:id="194" w:name="_Toc118300024"/>
      <w:bookmarkStart w:id="195" w:name="_Toc131502851"/>
      <w:bookmarkStart w:id="196" w:name="_Toc131503092"/>
      <w:bookmarkStart w:id="197" w:name="_Toc131513295"/>
      <w:bookmarkStart w:id="198" w:name="_Toc131513466"/>
      <w:r>
        <w:rPr>
          <w:rStyle w:val="CharPartNo"/>
        </w:rPr>
        <w:t>Part 4</w:t>
      </w:r>
      <w:r>
        <w:t> — </w:t>
      </w:r>
      <w:r>
        <w:rPr>
          <w:rStyle w:val="CharPartText"/>
        </w:rPr>
        <w:t>Hazard management</w:t>
      </w:r>
      <w:bookmarkEnd w:id="190"/>
      <w:bookmarkEnd w:id="191"/>
      <w:bookmarkEnd w:id="192"/>
      <w:bookmarkEnd w:id="193"/>
      <w:bookmarkEnd w:id="194"/>
      <w:bookmarkEnd w:id="195"/>
      <w:bookmarkEnd w:id="196"/>
      <w:bookmarkEnd w:id="197"/>
      <w:bookmarkEnd w:id="198"/>
    </w:p>
    <w:p>
      <w:pPr>
        <w:pStyle w:val="Heading3"/>
      </w:pPr>
      <w:bookmarkStart w:id="199" w:name="_Toc117777669"/>
      <w:bookmarkStart w:id="200" w:name="_Toc117779353"/>
      <w:bookmarkStart w:id="201" w:name="_Toc117845275"/>
      <w:bookmarkStart w:id="202" w:name="_Toc118299661"/>
      <w:bookmarkStart w:id="203" w:name="_Toc118300025"/>
      <w:bookmarkStart w:id="204" w:name="_Toc131502852"/>
      <w:bookmarkStart w:id="205" w:name="_Toc131503093"/>
      <w:bookmarkStart w:id="206" w:name="_Toc131513296"/>
      <w:bookmarkStart w:id="207" w:name="_Toc131513467"/>
      <w:r>
        <w:rPr>
          <w:rStyle w:val="CharDivNo"/>
        </w:rPr>
        <w:t>Division 1</w:t>
      </w:r>
      <w:r>
        <w:t> — </w:t>
      </w:r>
      <w:r>
        <w:rPr>
          <w:rStyle w:val="CharDivText"/>
        </w:rPr>
        <w:t>Emergency situation declaration</w:t>
      </w:r>
      <w:bookmarkEnd w:id="199"/>
      <w:bookmarkEnd w:id="200"/>
      <w:bookmarkEnd w:id="201"/>
      <w:bookmarkEnd w:id="202"/>
      <w:bookmarkEnd w:id="203"/>
      <w:bookmarkEnd w:id="204"/>
      <w:bookmarkEnd w:id="205"/>
      <w:bookmarkEnd w:id="206"/>
      <w:bookmarkEnd w:id="207"/>
    </w:p>
    <w:p>
      <w:pPr>
        <w:pStyle w:val="Heading5"/>
      </w:pPr>
      <w:bookmarkStart w:id="208" w:name="_Toc131513468"/>
      <w:bookmarkStart w:id="209" w:name="_Toc118300026"/>
      <w:r>
        <w:rPr>
          <w:rStyle w:val="CharSectno"/>
        </w:rPr>
        <w:t>50</w:t>
      </w:r>
      <w:r>
        <w:t>.</w:t>
      </w:r>
      <w:r>
        <w:tab/>
        <w:t>State Emergency Coordinator or hazard management agency may make emergency situation declaration</w:t>
      </w:r>
      <w:bookmarkEnd w:id="208"/>
      <w:bookmarkEnd w:id="209"/>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210" w:name="_Toc131513469"/>
      <w:bookmarkStart w:id="211" w:name="_Toc118300027"/>
      <w:r>
        <w:rPr>
          <w:rStyle w:val="CharSectno"/>
        </w:rPr>
        <w:t>51</w:t>
      </w:r>
      <w:r>
        <w:t>.</w:t>
      </w:r>
      <w:r>
        <w:tab/>
        <w:t>Duration of emergency situation declaration</w:t>
      </w:r>
      <w:bookmarkEnd w:id="210"/>
      <w:bookmarkEnd w:id="211"/>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12" w:name="_Toc131513470"/>
      <w:bookmarkStart w:id="213" w:name="_Toc118300028"/>
      <w:r>
        <w:rPr>
          <w:rStyle w:val="CharSectno"/>
        </w:rPr>
        <w:t>52</w:t>
      </w:r>
      <w:r>
        <w:t>.</w:t>
      </w:r>
      <w:r>
        <w:tab/>
        <w:t>Extension of emergency situation declaration</w:t>
      </w:r>
      <w:bookmarkEnd w:id="212"/>
      <w:bookmarkEnd w:id="213"/>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14" w:name="_Toc131513471"/>
      <w:bookmarkStart w:id="215" w:name="_Toc118300029"/>
      <w:r>
        <w:rPr>
          <w:rStyle w:val="CharSectno"/>
        </w:rPr>
        <w:t>53</w:t>
      </w:r>
      <w:r>
        <w:t>.</w:t>
      </w:r>
      <w:r>
        <w:tab/>
        <w:t>Revocation of emergency situation declaration</w:t>
      </w:r>
      <w:bookmarkEnd w:id="214"/>
      <w:bookmarkEnd w:id="215"/>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16" w:name="_Toc131513472"/>
      <w:bookmarkStart w:id="217" w:name="_Toc118300030"/>
      <w:r>
        <w:rPr>
          <w:rStyle w:val="CharSectno"/>
        </w:rPr>
        <w:t>54</w:t>
      </w:r>
      <w:r>
        <w:t>.</w:t>
      </w:r>
      <w:r>
        <w:tab/>
        <w:t>Notice of declaration</w:t>
      </w:r>
      <w:bookmarkEnd w:id="216"/>
      <w:bookmarkEnd w:id="217"/>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18" w:name="_Toc117777675"/>
      <w:bookmarkStart w:id="219" w:name="_Toc117779359"/>
      <w:bookmarkStart w:id="220" w:name="_Toc117845281"/>
      <w:bookmarkStart w:id="221" w:name="_Toc118299667"/>
      <w:bookmarkStart w:id="222" w:name="_Toc118300031"/>
      <w:bookmarkStart w:id="223" w:name="_Toc131502858"/>
      <w:bookmarkStart w:id="224" w:name="_Toc131503099"/>
      <w:bookmarkStart w:id="225" w:name="_Toc131513302"/>
      <w:bookmarkStart w:id="226" w:name="_Toc131513473"/>
      <w:r>
        <w:rPr>
          <w:rStyle w:val="CharDivNo"/>
        </w:rPr>
        <w:t>Division 2</w:t>
      </w:r>
      <w:r>
        <w:t> — </w:t>
      </w:r>
      <w:r>
        <w:rPr>
          <w:rStyle w:val="CharDivText"/>
        </w:rPr>
        <w:t>Hazard management officers</w:t>
      </w:r>
      <w:bookmarkEnd w:id="218"/>
      <w:bookmarkEnd w:id="219"/>
      <w:bookmarkEnd w:id="220"/>
      <w:bookmarkEnd w:id="221"/>
      <w:bookmarkEnd w:id="222"/>
      <w:bookmarkEnd w:id="223"/>
      <w:bookmarkEnd w:id="224"/>
      <w:bookmarkEnd w:id="225"/>
      <w:bookmarkEnd w:id="226"/>
    </w:p>
    <w:p>
      <w:pPr>
        <w:pStyle w:val="Heading5"/>
      </w:pPr>
      <w:bookmarkStart w:id="227" w:name="_Toc131513474"/>
      <w:bookmarkStart w:id="228" w:name="_Toc118300032"/>
      <w:r>
        <w:rPr>
          <w:rStyle w:val="CharSectno"/>
        </w:rPr>
        <w:t>55</w:t>
      </w:r>
      <w:r>
        <w:t>.</w:t>
      </w:r>
      <w:r>
        <w:tab/>
        <w:t>Authorisation of hazard management officers</w:t>
      </w:r>
      <w:bookmarkEnd w:id="227"/>
      <w:bookmarkEnd w:id="228"/>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229" w:name="_Toc117777677"/>
      <w:bookmarkStart w:id="230" w:name="_Toc117779361"/>
      <w:bookmarkStart w:id="231" w:name="_Toc117845283"/>
      <w:bookmarkStart w:id="232" w:name="_Toc118299669"/>
      <w:bookmarkStart w:id="233" w:name="_Toc118300033"/>
      <w:bookmarkStart w:id="234" w:name="_Toc131502860"/>
      <w:bookmarkStart w:id="235" w:name="_Toc131503101"/>
      <w:bookmarkStart w:id="236" w:name="_Toc131513304"/>
      <w:bookmarkStart w:id="237" w:name="_Toc131513475"/>
      <w:r>
        <w:rPr>
          <w:rStyle w:val="CharPartNo"/>
        </w:rPr>
        <w:t>Part 5</w:t>
      </w:r>
      <w:r>
        <w:t> — </w:t>
      </w:r>
      <w:r>
        <w:rPr>
          <w:rStyle w:val="CharPartText"/>
        </w:rPr>
        <w:t>State of emergency</w:t>
      </w:r>
      <w:bookmarkEnd w:id="229"/>
      <w:bookmarkEnd w:id="230"/>
      <w:bookmarkEnd w:id="231"/>
      <w:bookmarkEnd w:id="232"/>
      <w:bookmarkEnd w:id="233"/>
      <w:bookmarkEnd w:id="234"/>
      <w:bookmarkEnd w:id="235"/>
      <w:bookmarkEnd w:id="236"/>
      <w:bookmarkEnd w:id="237"/>
    </w:p>
    <w:p>
      <w:pPr>
        <w:pStyle w:val="Heading3"/>
      </w:pPr>
      <w:bookmarkStart w:id="238" w:name="_Toc117777678"/>
      <w:bookmarkStart w:id="239" w:name="_Toc117779362"/>
      <w:bookmarkStart w:id="240" w:name="_Toc117845284"/>
      <w:bookmarkStart w:id="241" w:name="_Toc118299670"/>
      <w:bookmarkStart w:id="242" w:name="_Toc118300034"/>
      <w:bookmarkStart w:id="243" w:name="_Toc131502861"/>
      <w:bookmarkStart w:id="244" w:name="_Toc131503102"/>
      <w:bookmarkStart w:id="245" w:name="_Toc131513305"/>
      <w:bookmarkStart w:id="246" w:name="_Toc131513476"/>
      <w:r>
        <w:rPr>
          <w:rStyle w:val="CharDivNo"/>
        </w:rPr>
        <w:t>Division 1</w:t>
      </w:r>
      <w:r>
        <w:t> — </w:t>
      </w:r>
      <w:r>
        <w:rPr>
          <w:rStyle w:val="CharDivText"/>
        </w:rPr>
        <w:t>State of emergency declaration</w:t>
      </w:r>
      <w:bookmarkEnd w:id="238"/>
      <w:bookmarkEnd w:id="239"/>
      <w:bookmarkEnd w:id="240"/>
      <w:bookmarkEnd w:id="241"/>
      <w:bookmarkEnd w:id="242"/>
      <w:bookmarkEnd w:id="243"/>
      <w:bookmarkEnd w:id="244"/>
      <w:bookmarkEnd w:id="245"/>
      <w:bookmarkEnd w:id="246"/>
    </w:p>
    <w:p>
      <w:pPr>
        <w:pStyle w:val="Heading5"/>
      </w:pPr>
      <w:bookmarkStart w:id="247" w:name="_Toc131513477"/>
      <w:bookmarkStart w:id="248" w:name="_Toc118300035"/>
      <w:r>
        <w:rPr>
          <w:rStyle w:val="CharSectno"/>
        </w:rPr>
        <w:t>56</w:t>
      </w:r>
      <w:r>
        <w:t>.</w:t>
      </w:r>
      <w:r>
        <w:tab/>
        <w:t>Minister may make state of emergency declaration</w:t>
      </w:r>
      <w:bookmarkEnd w:id="247"/>
      <w:bookmarkEnd w:id="248"/>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249" w:name="_Toc131513478"/>
      <w:bookmarkStart w:id="250" w:name="_Toc118300036"/>
      <w:r>
        <w:rPr>
          <w:rStyle w:val="CharSectno"/>
        </w:rPr>
        <w:t>57</w:t>
      </w:r>
      <w:r>
        <w:t>.</w:t>
      </w:r>
      <w:r>
        <w:tab/>
        <w:t>Duration of state of emergency declaration</w:t>
      </w:r>
      <w:bookmarkEnd w:id="249"/>
      <w:bookmarkEnd w:id="250"/>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251" w:name="_Toc131513479"/>
      <w:bookmarkStart w:id="252" w:name="_Toc118300037"/>
      <w:r>
        <w:rPr>
          <w:rStyle w:val="CharSectno"/>
        </w:rPr>
        <w:t>58</w:t>
      </w:r>
      <w:r>
        <w:t>.</w:t>
      </w:r>
      <w:r>
        <w:tab/>
        <w:t>Extension of state of emergency declaration</w:t>
      </w:r>
      <w:bookmarkEnd w:id="251"/>
      <w:bookmarkEnd w:id="252"/>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253" w:name="_Toc131513480"/>
      <w:bookmarkStart w:id="254" w:name="_Toc118300038"/>
      <w:r>
        <w:rPr>
          <w:rStyle w:val="CharSectno"/>
        </w:rPr>
        <w:t>59</w:t>
      </w:r>
      <w:r>
        <w:t>.</w:t>
      </w:r>
      <w:r>
        <w:tab/>
        <w:t>Revocation of state of emergency declaration</w:t>
      </w:r>
      <w:bookmarkEnd w:id="253"/>
      <w:bookmarkEnd w:id="254"/>
    </w:p>
    <w:p>
      <w:pPr>
        <w:pStyle w:val="Subsection"/>
        <w:spacing w:before="100"/>
      </w:pPr>
      <w:r>
        <w:tab/>
        <w:t>(1)</w:t>
      </w:r>
      <w:r>
        <w:tab/>
        <w:t>The Minister may revoke a state of emergency declaration at any time.</w:t>
      </w:r>
    </w:p>
    <w:p>
      <w:pPr>
        <w:pStyle w:val="Subsection"/>
        <w:keepNext/>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255" w:name="_Toc131513481"/>
      <w:bookmarkStart w:id="256" w:name="_Toc118300039"/>
      <w:r>
        <w:rPr>
          <w:rStyle w:val="CharSectno"/>
        </w:rPr>
        <w:t>60</w:t>
      </w:r>
      <w:r>
        <w:t>.</w:t>
      </w:r>
      <w:r>
        <w:tab/>
        <w:t>Notice of declaration</w:t>
      </w:r>
      <w:bookmarkEnd w:id="255"/>
      <w:bookmarkEnd w:id="256"/>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57" w:name="_Toc117777684"/>
      <w:bookmarkStart w:id="258" w:name="_Toc117779368"/>
      <w:bookmarkStart w:id="259" w:name="_Toc117845290"/>
      <w:bookmarkStart w:id="260" w:name="_Toc118299676"/>
      <w:bookmarkStart w:id="261" w:name="_Toc118300040"/>
      <w:bookmarkStart w:id="262" w:name="_Toc131502867"/>
      <w:bookmarkStart w:id="263" w:name="_Toc131503108"/>
      <w:bookmarkStart w:id="264" w:name="_Toc131513311"/>
      <w:bookmarkStart w:id="265" w:name="_Toc131513482"/>
      <w:r>
        <w:rPr>
          <w:rStyle w:val="CharDivNo"/>
        </w:rPr>
        <w:t>Division 2</w:t>
      </w:r>
      <w:r>
        <w:t> — </w:t>
      </w:r>
      <w:r>
        <w:rPr>
          <w:rStyle w:val="CharDivText"/>
        </w:rPr>
        <w:t>Authorised officers</w:t>
      </w:r>
      <w:bookmarkEnd w:id="257"/>
      <w:bookmarkEnd w:id="258"/>
      <w:bookmarkEnd w:id="259"/>
      <w:bookmarkEnd w:id="260"/>
      <w:bookmarkEnd w:id="261"/>
      <w:bookmarkEnd w:id="262"/>
      <w:bookmarkEnd w:id="263"/>
      <w:bookmarkEnd w:id="264"/>
      <w:bookmarkEnd w:id="265"/>
    </w:p>
    <w:p>
      <w:pPr>
        <w:pStyle w:val="Heading5"/>
      </w:pPr>
      <w:bookmarkStart w:id="266" w:name="_Toc131513483"/>
      <w:bookmarkStart w:id="267" w:name="_Toc118300041"/>
      <w:r>
        <w:rPr>
          <w:rStyle w:val="CharSectno"/>
        </w:rPr>
        <w:t>61</w:t>
      </w:r>
      <w:r>
        <w:t>.</w:t>
      </w:r>
      <w:r>
        <w:tab/>
        <w:t>Authorised officers</w:t>
      </w:r>
      <w:bookmarkEnd w:id="266"/>
      <w:bookmarkEnd w:id="267"/>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268" w:name="_Toc131513484"/>
      <w:bookmarkStart w:id="269" w:name="_Toc118300042"/>
      <w:r>
        <w:rPr>
          <w:rStyle w:val="CharSectno"/>
        </w:rPr>
        <w:t>62</w:t>
      </w:r>
      <w:r>
        <w:t>.</w:t>
      </w:r>
      <w:r>
        <w:tab/>
        <w:t>Identification of authorised officers</w:t>
      </w:r>
      <w:bookmarkEnd w:id="268"/>
      <w:bookmarkEnd w:id="269"/>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Footnotesection"/>
      </w:pPr>
      <w:bookmarkStart w:id="270" w:name="_Toc117777687"/>
      <w:bookmarkStart w:id="271" w:name="_Toc117779371"/>
      <w:bookmarkStart w:id="272" w:name="_Toc117845293"/>
      <w:r>
        <w:tab/>
        <w:t>[Section 62: modified by section 77X(1).]</w:t>
      </w:r>
    </w:p>
    <w:p>
      <w:pPr>
        <w:pStyle w:val="Heading3"/>
      </w:pPr>
      <w:bookmarkStart w:id="273" w:name="_Toc118299679"/>
      <w:bookmarkStart w:id="274" w:name="_Toc118300043"/>
      <w:bookmarkStart w:id="275" w:name="_Toc131502870"/>
      <w:bookmarkStart w:id="276" w:name="_Toc131503111"/>
      <w:bookmarkStart w:id="277" w:name="_Toc131513314"/>
      <w:bookmarkStart w:id="278" w:name="_Toc131513485"/>
      <w:r>
        <w:rPr>
          <w:rStyle w:val="CharDivNo"/>
        </w:rPr>
        <w:t>Division 3</w:t>
      </w:r>
      <w:r>
        <w:t> — </w:t>
      </w:r>
      <w:r>
        <w:rPr>
          <w:rStyle w:val="CharDivText"/>
        </w:rPr>
        <w:t>The State Disaster Council</w:t>
      </w:r>
      <w:bookmarkEnd w:id="270"/>
      <w:bookmarkEnd w:id="271"/>
      <w:bookmarkEnd w:id="272"/>
      <w:bookmarkEnd w:id="273"/>
      <w:bookmarkEnd w:id="274"/>
      <w:bookmarkEnd w:id="275"/>
      <w:bookmarkEnd w:id="276"/>
      <w:bookmarkEnd w:id="277"/>
      <w:bookmarkEnd w:id="278"/>
    </w:p>
    <w:p>
      <w:pPr>
        <w:pStyle w:val="Heading5"/>
      </w:pPr>
      <w:bookmarkStart w:id="279" w:name="_Toc131513486"/>
      <w:bookmarkStart w:id="280" w:name="_Toc118300044"/>
      <w:r>
        <w:rPr>
          <w:rStyle w:val="CharSectno"/>
        </w:rPr>
        <w:t>63</w:t>
      </w:r>
      <w:r>
        <w:t>.</w:t>
      </w:r>
      <w:r>
        <w:tab/>
        <w:t>State Disaster Council</w:t>
      </w:r>
      <w:bookmarkEnd w:id="279"/>
      <w:bookmarkEnd w:id="280"/>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281" w:name="_Toc131513487"/>
      <w:bookmarkStart w:id="282" w:name="_Toc118300045"/>
      <w:r>
        <w:rPr>
          <w:rStyle w:val="CharSectno"/>
        </w:rPr>
        <w:t>64</w:t>
      </w:r>
      <w:r>
        <w:t>.</w:t>
      </w:r>
      <w:r>
        <w:tab/>
        <w:t>Functions of the State Disaster Council</w:t>
      </w:r>
      <w:bookmarkEnd w:id="281"/>
      <w:bookmarkEnd w:id="282"/>
    </w:p>
    <w:p>
      <w:pPr>
        <w:pStyle w:val="Subsection"/>
        <w:keepNext/>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283" w:name="_Toc117777690"/>
      <w:bookmarkStart w:id="284" w:name="_Toc117779374"/>
      <w:bookmarkStart w:id="285" w:name="_Toc117845296"/>
      <w:bookmarkStart w:id="286" w:name="_Toc118299682"/>
      <w:bookmarkStart w:id="287" w:name="_Toc118300046"/>
      <w:bookmarkStart w:id="288" w:name="_Toc131502873"/>
      <w:bookmarkStart w:id="289" w:name="_Toc131503114"/>
      <w:bookmarkStart w:id="290" w:name="_Toc131513317"/>
      <w:bookmarkStart w:id="291" w:name="_Toc131513488"/>
      <w:r>
        <w:rPr>
          <w:rStyle w:val="CharPartNo"/>
        </w:rPr>
        <w:t>Part 6</w:t>
      </w:r>
      <w:r>
        <w:t> — </w:t>
      </w:r>
      <w:r>
        <w:rPr>
          <w:rStyle w:val="CharPartText"/>
        </w:rPr>
        <w:t>Emergency powers</w:t>
      </w:r>
      <w:bookmarkEnd w:id="283"/>
      <w:bookmarkEnd w:id="284"/>
      <w:bookmarkEnd w:id="285"/>
      <w:bookmarkEnd w:id="286"/>
      <w:bookmarkEnd w:id="287"/>
      <w:bookmarkEnd w:id="288"/>
      <w:bookmarkEnd w:id="289"/>
      <w:bookmarkEnd w:id="290"/>
      <w:bookmarkEnd w:id="291"/>
    </w:p>
    <w:p>
      <w:pPr>
        <w:pStyle w:val="Heading3"/>
        <w:ind w:right="424" w:firstLine="426"/>
      </w:pPr>
      <w:bookmarkStart w:id="292" w:name="_Toc117777691"/>
      <w:bookmarkStart w:id="293" w:name="_Toc117779375"/>
      <w:bookmarkStart w:id="294" w:name="_Toc117845297"/>
      <w:bookmarkStart w:id="295" w:name="_Toc118299683"/>
      <w:bookmarkStart w:id="296" w:name="_Toc118300047"/>
      <w:bookmarkStart w:id="297" w:name="_Toc131502874"/>
      <w:bookmarkStart w:id="298" w:name="_Toc131503115"/>
      <w:bookmarkStart w:id="299" w:name="_Toc131513318"/>
      <w:bookmarkStart w:id="300" w:name="_Toc131513489"/>
      <w:r>
        <w:rPr>
          <w:rStyle w:val="CharDivNo"/>
        </w:rPr>
        <w:t>Division 1</w:t>
      </w:r>
      <w:r>
        <w:t> — </w:t>
      </w:r>
      <w:r>
        <w:rPr>
          <w:rStyle w:val="CharDivText"/>
        </w:rPr>
        <w:t>Powers during emergency situation or state of emergency</w:t>
      </w:r>
      <w:bookmarkEnd w:id="292"/>
      <w:bookmarkEnd w:id="293"/>
      <w:bookmarkEnd w:id="294"/>
      <w:bookmarkEnd w:id="295"/>
      <w:bookmarkEnd w:id="296"/>
      <w:bookmarkEnd w:id="297"/>
      <w:bookmarkEnd w:id="298"/>
      <w:bookmarkEnd w:id="299"/>
      <w:bookmarkEnd w:id="300"/>
    </w:p>
    <w:p>
      <w:pPr>
        <w:pStyle w:val="Heading5"/>
        <w:spacing w:before="120"/>
      </w:pPr>
      <w:bookmarkStart w:id="301" w:name="_Toc131513490"/>
      <w:bookmarkStart w:id="302" w:name="_Toc118300048"/>
      <w:r>
        <w:rPr>
          <w:rStyle w:val="CharSectno"/>
        </w:rPr>
        <w:t>65</w:t>
      </w:r>
      <w:r>
        <w:t>.</w:t>
      </w:r>
      <w:r>
        <w:tab/>
        <w:t>Application of this Division</w:t>
      </w:r>
      <w:bookmarkEnd w:id="301"/>
      <w:bookmarkEnd w:id="302"/>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303" w:name="_Toc131513491"/>
      <w:bookmarkStart w:id="304" w:name="_Toc118300049"/>
      <w:r>
        <w:rPr>
          <w:rStyle w:val="CharSectno"/>
        </w:rPr>
        <w:t>66</w:t>
      </w:r>
      <w:r>
        <w:t>.</w:t>
      </w:r>
      <w:r>
        <w:tab/>
        <w:t>Obtaining identifying particulars</w:t>
      </w:r>
      <w:bookmarkEnd w:id="303"/>
      <w:bookmarkEnd w:id="304"/>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305" w:name="_Toc131513492"/>
      <w:bookmarkStart w:id="306" w:name="_Toc118300050"/>
      <w:r>
        <w:rPr>
          <w:rStyle w:val="CharSectno"/>
        </w:rPr>
        <w:t>67</w:t>
      </w:r>
      <w:r>
        <w:t>.</w:t>
      </w:r>
      <w:r>
        <w:tab/>
        <w:t>Powers concerning movement and evacuation</w:t>
      </w:r>
      <w:bookmarkEnd w:id="305"/>
      <w:bookmarkEnd w:id="306"/>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Indenta"/>
      </w:pPr>
      <w:r>
        <w:tab/>
        <w:t>(d)</w:t>
      </w:r>
      <w:r>
        <w:tab/>
        <w:t>direct that any road, access route or area of water in or leading to the emergency area be closed.</w:t>
      </w:r>
    </w:p>
    <w:p>
      <w:pPr>
        <w:pStyle w:val="Footnotesection"/>
      </w:pPr>
      <w:r>
        <w:tab/>
        <w:t>[Section 67 amended: No. 11 of 2020 s. 4.]</w:t>
      </w:r>
    </w:p>
    <w:p>
      <w:pPr>
        <w:pStyle w:val="Heading5"/>
      </w:pPr>
      <w:bookmarkStart w:id="307" w:name="_Toc131513493"/>
      <w:bookmarkStart w:id="308" w:name="_Toc118300051"/>
      <w:r>
        <w:rPr>
          <w:rStyle w:val="CharSectno"/>
        </w:rPr>
        <w:t>68</w:t>
      </w:r>
      <w:r>
        <w:t>.</w:t>
      </w:r>
      <w:r>
        <w:tab/>
        <w:t>Use of vehicles</w:t>
      </w:r>
      <w:bookmarkEnd w:id="307"/>
      <w:bookmarkEnd w:id="308"/>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309" w:name="_Toc131513494"/>
      <w:bookmarkStart w:id="310" w:name="_Toc118300052"/>
      <w:r>
        <w:rPr>
          <w:rStyle w:val="CharSectno"/>
        </w:rPr>
        <w:t>69</w:t>
      </w:r>
      <w:r>
        <w:t>.</w:t>
      </w:r>
      <w:r>
        <w:tab/>
        <w:t>Powers of officer to control or use property</w:t>
      </w:r>
      <w:bookmarkEnd w:id="309"/>
      <w:bookmarkEnd w:id="310"/>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311" w:name="_Toc131513495"/>
      <w:bookmarkStart w:id="312" w:name="_Toc118300053"/>
      <w:r>
        <w:rPr>
          <w:rStyle w:val="CharSectno"/>
        </w:rPr>
        <w:t>70</w:t>
      </w:r>
      <w:r>
        <w:t>.</w:t>
      </w:r>
      <w:r>
        <w:tab/>
        <w:t>Powers of officers in relation to persons exposed to hazardous substances</w:t>
      </w:r>
      <w:bookmarkEnd w:id="311"/>
      <w:bookmarkEnd w:id="312"/>
    </w:p>
    <w:p>
      <w:pPr>
        <w:pStyle w:val="Subsection"/>
      </w:pPr>
      <w:r>
        <w:tab/>
        <w:t>(1)</w:t>
      </w:r>
      <w:r>
        <w:tab/>
        <w:t xml:space="preserve">During an emergency situation or state of emergency, for a purpose mentioned in subsection (2), a hazard management officer or authorised officer may direct any person who has been exposed, or any class of person who may have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a person to whom the direction is given does not pose a serious risk to the life or health of others or to the environment because of the hazardous substance involved.</w:t>
      </w:r>
    </w:p>
    <w:p>
      <w:pPr>
        <w:pStyle w:val="Subsection"/>
      </w:pPr>
      <w:r>
        <w:tab/>
        <w:t>(3)</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 in relation to persons exposed to the hazardous substance.</w:t>
      </w:r>
    </w:p>
    <w:p>
      <w:pPr>
        <w:pStyle w:val="Footnotesection"/>
      </w:pPr>
      <w:r>
        <w:tab/>
        <w:t>[Section 70 amended: No. 11 of 2020 s. 5.]</w:t>
      </w:r>
    </w:p>
    <w:p>
      <w:pPr>
        <w:pStyle w:val="Heading5"/>
      </w:pPr>
      <w:bookmarkStart w:id="313" w:name="_Toc131513496"/>
      <w:bookmarkStart w:id="314" w:name="_Toc118300054"/>
      <w:r>
        <w:rPr>
          <w:rStyle w:val="CharSectno"/>
        </w:rPr>
        <w:t>70A</w:t>
      </w:r>
      <w:r>
        <w:t>.</w:t>
      </w:r>
      <w:r>
        <w:tab/>
        <w:t>Electronic monitoring of persons in quarantine</w:t>
      </w:r>
      <w:bookmarkEnd w:id="313"/>
      <w:bookmarkEnd w:id="314"/>
    </w:p>
    <w:p>
      <w:pPr>
        <w:pStyle w:val="Subsection"/>
      </w:pPr>
      <w:r>
        <w:tab/>
        <w:t>(1)</w:t>
      </w:r>
      <w:r>
        <w:tab/>
        <w:t xml:space="preserve">In this section —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Minister for the purposes of this section; and</w:t>
      </w:r>
    </w:p>
    <w:p>
      <w:pPr>
        <w:pStyle w:val="Defpara"/>
      </w:pPr>
      <w:r>
        <w:tab/>
        <w:t>(b)</w:t>
      </w:r>
      <w:r>
        <w:tab/>
        <w:t>any equipment, wires or other items associated with such a device.</w:t>
      </w:r>
    </w:p>
    <w:p>
      <w:pPr>
        <w:pStyle w:val="Subsection"/>
      </w:pPr>
      <w:r>
        <w:tab/>
        <w:t>(2)</w:t>
      </w:r>
      <w:r>
        <w:tab/>
        <w:t>The State Emergency Coordinator may direct that a person is to be subject to electronic monitoring while the person is in quarantine if satisfied that it is necessary to monitor the location of the person during the quarantine period.</w:t>
      </w:r>
    </w:p>
    <w:p>
      <w:pPr>
        <w:pStyle w:val="Subsection"/>
      </w:pPr>
      <w:r>
        <w:tab/>
        <w:t>(3)</w:t>
      </w:r>
      <w:r>
        <w:tab/>
        <w:t>A person is in quarantine while they are subject to a direction under section 70(1) that is or includes a direction described in section 70(1)(b).</w:t>
      </w:r>
    </w:p>
    <w:p>
      <w:pPr>
        <w:pStyle w:val="Subsection"/>
      </w:pPr>
      <w:r>
        <w:tab/>
        <w:t>(4)</w:t>
      </w:r>
      <w:r>
        <w:tab/>
        <w:t xml:space="preserve">If a person is subject to electronic monitoring, an authorised officer may do any of the following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officer;</w:t>
      </w:r>
    </w:p>
    <w:p>
      <w:pPr>
        <w:pStyle w:val="Indenta"/>
      </w:pPr>
      <w:r>
        <w:tab/>
        <w:t>(c)</w:t>
      </w:r>
      <w:r>
        <w:tab/>
        <w:t>give any other reasonable direction to the person necessary for the proper administration of the electronic monitoring of the person.</w:t>
      </w:r>
    </w:p>
    <w:p>
      <w:pPr>
        <w:pStyle w:val="Subsection"/>
      </w:pPr>
      <w:r>
        <w:tab/>
        <w:t>(5)</w:t>
      </w:r>
      <w:r>
        <w:tab/>
        <w:t xml:space="preserve">An authorised officer may — </w:t>
      </w:r>
    </w:p>
    <w:p>
      <w:pPr>
        <w:pStyle w:val="Indenta"/>
      </w:pPr>
      <w:r>
        <w:tab/>
        <w:t>(a)</w:t>
      </w:r>
      <w:r>
        <w:tab/>
        <w:t>direct the occupier of a place where an approved electronic monitoring device has been installed to give the device to an authorised officer within the period specified by the officer; and</w:t>
      </w:r>
    </w:p>
    <w:p>
      <w:pPr>
        <w:pStyle w:val="Indenta"/>
      </w:pPr>
      <w:r>
        <w:tab/>
        <w:t>(b)</w:t>
      </w:r>
      <w:r>
        <w:tab/>
        <w:t>at any time, enter a place where an approved electronic monitoring device has been installed and retrieve the device.</w:t>
      </w:r>
    </w:p>
    <w:p>
      <w:pPr>
        <w:pStyle w:val="Subsection"/>
      </w:pPr>
      <w:r>
        <w:tab/>
        <w:t>(6)</w:t>
      </w:r>
      <w:r>
        <w:tab/>
        <w:t xml:space="preserve">A person must not — </w:t>
      </w:r>
    </w:p>
    <w:p>
      <w:pPr>
        <w:pStyle w:val="Indenta"/>
      </w:pPr>
      <w:r>
        <w:tab/>
        <w:t>(a)</w:t>
      </w:r>
      <w:r>
        <w:tab/>
        <w:t>fail to comply with a direction under this section; or</w:t>
      </w:r>
    </w:p>
    <w:p>
      <w:pPr>
        <w:pStyle w:val="Indenta"/>
      </w:pPr>
      <w:r>
        <w:tab/>
        <w:t>(b)</w:t>
      </w:r>
      <w:r>
        <w:tab/>
        <w:t>obstruct or hinder an authorised officer exercising powers under subsection (5)(b).</w:t>
      </w:r>
    </w:p>
    <w:p>
      <w:pPr>
        <w:pStyle w:val="Penstart"/>
      </w:pPr>
      <w:r>
        <w:tab/>
        <w:t>Penalty for this subsection: imprisonment for 12 months or a fine of $12 000.</w:t>
      </w:r>
    </w:p>
    <w:p>
      <w:pPr>
        <w:pStyle w:val="Subsection"/>
      </w:pPr>
      <w:r>
        <w:tab/>
        <w:t>(7)</w:t>
      </w:r>
      <w:r>
        <w:tab/>
        <w:t>A person must not, without reasonable excuse, remove, or interfere with, or interfere with the operation of, an approved electronic monitoring device required to be worn or installed under this section in such a way as to prevent or impede monitoring of the location of the person subject to electronic monitoring.</w:t>
      </w:r>
    </w:p>
    <w:p>
      <w:pPr>
        <w:pStyle w:val="Penstart"/>
      </w:pPr>
      <w:r>
        <w:tab/>
        <w:t>Penalty for this subsection: imprisonment for 12 months or a fine of $12 000.</w:t>
      </w:r>
    </w:p>
    <w:p>
      <w:pPr>
        <w:pStyle w:val="Footnotesection"/>
      </w:pPr>
      <w:r>
        <w:tab/>
        <w:t>[Section 70A inserted: No. 11 of 2020 s. 6.]</w:t>
      </w:r>
    </w:p>
    <w:p>
      <w:pPr>
        <w:pStyle w:val="Heading5"/>
      </w:pPr>
      <w:bookmarkStart w:id="315" w:name="_Toc131513497"/>
      <w:bookmarkStart w:id="316" w:name="_Toc118300055"/>
      <w:r>
        <w:rPr>
          <w:rStyle w:val="CharSectno"/>
        </w:rPr>
        <w:t>71</w:t>
      </w:r>
      <w:r>
        <w:t>.</w:t>
      </w:r>
      <w:r>
        <w:tab/>
        <w:t>Powers of police to direct closure of places and concerning movement and evacuation</w:t>
      </w:r>
      <w:bookmarkEnd w:id="315"/>
      <w:bookmarkEnd w:id="316"/>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(1A)</w:t>
      </w:r>
      <w:r>
        <w:tab/>
        <w:t>A direction under subsection (1) may be given in relation to a class of place.</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 No. 11 of 2020 s. 7.]</w:t>
      </w:r>
    </w:p>
    <w:p>
      <w:pPr>
        <w:pStyle w:val="Heading5"/>
      </w:pPr>
      <w:bookmarkStart w:id="317" w:name="_Toc131513498"/>
      <w:bookmarkStart w:id="318" w:name="_Toc118300056"/>
      <w:r>
        <w:rPr>
          <w:rStyle w:val="CharSectno"/>
        </w:rPr>
        <w:t>72</w:t>
      </w:r>
      <w:r>
        <w:t>.</w:t>
      </w:r>
      <w:r>
        <w:tab/>
        <w:t>Exchange of information</w:t>
      </w:r>
      <w:bookmarkEnd w:id="317"/>
      <w:bookmarkEnd w:id="318"/>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(ca)</w:t>
      </w:r>
      <w:r>
        <w:tab/>
        <w:t>information about any recent travel undertaken by a person;</w:t>
      </w:r>
    </w:p>
    <w:p>
      <w:pPr>
        <w:pStyle w:val="Defpara"/>
      </w:pPr>
      <w:r>
        <w:tab/>
        <w:t>(cb)</w:t>
      </w:r>
      <w:r>
        <w:tab/>
        <w:t>information about persons with whom a person has been in close contact;</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keepNext/>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r>
        <w:tab/>
        <w:t>[Section 72 amended: No. 11 of 2020 s. 8.]</w:t>
      </w:r>
    </w:p>
    <w:p>
      <w:pPr>
        <w:pStyle w:val="Heading3"/>
      </w:pPr>
      <w:bookmarkStart w:id="319" w:name="_Toc117777772"/>
      <w:bookmarkStart w:id="320" w:name="_Toc117779385"/>
      <w:bookmarkStart w:id="321" w:name="_Toc117845307"/>
      <w:bookmarkStart w:id="322" w:name="_Toc118299693"/>
      <w:bookmarkStart w:id="323" w:name="_Toc118300057"/>
      <w:bookmarkStart w:id="324" w:name="_Toc131502884"/>
      <w:bookmarkStart w:id="325" w:name="_Toc131503125"/>
      <w:bookmarkStart w:id="326" w:name="_Toc131513328"/>
      <w:bookmarkStart w:id="327" w:name="_Toc131513499"/>
      <w:r>
        <w:rPr>
          <w:rStyle w:val="CharDivNo"/>
        </w:rPr>
        <w:t>Division 1A</w:t>
      </w:r>
      <w:r>
        <w:t> — </w:t>
      </w:r>
      <w:r>
        <w:rPr>
          <w:rStyle w:val="CharDivText"/>
        </w:rPr>
        <w:t>Temporary powers during state of emergency in relation to COVID</w:t>
      </w:r>
      <w:r>
        <w:rPr>
          <w:rStyle w:val="CharDivText"/>
        </w:rPr>
        <w:noBreakHyphen/>
        <w:t>19</w:t>
      </w:r>
      <w:bookmarkEnd w:id="319"/>
      <w:bookmarkEnd w:id="320"/>
      <w:bookmarkEnd w:id="321"/>
      <w:bookmarkEnd w:id="322"/>
      <w:bookmarkEnd w:id="323"/>
      <w:bookmarkEnd w:id="324"/>
      <w:bookmarkEnd w:id="325"/>
      <w:bookmarkEnd w:id="326"/>
      <w:bookmarkEnd w:id="327"/>
    </w:p>
    <w:p>
      <w:pPr>
        <w:pStyle w:val="Footnoteheading"/>
      </w:pPr>
      <w:r>
        <w:tab/>
        <w:t>[Heading inserted: No. 33 of 2022 s. 5.]</w:t>
      </w:r>
    </w:p>
    <w:p>
      <w:pPr>
        <w:pStyle w:val="Heading5"/>
      </w:pPr>
      <w:bookmarkStart w:id="328" w:name="_Toc131513500"/>
      <w:bookmarkStart w:id="329" w:name="_Toc118300058"/>
      <w:r>
        <w:rPr>
          <w:rStyle w:val="CharSectno"/>
        </w:rPr>
        <w:t>72A</w:t>
      </w:r>
      <w:r>
        <w:t>.</w:t>
      </w:r>
      <w:r>
        <w:tab/>
        <w:t>General powers during state of emergency in relation to COVID</w:t>
      </w:r>
      <w:r>
        <w:noBreakHyphen/>
        <w:t>19</w:t>
      </w:r>
      <w:bookmarkEnd w:id="328"/>
      <w:bookmarkEnd w:id="329"/>
    </w:p>
    <w:p>
      <w:pPr>
        <w:pStyle w:val="Subsection"/>
      </w:pPr>
      <w:r>
        <w:tab/>
        <w:t>(1A)</w:t>
      </w:r>
      <w:r>
        <w:tab/>
        <w:t>Subject to any limitation in a declaration under section 58, this section applies if a state of emergency declaration is in force declaring that a state of emergency exists in relation to COVID</w:t>
      </w:r>
      <w:r>
        <w:noBreakHyphen/>
        <w:t>19.</w:t>
      </w:r>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72(1); and</w:t>
      </w:r>
    </w:p>
    <w:p>
      <w:pPr>
        <w:pStyle w:val="Defpara"/>
      </w:pPr>
      <w:r>
        <w:tab/>
        <w:t>(b)</w:t>
      </w:r>
      <w:r>
        <w:tab/>
        <w:t>information of a kind specified by the State Emergency Coordinator as relevant to the emergency.</w:t>
      </w:r>
    </w:p>
    <w:p>
      <w:pPr>
        <w:pStyle w:val="Subsection"/>
      </w:pPr>
      <w:r>
        <w:tab/>
        <w:t>(2)</w:t>
      </w:r>
      <w:r>
        <w:tab/>
        <w:t>For the purposes of emergency management during a state of emergency referred to in subsection (1A), an authorised officer may take, or direct a person or a class of person to take, any action that the officer considers is reasonably necessary to prevent, control or abate risks associated with the emergency.</w:t>
      </w:r>
    </w:p>
    <w:p>
      <w:pPr>
        <w:pStyle w:val="Subsection"/>
        <w:keepLines/>
      </w:pPr>
      <w:r>
        <w:tab/>
        <w:t>(3)</w:t>
      </w:r>
      <w:r>
        <w:tab/>
        <w:t xml:space="preserve">For the purposes of emergency management during a state of emergency referred to in subsection (1A), an authorised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Subsection"/>
      </w:pPr>
      <w:r>
        <w:tab/>
        <w:t>(6)</w:t>
      </w:r>
      <w:r>
        <w:tab/>
        <w:t>Nothing in this section limits the powers that may be exercised under Divisions 1 and 2 in relation to a state of emergency referred to in subsection (1A).</w:t>
      </w:r>
    </w:p>
    <w:p>
      <w:pPr>
        <w:pStyle w:val="Footnotesection"/>
      </w:pPr>
      <w:r>
        <w:tab/>
        <w:t>[Section 72A inserted: No. 11 of 2020 s. 9; amended: No. 33 of 2022 s. 6.]</w:t>
      </w:r>
    </w:p>
    <w:p>
      <w:pPr>
        <w:pStyle w:val="Heading3"/>
      </w:pPr>
      <w:bookmarkStart w:id="330" w:name="_Toc117777702"/>
      <w:bookmarkStart w:id="331" w:name="_Toc117779387"/>
      <w:bookmarkStart w:id="332" w:name="_Toc117845309"/>
      <w:bookmarkStart w:id="333" w:name="_Toc118299695"/>
      <w:bookmarkStart w:id="334" w:name="_Toc118300059"/>
      <w:bookmarkStart w:id="335" w:name="_Toc131502886"/>
      <w:bookmarkStart w:id="336" w:name="_Toc131503127"/>
      <w:bookmarkStart w:id="337" w:name="_Toc131513330"/>
      <w:bookmarkStart w:id="338" w:name="_Toc131513501"/>
      <w:r>
        <w:rPr>
          <w:rStyle w:val="CharDivNo"/>
        </w:rPr>
        <w:t>Division 2</w:t>
      </w:r>
      <w:r>
        <w:t> — </w:t>
      </w:r>
      <w:r>
        <w:rPr>
          <w:rStyle w:val="CharDivText"/>
        </w:rPr>
        <w:t>Further powers during state of emergency</w:t>
      </w:r>
      <w:bookmarkEnd w:id="330"/>
      <w:bookmarkEnd w:id="331"/>
      <w:bookmarkEnd w:id="332"/>
      <w:bookmarkEnd w:id="333"/>
      <w:bookmarkEnd w:id="334"/>
      <w:bookmarkEnd w:id="335"/>
      <w:bookmarkEnd w:id="336"/>
      <w:bookmarkEnd w:id="337"/>
      <w:bookmarkEnd w:id="338"/>
    </w:p>
    <w:p>
      <w:pPr>
        <w:pStyle w:val="Heading5"/>
      </w:pPr>
      <w:bookmarkStart w:id="339" w:name="_Toc131513502"/>
      <w:bookmarkStart w:id="340" w:name="_Toc118300060"/>
      <w:r>
        <w:rPr>
          <w:rStyle w:val="CharSectno"/>
        </w:rPr>
        <w:t>73</w:t>
      </w:r>
      <w:r>
        <w:t>.</w:t>
      </w:r>
      <w:r>
        <w:tab/>
        <w:t>Application of this Division</w:t>
      </w:r>
      <w:bookmarkEnd w:id="339"/>
      <w:bookmarkEnd w:id="340"/>
    </w:p>
    <w:p>
      <w:pPr>
        <w:pStyle w:val="Subsection"/>
      </w:pPr>
      <w:r>
        <w:tab/>
      </w:r>
      <w:r>
        <w:tab/>
        <w:t>Subject to any limitation in a declaration under section 58, this Division applies if a state of emergency declaration is in force.</w:t>
      </w:r>
    </w:p>
    <w:p>
      <w:pPr>
        <w:pStyle w:val="Heading5"/>
      </w:pPr>
      <w:bookmarkStart w:id="341" w:name="_Toc131513503"/>
      <w:bookmarkStart w:id="342" w:name="_Toc118300061"/>
      <w:r>
        <w:rPr>
          <w:rStyle w:val="CharSectno"/>
        </w:rPr>
        <w:t>74</w:t>
      </w:r>
      <w:r>
        <w:t>.</w:t>
      </w:r>
      <w:r>
        <w:tab/>
        <w:t>Power to direct public authorities during state of emergency</w:t>
      </w:r>
      <w:bookmarkEnd w:id="341"/>
      <w:bookmarkEnd w:id="342"/>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keepNext/>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343" w:name="_Toc131513504"/>
      <w:bookmarkStart w:id="344" w:name="_Toc118300062"/>
      <w:r>
        <w:rPr>
          <w:rStyle w:val="CharSectno"/>
        </w:rPr>
        <w:t>75</w:t>
      </w:r>
      <w:r>
        <w:t>.</w:t>
      </w:r>
      <w:r>
        <w:tab/>
        <w:t>General powers during a state of emergency</w:t>
      </w:r>
      <w:bookmarkEnd w:id="343"/>
      <w:bookmarkEnd w:id="344"/>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(1A)</w:t>
      </w:r>
      <w:r>
        <w:tab/>
        <w:t>A direction under subsection (1)(i) may be given in relation to a class of place.</w:t>
      </w:r>
    </w:p>
    <w:p>
      <w:pPr>
        <w:pStyle w:val="Subsection"/>
      </w:pPr>
      <w:r>
        <w:tab/>
        <w:t>(2)</w:t>
      </w:r>
      <w:r>
        <w:tab/>
        <w:t>An authorised officer may enter a place or vehicle in the emergency area without a warrant or the consent of the occupier of the place or the owner of the vehicle.</w:t>
      </w:r>
    </w:p>
    <w:p>
      <w:pPr>
        <w:pStyle w:val="Footnotesection"/>
      </w:pPr>
      <w:r>
        <w:tab/>
        <w:t>[Section 75 amended: No. 11 of 2020 s. 11.]</w:t>
      </w:r>
    </w:p>
    <w:p>
      <w:pPr>
        <w:pStyle w:val="Heading5"/>
      </w:pPr>
      <w:bookmarkStart w:id="345" w:name="_Toc131513505"/>
      <w:bookmarkStart w:id="346" w:name="_Toc118300063"/>
      <w:r>
        <w:rPr>
          <w:rStyle w:val="CharSectno"/>
        </w:rPr>
        <w:t>76A</w:t>
      </w:r>
      <w:r>
        <w:t>.</w:t>
      </w:r>
      <w:r>
        <w:tab/>
        <w:t xml:space="preserve">Manufacture, supply and prescription of </w:t>
      </w:r>
      <w:r>
        <w:rPr>
          <w:iCs/>
        </w:rPr>
        <w:t>poisons</w:t>
      </w:r>
      <w:bookmarkEnd w:id="345"/>
      <w:bookmarkEnd w:id="346"/>
    </w:p>
    <w:p>
      <w:pPr>
        <w:pStyle w:val="Subsection"/>
        <w:keepNext/>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b/>
          <w:i/>
        </w:rPr>
      </w:pPr>
      <w:r>
        <w:rPr>
          <w:b/>
          <w:i/>
        </w:rPr>
        <w:t>manufacture</w:t>
      </w:r>
    </w:p>
    <w:p>
      <w:pPr>
        <w:pStyle w:val="DeleteListSub"/>
        <w:rPr>
          <w:b/>
          <w:i/>
        </w:rPr>
      </w:pPr>
      <w:r>
        <w:rPr>
          <w:b/>
          <w:i/>
        </w:rPr>
        <w:t>poison</w:t>
      </w:r>
    </w:p>
    <w:p>
      <w:pPr>
        <w:pStyle w:val="DeleteListSub"/>
        <w:rPr>
          <w:b/>
          <w:i/>
        </w:rPr>
      </w:pPr>
      <w:r>
        <w:rPr>
          <w:b/>
          <w:i/>
        </w:rPr>
        <w:t>prescribe</w:t>
      </w:r>
    </w:p>
    <w:p>
      <w:pPr>
        <w:pStyle w:val="DeleteListSub"/>
        <w:rPr>
          <w:b/>
          <w:i/>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Pr>
      <w:bookmarkStart w:id="347" w:name="_Toc117777707"/>
      <w:bookmarkStart w:id="348" w:name="_Toc117779392"/>
      <w:bookmarkStart w:id="349" w:name="_Toc117845314"/>
      <w:bookmarkStart w:id="350" w:name="_Toc118299700"/>
      <w:bookmarkStart w:id="351" w:name="_Toc118300064"/>
      <w:bookmarkStart w:id="352" w:name="_Toc131502891"/>
      <w:bookmarkStart w:id="353" w:name="_Toc131503132"/>
      <w:bookmarkStart w:id="354" w:name="_Toc131513335"/>
      <w:bookmarkStart w:id="355" w:name="_Toc131513506"/>
      <w:r>
        <w:rPr>
          <w:rStyle w:val="CharDivNo"/>
        </w:rPr>
        <w:t>Division 3</w:t>
      </w:r>
      <w:r>
        <w:t> — </w:t>
      </w:r>
      <w:r>
        <w:rPr>
          <w:rStyle w:val="CharDivText"/>
        </w:rPr>
        <w:t>General provisions</w:t>
      </w:r>
      <w:bookmarkEnd w:id="347"/>
      <w:bookmarkEnd w:id="348"/>
      <w:bookmarkEnd w:id="349"/>
      <w:bookmarkEnd w:id="350"/>
      <w:bookmarkEnd w:id="351"/>
      <w:bookmarkEnd w:id="352"/>
      <w:bookmarkEnd w:id="353"/>
      <w:bookmarkEnd w:id="354"/>
      <w:bookmarkEnd w:id="355"/>
    </w:p>
    <w:p>
      <w:pPr>
        <w:pStyle w:val="Heading5"/>
      </w:pPr>
      <w:bookmarkStart w:id="356" w:name="_Toc131513507"/>
      <w:bookmarkStart w:id="357" w:name="_Toc118300065"/>
      <w:r>
        <w:rPr>
          <w:rStyle w:val="CharSectno"/>
        </w:rPr>
        <w:t>76</w:t>
      </w:r>
      <w:r>
        <w:t>.</w:t>
      </w:r>
      <w:r>
        <w:tab/>
        <w:t>General provisions regarding powers</w:t>
      </w:r>
      <w:bookmarkEnd w:id="356"/>
      <w:bookmarkEnd w:id="357"/>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358" w:name="_Toc131513508"/>
      <w:bookmarkStart w:id="359" w:name="_Toc118300066"/>
      <w:r>
        <w:rPr>
          <w:rStyle w:val="CharSectno"/>
        </w:rPr>
        <w:t>77</w:t>
      </w:r>
      <w:r>
        <w:t>.</w:t>
      </w:r>
      <w:r>
        <w:tab/>
        <w:t>General provisions regarding directions</w:t>
      </w:r>
      <w:bookmarkEnd w:id="358"/>
      <w:bookmarkEnd w:id="359"/>
    </w:p>
    <w:p>
      <w:pPr>
        <w:pStyle w:val="Subsection"/>
        <w:keepNext/>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(2A)</w:t>
      </w:r>
      <w:r>
        <w:tab/>
        <w:t xml:space="preserve">A direction under section 67, 70, 71, 72A(2) or 75(1)(i) that is given in relation to a class of person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emergency.</w:t>
      </w:r>
    </w:p>
    <w:p>
      <w:pPr>
        <w:pStyle w:val="Subsection"/>
      </w:pPr>
      <w:r>
        <w:tab/>
        <w:t>(3)</w:t>
      </w:r>
      <w:r>
        <w:tab/>
        <w:t>Failure to comply with subsection (2) or (2A)(c) does not invalidate the direction.</w:t>
      </w:r>
    </w:p>
    <w:p>
      <w:pPr>
        <w:pStyle w:val="Footnotesection"/>
      </w:pPr>
      <w:r>
        <w:tab/>
        <w:t>[Section 77 amended: No. 11 of 2020 s. 12.]</w:t>
      </w:r>
    </w:p>
    <w:p>
      <w:pPr>
        <w:pStyle w:val="Heading2"/>
      </w:pPr>
      <w:bookmarkStart w:id="360" w:name="_Toc117777775"/>
      <w:bookmarkStart w:id="361" w:name="_Toc117779395"/>
      <w:bookmarkStart w:id="362" w:name="_Toc117845317"/>
      <w:bookmarkStart w:id="363" w:name="_Toc118299703"/>
      <w:bookmarkStart w:id="364" w:name="_Toc118300067"/>
      <w:bookmarkStart w:id="365" w:name="_Toc131502894"/>
      <w:bookmarkStart w:id="366" w:name="_Toc131503135"/>
      <w:bookmarkStart w:id="367" w:name="_Toc131513338"/>
      <w:bookmarkStart w:id="368" w:name="_Toc131513509"/>
      <w:bookmarkStart w:id="369" w:name="_Toc117777710"/>
      <w:r>
        <w:rPr>
          <w:rStyle w:val="CharPartNo"/>
        </w:rPr>
        <w:t>Part 6A</w:t>
      </w:r>
      <w:r>
        <w:t> — </w:t>
      </w:r>
      <w:r>
        <w:rPr>
          <w:rStyle w:val="CharPartText"/>
        </w:rPr>
        <w:t>Temporary provisions for management of COVID</w:t>
      </w:r>
      <w:r>
        <w:rPr>
          <w:rStyle w:val="CharPartText"/>
        </w:rPr>
        <w:noBreakHyphen/>
        <w:t>19</w:t>
      </w:r>
      <w:bookmarkEnd w:id="360"/>
      <w:bookmarkEnd w:id="361"/>
      <w:bookmarkEnd w:id="362"/>
      <w:bookmarkEnd w:id="363"/>
      <w:bookmarkEnd w:id="364"/>
      <w:bookmarkEnd w:id="365"/>
      <w:bookmarkEnd w:id="366"/>
      <w:bookmarkEnd w:id="367"/>
      <w:bookmarkEnd w:id="368"/>
    </w:p>
    <w:p>
      <w:pPr>
        <w:pStyle w:val="Footnoteheading"/>
      </w:pPr>
      <w:bookmarkStart w:id="370" w:name="_Toc117777776"/>
      <w:r>
        <w:tab/>
        <w:t>[Heading inserted: No. 33 of 2022 s. 7.]</w:t>
      </w:r>
    </w:p>
    <w:p>
      <w:pPr>
        <w:pStyle w:val="Heading3"/>
      </w:pPr>
      <w:bookmarkStart w:id="371" w:name="_Toc117779396"/>
      <w:bookmarkStart w:id="372" w:name="_Toc117845318"/>
      <w:bookmarkStart w:id="373" w:name="_Toc118299704"/>
      <w:bookmarkStart w:id="374" w:name="_Toc118300068"/>
      <w:bookmarkStart w:id="375" w:name="_Toc131502895"/>
      <w:bookmarkStart w:id="376" w:name="_Toc131503136"/>
      <w:bookmarkStart w:id="377" w:name="_Toc131513339"/>
      <w:bookmarkStart w:id="378" w:name="_Toc131513510"/>
      <w:r>
        <w:rPr>
          <w:rStyle w:val="CharDivNo"/>
        </w:rPr>
        <w:t>Division 1</w:t>
      </w:r>
      <w:r>
        <w:t> — </w:t>
      </w:r>
      <w:r>
        <w:rPr>
          <w:rStyle w:val="CharDivText"/>
        </w:rPr>
        <w:t>Preliminary</w:t>
      </w:r>
      <w:bookmarkEnd w:id="370"/>
      <w:bookmarkEnd w:id="371"/>
      <w:bookmarkEnd w:id="372"/>
      <w:bookmarkEnd w:id="373"/>
      <w:bookmarkEnd w:id="374"/>
      <w:bookmarkEnd w:id="375"/>
      <w:bookmarkEnd w:id="376"/>
      <w:bookmarkEnd w:id="377"/>
      <w:bookmarkEnd w:id="378"/>
    </w:p>
    <w:p>
      <w:pPr>
        <w:pStyle w:val="Footnoteheading"/>
      </w:pPr>
      <w:bookmarkStart w:id="379" w:name="_Toc117777777"/>
      <w:r>
        <w:tab/>
        <w:t>[Heading inserted: No. 33 of 2022 s. 7.]</w:t>
      </w:r>
    </w:p>
    <w:p>
      <w:pPr>
        <w:pStyle w:val="Heading5"/>
      </w:pPr>
      <w:bookmarkStart w:id="380" w:name="_Toc131513511"/>
      <w:bookmarkStart w:id="381" w:name="_Toc118300069"/>
      <w:r>
        <w:rPr>
          <w:rStyle w:val="CharSectno"/>
        </w:rPr>
        <w:t>77A</w:t>
      </w:r>
      <w:r>
        <w:t>.</w:t>
      </w:r>
      <w:r>
        <w:tab/>
        <w:t>Overview of Part</w:t>
      </w:r>
      <w:bookmarkEnd w:id="379"/>
      <w:bookmarkEnd w:id="380"/>
      <w:bookmarkEnd w:id="381"/>
    </w:p>
    <w:p>
      <w:pPr>
        <w:pStyle w:val="Subsection"/>
      </w:pPr>
      <w:r>
        <w:tab/>
      </w:r>
      <w:r>
        <w:tab/>
        <w:t xml:space="preserve">This Part provides for a temporary scheme, to be in operation for a period of 2 years, under which — </w:t>
      </w:r>
    </w:p>
    <w:p>
      <w:pPr>
        <w:pStyle w:val="Indenta"/>
      </w:pPr>
      <w:r>
        <w:tab/>
        <w:t>(a)</w:t>
      </w:r>
      <w:r>
        <w:tab/>
        <w:t>the State Emergency Coordinator may make a COVID</w:t>
      </w:r>
      <w:r>
        <w:noBreakHyphen/>
        <w:t>19 declaration in relation to the whole or any area or areas of the State; and</w:t>
      </w:r>
    </w:p>
    <w:p>
      <w:pPr>
        <w:pStyle w:val="Indenta"/>
      </w:pPr>
      <w:r>
        <w:tab/>
        <w:t>(b)</w:t>
      </w:r>
      <w:r>
        <w:tab/>
        <w:t>if a COVID</w:t>
      </w:r>
      <w:r>
        <w:noBreakHyphen/>
        <w:t>19 declaration is in force, powers can be exercised by authorised COVID</w:t>
      </w:r>
      <w:r>
        <w:noBreakHyphen/>
        <w:t>19 officers for the purposes of COVID</w:t>
      </w:r>
      <w:r>
        <w:noBreakHyphen/>
        <w:t>19 management.</w:t>
      </w:r>
    </w:p>
    <w:p>
      <w:pPr>
        <w:pStyle w:val="PermNoteHeading"/>
      </w:pPr>
      <w:r>
        <w:tab/>
        <w:t>Note for this section:</w:t>
      </w:r>
    </w:p>
    <w:p>
      <w:pPr>
        <w:pStyle w:val="PermNoteText"/>
      </w:pPr>
      <w:r>
        <w:tab/>
      </w:r>
      <w:r>
        <w:tab/>
        <w:t xml:space="preserve">Under the </w:t>
      </w:r>
      <w:r>
        <w:rPr>
          <w:i/>
        </w:rPr>
        <w:t>Emergency Management Amendment (Temporary COVID</w:t>
      </w:r>
      <w:r>
        <w:rPr>
          <w:i/>
        </w:rPr>
        <w:noBreakHyphen/>
        <w:t xml:space="preserve">19 Provisions) Act 2022 </w:t>
      </w:r>
      <w:r>
        <w:t>sections 2(c) and 30, this Part will be deleted immediately after it has been in operation for 2 years.</w:t>
      </w:r>
    </w:p>
    <w:p>
      <w:pPr>
        <w:pStyle w:val="Footnotesection"/>
      </w:pPr>
      <w:bookmarkStart w:id="382" w:name="_Toc117777778"/>
      <w:r>
        <w:tab/>
        <w:t>[Section 77A inserted: No. 33 of 2022 s. 7.]</w:t>
      </w:r>
    </w:p>
    <w:p>
      <w:pPr>
        <w:pStyle w:val="Heading5"/>
      </w:pPr>
      <w:bookmarkStart w:id="383" w:name="_Toc131513512"/>
      <w:bookmarkStart w:id="384" w:name="_Toc118300070"/>
      <w:r>
        <w:rPr>
          <w:rStyle w:val="CharSectno"/>
        </w:rPr>
        <w:t>77B</w:t>
      </w:r>
      <w:r>
        <w:t>.</w:t>
      </w:r>
      <w:r>
        <w:tab/>
        <w:t>Terms used</w:t>
      </w:r>
      <w:bookmarkEnd w:id="382"/>
      <w:bookmarkEnd w:id="383"/>
      <w:bookmarkEnd w:id="384"/>
    </w:p>
    <w:p>
      <w:pPr>
        <w:pStyle w:val="Subsection"/>
      </w:pPr>
      <w:r>
        <w:tab/>
      </w:r>
      <w:r>
        <w:tab/>
        <w:t xml:space="preserve">In this Part — </w:t>
      </w:r>
    </w:p>
    <w:p>
      <w:pPr>
        <w:pStyle w:val="Defstart"/>
      </w:pPr>
      <w:r>
        <w:tab/>
      </w:r>
      <w:r>
        <w:rPr>
          <w:rStyle w:val="CharDefText"/>
        </w:rPr>
        <w:t>authorised COVID</w:t>
      </w:r>
      <w:r>
        <w:rPr>
          <w:rStyle w:val="CharDefText"/>
        </w:rPr>
        <w:noBreakHyphen/>
        <w:t>19 officer</w:t>
      </w:r>
      <w:r>
        <w:t xml:space="preserve"> means — </w:t>
      </w:r>
    </w:p>
    <w:p>
      <w:pPr>
        <w:pStyle w:val="Defpara"/>
      </w:pPr>
      <w:r>
        <w:tab/>
        <w:t>(a)</w:t>
      </w:r>
      <w:r>
        <w:tab/>
        <w:t>the State Emergency Coordinator; and</w:t>
      </w:r>
    </w:p>
    <w:p>
      <w:pPr>
        <w:pStyle w:val="Defpara"/>
      </w:pPr>
      <w:r>
        <w:tab/>
        <w:t>(b)</w:t>
      </w:r>
      <w:r>
        <w:tab/>
        <w:t>a person authorised under section 77I;</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COVID</w:t>
      </w:r>
      <w:r>
        <w:rPr>
          <w:rStyle w:val="CharDefText"/>
        </w:rPr>
        <w:noBreakHyphen/>
        <w:t>19 declaration</w:t>
      </w:r>
      <w:r>
        <w:t xml:space="preserve"> has the meaning given in section 77C(1);</w:t>
      </w:r>
    </w:p>
    <w:p>
      <w:pPr>
        <w:pStyle w:val="Defstart"/>
        <w:keepNext/>
      </w:pPr>
      <w:r>
        <w:tab/>
      </w:r>
      <w:r>
        <w:rPr>
          <w:rStyle w:val="CharDefText"/>
        </w:rPr>
        <w:t>COVID</w:t>
      </w:r>
      <w:r>
        <w:rPr>
          <w:rStyle w:val="CharDefText"/>
        </w:rPr>
        <w:noBreakHyphen/>
        <w:t>19 management</w:t>
      </w:r>
      <w:r>
        <w:t xml:space="preserve"> — </w:t>
      </w:r>
    </w:p>
    <w:p>
      <w:pPr>
        <w:pStyle w:val="Defpara"/>
      </w:pPr>
      <w:r>
        <w:tab/>
        <w:t>(a)</w:t>
      </w:r>
      <w:r>
        <w:tab/>
        <w:t>means the management of the adverse effects of COVID</w:t>
      </w:r>
      <w:r>
        <w:noBreakHyphen/>
        <w:t>19; and</w:t>
      </w:r>
    </w:p>
    <w:p>
      <w:pPr>
        <w:pStyle w:val="Defpara"/>
      </w:pPr>
      <w:r>
        <w:tab/>
        <w:t>(b)</w:t>
      </w:r>
      <w:r>
        <w:tab/>
        <w:t>includes the prevention, control and abatement of risks associated with COVID</w:t>
      </w:r>
      <w:r>
        <w:noBreakHyphen/>
        <w:t>19 (including, without limitation, risks to economic and psychosocial wellbeing);</w:t>
      </w:r>
    </w:p>
    <w:p>
      <w:pPr>
        <w:pStyle w:val="Defstart"/>
      </w:pPr>
      <w:r>
        <w:tab/>
      </w:r>
      <w:r>
        <w:rPr>
          <w:rStyle w:val="CharDefText"/>
        </w:rPr>
        <w:t>declaration area</w:t>
      </w:r>
      <w:r>
        <w:t>, in relation to a COVID</w:t>
      </w:r>
      <w:r>
        <w:noBreakHyphen/>
        <w:t>19 declaration, means the area to which the declaration applies.</w:t>
      </w:r>
    </w:p>
    <w:p>
      <w:pPr>
        <w:pStyle w:val="Footnotesection"/>
      </w:pPr>
      <w:bookmarkStart w:id="385" w:name="_Toc117777779"/>
      <w:r>
        <w:tab/>
        <w:t>[Section 77B inserted: No. 33 of 2022 s. 7.]</w:t>
      </w:r>
    </w:p>
    <w:p>
      <w:pPr>
        <w:pStyle w:val="Heading3"/>
      </w:pPr>
      <w:bookmarkStart w:id="386" w:name="_Toc117779399"/>
      <w:bookmarkStart w:id="387" w:name="_Toc117845321"/>
      <w:bookmarkStart w:id="388" w:name="_Toc118299707"/>
      <w:bookmarkStart w:id="389" w:name="_Toc118300071"/>
      <w:bookmarkStart w:id="390" w:name="_Toc131502898"/>
      <w:bookmarkStart w:id="391" w:name="_Toc131503139"/>
      <w:bookmarkStart w:id="392" w:name="_Toc131513342"/>
      <w:bookmarkStart w:id="393" w:name="_Toc131513513"/>
      <w:r>
        <w:rPr>
          <w:rStyle w:val="CharDivNo"/>
        </w:rPr>
        <w:t>Division 2</w:t>
      </w:r>
      <w:r>
        <w:t> — </w:t>
      </w:r>
      <w:r>
        <w:rPr>
          <w:rStyle w:val="CharDivText"/>
        </w:rPr>
        <w:t>Power to make COVID</w:t>
      </w:r>
      <w:r>
        <w:rPr>
          <w:rStyle w:val="CharDivText"/>
        </w:rPr>
        <w:noBreakHyphen/>
        <w:t>19 declaration</w:t>
      </w:r>
      <w:bookmarkEnd w:id="385"/>
      <w:bookmarkEnd w:id="386"/>
      <w:bookmarkEnd w:id="387"/>
      <w:bookmarkEnd w:id="388"/>
      <w:bookmarkEnd w:id="389"/>
      <w:bookmarkEnd w:id="390"/>
      <w:bookmarkEnd w:id="391"/>
      <w:bookmarkEnd w:id="392"/>
      <w:bookmarkEnd w:id="393"/>
    </w:p>
    <w:p>
      <w:pPr>
        <w:pStyle w:val="Footnoteheading"/>
      </w:pPr>
      <w:bookmarkStart w:id="394" w:name="_Toc117777780"/>
      <w:r>
        <w:tab/>
        <w:t>[Heading inserted: No. 33 of 2022 s. 7.]</w:t>
      </w:r>
    </w:p>
    <w:p>
      <w:pPr>
        <w:pStyle w:val="Heading5"/>
      </w:pPr>
      <w:bookmarkStart w:id="395" w:name="_Toc131513514"/>
      <w:bookmarkStart w:id="396" w:name="_Toc118300072"/>
      <w:r>
        <w:rPr>
          <w:rStyle w:val="CharSectno"/>
        </w:rPr>
        <w:t>77C</w:t>
      </w:r>
      <w:r>
        <w:t>.</w:t>
      </w:r>
      <w:r>
        <w:tab/>
        <w:t>State Emergency Coordinator may make COVID</w:t>
      </w:r>
      <w:r>
        <w:noBreakHyphen/>
        <w:t>19 declaration</w:t>
      </w:r>
      <w:bookmarkEnd w:id="394"/>
      <w:bookmarkEnd w:id="395"/>
      <w:bookmarkEnd w:id="396"/>
    </w:p>
    <w:p>
      <w:pPr>
        <w:pStyle w:val="Subsection"/>
      </w:pPr>
      <w:r>
        <w:tab/>
        <w:t>(1)</w:t>
      </w:r>
      <w:r>
        <w:tab/>
        <w:t xml:space="preserve">The State Emergency Coordinator may, in writing, make a declaration (a </w:t>
      </w:r>
      <w:r>
        <w:rPr>
          <w:rStyle w:val="CharDefText"/>
        </w:rPr>
        <w:t>COVID</w:t>
      </w:r>
      <w:r>
        <w:rPr>
          <w:rStyle w:val="CharDefText"/>
        </w:rPr>
        <w:noBreakHyphen/>
        <w:t>19 declaration</w:t>
      </w:r>
      <w:r>
        <w:t>) in relation to the whole or any area or areas of the State.</w:t>
      </w:r>
    </w:p>
    <w:p>
      <w:pPr>
        <w:pStyle w:val="Subsection"/>
      </w:pPr>
      <w:r>
        <w:tab/>
        <w:t>(2)</w:t>
      </w:r>
      <w:r>
        <w:tab/>
        <w:t>The State Emergency Coordinator must not make a COVID</w:t>
      </w:r>
      <w:r>
        <w:noBreakHyphen/>
        <w:t xml:space="preserve">19 declaration unless the State Emergency Coordinator is satisfied that — </w:t>
      </w:r>
    </w:p>
    <w:p>
      <w:pPr>
        <w:pStyle w:val="Indenta"/>
      </w:pPr>
      <w:r>
        <w:tab/>
        <w:t>(a)</w:t>
      </w:r>
      <w:r>
        <w:tab/>
        <w:t>the occurrence of COVID</w:t>
      </w:r>
      <w:r>
        <w:noBreakHyphen/>
        <w:t>19 is, or imminently will be, of such a nature or magnitude that it requires a coordinated response; and</w:t>
      </w:r>
    </w:p>
    <w:p>
      <w:pPr>
        <w:pStyle w:val="Indenta"/>
      </w:pPr>
      <w:r>
        <w:tab/>
        <w:t>(b)</w:t>
      </w:r>
      <w:r>
        <w:tab/>
        <w:t>there is a need to exercise powers under Division 4 to prevent or minimise loss of life, prejudice to the safety, or harm to the health, of persons.</w:t>
      </w:r>
    </w:p>
    <w:p>
      <w:pPr>
        <w:pStyle w:val="Subsection"/>
      </w:pPr>
      <w:r>
        <w:tab/>
        <w:t>(3)</w:t>
      </w:r>
      <w:r>
        <w:tab/>
        <w:t>A COVID</w:t>
      </w:r>
      <w:r>
        <w:noBreakHyphen/>
        <w:t xml:space="preserve">19 declaration must include — </w:t>
      </w:r>
    </w:p>
    <w:p>
      <w:pPr>
        <w:pStyle w:val="Indenta"/>
      </w:pPr>
      <w:r>
        <w:tab/>
        <w:t>(a)</w:t>
      </w:r>
      <w:r>
        <w:tab/>
        <w:t>the time when, and date on which, the declaration is made; and</w:t>
      </w:r>
    </w:p>
    <w:p>
      <w:pPr>
        <w:pStyle w:val="Indenta"/>
      </w:pPr>
      <w:r>
        <w:tab/>
        <w:t>(b)</w:t>
      </w:r>
      <w:r>
        <w:tab/>
        <w:t>the area to which it applies.</w:t>
      </w:r>
    </w:p>
    <w:p>
      <w:pPr>
        <w:pStyle w:val="Subsection"/>
      </w:pPr>
      <w:r>
        <w:tab/>
        <w:t>(4)</w:t>
      </w:r>
      <w:r>
        <w:tab/>
        <w:t>The making of a COVID</w:t>
      </w:r>
      <w:r>
        <w:noBreakHyphen/>
        <w:t xml:space="preserve">19 declaration does not prevent the making, extension or continuation of — </w:t>
      </w:r>
    </w:p>
    <w:p>
      <w:pPr>
        <w:pStyle w:val="Indenta"/>
      </w:pPr>
      <w:r>
        <w:tab/>
        <w:t>(a)</w:t>
      </w:r>
      <w:r>
        <w:tab/>
        <w:t>any other COVID</w:t>
      </w:r>
      <w:r>
        <w:noBreakHyphen/>
        <w:t>19 declaration; or</w:t>
      </w:r>
    </w:p>
    <w:p>
      <w:pPr>
        <w:pStyle w:val="Indenta"/>
      </w:pPr>
      <w:r>
        <w:tab/>
        <w:t>(b)</w:t>
      </w:r>
      <w:r>
        <w:tab/>
        <w:t>any state of emergency declaration, or emergency situation declaration, in relation to COVID</w:t>
      </w:r>
      <w:r>
        <w:noBreakHyphen/>
        <w:t>19.</w:t>
      </w:r>
    </w:p>
    <w:p>
      <w:pPr>
        <w:pStyle w:val="Footnotesection"/>
      </w:pPr>
      <w:bookmarkStart w:id="397" w:name="_Toc117777781"/>
      <w:r>
        <w:tab/>
        <w:t>[Section 77C inserted: No. 33 of 2022 s. 7.]</w:t>
      </w:r>
    </w:p>
    <w:p>
      <w:pPr>
        <w:pStyle w:val="Heading5"/>
      </w:pPr>
      <w:bookmarkStart w:id="398" w:name="_Toc131513515"/>
      <w:bookmarkStart w:id="399" w:name="_Toc118300073"/>
      <w:r>
        <w:rPr>
          <w:rStyle w:val="CharSectno"/>
        </w:rPr>
        <w:t>77D</w:t>
      </w:r>
      <w:r>
        <w:t>.</w:t>
      </w:r>
      <w:r>
        <w:tab/>
        <w:t>Duration of COVID</w:t>
      </w:r>
      <w:r>
        <w:noBreakHyphen/>
        <w:t>19 declaration</w:t>
      </w:r>
      <w:bookmarkEnd w:id="397"/>
      <w:bookmarkEnd w:id="398"/>
      <w:bookmarkEnd w:id="399"/>
    </w:p>
    <w:p>
      <w:pPr>
        <w:pStyle w:val="Subsection"/>
      </w:pPr>
      <w:r>
        <w:tab/>
      </w:r>
      <w:r>
        <w:tab/>
        <w:t>A COVID</w:t>
      </w:r>
      <w:r>
        <w:noBreakHyphen/>
        <w:t xml:space="preserve">19 declaration — </w:t>
      </w:r>
    </w:p>
    <w:p>
      <w:pPr>
        <w:pStyle w:val="Indenta"/>
      </w:pPr>
      <w:r>
        <w:tab/>
        <w:t>(a)</w:t>
      </w:r>
      <w:r>
        <w:tab/>
        <w:t>has effect on and from the time it is made, or any later time that is specified in the declaration; and</w:t>
      </w:r>
    </w:p>
    <w:p>
      <w:pPr>
        <w:pStyle w:val="Indenta"/>
      </w:pPr>
      <w:r>
        <w:tab/>
        <w:t>(b)</w:t>
      </w:r>
      <w:r>
        <w:tab/>
        <w:t>if it is not extended by the State Emergency Coordinator under section 77E, or sooner revoked under section 77F, remains in force for 3 months after the time it first has effect.</w:t>
      </w:r>
    </w:p>
    <w:p>
      <w:pPr>
        <w:pStyle w:val="Footnotesection"/>
      </w:pPr>
      <w:bookmarkStart w:id="400" w:name="_Toc117777782"/>
      <w:r>
        <w:tab/>
        <w:t>[Section 77D inserted: No. 33 of 2022 s. 7.]</w:t>
      </w:r>
    </w:p>
    <w:p>
      <w:pPr>
        <w:pStyle w:val="Heading5"/>
      </w:pPr>
      <w:bookmarkStart w:id="401" w:name="_Toc131513516"/>
      <w:bookmarkStart w:id="402" w:name="_Toc118300074"/>
      <w:r>
        <w:rPr>
          <w:rStyle w:val="CharSectno"/>
        </w:rPr>
        <w:t>77E</w:t>
      </w:r>
      <w:r>
        <w:t>.</w:t>
      </w:r>
      <w:r>
        <w:tab/>
        <w:t>Extension of COVID</w:t>
      </w:r>
      <w:r>
        <w:noBreakHyphen/>
        <w:t>19 declaration</w:t>
      </w:r>
      <w:bookmarkEnd w:id="400"/>
      <w:bookmarkEnd w:id="401"/>
      <w:bookmarkEnd w:id="402"/>
    </w:p>
    <w:p>
      <w:pPr>
        <w:pStyle w:val="Subsection"/>
      </w:pPr>
      <w:r>
        <w:tab/>
        <w:t>(1)</w:t>
      </w:r>
      <w:r>
        <w:tab/>
        <w:t>The State Emergency Coordinator may by declaration in writing extend, or from time to time further extend, the duration of a COVID</w:t>
      </w:r>
      <w:r>
        <w:noBreakHyphen/>
        <w:t>19 declaration.</w:t>
      </w:r>
    </w:p>
    <w:p>
      <w:pPr>
        <w:pStyle w:val="Subsection"/>
      </w:pPr>
      <w:r>
        <w:tab/>
        <w:t>(2)</w:t>
      </w:r>
      <w:r>
        <w:tab/>
        <w:t>The State Emergency Coordinator must not make a declaration extending, or further extending, a COVID</w:t>
      </w:r>
      <w:r>
        <w:noBreakHyphen/>
        <w:t>19 declaration unless the State Emergency Coordinator continues to be satisfied of the matters referred to in section 77C(2)(a) and (b).</w:t>
      </w:r>
    </w:p>
    <w:p>
      <w:pPr>
        <w:pStyle w:val="Subsection"/>
      </w:pPr>
      <w:r>
        <w:tab/>
        <w:t>(3)</w:t>
      </w:r>
      <w:r>
        <w:tab/>
        <w:t>A declaration extending, or further extending, the duration of a COVID</w:t>
      </w:r>
      <w:r>
        <w:noBreakHyphen/>
        <w:t xml:space="preserve">19 declaration — </w:t>
      </w:r>
    </w:p>
    <w:p>
      <w:pPr>
        <w:pStyle w:val="Indenta"/>
      </w:pPr>
      <w:r>
        <w:tab/>
        <w:t>(a)</w:t>
      </w:r>
      <w:r>
        <w:tab/>
        <w:t>must include the time when, and date on which, the declaration is made; and</w:t>
      </w:r>
    </w:p>
    <w:p>
      <w:pPr>
        <w:pStyle w:val="Indenta"/>
      </w:pPr>
      <w:r>
        <w:tab/>
        <w:t>(b)</w:t>
      </w:r>
      <w:r>
        <w:tab/>
        <w:t>must state the period by which the duration of the COVID</w:t>
      </w:r>
      <w:r>
        <w:noBreakHyphen/>
        <w:t>19 declaration is extended; and</w:t>
      </w:r>
    </w:p>
    <w:p>
      <w:pPr>
        <w:pStyle w:val="Indenta"/>
      </w:pPr>
      <w:r>
        <w:tab/>
        <w:t>(c)</w:t>
      </w:r>
      <w:r>
        <w:tab/>
        <w:t>remains in force until the end of the period stated under paragraph (b) unless the COVID</w:t>
      </w:r>
      <w:r>
        <w:noBreakHyphen/>
        <w:t>19 declaration is sooner revoked under section 77F.</w:t>
      </w:r>
    </w:p>
    <w:p>
      <w:pPr>
        <w:pStyle w:val="Subsection"/>
      </w:pPr>
      <w:r>
        <w:tab/>
        <w:t>(4)</w:t>
      </w:r>
      <w:r>
        <w:tab/>
        <w:t>The period by which the duration of a COVID</w:t>
      </w:r>
      <w:r>
        <w:noBreakHyphen/>
        <w:t>19 declaration is extended must not exceed 3 months.</w:t>
      </w:r>
    </w:p>
    <w:p>
      <w:pPr>
        <w:pStyle w:val="Subsection"/>
      </w:pPr>
      <w:r>
        <w:tab/>
        <w:t>(5)</w:t>
      </w:r>
      <w:r>
        <w:tab/>
        <w:t>A declaration extending the duration of a COVID</w:t>
      </w:r>
      <w:r>
        <w:noBreakHyphen/>
        <w:t>19 declaration has effect on and from the time it is made.</w:t>
      </w:r>
    </w:p>
    <w:p>
      <w:pPr>
        <w:pStyle w:val="Footnotesection"/>
      </w:pPr>
      <w:bookmarkStart w:id="403" w:name="_Toc117777783"/>
      <w:r>
        <w:tab/>
        <w:t>[Section 77E inserted: No. 33 of 2022 s. 7.]</w:t>
      </w:r>
    </w:p>
    <w:p>
      <w:pPr>
        <w:pStyle w:val="Heading5"/>
      </w:pPr>
      <w:bookmarkStart w:id="404" w:name="_Toc131513517"/>
      <w:bookmarkStart w:id="405" w:name="_Toc118300075"/>
      <w:r>
        <w:rPr>
          <w:rStyle w:val="CharSectno"/>
        </w:rPr>
        <w:t>77F</w:t>
      </w:r>
      <w:r>
        <w:t>.</w:t>
      </w:r>
      <w:r>
        <w:tab/>
        <w:t>Revocation of COVID</w:t>
      </w:r>
      <w:r>
        <w:noBreakHyphen/>
        <w:t>19 declaration</w:t>
      </w:r>
      <w:bookmarkEnd w:id="403"/>
      <w:bookmarkEnd w:id="404"/>
      <w:bookmarkEnd w:id="405"/>
    </w:p>
    <w:p>
      <w:pPr>
        <w:pStyle w:val="Subsection"/>
      </w:pPr>
      <w:r>
        <w:tab/>
        <w:t>(1)</w:t>
      </w:r>
      <w:r>
        <w:tab/>
        <w:t>The State Emergency Coordinator may revoke a COVID</w:t>
      </w:r>
      <w:r>
        <w:noBreakHyphen/>
        <w:t>19 declaration at any time.</w:t>
      </w:r>
    </w:p>
    <w:p>
      <w:pPr>
        <w:pStyle w:val="Subsection"/>
      </w:pPr>
      <w:r>
        <w:tab/>
        <w:t>(2)</w:t>
      </w:r>
      <w:r>
        <w:tab/>
        <w:t>The State Emergency Coordinator must revoke a COVID</w:t>
      </w:r>
      <w:r>
        <w:noBreakHyphen/>
        <w:t>19 declaration as soon as the State Emergency Coordinator is satisfied that it is no longer necessary for the powers under Division 4 to be exercised in relation to COVID</w:t>
      </w:r>
      <w:r>
        <w:noBreakHyphen/>
        <w:t>19 management in the declaration area.</w:t>
      </w:r>
    </w:p>
    <w:p>
      <w:pPr>
        <w:pStyle w:val="Subsection"/>
      </w:pPr>
      <w:r>
        <w:tab/>
        <w:t>(3)</w:t>
      </w:r>
      <w:r>
        <w:tab/>
        <w:t>The revocation must be made by declaration in writing and must include the time when, and date on which, it is made.</w:t>
      </w:r>
    </w:p>
    <w:p>
      <w:pPr>
        <w:pStyle w:val="Subsection"/>
      </w:pPr>
      <w:r>
        <w:tab/>
        <w:t>(4)</w:t>
      </w:r>
      <w:r>
        <w:tab/>
        <w:t>The revocation declaration has effect on and from the time it is made, or any later time that is specified in the revocation declaration.</w:t>
      </w:r>
    </w:p>
    <w:p>
      <w:pPr>
        <w:pStyle w:val="Subsection"/>
      </w:pPr>
      <w:r>
        <w:tab/>
        <w:t>(5)</w:t>
      </w:r>
      <w:r>
        <w:tab/>
        <w:t>Despite any other written law, the revocation of a COVID</w:t>
      </w:r>
      <w:r>
        <w:noBreakHyphen/>
        <w:t xml:space="preserve">19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Footnotesection"/>
      </w:pPr>
      <w:bookmarkStart w:id="406" w:name="_Toc117777784"/>
      <w:r>
        <w:tab/>
        <w:t>[Section 77F inserted: No. 33 of 2022 s. 7.]</w:t>
      </w:r>
    </w:p>
    <w:p>
      <w:pPr>
        <w:pStyle w:val="Heading5"/>
      </w:pPr>
      <w:bookmarkStart w:id="407" w:name="_Toc131513518"/>
      <w:bookmarkStart w:id="408" w:name="_Toc118300076"/>
      <w:r>
        <w:rPr>
          <w:rStyle w:val="CharSectno"/>
        </w:rPr>
        <w:t>77G</w:t>
      </w:r>
      <w:r>
        <w:t>.</w:t>
      </w:r>
      <w:r>
        <w:tab/>
        <w:t>Consultation with and advice from Chief Health Officer</w:t>
      </w:r>
      <w:bookmarkEnd w:id="406"/>
      <w:bookmarkEnd w:id="407"/>
      <w:bookmarkEnd w:id="408"/>
    </w:p>
    <w:p>
      <w:pPr>
        <w:pStyle w:val="Subsection"/>
      </w:pPr>
      <w:r>
        <w:tab/>
        <w:t>(1)</w:t>
      </w:r>
      <w:r>
        <w:tab/>
        <w:t>A COVID</w:t>
      </w:r>
      <w:r>
        <w:noBreakHyphen/>
        <w:t xml:space="preserve">19 declaration, or a declaration under section 77E or 77F, cannot be made unless — </w:t>
      </w:r>
    </w:p>
    <w:p>
      <w:pPr>
        <w:pStyle w:val="Indenta"/>
      </w:pPr>
      <w:r>
        <w:tab/>
        <w:t>(a)</w:t>
      </w:r>
      <w:r>
        <w:tab/>
        <w:t>the State Emergency Coordinator has consulted the Chief Health Officer; and</w:t>
      </w:r>
    </w:p>
    <w:p>
      <w:pPr>
        <w:pStyle w:val="Indenta"/>
      </w:pPr>
      <w:r>
        <w:tab/>
        <w:t>(b)</w:t>
      </w:r>
      <w:r>
        <w:tab/>
        <w:t>the Chief Health Officer has provided written advice to the State Emergency Coordinator as to whether the declaration should be made; and</w:t>
      </w:r>
    </w:p>
    <w:p>
      <w:pPr>
        <w:pStyle w:val="Indenta"/>
      </w:pPr>
      <w:r>
        <w:tab/>
        <w:t>(c)</w:t>
      </w:r>
      <w:r>
        <w:tab/>
        <w:t>the State Emergency Coordinator has considered the advice.</w:t>
      </w:r>
    </w:p>
    <w:p>
      <w:pPr>
        <w:pStyle w:val="Subsection"/>
      </w:pPr>
      <w:r>
        <w:tab/>
        <w:t>(2)</w:t>
      </w:r>
      <w:r>
        <w:tab/>
        <w:t>Subject to subsection (3), advice provided by the Chief Health Officer under subsection (1)(b) must set out detailed reasons for the advice.</w:t>
      </w:r>
    </w:p>
    <w:p>
      <w:pPr>
        <w:pStyle w:val="Subsection"/>
      </w:pPr>
      <w:r>
        <w:tab/>
        <w:t>(3)</w:t>
      </w:r>
      <w:r>
        <w:tab/>
        <w:t>If the State Emergency Coordinator requests the Chief Health Officer to provide advice under subsection (1)(b) urgently, the advice provided under subsection (1)(b) may be in summary form and is not required to set out detailed reasons for the advice.</w:t>
      </w:r>
    </w:p>
    <w:p>
      <w:pPr>
        <w:pStyle w:val="Subsection"/>
      </w:pPr>
      <w:r>
        <w:tab/>
        <w:t>(4)</w:t>
      </w:r>
      <w:r>
        <w:tab/>
        <w:t>If the Chief Health Officer provides advice under subsection (1)(b) in summary form, the Chief Health Officer must, within 7 days after providing that advice, provide the State Emergency Coordinator with a further written statement setting out detailed reasons for that advice.</w:t>
      </w:r>
    </w:p>
    <w:p>
      <w:pPr>
        <w:pStyle w:val="Subsection"/>
      </w:pPr>
      <w:r>
        <w:tab/>
        <w:t>(5)</w:t>
      </w:r>
      <w:r>
        <w:tab/>
        <w:t>A failure to comply with this section does not affect the validity of the declaration.</w:t>
      </w:r>
    </w:p>
    <w:p>
      <w:pPr>
        <w:pStyle w:val="Footnotesection"/>
      </w:pPr>
      <w:bookmarkStart w:id="409" w:name="_Toc117777785"/>
      <w:r>
        <w:tab/>
        <w:t>[Section 77G inserted: No. 33 of 2022 s. 7.]</w:t>
      </w:r>
    </w:p>
    <w:p>
      <w:pPr>
        <w:pStyle w:val="Heading5"/>
      </w:pPr>
      <w:bookmarkStart w:id="410" w:name="_Toc131513519"/>
      <w:bookmarkStart w:id="411" w:name="_Toc118300077"/>
      <w:r>
        <w:rPr>
          <w:rStyle w:val="CharSectno"/>
        </w:rPr>
        <w:t>77H</w:t>
      </w:r>
      <w:r>
        <w:t>.</w:t>
      </w:r>
      <w:r>
        <w:tab/>
        <w:t>Publication of notice of declaration and advice</w:t>
      </w:r>
      <w:bookmarkEnd w:id="409"/>
      <w:bookmarkEnd w:id="410"/>
      <w:bookmarkEnd w:id="411"/>
    </w:p>
    <w:p>
      <w:pPr>
        <w:pStyle w:val="Subsection"/>
        <w:keepNext/>
      </w:pPr>
      <w:r>
        <w:tab/>
        <w:t>(1)</w:t>
      </w:r>
      <w:r>
        <w:tab/>
        <w:t>The State Emergency Coordinator must ensure that notice of a COVID</w:t>
      </w:r>
      <w:r>
        <w:noBreakHyphen/>
        <w:t xml:space="preserve">19 declaration, or a declaration under section 77E or 77F, is — </w:t>
      </w:r>
    </w:p>
    <w:p>
      <w:pPr>
        <w:pStyle w:val="Indenta"/>
      </w:pPr>
      <w:r>
        <w:tab/>
        <w:t>(a)</w:t>
      </w:r>
      <w:r>
        <w:tab/>
        <w:t>published for general information as soon as is practicable after the declaration is made, in any manner that the State Emergency Coordinator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 xml:space="preserve">The State Emergency Coordinator must also ensure that the following are published in any manner that the State Emergency Coordinator considers to be appropriate having regard to the circumstances and what is practicable — </w:t>
      </w:r>
    </w:p>
    <w:p>
      <w:pPr>
        <w:pStyle w:val="Indenta"/>
      </w:pPr>
      <w:r>
        <w:tab/>
        <w:t>(a)</w:t>
      </w:r>
      <w:r>
        <w:tab/>
        <w:t>the advice provided by the Chief Health Officer under section 77G(1)(b) in relation to the declaration;</w:t>
      </w:r>
    </w:p>
    <w:p>
      <w:pPr>
        <w:pStyle w:val="Indenta"/>
      </w:pPr>
      <w:r>
        <w:tab/>
        <w:t>(b)</w:t>
      </w:r>
      <w:r>
        <w:tab/>
        <w:t>any further statement of reasons for that advice provided by the Chief Health Officer under section 77G(4).</w:t>
      </w:r>
    </w:p>
    <w:p>
      <w:pPr>
        <w:pStyle w:val="Subsection"/>
      </w:pPr>
      <w:r>
        <w:tab/>
        <w:t>(3)</w:t>
      </w:r>
      <w:r>
        <w:tab/>
        <w:t>The advice referred to in subsection (2)(a) must be published as soon as is practicable after the declaration is made.</w:t>
      </w:r>
    </w:p>
    <w:p>
      <w:pPr>
        <w:pStyle w:val="Subsection"/>
      </w:pPr>
      <w:r>
        <w:tab/>
        <w:t>(4)</w:t>
      </w:r>
      <w:r>
        <w:tab/>
        <w:t>Any statement referred to in subsection (2)(b) must be published as soon as is practicable after it is provided to the State Emergency Coordinator.</w:t>
      </w:r>
    </w:p>
    <w:p>
      <w:pPr>
        <w:pStyle w:val="Subsection"/>
      </w:pPr>
      <w:r>
        <w:tab/>
        <w:t>(5)</w:t>
      </w:r>
      <w:r>
        <w:tab/>
        <w:t>A failure to publish a document in accordance with this section does not affect the validity of the declaration.</w:t>
      </w:r>
    </w:p>
    <w:p>
      <w:pPr>
        <w:pStyle w:val="Footnotesection"/>
      </w:pPr>
      <w:bookmarkStart w:id="412" w:name="_Toc117777786"/>
      <w:r>
        <w:tab/>
        <w:t>[Section 77H inserted: No. 33 of 2022 s. 7.]</w:t>
      </w:r>
    </w:p>
    <w:p>
      <w:pPr>
        <w:pStyle w:val="Heading3"/>
      </w:pPr>
      <w:bookmarkStart w:id="413" w:name="_Toc117779406"/>
      <w:bookmarkStart w:id="414" w:name="_Toc117845328"/>
      <w:bookmarkStart w:id="415" w:name="_Toc118299714"/>
      <w:bookmarkStart w:id="416" w:name="_Toc118300078"/>
      <w:bookmarkStart w:id="417" w:name="_Toc131502905"/>
      <w:bookmarkStart w:id="418" w:name="_Toc131503146"/>
      <w:bookmarkStart w:id="419" w:name="_Toc131513349"/>
      <w:bookmarkStart w:id="420" w:name="_Toc131513520"/>
      <w:r>
        <w:rPr>
          <w:rStyle w:val="CharDivNo"/>
        </w:rPr>
        <w:t>Division 3</w:t>
      </w:r>
      <w:r>
        <w:t> — </w:t>
      </w:r>
      <w:r>
        <w:rPr>
          <w:rStyle w:val="CharDivText"/>
        </w:rPr>
        <w:t>Authorised COVID</w:t>
      </w:r>
      <w:r>
        <w:rPr>
          <w:rStyle w:val="CharDivText"/>
        </w:rPr>
        <w:noBreakHyphen/>
        <w:t>19 officers</w:t>
      </w:r>
      <w:bookmarkEnd w:id="412"/>
      <w:bookmarkEnd w:id="413"/>
      <w:bookmarkEnd w:id="414"/>
      <w:bookmarkEnd w:id="415"/>
      <w:bookmarkEnd w:id="416"/>
      <w:bookmarkEnd w:id="417"/>
      <w:bookmarkEnd w:id="418"/>
      <w:bookmarkEnd w:id="419"/>
      <w:bookmarkEnd w:id="420"/>
    </w:p>
    <w:p>
      <w:pPr>
        <w:pStyle w:val="Footnoteheading"/>
        <w:keepNext/>
      </w:pPr>
      <w:bookmarkStart w:id="421" w:name="_Toc117777787"/>
      <w:r>
        <w:tab/>
        <w:t>[Heading inserted: No. 33 of 2022 s. 7.]</w:t>
      </w:r>
    </w:p>
    <w:p>
      <w:pPr>
        <w:pStyle w:val="Heading5"/>
      </w:pPr>
      <w:bookmarkStart w:id="422" w:name="_Toc131513521"/>
      <w:bookmarkStart w:id="423" w:name="_Toc118300079"/>
      <w:r>
        <w:rPr>
          <w:rStyle w:val="CharSectno"/>
        </w:rPr>
        <w:t>77I</w:t>
      </w:r>
      <w:r>
        <w:t>.</w:t>
      </w:r>
      <w:r>
        <w:tab/>
        <w:t>Authorised COVID</w:t>
      </w:r>
      <w:r>
        <w:noBreakHyphen/>
        <w:t>19 officers</w:t>
      </w:r>
      <w:bookmarkEnd w:id="421"/>
      <w:bookmarkEnd w:id="422"/>
      <w:bookmarkEnd w:id="423"/>
    </w:p>
    <w:p>
      <w:pPr>
        <w:pStyle w:val="Subsection"/>
      </w:pPr>
      <w:r>
        <w:tab/>
        <w:t>(1)</w:t>
      </w:r>
      <w:r>
        <w:tab/>
        <w:t>The State Emergency Coordinator may authorise persons to act as authorised COVID</w:t>
      </w:r>
      <w:r>
        <w:noBreakHyphen/>
        <w:t>19 officers while a COVID</w:t>
      </w:r>
      <w:r>
        <w:noBreakHyphen/>
        <w:t>19 declaration is in force.</w:t>
      </w:r>
    </w:p>
    <w:p>
      <w:pPr>
        <w:pStyle w:val="Subsection"/>
      </w:pPr>
      <w:r>
        <w:tab/>
        <w:t>(2)</w:t>
      </w:r>
      <w:r>
        <w:tab/>
        <w:t xml:space="preserve">An authorisation under subsection (1) must specify — </w:t>
      </w:r>
    </w:p>
    <w:p>
      <w:pPr>
        <w:pStyle w:val="Indenta"/>
      </w:pPr>
      <w:r>
        <w:tab/>
        <w:t>(a)</w:t>
      </w:r>
      <w:r>
        <w:tab/>
        <w:t>whether it applies to any COVID</w:t>
      </w:r>
      <w:r>
        <w:noBreakHyphen/>
        <w:t>19 declaration or is limited to 1 or more particular COVID</w:t>
      </w:r>
      <w:r>
        <w:noBreakHyphen/>
        <w:t>19 declarations;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must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An authorised COVID</w:t>
      </w:r>
      <w:r>
        <w:noBreakHyphen/>
        <w:t>19 officer may exercise a power under this Part only subject to the terms and conditions on which the person is authorised under this section.</w:t>
      </w:r>
    </w:p>
    <w:p>
      <w:pPr>
        <w:pStyle w:val="Subsection"/>
      </w:pPr>
      <w:r>
        <w:tab/>
        <w:t>(6)</w:t>
      </w:r>
      <w:r>
        <w:tab/>
        <w:t>An authorised COVID</w:t>
      </w:r>
      <w:r>
        <w:noBreakHyphen/>
        <w:t>19 officer must comply with directions of the State Emergency Coordinator when exercising a power under this Part.</w:t>
      </w:r>
    </w:p>
    <w:p>
      <w:pPr>
        <w:pStyle w:val="Footnotesection"/>
      </w:pPr>
      <w:bookmarkStart w:id="424" w:name="_Toc117777788"/>
      <w:r>
        <w:tab/>
        <w:t>[Section 77I inserted: No. 33 of 2022 s. 7.]</w:t>
      </w:r>
    </w:p>
    <w:p>
      <w:pPr>
        <w:pStyle w:val="Heading3"/>
      </w:pPr>
      <w:bookmarkStart w:id="425" w:name="_Toc117779408"/>
      <w:bookmarkStart w:id="426" w:name="_Toc117845330"/>
      <w:bookmarkStart w:id="427" w:name="_Toc118299716"/>
      <w:bookmarkStart w:id="428" w:name="_Toc118300080"/>
      <w:bookmarkStart w:id="429" w:name="_Toc131502907"/>
      <w:bookmarkStart w:id="430" w:name="_Toc131503148"/>
      <w:bookmarkStart w:id="431" w:name="_Toc131513351"/>
      <w:bookmarkStart w:id="432" w:name="_Toc131513522"/>
      <w:r>
        <w:rPr>
          <w:rStyle w:val="CharDivNo"/>
        </w:rPr>
        <w:t>Division 4</w:t>
      </w:r>
      <w:r>
        <w:t> — </w:t>
      </w:r>
      <w:r>
        <w:rPr>
          <w:rStyle w:val="CharDivText"/>
        </w:rPr>
        <w:t>Powers during COVID</w:t>
      </w:r>
      <w:r>
        <w:rPr>
          <w:rStyle w:val="CharDivText"/>
        </w:rPr>
        <w:noBreakHyphen/>
        <w:t>19 declaration</w:t>
      </w:r>
      <w:bookmarkEnd w:id="424"/>
      <w:bookmarkEnd w:id="425"/>
      <w:bookmarkEnd w:id="426"/>
      <w:bookmarkEnd w:id="427"/>
      <w:bookmarkEnd w:id="428"/>
      <w:bookmarkEnd w:id="429"/>
      <w:bookmarkEnd w:id="430"/>
      <w:bookmarkEnd w:id="431"/>
      <w:bookmarkEnd w:id="432"/>
    </w:p>
    <w:p>
      <w:pPr>
        <w:pStyle w:val="Footnoteheading"/>
        <w:keepNext/>
      </w:pPr>
      <w:bookmarkStart w:id="433" w:name="_Toc117777789"/>
      <w:r>
        <w:tab/>
        <w:t>[Heading inserted: No. 33 of 2022 s. 7.]</w:t>
      </w:r>
    </w:p>
    <w:p>
      <w:pPr>
        <w:pStyle w:val="Heading5"/>
      </w:pPr>
      <w:bookmarkStart w:id="434" w:name="_Toc131513523"/>
      <w:bookmarkStart w:id="435" w:name="_Toc118300081"/>
      <w:r>
        <w:rPr>
          <w:rStyle w:val="CharSectno"/>
        </w:rPr>
        <w:t>77J</w:t>
      </w:r>
      <w:r>
        <w:t>.</w:t>
      </w:r>
      <w:r>
        <w:tab/>
        <w:t>Matters that may be taken into account and consultation</w:t>
      </w:r>
      <w:bookmarkEnd w:id="433"/>
      <w:bookmarkEnd w:id="434"/>
      <w:bookmarkEnd w:id="435"/>
    </w:p>
    <w:p>
      <w:pPr>
        <w:pStyle w:val="Subsection"/>
      </w:pPr>
      <w:r>
        <w:tab/>
        <w:t>(1)</w:t>
      </w:r>
      <w:r>
        <w:tab/>
        <w:t>In exercising a power under this Division, the State Emergency Coordinator may, without limitation, take into account public health, social and economic considerations.</w:t>
      </w:r>
    </w:p>
    <w:p>
      <w:pPr>
        <w:pStyle w:val="Subsection"/>
      </w:pPr>
      <w:r>
        <w:tab/>
        <w:t>(2)</w:t>
      </w:r>
      <w:r>
        <w:tab/>
        <w:t>Before exercising a power under this Division, an authorised COVID</w:t>
      </w:r>
      <w:r>
        <w:noBreakHyphen/>
        <w:t xml:space="preserve">19 officer may consult with any of the following — </w:t>
      </w:r>
    </w:p>
    <w:p>
      <w:pPr>
        <w:pStyle w:val="Indenta"/>
      </w:pPr>
      <w:r>
        <w:tab/>
        <w:t>(a)</w:t>
      </w:r>
      <w:r>
        <w:tab/>
        <w:t>the Chief Health Officer;</w:t>
      </w:r>
    </w:p>
    <w:p>
      <w:pPr>
        <w:pStyle w:val="Indenta"/>
      </w:pPr>
      <w:r>
        <w:tab/>
        <w:t>(b)</w:t>
      </w:r>
      <w:r>
        <w:tab/>
        <w:t xml:space="preserve">the chief executive officer of the department of the Public Service principally assisting in the administration of the </w:t>
      </w:r>
      <w:r>
        <w:rPr>
          <w:i/>
        </w:rPr>
        <w:t>Public Health Act 2016</w:t>
      </w:r>
      <w:r>
        <w:t>;</w:t>
      </w:r>
    </w:p>
    <w:p>
      <w:pPr>
        <w:pStyle w:val="Indenta"/>
      </w:pPr>
      <w:r>
        <w:tab/>
        <w:t>(c)</w:t>
      </w:r>
      <w:r>
        <w:tab/>
        <w:t>any other person the authorised COVID</w:t>
      </w:r>
      <w:r>
        <w:noBreakHyphen/>
        <w:t>19 officer considers that it is appropriate to consult.</w:t>
      </w:r>
    </w:p>
    <w:p>
      <w:pPr>
        <w:pStyle w:val="Footnotesection"/>
      </w:pPr>
      <w:bookmarkStart w:id="436" w:name="_Toc117777790"/>
      <w:r>
        <w:tab/>
        <w:t>[Section 77J inserted: No. 33 of 2022 s. 7.]</w:t>
      </w:r>
    </w:p>
    <w:p>
      <w:pPr>
        <w:pStyle w:val="Heading5"/>
      </w:pPr>
      <w:bookmarkStart w:id="437" w:name="_Toc131513524"/>
      <w:bookmarkStart w:id="438" w:name="_Toc118300082"/>
      <w:r>
        <w:rPr>
          <w:rStyle w:val="CharSectno"/>
        </w:rPr>
        <w:t>77K</w:t>
      </w:r>
      <w:r>
        <w:t>.</w:t>
      </w:r>
      <w:r>
        <w:tab/>
        <w:t>Obtaining identifying particulars</w:t>
      </w:r>
      <w:bookmarkEnd w:id="436"/>
      <w:bookmarkEnd w:id="437"/>
      <w:bookmarkEnd w:id="438"/>
    </w:p>
    <w:p>
      <w:pPr>
        <w:pStyle w:val="Subsection"/>
      </w:pPr>
      <w:r>
        <w:tab/>
        <w:t>(1)</w:t>
      </w:r>
      <w:r>
        <w:tab/>
        <w:t>The office of authorised COVID</w:t>
      </w:r>
      <w:r>
        <w:noBreakHyphen/>
        <w:t xml:space="preserve">19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while a COVID</w:t>
      </w:r>
      <w:r>
        <w:noBreakHyphen/>
        <w:t>19 declaration is in force.</w:t>
      </w:r>
    </w:p>
    <w:p>
      <w:pPr>
        <w:pStyle w:val="Subsection"/>
      </w:pPr>
      <w:r>
        <w:tab/>
        <w:t>(2)</w:t>
      </w:r>
      <w:r>
        <w:tab/>
        <w:t>Without limiting subsection (1), an authorised COVID</w:t>
      </w:r>
      <w:r>
        <w:noBreakHyphen/>
        <w:t>19 officer may, where reasonably required for the purposes of COVID</w:t>
      </w:r>
      <w:r>
        <w:noBreakHyphen/>
        <w:t>19 management while a COVID</w:t>
      </w:r>
      <w:r>
        <w:noBreakHyphen/>
        <w:t>19 declaration is in force, request a person to give the officer any or all of the person’s personal details.</w:t>
      </w:r>
    </w:p>
    <w:p>
      <w:pPr>
        <w:pStyle w:val="Subsection"/>
      </w:pPr>
      <w:r>
        <w:tab/>
        <w:t>(3)</w:t>
      </w:r>
      <w:r>
        <w:tab/>
        <w:t>If, while a COVID</w:t>
      </w:r>
      <w:r>
        <w:noBreakHyphen/>
        <w:t>19 declaration is in force, an authorised COVID</w:t>
      </w:r>
      <w:r>
        <w:noBreakHyphen/>
        <w:t>19 officer reasonably suspects that a personal detail given by a person in response to a request under subsection (2) is false, the officer may request the person to produce evidence of the correctness of the detail.</w:t>
      </w:r>
    </w:p>
    <w:p>
      <w:pPr>
        <w:pStyle w:val="Footnotesection"/>
      </w:pPr>
      <w:bookmarkStart w:id="439" w:name="_Toc117777791"/>
      <w:r>
        <w:tab/>
        <w:t>[Section 77K inserted: No. 33 of 2022 s. 7.]</w:t>
      </w:r>
    </w:p>
    <w:p>
      <w:pPr>
        <w:pStyle w:val="Heading5"/>
      </w:pPr>
      <w:bookmarkStart w:id="440" w:name="_Toc131513525"/>
      <w:bookmarkStart w:id="441" w:name="_Toc118300083"/>
      <w:r>
        <w:rPr>
          <w:rStyle w:val="CharSectno"/>
        </w:rPr>
        <w:t>77L</w:t>
      </w:r>
      <w:r>
        <w:t>.</w:t>
      </w:r>
      <w:r>
        <w:tab/>
        <w:t>Powers concerning movement and evacuation</w:t>
      </w:r>
      <w:bookmarkEnd w:id="439"/>
      <w:bookmarkEnd w:id="440"/>
      <w:bookmarkEnd w:id="441"/>
    </w:p>
    <w:p>
      <w:pPr>
        <w:pStyle w:val="Subsection"/>
      </w:pPr>
      <w:r>
        <w:tab/>
      </w:r>
      <w:r>
        <w:tab/>
        <w:t>For the purposes of COVID</w:t>
      </w:r>
      <w:r>
        <w:noBreakHyphen/>
        <w:t>19 management while a COVID</w:t>
      </w:r>
      <w:r>
        <w:noBreakHyphen/>
        <w:t>19 declaration is in force, an authorised COVID</w:t>
      </w:r>
      <w:r>
        <w:noBreakHyphen/>
        <w:t xml:space="preserve">19 officer may do all or any of the following — </w:t>
      </w:r>
    </w:p>
    <w:p>
      <w:pPr>
        <w:pStyle w:val="Indenta"/>
      </w:pPr>
      <w:r>
        <w:tab/>
        <w:t>(a)</w:t>
      </w:r>
      <w:r>
        <w:tab/>
        <w:t>direct or, by direction, prohibit, the movement of persons and vehicles within, into, out of or around the declaration area or any part of the declaration area;</w:t>
      </w:r>
    </w:p>
    <w:p>
      <w:pPr>
        <w:pStyle w:val="Indenta"/>
      </w:pPr>
      <w:r>
        <w:tab/>
        <w:t>(b)</w:t>
      </w:r>
      <w:r>
        <w:tab/>
        <w:t>direct the evacuation and removal of persons from the declaration area or any part of the declaration area;</w:t>
      </w:r>
    </w:p>
    <w:p>
      <w:pPr>
        <w:pStyle w:val="Indenta"/>
      </w:pPr>
      <w:r>
        <w:tab/>
        <w:t>(c)</w:t>
      </w:r>
      <w:r>
        <w:tab/>
        <w:t>close any road, access route or area of water in or leading to the declaration area;</w:t>
      </w:r>
    </w:p>
    <w:p>
      <w:pPr>
        <w:pStyle w:val="Indenta"/>
      </w:pPr>
      <w:r>
        <w:tab/>
        <w:t>(d)</w:t>
      </w:r>
      <w:r>
        <w:tab/>
        <w:t>direct that any road, access route or area of water in or leading to the declaration area be closed.</w:t>
      </w:r>
    </w:p>
    <w:p>
      <w:pPr>
        <w:pStyle w:val="Footnotesection"/>
      </w:pPr>
      <w:bookmarkStart w:id="442" w:name="_Toc117777792"/>
      <w:r>
        <w:tab/>
        <w:t>[Section 77L inserted: No. 33 of 2022 s. 7.]</w:t>
      </w:r>
    </w:p>
    <w:p>
      <w:pPr>
        <w:pStyle w:val="Heading5"/>
      </w:pPr>
      <w:bookmarkStart w:id="443" w:name="_Toc131513526"/>
      <w:bookmarkStart w:id="444" w:name="_Toc118300084"/>
      <w:r>
        <w:rPr>
          <w:rStyle w:val="CharSectno"/>
        </w:rPr>
        <w:t>77M</w:t>
      </w:r>
      <w:r>
        <w:t>.</w:t>
      </w:r>
      <w:r>
        <w:tab/>
        <w:t>Powers to control and use property and related powers</w:t>
      </w:r>
      <w:bookmarkEnd w:id="442"/>
      <w:bookmarkEnd w:id="443"/>
      <w:bookmarkEnd w:id="444"/>
    </w:p>
    <w:p>
      <w:pPr>
        <w:pStyle w:val="Subsection"/>
      </w:pPr>
      <w:r>
        <w:tab/>
        <w:t>(1)</w:t>
      </w:r>
      <w:r>
        <w:tab/>
        <w:t>For the purposes of COVID</w:t>
      </w:r>
      <w:r>
        <w:noBreakHyphen/>
        <w:t>19 management while a COVID</w:t>
      </w:r>
      <w:r>
        <w:noBreakHyphen/>
        <w:t>19 declaration is in force, an authorised COVID</w:t>
      </w:r>
      <w:r>
        <w:noBreakHyphen/>
        <w:t>19 officer may take control of or make use of any place, vehicle or other thing.</w:t>
      </w:r>
    </w:p>
    <w:p>
      <w:pPr>
        <w:pStyle w:val="Subsection"/>
      </w:pPr>
      <w:r>
        <w:tab/>
        <w:t>(2)</w:t>
      </w:r>
      <w:r>
        <w:tab/>
        <w:t>The place, vehicle or other thing may be in, or outside, the declaration area.</w:t>
      </w:r>
    </w:p>
    <w:p>
      <w:pPr>
        <w:pStyle w:val="Subsection"/>
      </w:pPr>
      <w:r>
        <w:tab/>
        <w:t>(3)</w:t>
      </w:r>
      <w:r>
        <w:tab/>
        <w:t>For the purposes of exercising a power under subsection (1), an authorised COVID</w:t>
      </w:r>
      <w:r>
        <w:noBreakHyphen/>
        <w:t>19 officer may enter, or if necessary break into and enter, any place or vehicle.</w:t>
      </w:r>
    </w:p>
    <w:p>
      <w:pPr>
        <w:pStyle w:val="Subsection"/>
      </w:pPr>
      <w:r>
        <w:tab/>
        <w:t>(4)</w:t>
      </w:r>
      <w:r>
        <w:tab/>
        <w:t>An authorised COVID</w:t>
      </w:r>
      <w:r>
        <w:noBreakHyphen/>
        <w:t>19 officer may direct the owner or occupier, or the person apparently in charge, of a place, vehicle or other thing to give the authorised COVID</w:t>
      </w:r>
      <w:r>
        <w:noBreakHyphen/>
        <w:t>19 officer reasonable assistance to exercise the officer’s powers under this section.</w:t>
      </w:r>
    </w:p>
    <w:p>
      <w:pPr>
        <w:pStyle w:val="Subsection"/>
      </w:pPr>
      <w:r>
        <w:tab/>
        <w:t>(5)</w:t>
      </w:r>
      <w:r>
        <w:tab/>
        <w:t>An authorised COVID</w:t>
      </w:r>
      <w:r>
        <w:noBreakHyphen/>
        <w:t>19 officer may exercise the powers under this section without a warrant or the consent of the owner or occupier, or the person apparently in charge, of the place, vehicle or other thing.</w:t>
      </w:r>
    </w:p>
    <w:p>
      <w:pPr>
        <w:pStyle w:val="Subsection"/>
      </w:pPr>
      <w:r>
        <w:tab/>
        <w:t>(6)</w:t>
      </w:r>
      <w:r>
        <w:tab/>
        <w:t>If an authorised COVID</w:t>
      </w:r>
      <w:r>
        <w:noBreakHyphen/>
        <w:t>19 officer takes control of or makes use of any place, vehicle or other thing under this section, the authorised COVID</w:t>
      </w:r>
      <w:r>
        <w:noBreakHyphen/>
        <w:t xml:space="preserve">19 officer must ensure that, as soon as is reasonably practicable in the circumstances and no later than 7 days after the place, vehicle or thing is taken control of or made use of, a notice is given to the owner or occupier, or the person formerly in charge, of the place, vehicle or thing stating — </w:t>
      </w:r>
    </w:p>
    <w:p>
      <w:pPr>
        <w:pStyle w:val="Indenta"/>
      </w:pPr>
      <w:r>
        <w:tab/>
        <w:t>(a)</w:t>
      </w:r>
      <w:r>
        <w:tab/>
        <w:t>that the place, vehicle or thing has been taken control of or made use of under this section; and</w:t>
      </w:r>
    </w:p>
    <w:p>
      <w:pPr>
        <w:pStyle w:val="Indenta"/>
      </w:pPr>
      <w:r>
        <w:tab/>
        <w:t>(b)</w:t>
      </w:r>
      <w:r>
        <w:tab/>
        <w:t>the name of the authorised COVID</w:t>
      </w:r>
      <w:r>
        <w:noBreakHyphen/>
        <w:t>19 officer who has taken control of or made use of the place, vehicle or thing.</w:t>
      </w:r>
    </w:p>
    <w:p>
      <w:pPr>
        <w:pStyle w:val="Footnotesection"/>
      </w:pPr>
      <w:bookmarkStart w:id="445" w:name="_Toc117777793"/>
      <w:r>
        <w:tab/>
        <w:t>[Section 77M inserted: No. 33 of 2022 s. 7.]</w:t>
      </w:r>
    </w:p>
    <w:p>
      <w:pPr>
        <w:pStyle w:val="Heading5"/>
      </w:pPr>
      <w:bookmarkStart w:id="446" w:name="_Toc131513527"/>
      <w:bookmarkStart w:id="447" w:name="_Toc118300085"/>
      <w:r>
        <w:rPr>
          <w:rStyle w:val="CharSectno"/>
        </w:rPr>
        <w:t>77N</w:t>
      </w:r>
      <w:r>
        <w:t>.</w:t>
      </w:r>
      <w:r>
        <w:tab/>
        <w:t>Powers of officers in relation to persons exposed to SARS</w:t>
      </w:r>
      <w:r>
        <w:noBreakHyphen/>
        <w:t>CoV</w:t>
      </w:r>
      <w:r>
        <w:noBreakHyphen/>
        <w:t>2 virus</w:t>
      </w:r>
      <w:bookmarkEnd w:id="445"/>
      <w:bookmarkEnd w:id="446"/>
      <w:bookmarkEnd w:id="447"/>
    </w:p>
    <w:p>
      <w:pPr>
        <w:pStyle w:val="Subsection"/>
      </w:pPr>
      <w:r>
        <w:tab/>
        <w:t>(1)</w:t>
      </w:r>
      <w:r>
        <w:tab/>
        <w:t>While a COVID</w:t>
      </w:r>
      <w:r>
        <w:noBreakHyphen/>
        <w:t>19 declaration is in force, for the purpose of limiting the spread of the SARS</w:t>
      </w:r>
      <w:r>
        <w:noBreakHyphen/>
        <w:t>CoV</w:t>
      </w:r>
      <w:r>
        <w:noBreakHyphen/>
        <w:t>2 virus, an authorised COVID</w:t>
      </w:r>
      <w:r>
        <w:noBreakHyphen/>
        <w:t>19 officer may direct any person who has been exposed, or any class of person who may have been exposed, to the SARS</w:t>
      </w:r>
      <w:r>
        <w:noBreakHyphen/>
        <w:t>CoV</w:t>
      </w:r>
      <w:r>
        <w:noBreakHyphen/>
        <w:t xml:space="preserve">2 virus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infection prevention and control procedures within such reasonable period, and in such reasonable manner, as is specified by the officer.</w:t>
      </w:r>
    </w:p>
    <w:p>
      <w:pPr>
        <w:pStyle w:val="Subsection"/>
      </w:pPr>
      <w:r>
        <w:tab/>
        <w:t>(2)</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w:t>
      </w:r>
    </w:p>
    <w:p>
      <w:pPr>
        <w:pStyle w:val="Footnotesection"/>
      </w:pPr>
      <w:bookmarkStart w:id="448" w:name="_Toc117777794"/>
      <w:r>
        <w:tab/>
        <w:t>[Section 77N inserted: No. 33 of 2022 s. 7.]</w:t>
      </w:r>
    </w:p>
    <w:p>
      <w:pPr>
        <w:pStyle w:val="Heading5"/>
      </w:pPr>
      <w:bookmarkStart w:id="449" w:name="_Toc131513528"/>
      <w:bookmarkStart w:id="450" w:name="_Toc118300086"/>
      <w:r>
        <w:rPr>
          <w:rStyle w:val="CharSectno"/>
        </w:rPr>
        <w:t>77O</w:t>
      </w:r>
      <w:r>
        <w:t>.</w:t>
      </w:r>
      <w:r>
        <w:tab/>
        <w:t>Powers of police to direct closure of places and concerning movement and evacuation</w:t>
      </w:r>
      <w:bookmarkEnd w:id="448"/>
      <w:bookmarkEnd w:id="449"/>
      <w:bookmarkEnd w:id="450"/>
    </w:p>
    <w:p>
      <w:pPr>
        <w:pStyle w:val="Subsection"/>
      </w:pPr>
      <w:r>
        <w:tab/>
        <w:t>(1)</w:t>
      </w:r>
      <w:r>
        <w:tab/>
        <w:t>For the purposes of COVID</w:t>
      </w:r>
      <w:r>
        <w:noBreakHyphen/>
        <w:t>19 management while a COVID</w:t>
      </w:r>
      <w:r>
        <w:noBreakHyphen/>
        <w:t>19 declaration is in force, a police officer may direct the owner, occupier or the person apparently in charge of any place of business, worship or entertainment in the declaration area to close that place to the public for the period specified in the direction.</w:t>
      </w:r>
    </w:p>
    <w:p>
      <w:pPr>
        <w:pStyle w:val="Subsection"/>
      </w:pPr>
      <w:r>
        <w:tab/>
        <w:t>(2)</w:t>
      </w:r>
      <w:r>
        <w:tab/>
        <w:t>A direction under subsection (1) may be given in relation to a class of place.</w:t>
      </w:r>
    </w:p>
    <w:p>
      <w:pPr>
        <w:pStyle w:val="Subsection"/>
      </w:pPr>
      <w:r>
        <w:tab/>
        <w:t>(3)</w:t>
      </w:r>
      <w:r>
        <w:tab/>
        <w:t>Subject to subsection (4), while a COVID</w:t>
      </w:r>
      <w:r>
        <w:noBreakHyphen/>
        <w:t>19 declaration is in force a police officer may exercise any of the powers of an authorised COVID</w:t>
      </w:r>
      <w:r>
        <w:noBreakHyphen/>
        <w:t>19 officer under section 77L.</w:t>
      </w:r>
    </w:p>
    <w:p>
      <w:pPr>
        <w:pStyle w:val="Subsection"/>
      </w:pPr>
      <w:r>
        <w:tab/>
        <w:t>(4)</w:t>
      </w:r>
      <w:r>
        <w:tab/>
        <w:t xml:space="preserve">A police officer must not exercise a power under subsection (3) in a manner that is contrary to or in conflict with — </w:t>
      </w:r>
    </w:p>
    <w:p>
      <w:pPr>
        <w:pStyle w:val="Indenta"/>
      </w:pPr>
      <w:r>
        <w:tab/>
        <w:t>(a)</w:t>
      </w:r>
      <w:r>
        <w:tab/>
        <w:t>a direction given to the police officer by the State Emergency Coordinator; or</w:t>
      </w:r>
    </w:p>
    <w:p>
      <w:pPr>
        <w:pStyle w:val="Indenta"/>
      </w:pPr>
      <w:r>
        <w:tab/>
        <w:t>(b)</w:t>
      </w:r>
      <w:r>
        <w:tab/>
        <w:t>the exercise of a power by an authorised COVID</w:t>
      </w:r>
      <w:r>
        <w:noBreakHyphen/>
        <w:t>19 officer under section 77L.</w:t>
      </w:r>
    </w:p>
    <w:p>
      <w:pPr>
        <w:pStyle w:val="Subsection"/>
      </w:pPr>
      <w:r>
        <w:tab/>
        <w:t>(5)</w:t>
      </w:r>
      <w:r>
        <w:tab/>
        <w:t>When exercising powers under this section a police officer has all the immunities of an authorised COVID</w:t>
      </w:r>
      <w:r>
        <w:noBreakHyphen/>
        <w:t>19 officer.</w:t>
      </w:r>
    </w:p>
    <w:p>
      <w:pPr>
        <w:pStyle w:val="Footnotesection"/>
      </w:pPr>
      <w:bookmarkStart w:id="451" w:name="_Toc117777795"/>
      <w:r>
        <w:tab/>
        <w:t>[Section 77O inserted: No. 33 of 2022 s. 7.]</w:t>
      </w:r>
    </w:p>
    <w:p>
      <w:pPr>
        <w:pStyle w:val="Heading5"/>
      </w:pPr>
      <w:bookmarkStart w:id="452" w:name="_Toc131513529"/>
      <w:bookmarkStart w:id="453" w:name="_Toc118300087"/>
      <w:r>
        <w:rPr>
          <w:rStyle w:val="CharSectno"/>
        </w:rPr>
        <w:t>77P</w:t>
      </w:r>
      <w:r>
        <w:t>.</w:t>
      </w:r>
      <w:r>
        <w:tab/>
        <w:t>Exchange of information</w:t>
      </w:r>
      <w:bookmarkEnd w:id="451"/>
      <w:bookmarkEnd w:id="452"/>
      <w:bookmarkEnd w:id="453"/>
    </w:p>
    <w:p>
      <w:pPr>
        <w:pStyle w:val="Subsection"/>
        <w:keepNext/>
      </w:pPr>
      <w:r>
        <w:tab/>
        <w:t>(1)</w:t>
      </w:r>
      <w:r>
        <w:tab/>
        <w:t xml:space="preserve">In this section — </w:t>
      </w:r>
    </w:p>
    <w:p>
      <w:pPr>
        <w:pStyle w:val="Defstart"/>
      </w:pPr>
      <w:r>
        <w:tab/>
      </w:r>
      <w:r>
        <w:rPr>
          <w:rStyle w:val="CharDefText"/>
        </w:rPr>
        <w:t>relevant information</w:t>
      </w:r>
      <w:r>
        <w:t xml:space="preserve"> means the following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about any recent travel undertaken by a person;</w:t>
      </w:r>
    </w:p>
    <w:p>
      <w:pPr>
        <w:pStyle w:val="Defpara"/>
      </w:pPr>
      <w:r>
        <w:tab/>
        <w:t>(e)</w:t>
      </w:r>
      <w:r>
        <w:tab/>
        <w:t>information about persons with whom a person has been in close contact;</w:t>
      </w:r>
    </w:p>
    <w:p>
      <w:pPr>
        <w:pStyle w:val="Defpara"/>
      </w:pPr>
      <w:r>
        <w:tab/>
        <w:t>(f)</w:t>
      </w:r>
      <w:r>
        <w:tab/>
        <w:t>information of a kind prescribed by the regulations;</w:t>
      </w:r>
    </w:p>
    <w:p>
      <w:pPr>
        <w:pStyle w:val="Defstart"/>
      </w:pPr>
      <w:r>
        <w:rPr>
          <w:b/>
        </w:rPr>
        <w:tab/>
      </w:r>
      <w:r>
        <w:rPr>
          <w:rStyle w:val="CharDefText"/>
        </w:rPr>
        <w:t>welfare services</w:t>
      </w:r>
      <w:r>
        <w:t xml:space="preserve"> means the provision of the following for persons affected by COVID</w:t>
      </w:r>
      <w:r>
        <w:noBreakHyphen/>
        <w:t xml:space="preserve">19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financial assistance.</w:t>
      </w:r>
    </w:p>
    <w:p>
      <w:pPr>
        <w:pStyle w:val="Subsection"/>
      </w:pPr>
      <w:r>
        <w:tab/>
        <w:t>(2)</w:t>
      </w:r>
      <w:r>
        <w:tab/>
        <w:t>For the purposes of COVID</w:t>
      </w:r>
      <w:r>
        <w:noBreakHyphen/>
        <w:t>19 management while a COVID</w:t>
      </w:r>
      <w:r>
        <w:noBreakHyphen/>
        <w:t xml:space="preserve">19 declaration is in force — </w:t>
      </w:r>
    </w:p>
    <w:p>
      <w:pPr>
        <w:pStyle w:val="Indenta"/>
      </w:pPr>
      <w:r>
        <w:tab/>
        <w:t>(a)</w:t>
      </w:r>
      <w:r>
        <w:tab/>
        <w:t>an authorised COVID</w:t>
      </w:r>
      <w:r>
        <w:noBreakHyphen/>
        <w:t xml:space="preserve">19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For the purposes of COVID</w:t>
      </w:r>
      <w:r>
        <w:noBreakHyphen/>
        <w:t>19 management while a COVID</w:t>
      </w:r>
      <w:r>
        <w:noBreakHyphen/>
        <w:t>19 declaration is in force, an authorised COVID</w:t>
      </w:r>
      <w:r>
        <w:noBreakHyphen/>
        <w:t>19 officer may request an emergency management agency that holds relevant information to disclose the information to the authorised COVID</w:t>
      </w:r>
      <w:r>
        <w:noBreakHyphen/>
        <w:t>19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bookmarkStart w:id="454" w:name="_Toc117777796"/>
      <w:r>
        <w:tab/>
        <w:t>[Section 77P inserted: No. 33 of 2022 s. 7.]</w:t>
      </w:r>
    </w:p>
    <w:p>
      <w:pPr>
        <w:pStyle w:val="Heading5"/>
      </w:pPr>
      <w:bookmarkStart w:id="455" w:name="_Toc131513530"/>
      <w:bookmarkStart w:id="456" w:name="_Toc118300088"/>
      <w:r>
        <w:rPr>
          <w:rStyle w:val="CharSectno"/>
        </w:rPr>
        <w:t>77Q</w:t>
      </w:r>
      <w:r>
        <w:t>.</w:t>
      </w:r>
      <w:r>
        <w:tab/>
        <w:t>General powers during COVID</w:t>
      </w:r>
      <w:r>
        <w:noBreakHyphen/>
        <w:t>19 declaration</w:t>
      </w:r>
      <w:bookmarkEnd w:id="454"/>
      <w:bookmarkEnd w:id="455"/>
      <w:bookmarkEnd w:id="456"/>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77P(1); or</w:t>
      </w:r>
    </w:p>
    <w:p>
      <w:pPr>
        <w:pStyle w:val="Defpara"/>
      </w:pPr>
      <w:r>
        <w:tab/>
        <w:t>(b)</w:t>
      </w:r>
      <w:r>
        <w:tab/>
        <w:t>information of a kind specified by the State Emergency Coordinator as relevant to COVID</w:t>
      </w:r>
      <w:r>
        <w:noBreakHyphen/>
        <w:t>19 management.</w:t>
      </w:r>
    </w:p>
    <w:p>
      <w:pPr>
        <w:pStyle w:val="Subsection"/>
      </w:pPr>
      <w:r>
        <w:tab/>
        <w:t>(2)</w:t>
      </w:r>
      <w:r>
        <w:tab/>
        <w:t>While a COVID</w:t>
      </w:r>
      <w:r>
        <w:noBreakHyphen/>
        <w:t>19 declaration is in force, an authorised COVID</w:t>
      </w:r>
      <w:r>
        <w:noBreakHyphen/>
        <w:t>19 officer may take, or direct a person or a class of person to take, any action that the officer considers is reasonably necessary to prevent, control or abate risks associated with COVID</w:t>
      </w:r>
      <w:r>
        <w:noBreakHyphen/>
        <w:t>19.</w:t>
      </w:r>
    </w:p>
    <w:p>
      <w:pPr>
        <w:pStyle w:val="Subsection"/>
      </w:pPr>
      <w:r>
        <w:tab/>
        <w:t>(3)</w:t>
      </w:r>
      <w:r>
        <w:tab/>
        <w:t>For the purposes of COVID</w:t>
      </w:r>
      <w:r>
        <w:noBreakHyphen/>
        <w:t>19 management while a COVID</w:t>
      </w:r>
      <w:r>
        <w:noBreakHyphen/>
        <w:t>19 declaration is in force, an authorised COVID</w:t>
      </w:r>
      <w:r>
        <w:noBreakHyphen/>
        <w:t xml:space="preserve">19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Subsection"/>
        <w:keepNext/>
      </w:pPr>
      <w:r>
        <w:tab/>
        <w:t>(6)</w:t>
      </w:r>
      <w:r>
        <w:tab/>
        <w:t>The powers conferred by this section are in addition to the powers conferred by sections 77K to 77P and nothing in those sections or in Part 6 limits the powers conferred by this section.</w:t>
      </w:r>
    </w:p>
    <w:p>
      <w:pPr>
        <w:pStyle w:val="Footnotesection"/>
      </w:pPr>
      <w:bookmarkStart w:id="457" w:name="_Toc117777797"/>
      <w:r>
        <w:tab/>
        <w:t>[Section 77Q inserted: No. 33 of 2022 s. 7.]</w:t>
      </w:r>
    </w:p>
    <w:p>
      <w:pPr>
        <w:pStyle w:val="Heading5"/>
      </w:pPr>
      <w:bookmarkStart w:id="458" w:name="_Toc131513531"/>
      <w:bookmarkStart w:id="459" w:name="_Toc118300089"/>
      <w:r>
        <w:rPr>
          <w:rStyle w:val="CharSectno"/>
        </w:rPr>
        <w:t>77R</w:t>
      </w:r>
      <w:r>
        <w:t>.</w:t>
      </w:r>
      <w:r>
        <w:tab/>
        <w:t>Powers under this Division cannot be exercised to effect interstate border closure</w:t>
      </w:r>
      <w:bookmarkEnd w:id="457"/>
      <w:bookmarkEnd w:id="458"/>
      <w:bookmarkEnd w:id="459"/>
    </w:p>
    <w:p>
      <w:pPr>
        <w:pStyle w:val="Subsection"/>
      </w:pPr>
      <w:r>
        <w:tab/>
        <w:t>(1)</w:t>
      </w:r>
      <w:r>
        <w:tab/>
        <w:t>A power under this Division cannot be exercised —</w:t>
      </w:r>
    </w:p>
    <w:p>
      <w:pPr>
        <w:pStyle w:val="Indenta"/>
      </w:pPr>
      <w:r>
        <w:tab/>
        <w:t>(a)</w:t>
      </w:r>
      <w:r>
        <w:tab/>
        <w:t>to prohibit or prevent persons from entering the State from any other State or any Territory; or</w:t>
      </w:r>
    </w:p>
    <w:p>
      <w:pPr>
        <w:pStyle w:val="Indenta"/>
      </w:pPr>
      <w:r>
        <w:tab/>
        <w:t>(b)</w:t>
      </w:r>
      <w:r>
        <w:tab/>
        <w:t>to require persons to make an application, or obtain a pass or permit, to enter the State from any other State or any Territory.</w:t>
      </w:r>
    </w:p>
    <w:p>
      <w:pPr>
        <w:pStyle w:val="Subsection"/>
      </w:pPr>
      <w:r>
        <w:tab/>
        <w:t>(2)</w:t>
      </w:r>
      <w:r>
        <w:tab/>
        <w:t>Subsection (1) applies whether or not the exercise of the power is subject to exceptions or applies only to a class of persons entering from the other State or Territory (for example, to persons entering from a particular area of the other State or Territory).</w:t>
      </w:r>
    </w:p>
    <w:p>
      <w:pPr>
        <w:pStyle w:val="Subsection"/>
      </w:pPr>
      <w:r>
        <w:tab/>
        <w:t>(3)</w:t>
      </w:r>
      <w:r>
        <w:tab/>
        <w:t>Nothing in this section affects the powers that can be exercised under Part 6 during an emergency situation or state of emergency.</w:t>
      </w:r>
    </w:p>
    <w:p>
      <w:pPr>
        <w:pStyle w:val="Footnotesection"/>
      </w:pPr>
      <w:bookmarkStart w:id="460" w:name="_Toc117777798"/>
      <w:r>
        <w:tab/>
        <w:t>[Section 77R inserted: No. 33 of 2022 s. 7.]</w:t>
      </w:r>
    </w:p>
    <w:p>
      <w:pPr>
        <w:pStyle w:val="Heading3"/>
      </w:pPr>
      <w:bookmarkStart w:id="461" w:name="_Toc117779418"/>
      <w:bookmarkStart w:id="462" w:name="_Toc117845340"/>
      <w:bookmarkStart w:id="463" w:name="_Toc118299726"/>
      <w:bookmarkStart w:id="464" w:name="_Toc118300090"/>
      <w:bookmarkStart w:id="465" w:name="_Toc131502917"/>
      <w:bookmarkStart w:id="466" w:name="_Toc131503158"/>
      <w:bookmarkStart w:id="467" w:name="_Toc131513361"/>
      <w:bookmarkStart w:id="468" w:name="_Toc131513532"/>
      <w:r>
        <w:rPr>
          <w:rStyle w:val="CharDivNo"/>
        </w:rPr>
        <w:t>Division 5</w:t>
      </w:r>
      <w:r>
        <w:t> — </w:t>
      </w:r>
      <w:r>
        <w:rPr>
          <w:rStyle w:val="CharDivText"/>
        </w:rPr>
        <w:t>Miscellaneous</w:t>
      </w:r>
      <w:bookmarkEnd w:id="460"/>
      <w:bookmarkEnd w:id="461"/>
      <w:bookmarkEnd w:id="462"/>
      <w:bookmarkEnd w:id="463"/>
      <w:bookmarkEnd w:id="464"/>
      <w:bookmarkEnd w:id="465"/>
      <w:bookmarkEnd w:id="466"/>
      <w:bookmarkEnd w:id="467"/>
      <w:bookmarkEnd w:id="468"/>
    </w:p>
    <w:p>
      <w:pPr>
        <w:pStyle w:val="Footnoteheading"/>
        <w:keepNext/>
      </w:pPr>
      <w:bookmarkStart w:id="469" w:name="_Toc117777799"/>
      <w:r>
        <w:tab/>
        <w:t>[Heading inserted: No. 33 of 2022 s. 7.]</w:t>
      </w:r>
    </w:p>
    <w:p>
      <w:pPr>
        <w:pStyle w:val="Heading5"/>
      </w:pPr>
      <w:bookmarkStart w:id="470" w:name="_Toc131513533"/>
      <w:bookmarkStart w:id="471" w:name="_Toc118300091"/>
      <w:r>
        <w:rPr>
          <w:rStyle w:val="CharSectno"/>
        </w:rPr>
        <w:t>77S</w:t>
      </w:r>
      <w:r>
        <w:t>.</w:t>
      </w:r>
      <w:r>
        <w:tab/>
        <w:t>General provisions regarding powers</w:t>
      </w:r>
      <w:bookmarkEnd w:id="469"/>
      <w:bookmarkEnd w:id="470"/>
      <w:bookmarkEnd w:id="471"/>
    </w:p>
    <w:p>
      <w:pPr>
        <w:pStyle w:val="Subsection"/>
      </w:pPr>
      <w:r>
        <w:tab/>
        <w:t>(1)</w:t>
      </w:r>
      <w:r>
        <w:tab/>
        <w:t xml:space="preserve">In this section — </w:t>
      </w:r>
    </w:p>
    <w:p>
      <w:pPr>
        <w:pStyle w:val="Defstart"/>
      </w:pPr>
      <w:r>
        <w:rPr>
          <w:b/>
        </w:rPr>
        <w:tab/>
      </w:r>
      <w:r>
        <w:rPr>
          <w:rStyle w:val="CharDefText"/>
        </w:rPr>
        <w:t>officer</w:t>
      </w:r>
      <w:r>
        <w:t xml:space="preserve"> means an authorised COVID</w:t>
      </w:r>
      <w:r>
        <w:noBreakHyphen/>
        <w:t>19 officer or a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Footnotesection"/>
      </w:pPr>
      <w:bookmarkStart w:id="472" w:name="_Toc117777800"/>
      <w:r>
        <w:tab/>
        <w:t>[Section 77S inserted: No. 33 of 2022 s. 7.]</w:t>
      </w:r>
    </w:p>
    <w:p>
      <w:pPr>
        <w:pStyle w:val="Heading5"/>
      </w:pPr>
      <w:bookmarkStart w:id="473" w:name="_Toc131513534"/>
      <w:bookmarkStart w:id="474" w:name="_Toc118300092"/>
      <w:r>
        <w:rPr>
          <w:rStyle w:val="CharSectno"/>
        </w:rPr>
        <w:t>77T</w:t>
      </w:r>
      <w:r>
        <w:t>.</w:t>
      </w:r>
      <w:r>
        <w:tab/>
        <w:t>General provisions regarding directions</w:t>
      </w:r>
      <w:bookmarkEnd w:id="472"/>
      <w:bookmarkEnd w:id="473"/>
      <w:bookmarkEnd w:id="474"/>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 xml:space="preserve">A direction under section 77L, 77N, 77O or 77Q(2) that is given in relation to a class of person, place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State Emergency Coordinator considers suitable in the circumstances.</w:t>
      </w:r>
    </w:p>
    <w:p>
      <w:pPr>
        <w:pStyle w:val="Subsection"/>
      </w:pPr>
      <w:r>
        <w:tab/>
        <w:t>(4)</w:t>
      </w:r>
      <w:r>
        <w:tab/>
        <w:t>Failure to comply with subsection (2) or (3)(c) does not invalidate the direction.</w:t>
      </w:r>
    </w:p>
    <w:p>
      <w:pPr>
        <w:pStyle w:val="Footnotesection"/>
      </w:pPr>
      <w:bookmarkStart w:id="475" w:name="_Toc117777801"/>
      <w:r>
        <w:tab/>
        <w:t>[Section 77T inserted: No. 33 of 2022 s. 7.]</w:t>
      </w:r>
    </w:p>
    <w:p>
      <w:pPr>
        <w:pStyle w:val="Heading5"/>
      </w:pPr>
      <w:bookmarkStart w:id="476" w:name="_Toc131513535"/>
      <w:bookmarkStart w:id="477" w:name="_Toc118300093"/>
      <w:r>
        <w:rPr>
          <w:rStyle w:val="CharSectno"/>
        </w:rPr>
        <w:t>77U</w:t>
      </w:r>
      <w:r>
        <w:t>.</w:t>
      </w:r>
      <w:r>
        <w:tab/>
        <w:t>Establishment of State Emergency Coordination Group for COVID</w:t>
      </w:r>
      <w:r>
        <w:noBreakHyphen/>
        <w:t>19</w:t>
      </w:r>
      <w:bookmarkEnd w:id="475"/>
      <w:bookmarkEnd w:id="476"/>
      <w:bookmarkEnd w:id="477"/>
    </w:p>
    <w:p>
      <w:pPr>
        <w:pStyle w:val="Subsection"/>
      </w:pPr>
      <w:r>
        <w:tab/>
        <w:t>(1)</w:t>
      </w:r>
      <w:r>
        <w:tab/>
        <w:t>If a COVID</w:t>
      </w:r>
      <w:r>
        <w:noBreakHyphen/>
        <w:t>19 declaration is in force, the State Emergency Coordinator may establish a State Emergency Coordination Group in relation to COVID</w:t>
      </w:r>
      <w:r>
        <w:noBreakHyphen/>
        <w:t>19.</w:t>
      </w:r>
    </w:p>
    <w:p>
      <w:pPr>
        <w:pStyle w:val="Subsection"/>
      </w:pPr>
      <w:r>
        <w:tab/>
        <w:t>(2)</w:t>
      </w:r>
      <w:r>
        <w:tab/>
        <w:t xml:space="preserve">A reference in this Act to the </w:t>
      </w:r>
      <w:r>
        <w:rPr>
          <w:rStyle w:val="CharDefText"/>
        </w:rPr>
        <w:t>State Emergency Coordination Group</w:t>
      </w:r>
      <w:r>
        <w:t xml:space="preserve"> includes a reference to a State Emergency Coordination Group established under subsection (1).</w:t>
      </w:r>
    </w:p>
    <w:p>
      <w:pPr>
        <w:pStyle w:val="Subsection"/>
      </w:pPr>
      <w:r>
        <w:tab/>
        <w:t>(3)</w:t>
      </w:r>
      <w:r>
        <w:tab/>
        <w:t xml:space="preserve">Despite section 26(3)(e), a State Emergency Coordination Group established under subsection (1) — </w:t>
      </w:r>
    </w:p>
    <w:p>
      <w:pPr>
        <w:pStyle w:val="Indenta"/>
      </w:pPr>
      <w:r>
        <w:tab/>
        <w:t>(a)</w:t>
      </w:r>
      <w:r>
        <w:tab/>
        <w:t>is not required to include the person referred to in that section; and</w:t>
      </w:r>
    </w:p>
    <w:p>
      <w:pPr>
        <w:pStyle w:val="Indenta"/>
      </w:pPr>
      <w:r>
        <w:tab/>
        <w:t>(b)</w:t>
      </w:r>
      <w:r>
        <w:tab/>
        <w:t>must instead include a person nominated by the State Emergency Coordinator as a representative of all local governments in the State.</w:t>
      </w:r>
    </w:p>
    <w:p>
      <w:pPr>
        <w:pStyle w:val="Subsection"/>
      </w:pPr>
      <w:r>
        <w:tab/>
        <w:t>(4)</w:t>
      </w:r>
      <w:r>
        <w:tab/>
        <w:t>A State Emergency Coordination Group established under subsection (1) continues until the day determined under section 26(6), even if the COVID</w:t>
      </w:r>
      <w:r>
        <w:noBreakHyphen/>
        <w:t>19 declaration referred to in subsection (1) ceases to be in force.</w:t>
      </w:r>
    </w:p>
    <w:p>
      <w:pPr>
        <w:pStyle w:val="Subsection"/>
      </w:pPr>
      <w:r>
        <w:tab/>
        <w:t>(5)</w:t>
      </w:r>
      <w:r>
        <w:tab/>
        <w:t>During any period when a COVID</w:t>
      </w:r>
      <w:r>
        <w:noBreakHyphen/>
        <w:t>19 declaration is in force, a State Emergency Coordination Group established under subsection (1) may exercise functions under section 27 as if the references in section 27(a) and (b) to emergency management were references to COVID</w:t>
      </w:r>
      <w:r>
        <w:noBreakHyphen/>
        <w:t>19 management.</w:t>
      </w:r>
    </w:p>
    <w:p>
      <w:pPr>
        <w:pStyle w:val="Subsection"/>
      </w:pPr>
      <w:r>
        <w:tab/>
        <w:t>(6)</w:t>
      </w:r>
      <w:r>
        <w:tab/>
        <w:t>If a state of emergency in relation to COVID</w:t>
      </w:r>
      <w:r>
        <w:noBreakHyphen/>
        <w:t xml:space="preserve">19 is declared at a time when there is a State Emergency Coordination Group established under subsection (1) — </w:t>
      </w:r>
    </w:p>
    <w:p>
      <w:pPr>
        <w:pStyle w:val="Indenta"/>
      </w:pPr>
      <w:r>
        <w:tab/>
        <w:t>(a)</w:t>
      </w:r>
      <w:r>
        <w:tab/>
        <w:t>section 26(1) does not operate to establish another State Emergency Coordination Group; and</w:t>
      </w:r>
    </w:p>
    <w:p>
      <w:pPr>
        <w:pStyle w:val="Indenta"/>
      </w:pPr>
      <w:r>
        <w:tab/>
        <w:t>(b)</w:t>
      </w:r>
      <w:r>
        <w:tab/>
        <w:t>the State Emergency Coordination Group established under subsection (1) may exercise functions under section 27 in relation to that state of emergency.</w:t>
      </w:r>
    </w:p>
    <w:p>
      <w:pPr>
        <w:pStyle w:val="Subsection"/>
      </w:pPr>
      <w:r>
        <w:tab/>
        <w:t>(7)</w:t>
      </w:r>
      <w:r>
        <w:tab/>
        <w:t>Nothing in this section prevents the membership of a State Emergency Coordination Group established under subsection (1) from changing in accordance with this Act.</w:t>
      </w:r>
    </w:p>
    <w:p>
      <w:pPr>
        <w:pStyle w:val="Footnotesection"/>
      </w:pPr>
      <w:bookmarkStart w:id="478" w:name="_Toc117777802"/>
      <w:r>
        <w:tab/>
        <w:t>[Section 77U inserted: No. 33 of 2022 s. 7.]</w:t>
      </w:r>
    </w:p>
    <w:p>
      <w:pPr>
        <w:pStyle w:val="Heading5"/>
      </w:pPr>
      <w:bookmarkStart w:id="479" w:name="_Toc131513536"/>
      <w:bookmarkStart w:id="480" w:name="_Toc118300094"/>
      <w:r>
        <w:rPr>
          <w:rStyle w:val="CharSectno"/>
        </w:rPr>
        <w:t>77V</w:t>
      </w:r>
      <w:r>
        <w:t>.</w:t>
      </w:r>
      <w:r>
        <w:tab/>
        <w:t>Continuation of State Disaster Council for COVID</w:t>
      </w:r>
      <w:r>
        <w:noBreakHyphen/>
        <w:t>19</w:t>
      </w:r>
      <w:bookmarkEnd w:id="478"/>
      <w:bookmarkEnd w:id="479"/>
      <w:bookmarkEnd w:id="480"/>
    </w:p>
    <w:p>
      <w:pPr>
        <w:pStyle w:val="Subsection"/>
      </w:pPr>
      <w:r>
        <w:tab/>
        <w:t>(1)</w:t>
      </w:r>
      <w:r>
        <w:tab/>
        <w:t xml:space="preserve">In this section — </w:t>
      </w:r>
    </w:p>
    <w:p>
      <w:pPr>
        <w:pStyle w:val="Defstart"/>
      </w:pPr>
      <w:r>
        <w:tab/>
      </w:r>
      <w:r>
        <w:rPr>
          <w:rStyle w:val="CharDefText"/>
        </w:rPr>
        <w:t>2020 COVID</w:t>
      </w:r>
      <w:r>
        <w:rPr>
          <w:rStyle w:val="CharDefText"/>
        </w:rPr>
        <w:noBreakHyphen/>
        <w:t>19 state of emergency declaration</w:t>
      </w:r>
      <w:r>
        <w:t xml:space="preserve"> means the state of emergency declaration in relation to COVID</w:t>
      </w:r>
      <w:r>
        <w:noBreakHyphen/>
        <w:t>19 that came into effect on 16 March 2020.</w:t>
      </w:r>
    </w:p>
    <w:p>
      <w:pPr>
        <w:pStyle w:val="Subsection"/>
      </w:pPr>
      <w:r>
        <w:tab/>
        <w:t>(2)</w:t>
      </w:r>
      <w:r>
        <w:tab/>
        <w:t>The State Disaster Council established for the state of emergency declared by the 2020 COVID</w:t>
      </w:r>
      <w:r>
        <w:noBreakHyphen/>
        <w:t>19 state of emergency declaration continues until the day determined under section 63(8), even if that declaration ceases to be in force.</w:t>
      </w:r>
    </w:p>
    <w:p>
      <w:pPr>
        <w:pStyle w:val="Subsection"/>
      </w:pPr>
      <w:r>
        <w:tab/>
        <w:t>(3)</w:t>
      </w:r>
      <w:r>
        <w:tab/>
        <w:t>During any period when a COVID</w:t>
      </w:r>
      <w:r>
        <w:noBreakHyphen/>
        <w:t>19 declaration is in force, the State Disaster Council referred to in subsection (2) may exercise functions under section 64 as if a reference in that section to the state of emergency were a reference to COVID</w:t>
      </w:r>
      <w:r>
        <w:noBreakHyphen/>
        <w:t>19 management.</w:t>
      </w:r>
    </w:p>
    <w:p>
      <w:pPr>
        <w:pStyle w:val="Subsection"/>
      </w:pPr>
      <w:r>
        <w:tab/>
        <w:t>(4)</w:t>
      </w:r>
      <w:r>
        <w:tab/>
        <w:t>If a further state of emergency in relation to COVID</w:t>
      </w:r>
      <w:r>
        <w:noBreakHyphen/>
        <w:t xml:space="preserve">19 is declared at a time when the State Disaster Council referred to in subsection (2) continues to be established — </w:t>
      </w:r>
    </w:p>
    <w:p>
      <w:pPr>
        <w:pStyle w:val="Indenta"/>
      </w:pPr>
      <w:r>
        <w:tab/>
        <w:t>(a)</w:t>
      </w:r>
      <w:r>
        <w:tab/>
        <w:t>section 63(1) does not operate to establish another State Disaster Council; and</w:t>
      </w:r>
    </w:p>
    <w:p>
      <w:pPr>
        <w:pStyle w:val="Indenta"/>
      </w:pPr>
      <w:r>
        <w:tab/>
        <w:t>(b)</w:t>
      </w:r>
      <w:r>
        <w:tab/>
        <w:t>the State Disaster Council referred to in subsection (2) may exercise functions under section 64 in relation to that state of emergency.</w:t>
      </w:r>
    </w:p>
    <w:p>
      <w:pPr>
        <w:pStyle w:val="Subsection"/>
      </w:pPr>
      <w:r>
        <w:tab/>
        <w:t>(5)</w:t>
      </w:r>
      <w:r>
        <w:tab/>
        <w:t>Nothing in this section prevents the membership of the State Disaster Council referred to in subsection (2) from changing in accordance with this Act.</w:t>
      </w:r>
    </w:p>
    <w:p>
      <w:pPr>
        <w:pStyle w:val="Footnotesection"/>
      </w:pPr>
      <w:bookmarkStart w:id="481" w:name="_Toc117777803"/>
      <w:r>
        <w:tab/>
        <w:t>[Section 77V inserted: No. 33 of 2022 s. 7.]</w:t>
      </w:r>
    </w:p>
    <w:p>
      <w:pPr>
        <w:pStyle w:val="Heading5"/>
      </w:pPr>
      <w:bookmarkStart w:id="482" w:name="_Toc131513537"/>
      <w:bookmarkStart w:id="483" w:name="_Toc118300095"/>
      <w:r>
        <w:rPr>
          <w:rStyle w:val="CharSectno"/>
        </w:rPr>
        <w:t>77W</w:t>
      </w:r>
      <w:r>
        <w:t>.</w:t>
      </w:r>
      <w:r>
        <w:tab/>
        <w:t>Modification of State and local arrangements</w:t>
      </w:r>
      <w:bookmarkEnd w:id="481"/>
      <w:bookmarkEnd w:id="482"/>
      <w:bookmarkEnd w:id="483"/>
    </w:p>
    <w:p>
      <w:pPr>
        <w:pStyle w:val="Subsection"/>
      </w:pPr>
      <w:r>
        <w:tab/>
        <w:t>(1)</w:t>
      </w:r>
      <w:r>
        <w:tab/>
        <w:t xml:space="preserve">While this Part is in operation — </w:t>
      </w:r>
    </w:p>
    <w:p>
      <w:pPr>
        <w:pStyle w:val="Indenta"/>
      </w:pPr>
      <w:r>
        <w:tab/>
        <w:t>(a)</w:t>
      </w:r>
      <w:r>
        <w:tab/>
        <w:t>the following may, but are not required to, include provision in relation to COVID</w:t>
      </w:r>
      <w:r>
        <w:noBreakHyphen/>
        <w:t xml:space="preserve">19 management — </w:t>
      </w:r>
    </w:p>
    <w:p>
      <w:pPr>
        <w:pStyle w:val="Indenti"/>
      </w:pPr>
      <w:r>
        <w:tab/>
        <w:t>(i)</w:t>
      </w:r>
      <w:r>
        <w:tab/>
        <w:t>State emergency management policies;</w:t>
      </w:r>
    </w:p>
    <w:p>
      <w:pPr>
        <w:pStyle w:val="Indenti"/>
      </w:pPr>
      <w:r>
        <w:tab/>
        <w:t>(ii)</w:t>
      </w:r>
      <w:r>
        <w:tab/>
        <w:t>State emergency management plans;</w:t>
      </w:r>
    </w:p>
    <w:p>
      <w:pPr>
        <w:pStyle w:val="Indenti"/>
      </w:pPr>
      <w:r>
        <w:tab/>
        <w:t>(iii)</w:t>
      </w:r>
      <w:r>
        <w:tab/>
        <w:t>emergency management arrangements for an emergency management district;</w:t>
      </w:r>
    </w:p>
    <w:p>
      <w:pPr>
        <w:pStyle w:val="Indenti"/>
      </w:pPr>
      <w:r>
        <w:tab/>
        <w:t>(iv)</w:t>
      </w:r>
      <w:r>
        <w:tab/>
        <w:t>local emergency management arrangements (as defined in section 41(1));</w:t>
      </w:r>
    </w:p>
    <w:p>
      <w:pPr>
        <w:pStyle w:val="Indenta"/>
      </w:pPr>
      <w:r>
        <w:tab/>
      </w:r>
      <w:r>
        <w:tab/>
        <w:t>and</w:t>
      </w:r>
    </w:p>
    <w:p>
      <w:pPr>
        <w:pStyle w:val="Indenta"/>
      </w:pPr>
      <w:r>
        <w:tab/>
        <w:t>(b)</w:t>
      </w:r>
      <w:r>
        <w:tab/>
        <w:t>the SEMC, a district emergency coordinator, a district emergency management committee, a local emergency coordinator, a local emergency management committee or a local government (as the case requires) may carry out functions under Part 2 or 3 in relation to those policies, plans and arrangements accordingly.</w:t>
      </w:r>
    </w:p>
    <w:p>
      <w:pPr>
        <w:pStyle w:val="Subsection"/>
      </w:pPr>
      <w:r>
        <w:tab/>
        <w:t>(2)</w:t>
      </w:r>
      <w:r>
        <w:tab/>
        <w:t xml:space="preserve">While this Part is in operation, without limiting any other functions conferred by this Act — </w:t>
      </w:r>
    </w:p>
    <w:p>
      <w:pPr>
        <w:pStyle w:val="Indenta"/>
      </w:pPr>
      <w:r>
        <w:tab/>
        <w:t>(a)</w:t>
      </w:r>
      <w:r>
        <w:tab/>
        <w:t>a district emergency coordinator may carry out COVID</w:t>
      </w:r>
      <w:r>
        <w:noBreakHyphen/>
        <w:t>19 management functions in accordance with the directions of the State Emergency Coordinator; and</w:t>
      </w:r>
    </w:p>
    <w:p>
      <w:pPr>
        <w:pStyle w:val="Indenta"/>
      </w:pPr>
      <w:r>
        <w:tab/>
        <w:t>(b)</w:t>
      </w:r>
      <w:r>
        <w:tab/>
        <w:t>a local emergency coordinator or local emergency management committee may carry out COVID</w:t>
      </w:r>
      <w:r>
        <w:noBreakHyphen/>
        <w:t>19 management activities in accordance with the directions of the State Emergency Coordinator; and</w:t>
      </w:r>
    </w:p>
    <w:p>
      <w:pPr>
        <w:pStyle w:val="Indenta"/>
      </w:pPr>
      <w:r>
        <w:tab/>
        <w:t>(c)</w:t>
      </w:r>
      <w:r>
        <w:tab/>
        <w:t>a local emergency coordinator may assist hazard management agencies in the provision of a coordinated response to COVID</w:t>
      </w:r>
      <w:r>
        <w:noBreakHyphen/>
        <w:t>19 while a COVID</w:t>
      </w:r>
      <w:r>
        <w:noBreakHyphen/>
        <w:t>19 declaration is in force.</w:t>
      </w:r>
    </w:p>
    <w:p>
      <w:pPr>
        <w:pStyle w:val="Footnotesection"/>
      </w:pPr>
      <w:bookmarkStart w:id="484" w:name="_Toc117777804"/>
      <w:r>
        <w:tab/>
        <w:t>[Section 77W inserted: No. 33 of 2022 s. 7.]</w:t>
      </w:r>
    </w:p>
    <w:p>
      <w:pPr>
        <w:pStyle w:val="Heading5"/>
      </w:pPr>
      <w:bookmarkStart w:id="485" w:name="_Toc131513538"/>
      <w:bookmarkStart w:id="486" w:name="_Toc118300096"/>
      <w:r>
        <w:rPr>
          <w:rStyle w:val="CharSectno"/>
        </w:rPr>
        <w:t>77X</w:t>
      </w:r>
      <w:r>
        <w:t>.</w:t>
      </w:r>
      <w:r>
        <w:tab/>
        <w:t>Modification of other provisions of this Act</w:t>
      </w:r>
      <w:bookmarkEnd w:id="484"/>
      <w:bookmarkEnd w:id="485"/>
      <w:bookmarkEnd w:id="486"/>
    </w:p>
    <w:p>
      <w:pPr>
        <w:pStyle w:val="Subsection"/>
      </w:pPr>
      <w:r>
        <w:tab/>
        <w:t>(1)</w:t>
      </w:r>
      <w:r>
        <w:tab/>
        <w:t xml:space="preserve">While this Part is in operation, the following provisions of this Act are modified as follows — </w:t>
      </w:r>
    </w:p>
    <w:p>
      <w:pPr>
        <w:pStyle w:val="Indenta"/>
      </w:pPr>
      <w:r>
        <w:tab/>
        <w:t>(a)</w:t>
      </w:r>
      <w:r>
        <w:tab/>
        <w:t xml:space="preserve">section 11 is to be read as if — </w:t>
      </w:r>
    </w:p>
    <w:p>
      <w:pPr>
        <w:pStyle w:val="Indenti"/>
      </w:pPr>
      <w:r>
        <w:tab/>
        <w:t>(i)</w:t>
      </w:r>
      <w:r>
        <w:tab/>
        <w:t>a reference to an emergency included a reference to COVID</w:t>
      </w:r>
      <w:r>
        <w:noBreakHyphen/>
        <w:t>19; and</w:t>
      </w:r>
    </w:p>
    <w:p>
      <w:pPr>
        <w:pStyle w:val="Indenti"/>
      </w:pPr>
      <w:r>
        <w:tab/>
        <w:t>(ii)</w:t>
      </w:r>
      <w:r>
        <w:tab/>
        <w:t>a reference to a state of emergency included a reference to a period when a COVID</w:t>
      </w:r>
      <w:r>
        <w:noBreakHyphen/>
        <w:t>19 declaration is in force; and</w:t>
      </w:r>
    </w:p>
    <w:p>
      <w:pPr>
        <w:pStyle w:val="Indenti"/>
      </w:pPr>
      <w:r>
        <w:tab/>
        <w:t>(iii)</w:t>
      </w:r>
      <w:r>
        <w:tab/>
        <w:t>a reference to emergency management activities included a reference to COVID</w:t>
      </w:r>
      <w:r>
        <w:noBreakHyphen/>
        <w:t>19 management activities;</w:t>
      </w:r>
    </w:p>
    <w:p>
      <w:pPr>
        <w:pStyle w:val="Indenta"/>
      </w:pPr>
      <w:r>
        <w:tab/>
        <w:t>(b)</w:t>
      </w:r>
      <w:r>
        <w:tab/>
        <w:t xml:space="preserve">sections 62, 85, 88 and 89 and the definition of </w:t>
      </w:r>
      <w:r>
        <w:rPr>
          <w:b/>
          <w:i/>
        </w:rPr>
        <w:t>official</w:t>
      </w:r>
      <w:r>
        <w:t xml:space="preserve"> in section 100(6) are to be read as if a reference to an authorised officer included a reference to an authorised COVID</w:t>
      </w:r>
      <w:r>
        <w:noBreakHyphen/>
        <w:t>19 officer;</w:t>
      </w:r>
    </w:p>
    <w:p>
      <w:pPr>
        <w:pStyle w:val="Indenta"/>
      </w:pPr>
      <w:r>
        <w:tab/>
        <w:t>(c)</w:t>
      </w:r>
      <w:r>
        <w:tab/>
        <w:t>sections 78(1) and 79(1) are to be read as if a reference to a power under section 46, 47, 48, 69 or 75(1)(f) included a reference to a power under section 77M;</w:t>
      </w:r>
    </w:p>
    <w:p>
      <w:pPr>
        <w:pStyle w:val="Indenta"/>
      </w:pPr>
      <w:r>
        <w:tab/>
        <w:t>(d)</w:t>
      </w:r>
      <w:r>
        <w:tab/>
        <w:t>section 84(1)(a) is to be read as if a reference to an emergency included a reference to COVID</w:t>
      </w:r>
      <w:r>
        <w:noBreakHyphen/>
        <w:t>19;</w:t>
      </w:r>
    </w:p>
    <w:p>
      <w:pPr>
        <w:pStyle w:val="Indenta"/>
      </w:pPr>
      <w:r>
        <w:tab/>
        <w:t>(e)</w:t>
      </w:r>
      <w:r>
        <w:tab/>
        <w:t>section 86(1) is to be read as if a reference to a direction under section 47, 67, 70, 71, 72A or 75(1)(i) included a reference to a direction under section 77L, 77M(4), 77N, 77O or 77Q;</w:t>
      </w:r>
    </w:p>
    <w:p>
      <w:pPr>
        <w:pStyle w:val="Indenta"/>
      </w:pPr>
      <w:r>
        <w:tab/>
        <w:t>(f)</w:t>
      </w:r>
      <w:r>
        <w:tab/>
        <w:t>section 96(1)(a) is to be read as if a reference to emergency management during an emergency situation or a state of emergency included a reference to COVID</w:t>
      </w:r>
      <w:r>
        <w:noBreakHyphen/>
        <w:t>19 management while a COVID</w:t>
      </w:r>
      <w:r>
        <w:noBreakHyphen/>
        <w:t>19 declaration is in force;</w:t>
      </w:r>
    </w:p>
    <w:p>
      <w:pPr>
        <w:pStyle w:val="Indenta"/>
        <w:rPr>
          <w:ins w:id="487" w:author="Master Repository Process" w:date="2023-04-05T11:30:00Z"/>
        </w:rPr>
      </w:pPr>
      <w:ins w:id="488" w:author="Master Repository Process" w:date="2023-04-05T11:30:00Z">
        <w:r>
          <w:tab/>
          <w:t>(fa)</w:t>
        </w:r>
        <w:r>
          <w:tab/>
          <w:t>section 98(2) is to be read as if a reference to a direction given under section 47(1), 71(1) or 75(1) included a reference to a direction given under section 77O(1);</w:t>
        </w:r>
      </w:ins>
    </w:p>
    <w:p>
      <w:pPr>
        <w:pStyle w:val="Indenta"/>
        <w:keepNext/>
      </w:pPr>
      <w:r>
        <w:tab/>
        <w:t>(g)</w:t>
      </w:r>
      <w:r>
        <w:tab/>
        <w:t xml:space="preserve">section 99(1) and (2) are to be read as if — </w:t>
      </w:r>
    </w:p>
    <w:p>
      <w:pPr>
        <w:pStyle w:val="Indenti"/>
      </w:pPr>
      <w:r>
        <w:tab/>
        <w:t>(i)</w:t>
      </w:r>
      <w:r>
        <w:tab/>
        <w:t>a reference to a state of emergency declaration included a reference to a COVID</w:t>
      </w:r>
      <w:r>
        <w:noBreakHyphen/>
        <w:t>19 declaration; and</w:t>
      </w:r>
    </w:p>
    <w:p>
      <w:pPr>
        <w:pStyle w:val="Indenti"/>
      </w:pPr>
      <w:r>
        <w:tab/>
        <w:t>(ii)</w:t>
      </w:r>
      <w:r>
        <w:tab/>
        <w:t>a reference to an emergency area included a reference to a declaration area in relation to a COVID</w:t>
      </w:r>
      <w:r>
        <w:noBreakHyphen/>
        <w:t>19 declaration; and</w:t>
      </w:r>
    </w:p>
    <w:p>
      <w:pPr>
        <w:pStyle w:val="Indenti"/>
      </w:pPr>
      <w:r>
        <w:tab/>
        <w:t>(iii)</w:t>
      </w:r>
      <w:r>
        <w:tab/>
        <w:t>a reference to an authorised officer included a reference to an authorised COVID</w:t>
      </w:r>
      <w:r>
        <w:noBreakHyphen/>
        <w:t>19 officer; and</w:t>
      </w:r>
    </w:p>
    <w:p>
      <w:pPr>
        <w:pStyle w:val="Indenti"/>
      </w:pPr>
      <w:r>
        <w:tab/>
        <w:t>(iv)</w:t>
      </w:r>
      <w:r>
        <w:tab/>
        <w:t>a reference to a police officer authorised to act under section 71 included a reference to a police officer authorised to act under section 77O;</w:t>
      </w:r>
    </w:p>
    <w:p>
      <w:pPr>
        <w:pStyle w:val="Indenta"/>
      </w:pPr>
      <w:r>
        <w:tab/>
        <w:t>(h)</w:t>
      </w:r>
      <w:r>
        <w:tab/>
        <w:t xml:space="preserve">the definition of </w:t>
      </w:r>
      <w:r>
        <w:rPr>
          <w:b/>
          <w:i/>
        </w:rPr>
        <w:t>prescribed emergency activity</w:t>
      </w:r>
      <w:r>
        <w:t xml:space="preserve"> in section 101(1) is to be read as if a reference to emergency management included a reference to COVID</w:t>
      </w:r>
      <w:r>
        <w:noBreakHyphen/>
        <w:t>19 management.</w:t>
      </w:r>
    </w:p>
    <w:p>
      <w:pPr>
        <w:pStyle w:val="Subsection"/>
      </w:pPr>
      <w:r>
        <w:tab/>
        <w:t>(2)</w:t>
      </w:r>
      <w:r>
        <w:tab/>
        <w:t>In determining whether an employee carries out an emergency management response for the purposes of Part 9, section 91(2) applies during a period when a COVID</w:t>
      </w:r>
      <w:r>
        <w:noBreakHyphen/>
        <w:t>19 declaration is in force as if COVID</w:t>
      </w:r>
      <w:r>
        <w:noBreakHyphen/>
        <w:t>19 were an emergency.</w:t>
      </w:r>
    </w:p>
    <w:p>
      <w:pPr>
        <w:pStyle w:val="Footnotesection"/>
      </w:pPr>
      <w:r>
        <w:tab/>
        <w:t>[Section 77X inserted: No. 33 of 2022 s. </w:t>
      </w:r>
      <w:del w:id="489" w:author="Master Repository Process" w:date="2023-04-05T11:30:00Z">
        <w:r>
          <w:delText>7</w:delText>
        </w:r>
      </w:del>
      <w:ins w:id="490" w:author="Master Repository Process" w:date="2023-04-05T11:30:00Z">
        <w:r>
          <w:t>7; amended: No. 9 of 2023 s. 54</w:t>
        </w:r>
      </w:ins>
      <w:r>
        <w:t>.]</w:t>
      </w:r>
    </w:p>
    <w:p>
      <w:pPr>
        <w:pStyle w:val="Heading2"/>
      </w:pPr>
      <w:bookmarkStart w:id="491" w:name="_Toc117779425"/>
      <w:bookmarkStart w:id="492" w:name="_Toc117845347"/>
      <w:bookmarkStart w:id="493" w:name="_Toc118299733"/>
      <w:bookmarkStart w:id="494" w:name="_Toc118300097"/>
      <w:bookmarkStart w:id="495" w:name="_Toc131502924"/>
      <w:bookmarkStart w:id="496" w:name="_Toc131503165"/>
      <w:bookmarkStart w:id="497" w:name="_Toc131513368"/>
      <w:bookmarkStart w:id="498" w:name="_Toc131513539"/>
      <w:r>
        <w:rPr>
          <w:rStyle w:val="CharPartNo"/>
        </w:rPr>
        <w:t>Part 7</w:t>
      </w:r>
      <w:r>
        <w:t> — </w:t>
      </w:r>
      <w:r>
        <w:rPr>
          <w:rStyle w:val="CharPartText"/>
        </w:rPr>
        <w:t>Compensation and insurance</w:t>
      </w:r>
      <w:bookmarkEnd w:id="369"/>
      <w:bookmarkEnd w:id="491"/>
      <w:bookmarkEnd w:id="492"/>
      <w:bookmarkEnd w:id="493"/>
      <w:bookmarkEnd w:id="494"/>
      <w:bookmarkEnd w:id="495"/>
      <w:bookmarkEnd w:id="496"/>
      <w:bookmarkEnd w:id="497"/>
      <w:bookmarkEnd w:id="498"/>
    </w:p>
    <w:p>
      <w:pPr>
        <w:pStyle w:val="Heading3"/>
      </w:pPr>
      <w:bookmarkStart w:id="499" w:name="_Toc117777711"/>
      <w:bookmarkStart w:id="500" w:name="_Toc117779426"/>
      <w:bookmarkStart w:id="501" w:name="_Toc117845348"/>
      <w:bookmarkStart w:id="502" w:name="_Toc118299734"/>
      <w:bookmarkStart w:id="503" w:name="_Toc118300098"/>
      <w:bookmarkStart w:id="504" w:name="_Toc131502925"/>
      <w:bookmarkStart w:id="505" w:name="_Toc131503166"/>
      <w:bookmarkStart w:id="506" w:name="_Toc131513369"/>
      <w:bookmarkStart w:id="507" w:name="_Toc131513540"/>
      <w:r>
        <w:rPr>
          <w:rStyle w:val="CharDivNo"/>
        </w:rPr>
        <w:t>Division 1</w:t>
      </w:r>
      <w:r>
        <w:t> — </w:t>
      </w:r>
      <w:r>
        <w:rPr>
          <w:rStyle w:val="CharDivText"/>
        </w:rPr>
        <w:t>Compensation</w:t>
      </w:r>
      <w:bookmarkEnd w:id="499"/>
      <w:bookmarkEnd w:id="500"/>
      <w:bookmarkEnd w:id="501"/>
      <w:bookmarkEnd w:id="502"/>
      <w:bookmarkEnd w:id="503"/>
      <w:bookmarkEnd w:id="504"/>
      <w:bookmarkEnd w:id="505"/>
      <w:bookmarkEnd w:id="506"/>
      <w:bookmarkEnd w:id="507"/>
    </w:p>
    <w:p>
      <w:pPr>
        <w:pStyle w:val="Heading5"/>
      </w:pPr>
      <w:bookmarkStart w:id="508" w:name="_Toc131513541"/>
      <w:bookmarkStart w:id="509" w:name="_Toc118300099"/>
      <w:r>
        <w:rPr>
          <w:rStyle w:val="CharSectno"/>
        </w:rPr>
        <w:t>78</w:t>
      </w:r>
      <w:r>
        <w:t>.</w:t>
      </w:r>
      <w:r>
        <w:tab/>
        <w:t>Entitlement to compensation</w:t>
      </w:r>
      <w:bookmarkEnd w:id="508"/>
      <w:bookmarkEnd w:id="509"/>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78: modified by section 77X(1).]</w:t>
      </w:r>
    </w:p>
    <w:p>
      <w:pPr>
        <w:pStyle w:val="Heading5"/>
      </w:pPr>
      <w:bookmarkStart w:id="510" w:name="_Toc131513542"/>
      <w:bookmarkStart w:id="511" w:name="_Toc118300100"/>
      <w:r>
        <w:rPr>
          <w:rStyle w:val="CharSectno"/>
        </w:rPr>
        <w:t>79</w:t>
      </w:r>
      <w:r>
        <w:t>.</w:t>
      </w:r>
      <w:r>
        <w:tab/>
        <w:t>Applying for compensation</w:t>
      </w:r>
      <w:bookmarkEnd w:id="510"/>
      <w:bookmarkEnd w:id="511"/>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Footnotesection"/>
      </w:pPr>
      <w:r>
        <w:tab/>
        <w:t>[Section 79: modified by section 77X(1).]</w:t>
      </w:r>
    </w:p>
    <w:p>
      <w:pPr>
        <w:pStyle w:val="Heading5"/>
      </w:pPr>
      <w:bookmarkStart w:id="512" w:name="_Toc131513543"/>
      <w:bookmarkStart w:id="513" w:name="_Toc118300101"/>
      <w:r>
        <w:rPr>
          <w:rStyle w:val="CharSectno"/>
        </w:rPr>
        <w:t>80</w:t>
      </w:r>
      <w:r>
        <w:t>.</w:t>
      </w:r>
      <w:r>
        <w:tab/>
        <w:t>Lapsing of application</w:t>
      </w:r>
      <w:bookmarkEnd w:id="512"/>
      <w:bookmarkEnd w:id="513"/>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514" w:name="_Toc131513544"/>
      <w:bookmarkStart w:id="515" w:name="_Toc118300102"/>
      <w:r>
        <w:rPr>
          <w:rStyle w:val="CharSectno"/>
        </w:rPr>
        <w:t>81</w:t>
      </w:r>
      <w:r>
        <w:t>.</w:t>
      </w:r>
      <w:r>
        <w:tab/>
        <w:t>Notice of decision</w:t>
      </w:r>
      <w:bookmarkEnd w:id="514"/>
      <w:bookmarkEnd w:id="515"/>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516" w:name="_Toc131513545"/>
      <w:bookmarkStart w:id="517" w:name="_Toc118300103"/>
      <w:r>
        <w:rPr>
          <w:rStyle w:val="CharSectno"/>
        </w:rPr>
        <w:t>82</w:t>
      </w:r>
      <w:r>
        <w:t>.</w:t>
      </w:r>
      <w:r>
        <w:tab/>
        <w:t>Funding of compensation</w:t>
      </w:r>
      <w:bookmarkEnd w:id="516"/>
      <w:bookmarkEnd w:id="517"/>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518" w:name="_Toc117777717"/>
      <w:bookmarkStart w:id="519" w:name="_Toc117779432"/>
      <w:bookmarkStart w:id="520" w:name="_Toc117845354"/>
      <w:bookmarkStart w:id="521" w:name="_Toc118299740"/>
      <w:bookmarkStart w:id="522" w:name="_Toc118300104"/>
      <w:bookmarkStart w:id="523" w:name="_Toc131502931"/>
      <w:bookmarkStart w:id="524" w:name="_Toc131503172"/>
      <w:bookmarkStart w:id="525" w:name="_Toc131513375"/>
      <w:bookmarkStart w:id="526" w:name="_Toc131513546"/>
      <w:r>
        <w:rPr>
          <w:rStyle w:val="CharDivNo"/>
        </w:rPr>
        <w:t>Division 2</w:t>
      </w:r>
      <w:r>
        <w:t> — </w:t>
      </w:r>
      <w:r>
        <w:rPr>
          <w:rStyle w:val="CharDivText"/>
        </w:rPr>
        <w:t>Review</w:t>
      </w:r>
      <w:bookmarkEnd w:id="518"/>
      <w:bookmarkEnd w:id="519"/>
      <w:bookmarkEnd w:id="520"/>
      <w:bookmarkEnd w:id="521"/>
      <w:bookmarkEnd w:id="522"/>
      <w:bookmarkEnd w:id="523"/>
      <w:bookmarkEnd w:id="524"/>
      <w:bookmarkEnd w:id="525"/>
      <w:bookmarkEnd w:id="526"/>
    </w:p>
    <w:p>
      <w:pPr>
        <w:pStyle w:val="Heading5"/>
        <w:spacing w:before="120"/>
      </w:pPr>
      <w:bookmarkStart w:id="527" w:name="_Toc131513547"/>
      <w:bookmarkStart w:id="528" w:name="_Toc118300105"/>
      <w:r>
        <w:rPr>
          <w:rStyle w:val="CharSectno"/>
        </w:rPr>
        <w:t>83</w:t>
      </w:r>
      <w:r>
        <w:t>.</w:t>
      </w:r>
      <w:r>
        <w:tab/>
        <w:t>Review of compensation decision</w:t>
      </w:r>
      <w:bookmarkEnd w:id="527"/>
      <w:bookmarkEnd w:id="528"/>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529" w:name="_Toc117777719"/>
      <w:bookmarkStart w:id="530" w:name="_Toc117779434"/>
      <w:bookmarkStart w:id="531" w:name="_Toc117845356"/>
      <w:bookmarkStart w:id="532" w:name="_Toc118299742"/>
      <w:bookmarkStart w:id="533" w:name="_Toc118300106"/>
      <w:bookmarkStart w:id="534" w:name="_Toc131502933"/>
      <w:bookmarkStart w:id="535" w:name="_Toc131503174"/>
      <w:bookmarkStart w:id="536" w:name="_Toc131513377"/>
      <w:bookmarkStart w:id="537" w:name="_Toc131513548"/>
      <w:r>
        <w:rPr>
          <w:rStyle w:val="CharDivNo"/>
        </w:rPr>
        <w:t>Division 3</w:t>
      </w:r>
      <w:r>
        <w:t> — </w:t>
      </w:r>
      <w:r>
        <w:rPr>
          <w:rStyle w:val="CharDivText"/>
        </w:rPr>
        <w:t>Policies of insurance</w:t>
      </w:r>
      <w:bookmarkEnd w:id="529"/>
      <w:bookmarkEnd w:id="530"/>
      <w:bookmarkEnd w:id="531"/>
      <w:bookmarkEnd w:id="532"/>
      <w:bookmarkEnd w:id="533"/>
      <w:bookmarkEnd w:id="534"/>
      <w:bookmarkEnd w:id="535"/>
      <w:bookmarkEnd w:id="536"/>
      <w:bookmarkEnd w:id="537"/>
    </w:p>
    <w:p>
      <w:pPr>
        <w:pStyle w:val="Heading5"/>
        <w:spacing w:before="120"/>
      </w:pPr>
      <w:bookmarkStart w:id="538" w:name="_Toc131513549"/>
      <w:bookmarkStart w:id="539" w:name="_Toc118300107"/>
      <w:r>
        <w:rPr>
          <w:rStyle w:val="CharSectno"/>
        </w:rPr>
        <w:t>84</w:t>
      </w:r>
      <w:r>
        <w:t>.</w:t>
      </w:r>
      <w:r>
        <w:tab/>
        <w:t>Extension of policy of insurance</w:t>
      </w:r>
      <w:bookmarkEnd w:id="538"/>
      <w:bookmarkEnd w:id="539"/>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Footnotesection"/>
      </w:pPr>
      <w:bookmarkStart w:id="540" w:name="_Toc117777721"/>
      <w:bookmarkStart w:id="541" w:name="_Toc117779436"/>
      <w:bookmarkStart w:id="542" w:name="_Toc117845358"/>
      <w:r>
        <w:tab/>
        <w:t>[Section 84: modified by section 77X(1).]</w:t>
      </w:r>
    </w:p>
    <w:p>
      <w:pPr>
        <w:pStyle w:val="Heading2"/>
      </w:pPr>
      <w:bookmarkStart w:id="543" w:name="_Toc118299744"/>
      <w:bookmarkStart w:id="544" w:name="_Toc118300108"/>
      <w:bookmarkStart w:id="545" w:name="_Toc131502935"/>
      <w:bookmarkStart w:id="546" w:name="_Toc131503176"/>
      <w:bookmarkStart w:id="547" w:name="_Toc131513379"/>
      <w:bookmarkStart w:id="548" w:name="_Toc131513550"/>
      <w:r>
        <w:rPr>
          <w:rStyle w:val="CharPartNo"/>
        </w:rPr>
        <w:t>Part 8</w:t>
      </w:r>
      <w:r>
        <w:rPr>
          <w:rStyle w:val="CharDivNo"/>
        </w:rPr>
        <w:t> </w:t>
      </w:r>
      <w:r>
        <w:t>—</w:t>
      </w:r>
      <w:r>
        <w:rPr>
          <w:rStyle w:val="CharDivText"/>
        </w:rPr>
        <w:t> </w:t>
      </w:r>
      <w:r>
        <w:rPr>
          <w:rStyle w:val="CharPartText"/>
        </w:rPr>
        <w:t>Offences</w:t>
      </w:r>
      <w:bookmarkEnd w:id="540"/>
      <w:bookmarkEnd w:id="541"/>
      <w:bookmarkEnd w:id="542"/>
      <w:bookmarkEnd w:id="543"/>
      <w:bookmarkEnd w:id="544"/>
      <w:bookmarkEnd w:id="545"/>
      <w:bookmarkEnd w:id="546"/>
      <w:bookmarkEnd w:id="547"/>
      <w:bookmarkEnd w:id="548"/>
    </w:p>
    <w:p>
      <w:pPr>
        <w:pStyle w:val="Heading5"/>
        <w:spacing w:before="180"/>
      </w:pPr>
      <w:bookmarkStart w:id="549" w:name="_Toc131513551"/>
      <w:bookmarkStart w:id="550" w:name="_Toc118300109"/>
      <w:r>
        <w:rPr>
          <w:rStyle w:val="CharSectno"/>
        </w:rPr>
        <w:t>85</w:t>
      </w:r>
      <w:r>
        <w:t>.</w:t>
      </w:r>
      <w:r>
        <w:tab/>
        <w:t>Obstruction of a hazard management officer or authorised officer</w:t>
      </w:r>
      <w:bookmarkEnd w:id="549"/>
      <w:bookmarkEnd w:id="550"/>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Footnotesection"/>
      </w:pPr>
      <w:r>
        <w:tab/>
        <w:t>[Section 85: modified by section 77X(1).]</w:t>
      </w:r>
    </w:p>
    <w:p>
      <w:pPr>
        <w:pStyle w:val="Heading5"/>
        <w:spacing w:before="180"/>
      </w:pPr>
      <w:bookmarkStart w:id="551" w:name="_Toc131513552"/>
      <w:bookmarkStart w:id="552" w:name="_Toc118300110"/>
      <w:r>
        <w:rPr>
          <w:rStyle w:val="CharSectno"/>
        </w:rPr>
        <w:t>86</w:t>
      </w:r>
      <w:r>
        <w:t>.</w:t>
      </w:r>
      <w:r>
        <w:tab/>
        <w:t>Failure to comply with direction</w:t>
      </w:r>
      <w:bookmarkEnd w:id="551"/>
      <w:bookmarkEnd w:id="552"/>
    </w:p>
    <w:p>
      <w:pPr>
        <w:pStyle w:val="Subsection"/>
        <w:spacing w:before="120"/>
      </w:pPr>
      <w:r>
        <w:tab/>
        <w:t>(1)</w:t>
      </w:r>
      <w:r>
        <w:tab/>
        <w:t>A person given a direction under section 47, 67, 70, 71, 72A or 75(1)(i) must comply with the direction.</w:t>
      </w:r>
    </w:p>
    <w:p>
      <w:pPr>
        <w:pStyle w:val="Penstart"/>
      </w:pPr>
      <w:r>
        <w:tab/>
        <w:t>Penalty:</w:t>
      </w:r>
    </w:p>
    <w:p>
      <w:pPr>
        <w:pStyle w:val="Penpara"/>
      </w:pPr>
      <w:r>
        <w:tab/>
        <w:t>(a)</w:t>
      </w:r>
      <w:r>
        <w:tab/>
        <w:t>imprisonment for 12 months or 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It is a defence to a charge of an offence under subsection (1) for the person to prove that the person had a reasonable excuse for failing to comply with the direction.</w:t>
      </w:r>
    </w:p>
    <w:p>
      <w:pPr>
        <w:pStyle w:val="Footnotesection"/>
      </w:pPr>
      <w:r>
        <w:tab/>
        <w:t>[Section 86 amended: No. 11 of 2020 s. 13.]</w:t>
      </w:r>
    </w:p>
    <w:p>
      <w:pPr>
        <w:pStyle w:val="Footnotesection"/>
      </w:pPr>
      <w:r>
        <w:tab/>
        <w:t>[Section 86: modified by section 77X(1).]</w:t>
      </w:r>
    </w:p>
    <w:p>
      <w:pPr>
        <w:pStyle w:val="Heading5"/>
        <w:spacing w:before="180"/>
      </w:pPr>
      <w:bookmarkStart w:id="553" w:name="_Toc131513553"/>
      <w:bookmarkStart w:id="554" w:name="_Toc118300111"/>
      <w:r>
        <w:rPr>
          <w:rStyle w:val="CharSectno"/>
        </w:rPr>
        <w:t>87</w:t>
      </w:r>
      <w:r>
        <w:t>.</w:t>
      </w:r>
      <w:r>
        <w:tab/>
        <w:t>Failure to give help</w:t>
      </w:r>
      <w:bookmarkEnd w:id="553"/>
      <w:bookmarkEnd w:id="554"/>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555" w:name="_Toc131513554"/>
      <w:bookmarkStart w:id="556" w:name="_Toc118300112"/>
      <w:r>
        <w:rPr>
          <w:rStyle w:val="CharSectno"/>
        </w:rPr>
        <w:t>88</w:t>
      </w:r>
      <w:r>
        <w:t>.</w:t>
      </w:r>
      <w:r>
        <w:tab/>
        <w:t>Impersonation of hazard management officer or authorised officer</w:t>
      </w:r>
      <w:bookmarkEnd w:id="555"/>
      <w:bookmarkEnd w:id="556"/>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Footnotesection"/>
      </w:pPr>
      <w:r>
        <w:tab/>
        <w:t>[Section 88: modified by section 77X(1).]</w:t>
      </w:r>
    </w:p>
    <w:p>
      <w:pPr>
        <w:pStyle w:val="Heading5"/>
      </w:pPr>
      <w:bookmarkStart w:id="557" w:name="_Toc131513555"/>
      <w:bookmarkStart w:id="558" w:name="_Toc118300113"/>
      <w:r>
        <w:rPr>
          <w:rStyle w:val="CharSectno"/>
        </w:rPr>
        <w:t>89</w:t>
      </w:r>
      <w:r>
        <w:t>.</w:t>
      </w:r>
      <w:r>
        <w:tab/>
        <w:t>False or misleading information</w:t>
      </w:r>
      <w:bookmarkEnd w:id="557"/>
      <w:bookmarkEnd w:id="558"/>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Footnotesection"/>
      </w:pPr>
      <w:r>
        <w:tab/>
        <w:t>[Section 89: modified by section 77X(1).]</w:t>
      </w:r>
    </w:p>
    <w:p>
      <w:pPr>
        <w:pStyle w:val="Heading5"/>
      </w:pPr>
      <w:bookmarkStart w:id="559" w:name="_Toc131513556"/>
      <w:bookmarkStart w:id="560" w:name="_Toc118300114"/>
      <w:r>
        <w:rPr>
          <w:rStyle w:val="CharSectno"/>
        </w:rPr>
        <w:t>90</w:t>
      </w:r>
      <w:r>
        <w:t>.</w:t>
      </w:r>
      <w:r>
        <w:tab/>
        <w:t>False compensation claim</w:t>
      </w:r>
      <w:bookmarkEnd w:id="559"/>
      <w:bookmarkEnd w:id="560"/>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561" w:name="_Toc117777728"/>
      <w:bookmarkStart w:id="562" w:name="_Toc117779443"/>
      <w:bookmarkStart w:id="563" w:name="_Toc117845365"/>
      <w:bookmarkStart w:id="564" w:name="_Toc118299751"/>
      <w:bookmarkStart w:id="565" w:name="_Toc118300115"/>
      <w:bookmarkStart w:id="566" w:name="_Toc131502942"/>
      <w:bookmarkStart w:id="567" w:name="_Toc131503183"/>
      <w:bookmarkStart w:id="568" w:name="_Toc131513386"/>
      <w:bookmarkStart w:id="569" w:name="_Toc131513557"/>
      <w:r>
        <w:rPr>
          <w:rStyle w:val="CharPartNo"/>
        </w:rPr>
        <w:t>Part 9</w:t>
      </w:r>
      <w:r>
        <w:rPr>
          <w:rStyle w:val="CharDivNo"/>
        </w:rPr>
        <w:t> </w:t>
      </w:r>
      <w:r>
        <w:t>—</w:t>
      </w:r>
      <w:r>
        <w:rPr>
          <w:rStyle w:val="CharDivText"/>
        </w:rPr>
        <w:t> </w:t>
      </w:r>
      <w:r>
        <w:rPr>
          <w:rStyle w:val="CharPartText"/>
        </w:rPr>
        <w:t>Employment protection</w:t>
      </w:r>
      <w:bookmarkEnd w:id="561"/>
      <w:bookmarkEnd w:id="562"/>
      <w:bookmarkEnd w:id="563"/>
      <w:bookmarkEnd w:id="564"/>
      <w:bookmarkEnd w:id="565"/>
      <w:bookmarkEnd w:id="566"/>
      <w:bookmarkEnd w:id="567"/>
      <w:bookmarkEnd w:id="568"/>
      <w:bookmarkEnd w:id="569"/>
    </w:p>
    <w:p>
      <w:pPr>
        <w:pStyle w:val="Heading5"/>
      </w:pPr>
      <w:bookmarkStart w:id="570" w:name="_Toc131513558"/>
      <w:bookmarkStart w:id="571" w:name="_Toc118300116"/>
      <w:r>
        <w:rPr>
          <w:rStyle w:val="CharSectno"/>
        </w:rPr>
        <w:t>91</w:t>
      </w:r>
      <w:r>
        <w:t>.</w:t>
      </w:r>
      <w:r>
        <w:tab/>
        <w:t>Terms used</w:t>
      </w:r>
      <w:bookmarkEnd w:id="570"/>
      <w:bookmarkEnd w:id="571"/>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572" w:name="_Toc131513559"/>
      <w:bookmarkStart w:id="573" w:name="_Toc118300117"/>
      <w:r>
        <w:rPr>
          <w:rStyle w:val="CharSectno"/>
        </w:rPr>
        <w:t>92</w:t>
      </w:r>
      <w:r>
        <w:t>.</w:t>
      </w:r>
      <w:r>
        <w:tab/>
        <w:t>Protection of employment rights</w:t>
      </w:r>
      <w:bookmarkEnd w:id="572"/>
      <w:bookmarkEnd w:id="573"/>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574" w:name="_Toc131513560"/>
      <w:bookmarkStart w:id="575" w:name="_Toc118300118"/>
      <w:r>
        <w:rPr>
          <w:rStyle w:val="CharSectno"/>
        </w:rPr>
        <w:t>93</w:t>
      </w:r>
      <w:r>
        <w:t>.</w:t>
      </w:r>
      <w:r>
        <w:tab/>
        <w:t>Victimisation because of emergency management response</w:t>
      </w:r>
      <w:bookmarkEnd w:id="574"/>
      <w:bookmarkEnd w:id="575"/>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576" w:name="_Toc131513561"/>
      <w:bookmarkStart w:id="577" w:name="_Toc118300119"/>
      <w:r>
        <w:rPr>
          <w:rStyle w:val="CharSectno"/>
        </w:rPr>
        <w:t>94</w:t>
      </w:r>
      <w:r>
        <w:t>.</w:t>
      </w:r>
      <w:r>
        <w:tab/>
        <w:t>Civil penalty for breach of section 93</w:t>
      </w:r>
      <w:bookmarkEnd w:id="576"/>
      <w:bookmarkEnd w:id="577"/>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Magistrates Court;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578" w:name="_Toc117777733"/>
      <w:bookmarkStart w:id="579" w:name="_Toc117779448"/>
      <w:bookmarkStart w:id="580" w:name="_Toc117845370"/>
      <w:bookmarkStart w:id="581" w:name="_Toc118299756"/>
      <w:bookmarkStart w:id="582" w:name="_Toc118300120"/>
      <w:bookmarkStart w:id="583" w:name="_Toc131502947"/>
      <w:bookmarkStart w:id="584" w:name="_Toc131503188"/>
      <w:bookmarkStart w:id="585" w:name="_Toc131513391"/>
      <w:bookmarkStart w:id="586" w:name="_Toc131513562"/>
      <w:r>
        <w:rPr>
          <w:rStyle w:val="CharPartNo"/>
        </w:rPr>
        <w:t>Part 10</w:t>
      </w:r>
      <w:r>
        <w:rPr>
          <w:rStyle w:val="CharDivNo"/>
        </w:rPr>
        <w:t> </w:t>
      </w:r>
      <w:r>
        <w:t>—</w:t>
      </w:r>
      <w:r>
        <w:rPr>
          <w:rStyle w:val="CharDivText"/>
        </w:rPr>
        <w:t> </w:t>
      </w:r>
      <w:r>
        <w:rPr>
          <w:rStyle w:val="CharPartText"/>
        </w:rPr>
        <w:t>Miscellaneous</w:t>
      </w:r>
      <w:bookmarkEnd w:id="578"/>
      <w:bookmarkEnd w:id="579"/>
      <w:bookmarkEnd w:id="580"/>
      <w:bookmarkEnd w:id="581"/>
      <w:bookmarkEnd w:id="582"/>
      <w:bookmarkEnd w:id="583"/>
      <w:bookmarkEnd w:id="584"/>
      <w:bookmarkEnd w:id="585"/>
      <w:bookmarkEnd w:id="586"/>
    </w:p>
    <w:p>
      <w:pPr>
        <w:pStyle w:val="Heading5"/>
      </w:pPr>
      <w:bookmarkStart w:id="587" w:name="_Toc117777806"/>
      <w:bookmarkStart w:id="588" w:name="_Toc131513563"/>
      <w:bookmarkStart w:id="589" w:name="_Toc118300121"/>
      <w:r>
        <w:rPr>
          <w:rStyle w:val="CharSectno"/>
        </w:rPr>
        <w:t>94A</w:t>
      </w:r>
      <w:r>
        <w:t>.</w:t>
      </w:r>
      <w:r>
        <w:tab/>
        <w:t>Powers under other written laws do not affect whether declarations can be made</w:t>
      </w:r>
      <w:bookmarkEnd w:id="587"/>
      <w:bookmarkEnd w:id="588"/>
      <w:bookmarkEnd w:id="589"/>
    </w:p>
    <w:p>
      <w:pPr>
        <w:pStyle w:val="Subsection"/>
      </w:pPr>
      <w:r>
        <w:tab/>
        <w:t>(1)</w:t>
      </w:r>
      <w:r>
        <w:tab/>
        <w:t xml:space="preserve">The existence of powers under any other written law that could be exercised in relation to an emergency does not affect — </w:t>
      </w:r>
    </w:p>
    <w:p>
      <w:pPr>
        <w:pStyle w:val="Indenta"/>
      </w:pPr>
      <w:r>
        <w:tab/>
        <w:t>(a)</w:t>
      </w:r>
      <w:r>
        <w:tab/>
        <w:t>whether an emergency situation declaration may be made under section 50; or</w:t>
      </w:r>
    </w:p>
    <w:p>
      <w:pPr>
        <w:pStyle w:val="Indenta"/>
      </w:pPr>
      <w:r>
        <w:tab/>
        <w:t>(b)</w:t>
      </w:r>
      <w:r>
        <w:tab/>
        <w:t>whether a state of emergency declaration may be made under section 56.</w:t>
      </w:r>
    </w:p>
    <w:p>
      <w:pPr>
        <w:pStyle w:val="Subsection"/>
      </w:pPr>
      <w:r>
        <w:tab/>
        <w:t>(2)</w:t>
      </w:r>
      <w:r>
        <w:tab/>
        <w:t xml:space="preserve">Without limiting subsection (1) — </w:t>
      </w:r>
    </w:p>
    <w:p>
      <w:pPr>
        <w:pStyle w:val="Indenta"/>
      </w:pPr>
      <w:r>
        <w:tab/>
        <w:t>(a)</w:t>
      </w:r>
      <w:r>
        <w:tab/>
        <w:t>in determining for the purposes of section 50(2)(b) whether there is a need to exercise powers under Part 6, the State Emergency Coordinator or hazard management agency (as the case requires) is not required to consider powers under any other written law; and</w:t>
      </w:r>
    </w:p>
    <w:p>
      <w:pPr>
        <w:pStyle w:val="Indenta"/>
      </w:pPr>
      <w:r>
        <w:tab/>
        <w:t>(b)</w:t>
      </w:r>
      <w:r>
        <w:tab/>
        <w:t>in determining for the purposes of section 56(2)(c) whether extraordinary measures are required, the Minister is not required to consider powers under any other written law.</w:t>
      </w:r>
    </w:p>
    <w:p>
      <w:pPr>
        <w:pStyle w:val="Subsection"/>
      </w:pPr>
      <w:r>
        <w:tab/>
        <w:t>(3)</w:t>
      </w:r>
      <w:r>
        <w:tab/>
        <w:t>The existence of powers under any other written law that could be exercised in relation to the occurrence of COVID</w:t>
      </w:r>
      <w:r>
        <w:noBreakHyphen/>
        <w:t>19 does not affect whether a COVID</w:t>
      </w:r>
      <w:r>
        <w:noBreakHyphen/>
        <w:t>19 declaration may be made under section 77C.</w:t>
      </w:r>
    </w:p>
    <w:p>
      <w:pPr>
        <w:pStyle w:val="Subsection"/>
      </w:pPr>
      <w:r>
        <w:tab/>
        <w:t>(4)</w:t>
      </w:r>
      <w:r>
        <w:tab/>
        <w:t>Without limiting subsection (3), in determining under section 77C(2)(b) whether there is a need to exercise powers under Part 6A Division 4, the State Emergency Coordinator is not required to consider powers under any other written law.</w:t>
      </w:r>
    </w:p>
    <w:p>
      <w:pPr>
        <w:pStyle w:val="Footnotesection"/>
      </w:pPr>
      <w:r>
        <w:tab/>
        <w:t>[Section 94A inserted: No. 33 of 2022 s. 8.]</w:t>
      </w:r>
    </w:p>
    <w:p>
      <w:pPr>
        <w:pStyle w:val="Heading5"/>
      </w:pPr>
      <w:bookmarkStart w:id="590" w:name="_Toc131513564"/>
      <w:bookmarkStart w:id="591" w:name="_Toc118300122"/>
      <w:r>
        <w:rPr>
          <w:rStyle w:val="CharSectno"/>
        </w:rPr>
        <w:t>95</w:t>
      </w:r>
      <w:r>
        <w:t>.</w:t>
      </w:r>
      <w:r>
        <w:tab/>
        <w:t>Confidentiality of information</w:t>
      </w:r>
      <w:bookmarkEnd w:id="590"/>
      <w:bookmarkEnd w:id="591"/>
    </w:p>
    <w:p>
      <w:pPr>
        <w:pStyle w:val="Subsection"/>
        <w:keepNext/>
        <w:keepLines/>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592" w:name="_Toc131513565"/>
      <w:bookmarkStart w:id="593" w:name="_Toc118300123"/>
      <w:r>
        <w:rPr>
          <w:rStyle w:val="CharSectno"/>
        </w:rPr>
        <w:t>96</w:t>
      </w:r>
      <w:r>
        <w:t>.</w:t>
      </w:r>
      <w:r>
        <w:tab/>
        <w:t>Expenses</w:t>
      </w:r>
      <w:bookmarkEnd w:id="592"/>
      <w:bookmarkEnd w:id="593"/>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Footnotesection"/>
      </w:pPr>
      <w:r>
        <w:tab/>
        <w:t>[Section 96: modified by section 77X(1).]</w:t>
      </w:r>
    </w:p>
    <w:p>
      <w:pPr>
        <w:pStyle w:val="Heading5"/>
      </w:pPr>
      <w:bookmarkStart w:id="594" w:name="_Toc131513566"/>
      <w:bookmarkStart w:id="595" w:name="_Toc118300124"/>
      <w:r>
        <w:rPr>
          <w:rStyle w:val="CharSectno"/>
        </w:rPr>
        <w:t>97</w:t>
      </w:r>
      <w:r>
        <w:t>.</w:t>
      </w:r>
      <w:r>
        <w:tab/>
        <w:t>Bodies corporate or employers, conduct on behalf of</w:t>
      </w:r>
      <w:bookmarkEnd w:id="594"/>
      <w:bookmarkEnd w:id="595"/>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rPr>
          <w:ins w:id="596" w:author="Master Repository Process" w:date="2023-04-05T11:30:00Z"/>
        </w:rPr>
      </w:pPr>
      <w:bookmarkStart w:id="597" w:name="_Toc130918403"/>
      <w:bookmarkStart w:id="598" w:name="_Toc131513567"/>
      <w:bookmarkStart w:id="599" w:name="_Toc118300125"/>
      <w:r>
        <w:rPr>
          <w:rStyle w:val="CharSectno"/>
        </w:rPr>
        <w:t>98</w:t>
      </w:r>
      <w:r>
        <w:t>.</w:t>
      </w:r>
      <w:r>
        <w:tab/>
      </w:r>
      <w:del w:id="600" w:author="Master Repository Process" w:date="2023-04-05T11:30:00Z">
        <w:r>
          <w:delText>Body corporate’s</w:delText>
        </w:r>
      </w:del>
      <w:ins w:id="601" w:author="Master Repository Process" w:date="2023-04-05T11:30:00Z">
        <w:r>
          <w:t>Liability of</w:t>
        </w:r>
      </w:ins>
      <w:r>
        <w:t xml:space="preserve"> officers</w:t>
      </w:r>
      <w:del w:id="602" w:author="Master Repository Process" w:date="2023-04-05T11:30:00Z">
        <w:r>
          <w:delText>,</w:delText>
        </w:r>
      </w:del>
      <w:ins w:id="603" w:author="Master Repository Process" w:date="2023-04-05T11:30:00Z">
        <w:r>
          <w:t xml:space="preserve"> for offence by body corporate</w:t>
        </w:r>
        <w:bookmarkEnd w:id="597"/>
        <w:bookmarkEnd w:id="598"/>
      </w:ins>
    </w:p>
    <w:p>
      <w:pPr>
        <w:pStyle w:val="Subsection"/>
      </w:pPr>
      <w:ins w:id="604" w:author="Master Repository Process" w:date="2023-04-05T11:30:00Z">
        <w:r>
          <w:tab/>
          <w:t>(1)</w:t>
        </w:r>
        <w:r>
          <w:tab/>
        </w:r>
        <w:r>
          <w:rPr>
            <w:i/>
          </w:rPr>
          <w:t>The Criminal Code</w:t>
        </w:r>
        <w:r>
          <w:t xml:space="preserve"> section 39 (which provides for the criminal</w:t>
        </w:r>
      </w:ins>
      <w:r>
        <w:t xml:space="preserve"> liability of</w:t>
      </w:r>
      <w:bookmarkEnd w:id="599"/>
      <w:ins w:id="605" w:author="Master Repository Process" w:date="2023-04-05T11:30:00Z">
        <w:r>
          <w:t xml:space="preserve"> officers of a body corporate) applies to an offence under section 95 of this Act.</w:t>
        </w:r>
      </w:ins>
    </w:p>
    <w:p>
      <w:pPr>
        <w:pStyle w:val="Subsection"/>
        <w:rPr>
          <w:del w:id="606" w:author="Master Repository Process" w:date="2023-04-05T11:30:00Z"/>
        </w:rPr>
      </w:pPr>
      <w:del w:id="607" w:author="Master Repository Process" w:date="2023-04-05T11:30:00Z">
        <w:r>
          <w:tab/>
          <w:delText>(1)</w:delText>
        </w:r>
        <w:r>
          <w:tab/>
          <w:delText xml:space="preserve">In this section — </w:delText>
        </w:r>
      </w:del>
    </w:p>
    <w:p>
      <w:pPr>
        <w:pStyle w:val="Defstart"/>
        <w:rPr>
          <w:del w:id="608" w:author="Master Repository Process" w:date="2023-04-05T11:30:00Z"/>
        </w:rPr>
      </w:pPr>
      <w:del w:id="609" w:author="Master Repository Process" w:date="2023-04-05T11:30:00Z">
        <w:r>
          <w:rPr>
            <w:b/>
          </w:rPr>
          <w:tab/>
        </w:r>
        <w:r>
          <w:rPr>
            <w:rStyle w:val="CharDefText"/>
          </w:rPr>
          <w:delText>officer</w:delText>
        </w:r>
        <w:r>
          <w:delText xml:space="preserve">, in relation to a body corporate, has the meaning given to that term in the </w:delText>
        </w:r>
        <w:r>
          <w:rPr>
            <w:i/>
          </w:rPr>
          <w:delText>Corporations Act 2001</w:delText>
        </w:r>
        <w:r>
          <w:delText xml:space="preserve"> of the Commonwealth but does not include an employee of the body unless the employee was concerned in the management of the body.</w:delText>
        </w:r>
      </w:del>
    </w:p>
    <w:p>
      <w:pPr>
        <w:pStyle w:val="Subsection"/>
      </w:pPr>
      <w:r>
        <w:tab/>
        <w:t>(2)</w:t>
      </w:r>
      <w:r>
        <w:tab/>
      </w:r>
      <w:del w:id="610" w:author="Master Repository Process" w:date="2023-04-05T11:30:00Z">
        <w:r>
          <w:delText xml:space="preserve">If </w:delText>
        </w:r>
      </w:del>
      <w:ins w:id="611" w:author="Master Repository Process" w:date="2023-04-05T11:30:00Z">
        <w:r>
          <w:rPr>
            <w:i/>
          </w:rPr>
          <w:t>The Criminal Code</w:t>
        </w:r>
        <w:r>
          <w:t xml:space="preserve"> section 41 (which provides for the criminal liability of officers of </w:t>
        </w:r>
      </w:ins>
      <w:r>
        <w:t>a body corporate</w:t>
      </w:r>
      <w:del w:id="612" w:author="Master Repository Process" w:date="2023-04-05T11:30:00Z">
        <w:r>
          <w:delText xml:space="preserve"> is charged with </w:delText>
        </w:r>
      </w:del>
      <w:ins w:id="613" w:author="Master Repository Process" w:date="2023-04-05T11:30:00Z">
        <w:r>
          <w:t xml:space="preserve">) applies to </w:t>
        </w:r>
      </w:ins>
      <w:r>
        <w:t xml:space="preserve">an offence under </w:t>
      </w:r>
      <w:ins w:id="614" w:author="Master Repository Process" w:date="2023-04-05T11:30:00Z">
        <w:r>
          <w:t xml:space="preserve">a provision of </w:t>
        </w:r>
      </w:ins>
      <w:r>
        <w:t>this Act</w:t>
      </w:r>
      <w:del w:id="615" w:author="Master Repository Process" w:date="2023-04-05T11:30:00Z">
        <w:r>
          <w:delText>, every person who was an officer of the body at the time of the alleged offence may also be charged with the offence</w:delText>
        </w:r>
      </w:del>
      <w:ins w:id="616" w:author="Master Repository Process" w:date="2023-04-05T11:30:00Z">
        <w:r>
          <w:t xml:space="preserve"> listed in the Table</w:t>
        </w:r>
      </w:ins>
      <w:r>
        <w:t>.</w:t>
      </w:r>
    </w:p>
    <w:p>
      <w:pPr>
        <w:pStyle w:val="Subsection"/>
        <w:rPr>
          <w:del w:id="617" w:author="Master Repository Process" w:date="2023-04-05T11:30:00Z"/>
        </w:rPr>
      </w:pPr>
      <w:del w:id="618" w:author="Master Repository Process" w:date="2023-04-05T11:30:00Z">
        <w:r>
          <w:tab/>
          <w:delText>(3)</w:delText>
        </w:r>
        <w:r>
          <w:tab/>
          <w:delText>If a body corporate and an officer are charged as permitted under subsection (2) and the body corporate is convicted of the offence, the officer is to be taken to have also committed the offence, subject to subsection (6).</w:delText>
        </w:r>
      </w:del>
    </w:p>
    <w:p>
      <w:pPr>
        <w:pStyle w:val="Subsection"/>
        <w:rPr>
          <w:del w:id="619" w:author="Master Repository Process" w:date="2023-04-05T11:30:00Z"/>
        </w:rPr>
      </w:pPr>
      <w:del w:id="620" w:author="Master Repository Process" w:date="2023-04-05T11:30:00Z">
        <w:r>
          <w:tab/>
          <w:delText>(4)</w:delText>
        </w:r>
        <w:r>
          <w:tab/>
          <w:delText>If a body corporate commits an offence under this Act, then, although the body is not charged with the offence, every person who was an officer of the body at the time the offence was committed may be charged with the offence.</w:delText>
        </w:r>
      </w:del>
    </w:p>
    <w:p>
      <w:pPr>
        <w:pStyle w:val="Subsection"/>
        <w:rPr>
          <w:del w:id="621" w:author="Master Repository Process" w:date="2023-04-05T11:30:00Z"/>
        </w:rPr>
      </w:pPr>
      <w:del w:id="622" w:author="Master Repository Process" w:date="2023-04-05T11:30:00Z">
        <w:r>
          <w:tab/>
          <w:delText>(5)</w:delText>
        </w:r>
        <w:r>
          <w:tab/>
          <w:delText>If an officer is charged as permitted by subsection (4) and it is proved that the body corporate committed the offence, the officer is to be taken to have also committed the offence, subject to subsection (6).</w:delText>
        </w:r>
      </w:del>
    </w:p>
    <w:p>
      <w:pPr>
        <w:pStyle w:val="Subsection"/>
        <w:keepNext/>
        <w:rPr>
          <w:del w:id="623" w:author="Master Repository Process" w:date="2023-04-05T11:30:00Z"/>
        </w:rPr>
      </w:pPr>
      <w:del w:id="624" w:author="Master Repository Process" w:date="2023-04-05T11:30:00Z">
        <w:r>
          <w:tab/>
          <w:delText>(6)</w:delText>
        </w:r>
        <w:r>
          <w:tab/>
          <w:delText xml:space="preserve">If under this section an officer is charged with an offence it is a defence to prove — </w:delText>
        </w:r>
      </w:del>
    </w:p>
    <w:p>
      <w:pPr>
        <w:pStyle w:val="Indenta"/>
        <w:rPr>
          <w:del w:id="625" w:author="Master Repository Process" w:date="2023-04-05T11:30:00Z"/>
        </w:rPr>
      </w:pPr>
      <w:del w:id="626" w:author="Master Repository Process" w:date="2023-04-05T11:30:00Z">
        <w:r>
          <w:tab/>
          <w:delText>(a)</w:delText>
        </w:r>
        <w:r>
          <w:tab/>
          <w:delText>that the offence was committed without the officer’s consent or connivance; and</w:delText>
        </w:r>
      </w:del>
    </w:p>
    <w:p>
      <w:pPr>
        <w:pStyle w:val="Indenta"/>
        <w:rPr>
          <w:del w:id="627" w:author="Master Repository Process" w:date="2023-04-05T11:30:00Z"/>
        </w:rPr>
      </w:pPr>
      <w:del w:id="628" w:author="Master Repository Process" w:date="2023-04-05T11:30:00Z">
        <w:r>
          <w:tab/>
          <w:delText>(b)</w:delText>
        </w:r>
        <w:r>
          <w:tab/>
          <w:delText>that the officer took all the measures to prevent the commission of the offence that he or she could reasonably be expected to have taken having regard to the officer’s functions and to all the circumstances.</w:delText>
        </w:r>
      </w:del>
    </w:p>
    <w:p>
      <w:pPr>
        <w:pStyle w:val="THeadingNAm"/>
        <w:rPr>
          <w:ins w:id="629" w:author="Master Repository Process" w:date="2023-04-05T11:30:00Z"/>
        </w:rPr>
      </w:pPr>
      <w:ins w:id="630" w:author="Master Repository Process" w:date="2023-04-05T11:30: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ins w:id="631" w:author="Master Repository Process" w:date="2023-04-05T11:30:00Z"/>
        </w:trPr>
        <w:tc>
          <w:tcPr>
            <w:tcW w:w="2409" w:type="dxa"/>
            <w:noWrap/>
          </w:tcPr>
          <w:p>
            <w:pPr>
              <w:pStyle w:val="TableNAm"/>
              <w:rPr>
                <w:ins w:id="632" w:author="Master Repository Process" w:date="2023-04-05T11:30:00Z"/>
              </w:rPr>
            </w:pPr>
            <w:ins w:id="633" w:author="Master Repository Process" w:date="2023-04-05T11:30:00Z">
              <w:r>
                <w:t>s. 85</w:t>
              </w:r>
            </w:ins>
          </w:p>
        </w:tc>
        <w:tc>
          <w:tcPr>
            <w:tcW w:w="2410" w:type="dxa"/>
            <w:noWrap/>
          </w:tcPr>
          <w:p>
            <w:pPr>
              <w:pStyle w:val="TableNAm"/>
              <w:rPr>
                <w:ins w:id="634" w:author="Master Repository Process" w:date="2023-04-05T11:30:00Z"/>
              </w:rPr>
            </w:pPr>
            <w:ins w:id="635" w:author="Master Repository Process" w:date="2023-04-05T11:30:00Z">
              <w:r>
                <w:t>s. 86(1) in relation to a direction given under s. 47(1), 71(1) or 75(1)</w:t>
              </w:r>
            </w:ins>
          </w:p>
        </w:tc>
      </w:tr>
      <w:tr>
        <w:trPr>
          <w:ins w:id="636" w:author="Master Repository Process" w:date="2023-04-05T11:30:00Z"/>
        </w:trPr>
        <w:tc>
          <w:tcPr>
            <w:tcW w:w="2409" w:type="dxa"/>
            <w:noWrap/>
          </w:tcPr>
          <w:p>
            <w:pPr>
              <w:pStyle w:val="TableNAm"/>
              <w:keepNext/>
              <w:rPr>
                <w:ins w:id="637" w:author="Master Repository Process" w:date="2023-04-05T11:30:00Z"/>
              </w:rPr>
            </w:pPr>
            <w:ins w:id="638" w:author="Master Repository Process" w:date="2023-04-05T11:30:00Z">
              <w:r>
                <w:t>s. 87</w:t>
              </w:r>
            </w:ins>
          </w:p>
        </w:tc>
        <w:tc>
          <w:tcPr>
            <w:tcW w:w="2410" w:type="dxa"/>
            <w:noWrap/>
          </w:tcPr>
          <w:p>
            <w:pPr>
              <w:pStyle w:val="TableNAm"/>
              <w:rPr>
                <w:ins w:id="639" w:author="Master Repository Process" w:date="2023-04-05T11:30:00Z"/>
              </w:rPr>
            </w:pPr>
            <w:ins w:id="640" w:author="Master Repository Process" w:date="2023-04-05T11:30:00Z">
              <w:r>
                <w:t>s. 89</w:t>
              </w:r>
            </w:ins>
          </w:p>
        </w:tc>
      </w:tr>
      <w:tr>
        <w:trPr>
          <w:ins w:id="641" w:author="Master Repository Process" w:date="2023-04-05T11:30:00Z"/>
        </w:trPr>
        <w:tc>
          <w:tcPr>
            <w:tcW w:w="2409" w:type="dxa"/>
            <w:noWrap/>
          </w:tcPr>
          <w:p>
            <w:pPr>
              <w:pStyle w:val="TableNAm"/>
              <w:keepNext/>
              <w:rPr>
                <w:ins w:id="642" w:author="Master Repository Process" w:date="2023-04-05T11:30:00Z"/>
              </w:rPr>
            </w:pPr>
            <w:ins w:id="643" w:author="Master Repository Process" w:date="2023-04-05T11:30:00Z">
              <w:r>
                <w:t>s. 90</w:t>
              </w:r>
            </w:ins>
          </w:p>
        </w:tc>
        <w:tc>
          <w:tcPr>
            <w:tcW w:w="2410" w:type="dxa"/>
            <w:noWrap/>
          </w:tcPr>
          <w:p>
            <w:pPr>
              <w:pStyle w:val="TableNAm"/>
              <w:rPr>
                <w:ins w:id="644" w:author="Master Repository Process" w:date="2023-04-05T11:30:00Z"/>
              </w:rPr>
            </w:pPr>
          </w:p>
        </w:tc>
      </w:tr>
    </w:tbl>
    <w:p>
      <w:pPr>
        <w:pStyle w:val="Footnotesection"/>
        <w:rPr>
          <w:ins w:id="645" w:author="Master Repository Process" w:date="2023-04-05T11:30:00Z"/>
        </w:rPr>
      </w:pPr>
      <w:ins w:id="646" w:author="Master Repository Process" w:date="2023-04-05T11:30:00Z">
        <w:r>
          <w:tab/>
          <w:t>[Section 98 inserted: No. 9 of 2023 s. 55.]</w:t>
        </w:r>
      </w:ins>
    </w:p>
    <w:p>
      <w:pPr>
        <w:pStyle w:val="Footnotesection"/>
        <w:rPr>
          <w:ins w:id="647" w:author="Master Repository Process" w:date="2023-04-05T11:30:00Z"/>
        </w:rPr>
      </w:pPr>
      <w:ins w:id="648" w:author="Master Repository Process" w:date="2023-04-05T11:30:00Z">
        <w:r>
          <w:tab/>
          <w:t>[Section 98: modified by section 77X(1).]</w:t>
        </w:r>
      </w:ins>
    </w:p>
    <w:p>
      <w:pPr>
        <w:pStyle w:val="Heading5"/>
      </w:pPr>
      <w:bookmarkStart w:id="649" w:name="_Toc131513568"/>
      <w:bookmarkStart w:id="650" w:name="_Toc118300126"/>
      <w:r>
        <w:rPr>
          <w:rStyle w:val="CharSectno"/>
        </w:rPr>
        <w:t>99</w:t>
      </w:r>
      <w:r>
        <w:t>.</w:t>
      </w:r>
      <w:r>
        <w:tab/>
        <w:t>Evidentiary matters</w:t>
      </w:r>
      <w:bookmarkEnd w:id="649"/>
      <w:bookmarkEnd w:id="650"/>
    </w:p>
    <w:p>
      <w:pPr>
        <w:pStyle w:val="Subsection"/>
        <w:keepNext/>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keepNext/>
        <w:keepLines/>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Footnotesection"/>
      </w:pPr>
      <w:r>
        <w:tab/>
        <w:t>[Section 99: modified by section 77X(1).]</w:t>
      </w:r>
    </w:p>
    <w:p>
      <w:pPr>
        <w:pStyle w:val="Heading5"/>
      </w:pPr>
      <w:bookmarkStart w:id="651" w:name="_Toc131513569"/>
      <w:bookmarkStart w:id="652" w:name="_Toc118300127"/>
      <w:r>
        <w:rPr>
          <w:rStyle w:val="CharSectno"/>
        </w:rPr>
        <w:t>100</w:t>
      </w:r>
      <w:r>
        <w:t>.</w:t>
      </w:r>
      <w:r>
        <w:tab/>
        <w:t>Protection from liability</w:t>
      </w:r>
      <w:bookmarkEnd w:id="651"/>
      <w:bookmarkEnd w:id="652"/>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keepNext/>
        <w:keepLines/>
      </w:pPr>
      <w:r>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Footnotesection"/>
      </w:pPr>
      <w:r>
        <w:tab/>
        <w:t>[Section 100: modified by section 77X(1).]</w:t>
      </w:r>
    </w:p>
    <w:p>
      <w:pPr>
        <w:pStyle w:val="Heading5"/>
      </w:pPr>
      <w:bookmarkStart w:id="653" w:name="_Toc131513570"/>
      <w:bookmarkStart w:id="654" w:name="_Toc118300128"/>
      <w:r>
        <w:rPr>
          <w:rStyle w:val="CharSectno"/>
        </w:rPr>
        <w:t>101</w:t>
      </w:r>
      <w:r>
        <w:t>.</w:t>
      </w:r>
      <w:r>
        <w:tab/>
        <w:t>Regulations as to compensation of volunteers</w:t>
      </w:r>
      <w:bookmarkEnd w:id="653"/>
      <w:bookmarkEnd w:id="654"/>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Footnotesection"/>
      </w:pPr>
      <w:r>
        <w:tab/>
        <w:t>[Section 101: modified by section 77X(1).]</w:t>
      </w:r>
    </w:p>
    <w:p>
      <w:pPr>
        <w:pStyle w:val="Heading5"/>
      </w:pPr>
      <w:bookmarkStart w:id="655" w:name="_Toc131513571"/>
      <w:bookmarkStart w:id="656" w:name="_Toc118300129"/>
      <w:r>
        <w:rPr>
          <w:rStyle w:val="CharSectno"/>
        </w:rPr>
        <w:t>102</w:t>
      </w:r>
      <w:r>
        <w:t>.</w:t>
      </w:r>
      <w:r>
        <w:tab/>
        <w:t>Regulations</w:t>
      </w:r>
      <w:bookmarkEnd w:id="655"/>
      <w:bookmarkEnd w:id="6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Subsection"/>
      </w:pPr>
      <w:r>
        <w:tab/>
        <w:t>(3)</w:t>
      </w:r>
      <w:r>
        <w:tab/>
        <w:t xml:space="preserve">If this Act is a prescribed Act for the purposes of the </w:t>
      </w:r>
      <w:r>
        <w:rPr>
          <w:i/>
        </w:rPr>
        <w:t>Criminal Procedure Act 2004</w:t>
      </w:r>
      <w:r>
        <w:t xml:space="preserve"> Part 2, regulations that prescribe an offence under this Act for which an infringement notice may be issued under the </w:t>
      </w:r>
      <w:r>
        <w:rPr>
          <w:i/>
        </w:rPr>
        <w:t>Criminal Procedure Act 2004</w:t>
      </w:r>
      <w:r>
        <w:t xml:space="preserve"> Part 2 have effect despite section 5(2) of that Act.</w:t>
      </w:r>
    </w:p>
    <w:p>
      <w:pPr>
        <w:pStyle w:val="Footnotesection"/>
      </w:pPr>
      <w:r>
        <w:tab/>
        <w:t>[Section 102 amended: No. 11 of 2020 s. 14.]</w:t>
      </w:r>
    </w:p>
    <w:p>
      <w:pPr>
        <w:pStyle w:val="Heading5"/>
      </w:pPr>
      <w:bookmarkStart w:id="657" w:name="_Toc131513572"/>
      <w:bookmarkStart w:id="658" w:name="_Toc118300130"/>
      <w:r>
        <w:rPr>
          <w:rStyle w:val="CharSectno"/>
        </w:rPr>
        <w:t>103</w:t>
      </w:r>
      <w:r>
        <w:t>.</w:t>
      </w:r>
      <w:r>
        <w:tab/>
        <w:t>Review of Act</w:t>
      </w:r>
      <w:bookmarkEnd w:id="657"/>
      <w:bookmarkEnd w:id="658"/>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59" w:name="_Toc117777743"/>
      <w:bookmarkStart w:id="660" w:name="_Toc117779459"/>
      <w:bookmarkStart w:id="661" w:name="_Toc117845381"/>
      <w:bookmarkStart w:id="662" w:name="_Toc118299767"/>
      <w:bookmarkStart w:id="663" w:name="_Toc118300131"/>
      <w:bookmarkStart w:id="664" w:name="_Toc131502958"/>
      <w:bookmarkStart w:id="665" w:name="_Toc131503199"/>
      <w:bookmarkStart w:id="666" w:name="_Toc131513402"/>
      <w:bookmarkStart w:id="667" w:name="_Toc131513573"/>
      <w:r>
        <w:t>Notes</w:t>
      </w:r>
      <w:bookmarkEnd w:id="659"/>
      <w:bookmarkEnd w:id="660"/>
      <w:bookmarkEnd w:id="661"/>
      <w:bookmarkEnd w:id="662"/>
      <w:bookmarkEnd w:id="663"/>
      <w:bookmarkEnd w:id="664"/>
      <w:bookmarkEnd w:id="665"/>
      <w:bookmarkEnd w:id="666"/>
      <w:bookmarkEnd w:id="667"/>
    </w:p>
    <w:p>
      <w:pPr>
        <w:pStyle w:val="nStatement"/>
      </w:pPr>
      <w:r>
        <w:t xml:space="preserve">This is a compilation of the </w:t>
      </w:r>
      <w:r>
        <w:rPr>
          <w:i/>
          <w:noProof/>
        </w:rPr>
        <w:t>Emergency Management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68" w:name="_Toc131513574"/>
      <w:bookmarkStart w:id="669" w:name="_Toc118300132"/>
      <w:r>
        <w:t>Compilation table</w:t>
      </w:r>
      <w:bookmarkEnd w:id="668"/>
      <w:bookmarkEnd w:id="66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Emergency Management Act 2005</w:t>
            </w:r>
          </w:p>
        </w:tc>
        <w:tc>
          <w:tcPr>
            <w:tcW w:w="1134" w:type="dxa"/>
            <w:tcBorders>
              <w:top w:val="single" w:sz="8" w:space="0" w:color="auto"/>
            </w:tcBorders>
          </w:tcPr>
          <w:p>
            <w:pPr>
              <w:pStyle w:val="nTable"/>
              <w:spacing w:after="40"/>
            </w:pPr>
            <w:r>
              <w:t>15 of 2005</w:t>
            </w:r>
          </w:p>
        </w:tc>
        <w:tc>
          <w:tcPr>
            <w:tcW w:w="1134" w:type="dxa"/>
            <w:tcBorders>
              <w:top w:val="single" w:sz="8" w:space="0" w:color="auto"/>
            </w:tcBorders>
          </w:tcPr>
          <w:p>
            <w:pPr>
              <w:pStyle w:val="nTable"/>
              <w:spacing w:after="40"/>
            </w:pPr>
            <w:r>
              <w:t>27 Sep 2005</w:t>
            </w:r>
          </w:p>
        </w:tc>
        <w:tc>
          <w:tcPr>
            <w:tcW w:w="2552" w:type="dxa"/>
            <w:tcBorders>
              <w:top w:val="single" w:sz="8" w:space="0" w:color="auto"/>
            </w:tcBorders>
          </w:tcPr>
          <w:p>
            <w:pPr>
              <w:pStyle w:val="nTable"/>
              <w:spacing w:after="40"/>
            </w:pPr>
            <w:r>
              <w:t>s. 1 and 2:  27 Sep 2005;</w:t>
            </w:r>
            <w:r>
              <w:br/>
              <w:t xml:space="preserve">Act other than s. 1 and 2: 24 Dec 2005 (see s. 2 and </w:t>
            </w:r>
            <w:r>
              <w:rPr>
                <w:i/>
              </w:rPr>
              <w:t xml:space="preserve">Gazette </w:t>
            </w:r>
            <w:r>
              <w:t>23 Dec 2005 p. 6244)</w:t>
            </w:r>
          </w:p>
        </w:tc>
      </w:tr>
      <w:tr>
        <w:tc>
          <w:tcPr>
            <w:tcW w:w="2268" w:type="dxa"/>
          </w:tcPr>
          <w:p>
            <w:pPr>
              <w:pStyle w:val="nTable"/>
              <w:spacing w:after="4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 xml:space="preserve">Road Traffic Legislation Amendment Act 2012 </w:t>
            </w:r>
            <w:r>
              <w:rPr>
                <w:snapToGrid w:val="0"/>
              </w:rPr>
              <w:t>Pt. 4 Div. 19</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Pr>
          <w:p>
            <w:pPr>
              <w:pStyle w:val="nTable"/>
              <w:spacing w:after="40"/>
              <w:rPr>
                <w:i/>
                <w:snapToGrid w:val="0"/>
              </w:rPr>
            </w:pPr>
            <w:r>
              <w:rPr>
                <w:i/>
                <w:snapToGrid w:val="0"/>
              </w:rPr>
              <w:t xml:space="preserve">Fire and Emergency Services Legislation Amendment Act 2012 </w:t>
            </w:r>
            <w:r>
              <w:rPr>
                <w:snapToGrid w:val="0"/>
              </w:rPr>
              <w:t>Pt. 6</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c>
          <w:tcPr>
            <w:tcW w:w="2268" w:type="dxa"/>
          </w:tcPr>
          <w:p>
            <w:pPr>
              <w:pStyle w:val="nTable"/>
              <w:spacing w:after="40"/>
              <w:rPr>
                <w:i/>
                <w:snapToGrid w:val="0"/>
              </w:rPr>
            </w:pPr>
            <w:r>
              <w:rPr>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snapToGrid w:val="0"/>
              </w:rPr>
            </w:pPr>
            <w:r>
              <w:t>13 of 2014</w:t>
            </w:r>
          </w:p>
        </w:tc>
        <w:tc>
          <w:tcPr>
            <w:tcW w:w="1134" w:type="dxa"/>
          </w:tcPr>
          <w:p>
            <w:pPr>
              <w:pStyle w:val="nTable"/>
              <w:spacing w:after="40"/>
              <w:rPr>
                <w:snapToGrid w:val="0"/>
              </w:rPr>
            </w:pPr>
            <w:r>
              <w:t>2 Jul 2014</w:t>
            </w:r>
          </w:p>
        </w:tc>
        <w:tc>
          <w:tcPr>
            <w:tcW w:w="2552" w:type="dxa"/>
          </w:tcPr>
          <w:p>
            <w:pPr>
              <w:pStyle w:val="nTable"/>
              <w:spacing w:after="40"/>
              <w:rPr>
                <w:snapToGrid w:val="0"/>
              </w:rPr>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13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Emergency Management Act 2005</w:t>
            </w:r>
            <w:r>
              <w:rPr>
                <w:b/>
                <w:snapToGrid w:val="0"/>
              </w:rPr>
              <w:t xml:space="preserve"> as at 14 Jul 2017</w:t>
            </w:r>
            <w:r>
              <w:rPr>
                <w:snapToGrid w:val="0"/>
              </w:rPr>
              <w:t xml:space="preserve"> (includes amendments listed above)</w:t>
            </w:r>
          </w:p>
        </w:tc>
      </w:tr>
      <w:tr>
        <w:tc>
          <w:tcPr>
            <w:tcW w:w="2268" w:type="dxa"/>
          </w:tcPr>
          <w:p>
            <w:pPr>
              <w:pStyle w:val="nTable"/>
              <w:spacing w:after="40"/>
              <w:rPr>
                <w:snapToGrid w:val="0"/>
              </w:rPr>
            </w:pPr>
            <w:r>
              <w:rPr>
                <w:i/>
              </w:rPr>
              <w:t>Emergency Management Amendment (COVID</w:t>
            </w:r>
            <w:r>
              <w:rPr>
                <w:i/>
              </w:rPr>
              <w:noBreakHyphen/>
              <w:t>19 Response) Act 2020</w:t>
            </w:r>
            <w:r>
              <w:rPr>
                <w:vertAlign w:val="superscript"/>
              </w:rPr>
              <w:t> 1</w:t>
            </w:r>
          </w:p>
        </w:tc>
        <w:tc>
          <w:tcPr>
            <w:tcW w:w="1134" w:type="dxa"/>
          </w:tcPr>
          <w:p>
            <w:pPr>
              <w:pStyle w:val="nTable"/>
              <w:keepLines/>
              <w:spacing w:after="40"/>
              <w:rPr>
                <w:snapToGrid w:val="0"/>
              </w:rPr>
            </w:pPr>
            <w:r>
              <w:rPr>
                <w:snapToGrid w:val="0"/>
              </w:rPr>
              <w:t xml:space="preserve">11 of 2020 </w:t>
            </w:r>
            <w:r>
              <w:t>(as amended by No. 39 of 2020 Pt. 4, No. 1 of 2021 Pt. 4, No. 21 of 2021 Pt. 4,  No. 15 of 2022 Pt. 4 and No. 33 of 2022 Pt. 2 Div. 2 Subdiv. 1)</w:t>
            </w:r>
          </w:p>
        </w:tc>
        <w:tc>
          <w:tcPr>
            <w:tcW w:w="1134" w:type="dxa"/>
          </w:tcPr>
          <w:p>
            <w:pPr>
              <w:pStyle w:val="nTable"/>
              <w:spacing w:after="40"/>
              <w:rPr>
                <w:snapToGrid w:val="0"/>
              </w:rPr>
            </w:pPr>
            <w:r>
              <w:rPr>
                <w:snapToGrid w:val="0"/>
              </w:rPr>
              <w:t>3 Apr 2020</w:t>
            </w:r>
          </w:p>
        </w:tc>
        <w:tc>
          <w:tcPr>
            <w:tcW w:w="2552" w:type="dxa"/>
          </w:tcPr>
          <w:p>
            <w:pPr>
              <w:pStyle w:val="nTable"/>
              <w:spacing w:after="40"/>
              <w:rPr>
                <w:snapToGrid w:val="0"/>
              </w:rPr>
            </w:pPr>
            <w:r>
              <w:t xml:space="preserve">s. 5, 7, 11 and 12(1) and (2): </w:t>
            </w:r>
            <w:r>
              <w:rPr>
                <w:snapToGrid w:val="0"/>
              </w:rPr>
              <w:t>16 Mar 2020 (see s. 2(b));</w:t>
            </w:r>
          </w:p>
          <w:p>
            <w:pPr>
              <w:pStyle w:val="nTable"/>
              <w:spacing w:after="40"/>
            </w:pPr>
            <w:r>
              <w:t>s. 1 and 2: 3 Apr 2020 (see s. 2(a));</w:t>
            </w:r>
          </w:p>
          <w:p>
            <w:pPr>
              <w:pStyle w:val="nTable"/>
              <w:spacing w:after="40"/>
              <w:rPr>
                <w:snapToGrid w:val="0"/>
              </w:rPr>
            </w:pPr>
            <w:r>
              <w:t>Act other than s. 1, 2, 5, 7, 10, 11 and 12(1) and (2): 4 Apr 2020 (see s. 2(d))</w:t>
            </w:r>
          </w:p>
        </w:tc>
      </w:tr>
      <w:tr>
        <w:tc>
          <w:tcPr>
            <w:tcW w:w="2268" w:type="dxa"/>
          </w:tcPr>
          <w:p>
            <w:pPr>
              <w:pStyle w:val="nTable"/>
              <w:spacing w:after="40"/>
              <w:rPr>
                <w:i/>
              </w:rPr>
            </w:pPr>
            <w:r>
              <w:rPr>
                <w:i/>
              </w:rPr>
              <w:t>Emergency Management Amendment (Temporary COVID</w:t>
            </w:r>
            <w:r>
              <w:rPr>
                <w:i/>
              </w:rPr>
              <w:noBreakHyphen/>
              <w:t>19 Provisions) Act 2022</w:t>
            </w:r>
            <w:r>
              <w:t xml:space="preserve"> Pt. 2 Div. 1</w:t>
            </w:r>
          </w:p>
        </w:tc>
        <w:tc>
          <w:tcPr>
            <w:tcW w:w="1134" w:type="dxa"/>
          </w:tcPr>
          <w:p>
            <w:pPr>
              <w:pStyle w:val="nTable"/>
              <w:spacing w:after="40"/>
              <w:rPr>
                <w:snapToGrid w:val="0"/>
              </w:rPr>
            </w:pPr>
            <w:r>
              <w:t>33 of 2022</w:t>
            </w:r>
          </w:p>
        </w:tc>
        <w:tc>
          <w:tcPr>
            <w:tcW w:w="1134" w:type="dxa"/>
          </w:tcPr>
          <w:p>
            <w:pPr>
              <w:pStyle w:val="nTable"/>
              <w:spacing w:after="40"/>
              <w:rPr>
                <w:snapToGrid w:val="0"/>
              </w:rPr>
            </w:pPr>
            <w:r>
              <w:t>21 Oct 2022</w:t>
            </w:r>
          </w:p>
        </w:tc>
        <w:tc>
          <w:tcPr>
            <w:tcW w:w="2552" w:type="dxa"/>
          </w:tcPr>
          <w:p>
            <w:pPr>
              <w:pStyle w:val="nTable"/>
              <w:spacing w:after="40"/>
            </w:pPr>
            <w:r>
              <w:t>3 Nov 2022 (see s. 2(b) and SL 2022/175 cl. 2)</w:t>
            </w:r>
          </w:p>
        </w:tc>
      </w:tr>
      <w:tr>
        <w:trPr>
          <w:ins w:id="670" w:author="Master Repository Process" w:date="2023-04-05T11:30:00Z"/>
        </w:trPr>
        <w:tc>
          <w:tcPr>
            <w:tcW w:w="2268" w:type="dxa"/>
            <w:tcBorders>
              <w:bottom w:val="single" w:sz="8" w:space="0" w:color="auto"/>
            </w:tcBorders>
          </w:tcPr>
          <w:p>
            <w:pPr>
              <w:pStyle w:val="nTable"/>
              <w:spacing w:after="40"/>
              <w:rPr>
                <w:ins w:id="671" w:author="Master Repository Process" w:date="2023-04-05T11:30:00Z"/>
                <w:i/>
              </w:rPr>
            </w:pPr>
            <w:ins w:id="672" w:author="Master Repository Process" w:date="2023-04-05T11:30:00Z">
              <w:r>
                <w:rPr>
                  <w:i/>
                </w:rPr>
                <w:t>Directors’ Liability Reform Act 2023</w:t>
              </w:r>
              <w:r>
                <w:t xml:space="preserve"> Pt. 3 Div. 20</w:t>
              </w:r>
            </w:ins>
          </w:p>
        </w:tc>
        <w:tc>
          <w:tcPr>
            <w:tcW w:w="1134" w:type="dxa"/>
            <w:tcBorders>
              <w:bottom w:val="single" w:sz="8" w:space="0" w:color="auto"/>
            </w:tcBorders>
          </w:tcPr>
          <w:p>
            <w:pPr>
              <w:pStyle w:val="nTable"/>
              <w:spacing w:after="40"/>
              <w:rPr>
                <w:ins w:id="673" w:author="Master Repository Process" w:date="2023-04-05T11:30:00Z"/>
              </w:rPr>
            </w:pPr>
            <w:ins w:id="674" w:author="Master Repository Process" w:date="2023-04-05T11:30:00Z">
              <w:r>
                <w:t>9 of 2023</w:t>
              </w:r>
            </w:ins>
          </w:p>
        </w:tc>
        <w:tc>
          <w:tcPr>
            <w:tcW w:w="1134" w:type="dxa"/>
            <w:tcBorders>
              <w:bottom w:val="single" w:sz="8" w:space="0" w:color="auto"/>
            </w:tcBorders>
          </w:tcPr>
          <w:p>
            <w:pPr>
              <w:pStyle w:val="nTable"/>
              <w:spacing w:after="40"/>
              <w:rPr>
                <w:ins w:id="675" w:author="Master Repository Process" w:date="2023-04-05T11:30:00Z"/>
              </w:rPr>
            </w:pPr>
            <w:ins w:id="676" w:author="Master Repository Process" w:date="2023-04-05T11:30:00Z">
              <w:r>
                <w:t>4 Apr 2023</w:t>
              </w:r>
            </w:ins>
          </w:p>
        </w:tc>
        <w:tc>
          <w:tcPr>
            <w:tcW w:w="2552" w:type="dxa"/>
            <w:tcBorders>
              <w:bottom w:val="single" w:sz="8" w:space="0" w:color="auto"/>
            </w:tcBorders>
          </w:tcPr>
          <w:p>
            <w:pPr>
              <w:pStyle w:val="nTable"/>
              <w:spacing w:after="40"/>
              <w:rPr>
                <w:ins w:id="677" w:author="Master Repository Process" w:date="2023-04-05T11:30:00Z"/>
              </w:rPr>
            </w:pPr>
            <w:ins w:id="678" w:author="Master Repository Process" w:date="2023-04-05T11:30:00Z">
              <w:r>
                <w:t>5 Apr 2023 (see s. 2(j))</w:t>
              </w:r>
            </w:ins>
          </w:p>
        </w:tc>
      </w:tr>
    </w:tbl>
    <w:p>
      <w:pPr>
        <w:pStyle w:val="nHeading3"/>
      </w:pPr>
      <w:bookmarkStart w:id="679" w:name="_Toc131513575"/>
      <w:bookmarkStart w:id="680" w:name="_Toc118300133"/>
      <w:r>
        <w:t>Uncommenced provisions table</w:t>
      </w:r>
      <w:bookmarkEnd w:id="679"/>
      <w:bookmarkEnd w:id="68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keepLines/>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insideH w:val="single" w:sz="8" w:space="0" w:color="auto"/>
          </w:tblBorders>
        </w:tblPrEx>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3 Div. 1</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r>
              <w:t>3 Nov 2024 (see s. 2(c) and SL 2022/175 cl. 2)</w:t>
            </w:r>
          </w:p>
        </w:tc>
      </w:tr>
    </w:tbl>
    <w:p>
      <w:pPr>
        <w:pStyle w:val="nHeading3"/>
      </w:pPr>
      <w:bookmarkStart w:id="681" w:name="_Toc131513576"/>
      <w:bookmarkStart w:id="682" w:name="_Toc118300134"/>
      <w:r>
        <w:t>Other notes</w:t>
      </w:r>
      <w:bookmarkEnd w:id="681"/>
      <w:bookmarkEnd w:id="682"/>
    </w:p>
    <w:p>
      <w:pPr>
        <w:pStyle w:val="nNote"/>
      </w:pPr>
      <w:r>
        <w:rPr>
          <w:vertAlign w:val="superscript"/>
        </w:rPr>
        <w:t>1</w:t>
      </w:r>
      <w:r>
        <w:tab/>
        <w:t xml:space="preserve">The amendment in the </w:t>
      </w:r>
      <w:r>
        <w:rPr>
          <w:i/>
        </w:rPr>
        <w:t>Emergency Management Amendment (COVID</w:t>
      </w:r>
      <w:r>
        <w:rPr>
          <w:i/>
        </w:rPr>
        <w:noBreakHyphen/>
        <w:t>19 Response) Act 2020</w:t>
      </w:r>
      <w:r>
        <w:t xml:space="preserve"> s. 10 is not included because it was repealed by the </w:t>
      </w:r>
      <w:r>
        <w:rPr>
          <w:i/>
        </w:rPr>
        <w:t>Emergency Management Amendment (Temporary COVID</w:t>
      </w:r>
      <w:r>
        <w:rPr>
          <w:i/>
        </w:rPr>
        <w:noBreakHyphen/>
        <w:t xml:space="preserve">19 Provisions) Act 2022 </w:t>
      </w:r>
      <w:r>
        <w:t>s. 11 before the amendment purported to come into operation.</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4" w:name="Coversheet"/>
    <w:bookmarkEnd w:id="6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3" w:name="Compilation"/>
    <w:bookmarkEnd w:id="6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0A3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58E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8E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700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87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53600"/>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 w:name="WAFER_2020040415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4151409_GUID" w:val="0bce65bd-a95c-4320-af40-a5e33043a9c1"/>
    <w:docVar w:name="WAFER_20201118134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4918_GUID" w:val="12260b87-c3f3-434d-867f-6c35e0eee0b6"/>
    <w:docVar w:name="WAFER_20210603114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14314_GUID" w:val="1850629f-1a84-4e4b-9b11-4c971571fd18"/>
    <w:docVar w:name="WAFER_2021112314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713_GUID" w:val="e20269ce-c054-40f1-91e9-46322fa1a592"/>
    <w:docVar w:name="WAFER_20220524101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101917_GUID" w:val="fd012aa5-d33c-4876-8dd4-06a34abeab51"/>
    <w:docVar w:name="WAFER_202210211610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053_GUID" w:val="58aab1bc-a299-4d40-bd43-b4c5436d5e94"/>
    <w:docVar w:name="WAFER_202210271536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3600_GUID" w:val="da921a6b-c9bc-4a69-9049-62c118ff6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BD22FC-009A-4D11-8448-6D748B4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8CB5-4684-4A13-85DB-EBE853E7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21706</Words>
  <Characters>108315</Characters>
  <Application>Microsoft Office Word</Application>
  <DocSecurity>0</DocSecurity>
  <Lines>2850</Lines>
  <Paragraphs>1566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01-e0-01 - 01-f0-00</dc:title>
  <dc:subject/>
  <dc:creator/>
  <cp:keywords/>
  <dc:description/>
  <cp:lastModifiedBy>Master Repository Process</cp:lastModifiedBy>
  <cp:revision>2</cp:revision>
  <cp:lastPrinted>2022-10-24T02:57:00Z</cp:lastPrinted>
  <dcterms:created xsi:type="dcterms:W3CDTF">2023-04-05T03:30:00Z</dcterms:created>
  <dcterms:modified xsi:type="dcterms:W3CDTF">2023-04-05T03:30:00Z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20230405</vt:lpwstr>
  </property>
  <property fmtid="{D5CDD505-2E9C-101B-9397-08002B2CF9AE}" pid="8" name="FromSuffix">
    <vt:lpwstr>01-e0-01</vt:lpwstr>
  </property>
  <property fmtid="{D5CDD505-2E9C-101B-9397-08002B2CF9AE}" pid="9" name="FromAsAtDate">
    <vt:lpwstr>03 Nov 2022</vt:lpwstr>
  </property>
  <property fmtid="{D5CDD505-2E9C-101B-9397-08002B2CF9AE}" pid="10" name="ToSuffix">
    <vt:lpwstr>01-f0-00</vt:lpwstr>
  </property>
  <property fmtid="{D5CDD505-2E9C-101B-9397-08002B2CF9AE}" pid="11" name="ToAsAtDate">
    <vt:lpwstr>05 Apr 2023</vt:lpwstr>
  </property>
</Properties>
</file>