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1" w:name="_GoBack"/>
      <w:bookmarkEnd w:id="1"/>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2" w:name="_Toc33607842"/>
      <w:bookmarkStart w:id="3" w:name="_Toc33608024"/>
      <w:bookmarkStart w:id="4" w:name="_Toc131513767"/>
      <w:bookmarkStart w:id="5" w:name="_Toc131514038"/>
      <w:bookmarkStart w:id="6" w:name="_Toc1315829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31582941"/>
      <w:bookmarkStart w:id="8" w:name="_Toc3360802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w:t>
      </w:r>
    </w:p>
    <w:p>
      <w:pPr>
        <w:pStyle w:val="Heading5"/>
        <w:rPr>
          <w:snapToGrid w:val="0"/>
        </w:rPr>
      </w:pPr>
      <w:bookmarkStart w:id="9" w:name="_Toc131582942"/>
      <w:bookmarkStart w:id="10" w:name="_Toc3360802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shall come into operation on such day as is, or such days as are respectively, fixed by proclamation.</w:t>
      </w:r>
    </w:p>
    <w:p>
      <w:pPr>
        <w:pStyle w:val="Heading5"/>
        <w:rPr>
          <w:snapToGrid w:val="0"/>
        </w:rPr>
      </w:pPr>
      <w:bookmarkStart w:id="11" w:name="_Toc131582943"/>
      <w:bookmarkStart w:id="12" w:name="_Toc33608027"/>
      <w:r>
        <w:rPr>
          <w:rStyle w:val="CharSectno"/>
        </w:rPr>
        <w:t>3</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 or</w:t>
      </w:r>
    </w:p>
    <w:p>
      <w:pPr>
        <w:pStyle w:val="Defpara"/>
      </w:pPr>
      <w:r>
        <w:tab/>
        <w:t>(b)</w:t>
      </w:r>
      <w:r>
        <w:tab/>
        <w:t>taking, or attempting to take, pearl oysters for breeding stock; or</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 or</w:t>
      </w:r>
    </w:p>
    <w:p>
      <w:pPr>
        <w:pStyle w:val="Defpara"/>
      </w:pPr>
      <w:r>
        <w:tab/>
        <w:t>(b)</w:t>
      </w:r>
      <w:r>
        <w:tab/>
        <w:t>removing, or attempting to remove, pearls from pearl oysters; or</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regulations</w:t>
      </w:r>
      <w:r>
        <w:t xml:space="preserve"> means regulations made under section 60;</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 and</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1</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 and</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1</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No. 23 of 1994 s. 4; No. 28 of 2006 s. 238; No. 77 of 2006 Sch. 1 cl. 120(1).]</w:t>
      </w:r>
    </w:p>
    <w:p>
      <w:pPr>
        <w:pStyle w:val="Heading5"/>
        <w:rPr>
          <w:snapToGrid w:val="0"/>
        </w:rPr>
      </w:pPr>
      <w:bookmarkStart w:id="13" w:name="_Toc131582944"/>
      <w:bookmarkStart w:id="14" w:name="_Toc33608028"/>
      <w:r>
        <w:rPr>
          <w:rStyle w:val="CharSectno"/>
        </w:rPr>
        <w:t>4</w:t>
      </w:r>
      <w:r>
        <w:rPr>
          <w:snapToGrid w:val="0"/>
        </w:rPr>
        <w:t>.</w:t>
      </w:r>
      <w:r>
        <w:rPr>
          <w:snapToGrid w:val="0"/>
        </w:rPr>
        <w:tab/>
        <w:t>Positions on Earth, determining</w:t>
      </w:r>
      <w:bookmarkEnd w:id="13"/>
      <w:bookmarkEnd w:id="14"/>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 or</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No. 54 of 2000 s. 6.]</w:t>
      </w:r>
    </w:p>
    <w:p>
      <w:pPr>
        <w:pStyle w:val="Heading5"/>
        <w:rPr>
          <w:snapToGrid w:val="0"/>
        </w:rPr>
      </w:pPr>
      <w:bookmarkStart w:id="15" w:name="_Toc131582945"/>
      <w:bookmarkStart w:id="16" w:name="_Toc33608029"/>
      <w:r>
        <w:rPr>
          <w:rStyle w:val="CharSectno"/>
        </w:rPr>
        <w:t>5</w:t>
      </w:r>
      <w:r>
        <w:rPr>
          <w:snapToGrid w:val="0"/>
        </w:rPr>
        <w:t>.</w:t>
      </w:r>
      <w:r>
        <w:rPr>
          <w:snapToGrid w:val="0"/>
        </w:rPr>
        <w:tab/>
        <w:t>Zones, declaring</w:t>
      </w:r>
      <w:bookmarkEnd w:id="15"/>
      <w:bookmarkEnd w:id="16"/>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17" w:name="_Toc131582946"/>
      <w:bookmarkStart w:id="18" w:name="_Toc33608030"/>
      <w:r>
        <w:rPr>
          <w:rStyle w:val="CharSectno"/>
        </w:rPr>
        <w:t>6</w:t>
      </w:r>
      <w:r>
        <w:rPr>
          <w:snapToGrid w:val="0"/>
        </w:rPr>
        <w:t>.</w:t>
      </w:r>
      <w:r>
        <w:rPr>
          <w:snapToGrid w:val="0"/>
        </w:rPr>
        <w:tab/>
        <w:t>Species of pearl oysters to which Act applies, declaration of</w:t>
      </w:r>
      <w:bookmarkEnd w:id="17"/>
      <w:bookmarkEnd w:id="1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19" w:name="_Toc33607849"/>
      <w:bookmarkStart w:id="20" w:name="_Toc33608031"/>
      <w:bookmarkStart w:id="21" w:name="_Toc131513774"/>
      <w:bookmarkStart w:id="22" w:name="_Toc131514045"/>
      <w:bookmarkStart w:id="23" w:name="_Toc131582947"/>
      <w:r>
        <w:rPr>
          <w:rStyle w:val="CharPartNo"/>
        </w:rPr>
        <w:t>Part 2</w:t>
      </w:r>
      <w:r>
        <w:t> — </w:t>
      </w:r>
      <w:r>
        <w:rPr>
          <w:rStyle w:val="CharPartText"/>
        </w:rPr>
        <w:t>Control of pearling and hatchery activities</w:t>
      </w:r>
      <w:bookmarkEnd w:id="19"/>
      <w:bookmarkEnd w:id="20"/>
      <w:bookmarkEnd w:id="21"/>
      <w:bookmarkEnd w:id="22"/>
      <w:bookmarkEnd w:id="23"/>
    </w:p>
    <w:p>
      <w:pPr>
        <w:pStyle w:val="Heading3"/>
      </w:pPr>
      <w:bookmarkStart w:id="24" w:name="_Toc33607850"/>
      <w:bookmarkStart w:id="25" w:name="_Toc33608032"/>
      <w:bookmarkStart w:id="26" w:name="_Toc131513775"/>
      <w:bookmarkStart w:id="27" w:name="_Toc131514046"/>
      <w:bookmarkStart w:id="28" w:name="_Toc131582948"/>
      <w:r>
        <w:rPr>
          <w:rStyle w:val="CharDivNo"/>
        </w:rPr>
        <w:t>Division 1</w:t>
      </w:r>
      <w:r>
        <w:rPr>
          <w:snapToGrid w:val="0"/>
        </w:rPr>
        <w:t> — </w:t>
      </w:r>
      <w:r>
        <w:rPr>
          <w:rStyle w:val="CharDivText"/>
        </w:rPr>
        <w:t>Pearling licences, hatchery licences and permits</w:t>
      </w:r>
      <w:bookmarkEnd w:id="24"/>
      <w:bookmarkEnd w:id="25"/>
      <w:bookmarkEnd w:id="26"/>
      <w:bookmarkEnd w:id="27"/>
      <w:bookmarkEnd w:id="28"/>
    </w:p>
    <w:p>
      <w:pPr>
        <w:pStyle w:val="Heading5"/>
        <w:rPr>
          <w:snapToGrid w:val="0"/>
        </w:rPr>
      </w:pPr>
      <w:bookmarkStart w:id="29" w:name="_Toc131582949"/>
      <w:bookmarkStart w:id="30" w:name="_Toc33608033"/>
      <w:r>
        <w:rPr>
          <w:rStyle w:val="CharSectno"/>
        </w:rPr>
        <w:t>7</w:t>
      </w:r>
      <w:r>
        <w:rPr>
          <w:snapToGrid w:val="0"/>
        </w:rPr>
        <w:t>.</w:t>
      </w:r>
      <w:r>
        <w:rPr>
          <w:snapToGrid w:val="0"/>
        </w:rPr>
        <w:tab/>
        <w:t>Pearling and hatchery activities without licence or permit, offence</w:t>
      </w:r>
      <w:bookmarkEnd w:id="29"/>
      <w:bookmarkEnd w:id="30"/>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No. 78 of 1995 s. 103.]</w:t>
      </w:r>
    </w:p>
    <w:p>
      <w:pPr>
        <w:pStyle w:val="Heading5"/>
        <w:rPr>
          <w:snapToGrid w:val="0"/>
        </w:rPr>
      </w:pPr>
      <w:bookmarkStart w:id="31" w:name="_Toc131582950"/>
      <w:bookmarkStart w:id="32" w:name="_Toc33608034"/>
      <w:r>
        <w:rPr>
          <w:rStyle w:val="CharSectno"/>
        </w:rPr>
        <w:t>8</w:t>
      </w:r>
      <w:r>
        <w:rPr>
          <w:snapToGrid w:val="0"/>
        </w:rPr>
        <w:t>.</w:t>
      </w:r>
      <w:r>
        <w:rPr>
          <w:snapToGrid w:val="0"/>
        </w:rPr>
        <w:tab/>
        <w:t>Conditions on licences etc., contravening</w:t>
      </w:r>
      <w:bookmarkEnd w:id="31"/>
      <w:bookmarkEnd w:id="32"/>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 or</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No. 28 of 2006 s. 241.]</w:t>
      </w:r>
    </w:p>
    <w:p>
      <w:pPr>
        <w:pStyle w:val="Heading5"/>
        <w:rPr>
          <w:snapToGrid w:val="0"/>
        </w:rPr>
      </w:pPr>
      <w:bookmarkStart w:id="33" w:name="_Toc131582951"/>
      <w:bookmarkStart w:id="34" w:name="_Toc33608035"/>
      <w:r>
        <w:rPr>
          <w:rStyle w:val="CharSectno"/>
        </w:rPr>
        <w:t>9</w:t>
      </w:r>
      <w:r>
        <w:rPr>
          <w:snapToGrid w:val="0"/>
        </w:rPr>
        <w:t>.</w:t>
      </w:r>
      <w:r>
        <w:rPr>
          <w:snapToGrid w:val="0"/>
        </w:rPr>
        <w:tab/>
        <w:t>Offence under s. 8, penalty if condition relates to quota</w:t>
      </w:r>
      <w:bookmarkEnd w:id="33"/>
      <w:bookmarkEnd w:id="34"/>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t xml:space="preserve">the </w:t>
      </w:r>
      <w:r>
        <w:rPr>
          <w:rStyle w:val="CharDefText"/>
        </w:rPr>
        <w:t>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spacing w:before="70"/>
        <w:rPr>
          <w:snapToGrid w:val="0"/>
        </w:rPr>
      </w:pPr>
      <w:r>
        <w:rPr>
          <w:snapToGrid w:val="0"/>
        </w:rPr>
        <w:tab/>
        <w:t>(a)</w:t>
      </w:r>
      <w:r>
        <w:rPr>
          <w:snapToGrid w:val="0"/>
        </w:rPr>
        <w:tab/>
        <w:t>is less than 100 and it is the third or subsequent such offence by the person in any period of 10 years; or</w:t>
      </w:r>
    </w:p>
    <w:p>
      <w:pPr>
        <w:pStyle w:val="Indenta"/>
        <w:spacing w:before="70"/>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spacing w:before="70"/>
        <w:rPr>
          <w:snapToGrid w:val="0"/>
        </w:rPr>
      </w:pPr>
      <w:r>
        <w:rPr>
          <w:snapToGrid w:val="0"/>
        </w:rPr>
        <w:tab/>
        <w:t>(a)</w:t>
      </w:r>
      <w:r>
        <w:rPr>
          <w:snapToGrid w:val="0"/>
        </w:rPr>
        <w:tab/>
        <w:t>if the number of pearl oysters taken in excess of the quota is less than 1 000, for a period of 2 years; or</w:t>
      </w:r>
    </w:p>
    <w:p>
      <w:pPr>
        <w:pStyle w:val="Indenta"/>
        <w:spacing w:before="70"/>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35" w:name="_Toc131582952"/>
      <w:bookmarkStart w:id="36" w:name="_Toc33608036"/>
      <w:r>
        <w:rPr>
          <w:rStyle w:val="CharSectno"/>
        </w:rPr>
        <w:t>10</w:t>
      </w:r>
      <w:r>
        <w:rPr>
          <w:snapToGrid w:val="0"/>
        </w:rPr>
        <w:t>.</w:t>
      </w:r>
      <w:r>
        <w:rPr>
          <w:snapToGrid w:val="0"/>
        </w:rPr>
        <w:tab/>
        <w:t>Offence under s. 8, penalty if condition relates to area</w:t>
      </w:r>
      <w:bookmarkEnd w:id="35"/>
      <w:bookmarkEnd w:id="36"/>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spacing w:before="100"/>
        <w:ind w:left="890" w:hanging="890"/>
      </w:pPr>
      <w:r>
        <w:tab/>
        <w:t>[Section 10 amended: No. 78 of 1995 s. 103.]</w:t>
      </w:r>
    </w:p>
    <w:p>
      <w:pPr>
        <w:pStyle w:val="Heading5"/>
        <w:spacing w:before="200"/>
        <w:rPr>
          <w:snapToGrid w:val="0"/>
        </w:rPr>
      </w:pPr>
      <w:bookmarkStart w:id="37" w:name="_Toc131582953"/>
      <w:bookmarkStart w:id="38" w:name="_Toc33608037"/>
      <w:r>
        <w:rPr>
          <w:rStyle w:val="CharSectno"/>
        </w:rPr>
        <w:t>11</w:t>
      </w:r>
      <w:r>
        <w:rPr>
          <w:snapToGrid w:val="0"/>
        </w:rPr>
        <w:t>.</w:t>
      </w:r>
      <w:r>
        <w:rPr>
          <w:snapToGrid w:val="0"/>
        </w:rPr>
        <w:tab/>
        <w:t>Number of pearl oysters taken under licence etc., calculating</w:t>
      </w:r>
      <w:bookmarkEnd w:id="37"/>
      <w:bookmarkEnd w:id="38"/>
    </w:p>
    <w:p>
      <w:pPr>
        <w:pStyle w:val="Subsection"/>
        <w:spacing w:before="140"/>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spacing w:before="200"/>
        <w:rPr>
          <w:snapToGrid w:val="0"/>
        </w:rPr>
      </w:pPr>
      <w:bookmarkStart w:id="39" w:name="_Toc131582954"/>
      <w:bookmarkStart w:id="40" w:name="_Toc33608038"/>
      <w:r>
        <w:rPr>
          <w:rStyle w:val="CharSectno"/>
        </w:rPr>
        <w:t>12</w:t>
      </w:r>
      <w:r>
        <w:rPr>
          <w:snapToGrid w:val="0"/>
        </w:rPr>
        <w:t>.</w:t>
      </w:r>
      <w:r>
        <w:rPr>
          <w:snapToGrid w:val="0"/>
        </w:rPr>
        <w:tab/>
        <w:t xml:space="preserve">Hatchery produced pearl oysters not to be sold without </w:t>
      </w:r>
      <w:r>
        <w:t>CEO’s approval, offence</w:t>
      </w:r>
      <w:bookmarkEnd w:id="39"/>
      <w:bookmarkEnd w:id="40"/>
    </w:p>
    <w:p>
      <w:pPr>
        <w:pStyle w:val="Subsection"/>
        <w:spacing w:before="140"/>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spacing w:before="140"/>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spacing w:before="140"/>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spacing w:before="140"/>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spacing w:before="60"/>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No. 78 of 1995 s. 103; No. 28 of 2006 s. 241.]</w:t>
      </w:r>
    </w:p>
    <w:p>
      <w:pPr>
        <w:pStyle w:val="Heading3"/>
      </w:pPr>
      <w:bookmarkStart w:id="41" w:name="_Toc33607857"/>
      <w:bookmarkStart w:id="42" w:name="_Toc33608039"/>
      <w:bookmarkStart w:id="43" w:name="_Toc131513782"/>
      <w:bookmarkStart w:id="44" w:name="_Toc131514053"/>
      <w:bookmarkStart w:id="45" w:name="_Toc131582955"/>
      <w:r>
        <w:rPr>
          <w:rStyle w:val="CharDivNo"/>
        </w:rPr>
        <w:t>Division 2</w:t>
      </w:r>
      <w:r>
        <w:rPr>
          <w:snapToGrid w:val="0"/>
        </w:rPr>
        <w:t> — </w:t>
      </w:r>
      <w:r>
        <w:rPr>
          <w:rStyle w:val="CharDivText"/>
        </w:rPr>
        <w:t>Other licences</w:t>
      </w:r>
      <w:bookmarkEnd w:id="41"/>
      <w:bookmarkEnd w:id="42"/>
      <w:bookmarkEnd w:id="43"/>
      <w:bookmarkEnd w:id="44"/>
      <w:bookmarkEnd w:id="45"/>
    </w:p>
    <w:p>
      <w:pPr>
        <w:pStyle w:val="Heading5"/>
        <w:rPr>
          <w:snapToGrid w:val="0"/>
        </w:rPr>
      </w:pPr>
      <w:bookmarkStart w:id="46" w:name="_Toc131582956"/>
      <w:bookmarkStart w:id="47" w:name="_Toc33608040"/>
      <w:r>
        <w:rPr>
          <w:rStyle w:val="CharSectno"/>
        </w:rPr>
        <w:t>13</w:t>
      </w:r>
      <w:r>
        <w:rPr>
          <w:snapToGrid w:val="0"/>
        </w:rPr>
        <w:t>.</w:t>
      </w:r>
      <w:r>
        <w:rPr>
          <w:snapToGrid w:val="0"/>
        </w:rPr>
        <w:tab/>
        <w:t>Pearl diver’s licence, when required</w:t>
      </w:r>
      <w:bookmarkEnd w:id="46"/>
      <w:bookmarkEnd w:id="47"/>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48" w:name="_Toc131582957"/>
      <w:bookmarkStart w:id="49" w:name="_Toc33608041"/>
      <w:r>
        <w:rPr>
          <w:rStyle w:val="CharSectno"/>
        </w:rPr>
        <w:t>14</w:t>
      </w:r>
      <w:r>
        <w:rPr>
          <w:snapToGrid w:val="0"/>
        </w:rPr>
        <w:t>.</w:t>
      </w:r>
      <w:r>
        <w:rPr>
          <w:snapToGrid w:val="0"/>
        </w:rPr>
        <w:tab/>
        <w:t>Pearl boat licence, when required</w:t>
      </w:r>
      <w:bookmarkEnd w:id="48"/>
      <w:bookmarkEnd w:id="49"/>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50" w:name="_Toc131582958"/>
      <w:bookmarkStart w:id="51" w:name="_Toc33608042"/>
      <w:r>
        <w:rPr>
          <w:rStyle w:val="CharSectno"/>
        </w:rPr>
        <w:t>15</w:t>
      </w:r>
      <w:r>
        <w:rPr>
          <w:snapToGrid w:val="0"/>
        </w:rPr>
        <w:t>.</w:t>
      </w:r>
      <w:r>
        <w:rPr>
          <w:snapToGrid w:val="0"/>
        </w:rPr>
        <w:tab/>
        <w:t>Pearl boat master’s licence, when required</w:t>
      </w:r>
      <w:bookmarkEnd w:id="50"/>
      <w:bookmarkEnd w:id="51"/>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52" w:name="_Toc33607861"/>
      <w:bookmarkStart w:id="53" w:name="_Toc33608043"/>
      <w:bookmarkStart w:id="54" w:name="_Toc131513786"/>
      <w:bookmarkStart w:id="55" w:name="_Toc131514057"/>
      <w:bookmarkStart w:id="56" w:name="_Toc131582959"/>
      <w:r>
        <w:rPr>
          <w:rStyle w:val="CharDivNo"/>
        </w:rPr>
        <w:t>Division 3</w:t>
      </w:r>
      <w:r>
        <w:rPr>
          <w:snapToGrid w:val="0"/>
        </w:rPr>
        <w:t> — </w:t>
      </w:r>
      <w:r>
        <w:rPr>
          <w:rStyle w:val="CharDivText"/>
        </w:rPr>
        <w:t>Pearl oyster farms</w:t>
      </w:r>
      <w:bookmarkEnd w:id="52"/>
      <w:bookmarkEnd w:id="53"/>
      <w:bookmarkEnd w:id="54"/>
      <w:bookmarkEnd w:id="55"/>
      <w:bookmarkEnd w:id="56"/>
    </w:p>
    <w:p>
      <w:pPr>
        <w:pStyle w:val="Heading5"/>
        <w:spacing w:before="180"/>
        <w:rPr>
          <w:snapToGrid w:val="0"/>
        </w:rPr>
      </w:pPr>
      <w:bookmarkStart w:id="57" w:name="_Toc131582960"/>
      <w:bookmarkStart w:id="58" w:name="_Toc33608044"/>
      <w:r>
        <w:rPr>
          <w:rStyle w:val="CharSectno"/>
        </w:rPr>
        <w:t>16</w:t>
      </w:r>
      <w:r>
        <w:rPr>
          <w:snapToGrid w:val="0"/>
        </w:rPr>
        <w:t>.</w:t>
      </w:r>
      <w:r>
        <w:rPr>
          <w:snapToGrid w:val="0"/>
        </w:rPr>
        <w:tab/>
        <w:t>Pearl oysters and pearl oyster spat to be moved to pearl oyster farm</w:t>
      </w:r>
      <w:bookmarkEnd w:id="57"/>
      <w:bookmarkEnd w:id="58"/>
    </w:p>
    <w:p>
      <w:pPr>
        <w:pStyle w:val="Subsection"/>
        <w:spacing w:before="120"/>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spacing w:before="60"/>
        <w:rPr>
          <w:snapToGrid w:val="0"/>
        </w:rPr>
      </w:pPr>
      <w:r>
        <w:rPr>
          <w:snapToGrid w:val="0"/>
        </w:rPr>
        <w:tab/>
        <w:t>(a)</w:t>
      </w:r>
      <w:r>
        <w:rPr>
          <w:snapToGrid w:val="0"/>
        </w:rPr>
        <w:tab/>
        <w:t>under the pearling licence or hatchery licence; or</w:t>
      </w:r>
    </w:p>
    <w:p>
      <w:pPr>
        <w:pStyle w:val="Indenta"/>
        <w:spacing w:before="60"/>
        <w:rPr>
          <w:snapToGrid w:val="0"/>
        </w:rPr>
      </w:pPr>
      <w:r>
        <w:rPr>
          <w:snapToGrid w:val="0"/>
        </w:rPr>
        <w:tab/>
        <w:t>(b)</w:t>
      </w:r>
      <w:r>
        <w:rPr>
          <w:snapToGrid w:val="0"/>
        </w:rPr>
        <w:tab/>
        <w:t>under another pearling licence or hatchery licence on behalf of the holder of that pearling licence or hatchery licence,</w:t>
      </w:r>
    </w:p>
    <w:p>
      <w:pPr>
        <w:pStyle w:val="Subsection"/>
        <w:spacing w:before="100"/>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spacing w:before="100"/>
        <w:ind w:left="890" w:hanging="890"/>
      </w:pPr>
      <w:r>
        <w:tab/>
        <w:t>[Section 16 amended: No. 28 of 2006 s. 241.]</w:t>
      </w:r>
    </w:p>
    <w:p>
      <w:pPr>
        <w:pStyle w:val="Heading5"/>
        <w:spacing w:before="200"/>
        <w:rPr>
          <w:snapToGrid w:val="0"/>
        </w:rPr>
      </w:pPr>
      <w:bookmarkStart w:id="59" w:name="_Toc131582961"/>
      <w:bookmarkStart w:id="60" w:name="_Toc33608045"/>
      <w:r>
        <w:rPr>
          <w:rStyle w:val="CharSectno"/>
        </w:rPr>
        <w:t>17</w:t>
      </w:r>
      <w:r>
        <w:rPr>
          <w:snapToGrid w:val="0"/>
        </w:rPr>
        <w:t>.</w:t>
      </w:r>
      <w:r>
        <w:rPr>
          <w:snapToGrid w:val="0"/>
        </w:rPr>
        <w:tab/>
        <w:t>Excluding people from pearl oyster farms</w:t>
      </w:r>
      <w:bookmarkEnd w:id="59"/>
      <w:bookmarkEnd w:id="60"/>
    </w:p>
    <w:p>
      <w:pPr>
        <w:pStyle w:val="Subsection"/>
        <w:spacing w:before="120"/>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spacing w:before="120"/>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spacing w:before="60"/>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No. 28 of 2006 s. 241.]</w:t>
      </w:r>
    </w:p>
    <w:p>
      <w:pPr>
        <w:pStyle w:val="Heading5"/>
        <w:rPr>
          <w:snapToGrid w:val="0"/>
        </w:rPr>
      </w:pPr>
      <w:bookmarkStart w:id="61" w:name="_Toc131582962"/>
      <w:bookmarkStart w:id="62" w:name="_Toc33608046"/>
      <w:r>
        <w:rPr>
          <w:rStyle w:val="CharSectno"/>
        </w:rPr>
        <w:t>18</w:t>
      </w:r>
      <w:r>
        <w:rPr>
          <w:snapToGrid w:val="0"/>
        </w:rPr>
        <w:t>.</w:t>
      </w:r>
      <w:r>
        <w:rPr>
          <w:snapToGrid w:val="0"/>
        </w:rPr>
        <w:tab/>
        <w:t>Pearls, pearl oysters and pearl oyster spat used for pearling or hatchery activities are property of farm lease holder</w:t>
      </w:r>
      <w:bookmarkEnd w:id="61"/>
      <w:bookmarkEnd w:id="62"/>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63" w:name="_Toc33607865"/>
      <w:bookmarkStart w:id="64" w:name="_Toc33608047"/>
      <w:bookmarkStart w:id="65" w:name="_Toc131513790"/>
      <w:bookmarkStart w:id="66" w:name="_Toc131514061"/>
      <w:bookmarkStart w:id="67" w:name="_Toc131582963"/>
      <w:r>
        <w:rPr>
          <w:rStyle w:val="CharDivNo"/>
        </w:rPr>
        <w:t>Division 4</w:t>
      </w:r>
      <w:r>
        <w:rPr>
          <w:snapToGrid w:val="0"/>
        </w:rPr>
        <w:t> — </w:t>
      </w:r>
      <w:r>
        <w:rPr>
          <w:rStyle w:val="CharDivText"/>
        </w:rPr>
        <w:t>General</w:t>
      </w:r>
      <w:bookmarkEnd w:id="63"/>
      <w:bookmarkEnd w:id="64"/>
      <w:bookmarkEnd w:id="65"/>
      <w:bookmarkEnd w:id="66"/>
      <w:bookmarkEnd w:id="67"/>
    </w:p>
    <w:p>
      <w:pPr>
        <w:pStyle w:val="Heading5"/>
        <w:rPr>
          <w:snapToGrid w:val="0"/>
        </w:rPr>
      </w:pPr>
      <w:bookmarkStart w:id="68" w:name="_Toc131582964"/>
      <w:bookmarkStart w:id="69" w:name="_Toc33608048"/>
      <w:r>
        <w:rPr>
          <w:rStyle w:val="CharSectno"/>
        </w:rPr>
        <w:t>19</w:t>
      </w:r>
      <w:r>
        <w:rPr>
          <w:snapToGrid w:val="0"/>
        </w:rPr>
        <w:t>.</w:t>
      </w:r>
      <w:r>
        <w:rPr>
          <w:snapToGrid w:val="0"/>
        </w:rPr>
        <w:tab/>
        <w:t>Pearling and hatchery activities, Minister may prohibit or restrict</w:t>
      </w:r>
      <w:bookmarkEnd w:id="68"/>
      <w:bookmarkEnd w:id="6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70" w:name="_Toc131582965"/>
      <w:bookmarkStart w:id="71" w:name="_Toc33608049"/>
      <w:r>
        <w:rPr>
          <w:rStyle w:val="CharSectno"/>
        </w:rPr>
        <w:t>20</w:t>
      </w:r>
      <w:r>
        <w:rPr>
          <w:snapToGrid w:val="0"/>
        </w:rPr>
        <w:t>.</w:t>
      </w:r>
      <w:r>
        <w:rPr>
          <w:snapToGrid w:val="0"/>
        </w:rPr>
        <w:tab/>
        <w:t>Pearling or hatchery activities, interfering with</w:t>
      </w:r>
      <w:bookmarkEnd w:id="70"/>
      <w:bookmarkEnd w:id="71"/>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72" w:name="_Toc131582966"/>
      <w:bookmarkStart w:id="73" w:name="_Toc33608050"/>
      <w:r>
        <w:rPr>
          <w:rStyle w:val="CharSectno"/>
        </w:rPr>
        <w:t>21</w:t>
      </w:r>
      <w:r>
        <w:rPr>
          <w:snapToGrid w:val="0"/>
        </w:rPr>
        <w:t>.</w:t>
      </w:r>
      <w:r>
        <w:rPr>
          <w:snapToGrid w:val="0"/>
        </w:rPr>
        <w:tab/>
        <w:t>Undersized and oversized pearl oysters not to be taken</w:t>
      </w:r>
      <w:bookmarkEnd w:id="72"/>
      <w:bookmarkEnd w:id="73"/>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 or</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 and</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74" w:name="_Toc33607869"/>
      <w:bookmarkStart w:id="75" w:name="_Toc33608051"/>
      <w:bookmarkStart w:id="76" w:name="_Toc131513794"/>
      <w:bookmarkStart w:id="77" w:name="_Toc131514065"/>
      <w:bookmarkStart w:id="78" w:name="_Toc131582967"/>
      <w:r>
        <w:rPr>
          <w:rStyle w:val="CharPartNo"/>
        </w:rPr>
        <w:t>Part 3</w:t>
      </w:r>
      <w:r>
        <w:t> — </w:t>
      </w:r>
      <w:r>
        <w:rPr>
          <w:rStyle w:val="CharPartText"/>
        </w:rPr>
        <w:t>Farm leases, licences and permits</w:t>
      </w:r>
      <w:bookmarkEnd w:id="74"/>
      <w:bookmarkEnd w:id="75"/>
      <w:bookmarkEnd w:id="76"/>
      <w:bookmarkEnd w:id="77"/>
      <w:bookmarkEnd w:id="78"/>
    </w:p>
    <w:p>
      <w:pPr>
        <w:pStyle w:val="Heading3"/>
      </w:pPr>
      <w:bookmarkStart w:id="79" w:name="_Toc33607870"/>
      <w:bookmarkStart w:id="80" w:name="_Toc33608052"/>
      <w:bookmarkStart w:id="81" w:name="_Toc131513795"/>
      <w:bookmarkStart w:id="82" w:name="_Toc131514066"/>
      <w:bookmarkStart w:id="83" w:name="_Toc131582968"/>
      <w:r>
        <w:rPr>
          <w:rStyle w:val="CharDivNo"/>
        </w:rPr>
        <w:t>Division 1</w:t>
      </w:r>
      <w:r>
        <w:rPr>
          <w:snapToGrid w:val="0"/>
        </w:rPr>
        <w:t> — </w:t>
      </w:r>
      <w:r>
        <w:rPr>
          <w:rStyle w:val="CharDivText"/>
        </w:rPr>
        <w:t>Application and issue</w:t>
      </w:r>
      <w:bookmarkEnd w:id="79"/>
      <w:bookmarkEnd w:id="80"/>
      <w:bookmarkEnd w:id="81"/>
      <w:bookmarkEnd w:id="82"/>
      <w:bookmarkEnd w:id="83"/>
    </w:p>
    <w:p>
      <w:pPr>
        <w:pStyle w:val="Heading5"/>
        <w:rPr>
          <w:snapToGrid w:val="0"/>
        </w:rPr>
      </w:pPr>
      <w:bookmarkStart w:id="84" w:name="_Toc131582969"/>
      <w:bookmarkStart w:id="85" w:name="_Toc33608053"/>
      <w:r>
        <w:rPr>
          <w:rStyle w:val="CharSectno"/>
        </w:rPr>
        <w:t>22</w:t>
      </w:r>
      <w:r>
        <w:rPr>
          <w:snapToGrid w:val="0"/>
        </w:rPr>
        <w:t>.</w:t>
      </w:r>
      <w:r>
        <w:rPr>
          <w:snapToGrid w:val="0"/>
        </w:rPr>
        <w:tab/>
        <w:t>Farm leases etc., application for issue etc. of</w:t>
      </w:r>
      <w:bookmarkEnd w:id="84"/>
      <w:bookmarkEnd w:id="85"/>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No. 28 of 2006 s. 241.]</w:t>
      </w:r>
    </w:p>
    <w:p>
      <w:pPr>
        <w:pStyle w:val="Heading5"/>
        <w:rPr>
          <w:snapToGrid w:val="0"/>
        </w:rPr>
      </w:pPr>
      <w:bookmarkStart w:id="86" w:name="_Toc131582970"/>
      <w:bookmarkStart w:id="87" w:name="_Toc33608054"/>
      <w:r>
        <w:rPr>
          <w:rStyle w:val="CharSectno"/>
        </w:rPr>
        <w:t>23</w:t>
      </w:r>
      <w:r>
        <w:rPr>
          <w:snapToGrid w:val="0"/>
        </w:rPr>
        <w:t>.</w:t>
      </w:r>
      <w:r>
        <w:rPr>
          <w:snapToGrid w:val="0"/>
        </w:rPr>
        <w:tab/>
        <w:t>Farm leases etc., issue of</w:t>
      </w:r>
      <w:bookmarkEnd w:id="86"/>
      <w:bookmarkEnd w:id="87"/>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spacing w:before="60"/>
        <w:rPr>
          <w:snapToGrid w:val="0"/>
        </w:rPr>
      </w:pPr>
      <w:r>
        <w:rPr>
          <w:snapToGrid w:val="0"/>
        </w:rPr>
        <w:tab/>
        <w:t>(a)</w:t>
      </w:r>
      <w:r>
        <w:rPr>
          <w:snapToGrid w:val="0"/>
        </w:rPr>
        <w:tab/>
        <w:t>pearl oyster farm lease; and</w:t>
      </w:r>
    </w:p>
    <w:p>
      <w:pPr>
        <w:pStyle w:val="Indenta"/>
        <w:spacing w:before="60"/>
        <w:rPr>
          <w:snapToGrid w:val="0"/>
        </w:rPr>
      </w:pPr>
      <w:r>
        <w:rPr>
          <w:snapToGrid w:val="0"/>
        </w:rPr>
        <w:tab/>
        <w:t>(b)</w:t>
      </w:r>
      <w:r>
        <w:rPr>
          <w:snapToGrid w:val="0"/>
        </w:rPr>
        <w:tab/>
        <w:t>pearling licence; and</w:t>
      </w:r>
    </w:p>
    <w:p>
      <w:pPr>
        <w:pStyle w:val="Indenta"/>
        <w:spacing w:before="60"/>
        <w:rPr>
          <w:snapToGrid w:val="0"/>
        </w:rPr>
      </w:pPr>
      <w:r>
        <w:rPr>
          <w:snapToGrid w:val="0"/>
        </w:rPr>
        <w:tab/>
        <w:t>(c)</w:t>
      </w:r>
      <w:r>
        <w:rPr>
          <w:snapToGrid w:val="0"/>
        </w:rPr>
        <w:tab/>
        <w:t>pearl oyster hatchery licence; and</w:t>
      </w:r>
    </w:p>
    <w:p>
      <w:pPr>
        <w:pStyle w:val="Indenta"/>
        <w:spacing w:before="60"/>
        <w:rPr>
          <w:snapToGrid w:val="0"/>
        </w:rPr>
      </w:pPr>
      <w:r>
        <w:rPr>
          <w:snapToGrid w:val="0"/>
        </w:rPr>
        <w:tab/>
        <w:t>(d)</w:t>
      </w:r>
      <w:r>
        <w:rPr>
          <w:snapToGrid w:val="0"/>
        </w:rPr>
        <w:tab/>
        <w:t>pearl diver’s licence; and</w:t>
      </w:r>
    </w:p>
    <w:p>
      <w:pPr>
        <w:pStyle w:val="Indenta"/>
        <w:spacing w:before="60"/>
        <w:rPr>
          <w:snapToGrid w:val="0"/>
        </w:rPr>
      </w:pPr>
      <w:r>
        <w:rPr>
          <w:snapToGrid w:val="0"/>
        </w:rPr>
        <w:tab/>
        <w:t>(e)</w:t>
      </w:r>
      <w:r>
        <w:rPr>
          <w:snapToGrid w:val="0"/>
        </w:rPr>
        <w:tab/>
        <w:t>pearl boat licence; and</w:t>
      </w:r>
    </w:p>
    <w:p>
      <w:pPr>
        <w:pStyle w:val="Indenta"/>
        <w:spacing w:before="60"/>
        <w:rPr>
          <w:snapToGrid w:val="0"/>
        </w:rPr>
      </w:pPr>
      <w:r>
        <w:rPr>
          <w:snapToGrid w:val="0"/>
        </w:rPr>
        <w:tab/>
        <w:t>(f)</w:t>
      </w:r>
      <w:r>
        <w:rPr>
          <w:snapToGrid w:val="0"/>
        </w:rPr>
        <w:tab/>
        <w:t>pearl boat master’s licence; and</w:t>
      </w:r>
    </w:p>
    <w:p>
      <w:pPr>
        <w:pStyle w:val="Indenta"/>
        <w:spacing w:before="60"/>
        <w:rPr>
          <w:snapToGrid w:val="0"/>
        </w:rPr>
      </w:pPr>
      <w:r>
        <w:rPr>
          <w:snapToGrid w:val="0"/>
        </w:rPr>
        <w:tab/>
        <w:t>(g)</w:t>
      </w:r>
      <w:r>
        <w:rPr>
          <w:snapToGrid w:val="0"/>
        </w:rPr>
        <w:tab/>
        <w:t>pearling permit; and</w:t>
      </w:r>
    </w:p>
    <w:p>
      <w:pPr>
        <w:pStyle w:val="Indenta"/>
        <w:spacing w:before="60"/>
        <w:rPr>
          <w:snapToGrid w:val="0"/>
        </w:rPr>
      </w:pPr>
      <w:r>
        <w:rPr>
          <w:snapToGrid w:val="0"/>
        </w:rPr>
        <w:tab/>
        <w:t>(h)</w:t>
      </w:r>
      <w:r>
        <w:rPr>
          <w:snapToGrid w:val="0"/>
        </w:rPr>
        <w:tab/>
        <w:t>pearl oyster hatchery permit,</w:t>
      </w:r>
    </w:p>
    <w:p>
      <w:pPr>
        <w:pStyle w:val="Subsection"/>
        <w:spacing w:before="120"/>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spacing w:before="60"/>
      </w:pPr>
      <w:r>
        <w:tab/>
        <w:t>(a)</w:t>
      </w:r>
      <w:r>
        <w:tab/>
        <w:t>a pearl oyster farm lease issued under subsection (1)(a);</w:t>
      </w:r>
    </w:p>
    <w:p>
      <w:pPr>
        <w:pStyle w:val="Indenta"/>
      </w:pPr>
      <w:r>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No. 55 of 1998 s. 4; No. 55 of 2004 s. 903; No. 28 of 2006 s. 241; No. 42 of 2011 s. 78.]</w:t>
      </w:r>
    </w:p>
    <w:p>
      <w:pPr>
        <w:pStyle w:val="Heading5"/>
        <w:rPr>
          <w:snapToGrid w:val="0"/>
        </w:rPr>
      </w:pPr>
      <w:bookmarkStart w:id="88" w:name="_Toc131582971"/>
      <w:bookmarkStart w:id="89" w:name="_Toc33608055"/>
      <w:r>
        <w:rPr>
          <w:rStyle w:val="CharSectno"/>
        </w:rPr>
        <w:t>23A</w:t>
      </w:r>
      <w:r>
        <w:rPr>
          <w:snapToGrid w:val="0"/>
        </w:rPr>
        <w:t>.</w:t>
      </w:r>
      <w:r>
        <w:rPr>
          <w:snapToGrid w:val="0"/>
        </w:rPr>
        <w:tab/>
        <w:t>Farm leases etc. in marine reserves, issue of prohibited or limited</w:t>
      </w:r>
      <w:bookmarkEnd w:id="88"/>
      <w:bookmarkEnd w:id="89"/>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No. 5 of 1997 s. 61.]</w:t>
      </w:r>
    </w:p>
    <w:p>
      <w:pPr>
        <w:pStyle w:val="Ednotesection"/>
      </w:pPr>
      <w:r>
        <w:t>[</w:t>
      </w:r>
      <w:r>
        <w:rPr>
          <w:b/>
        </w:rPr>
        <w:t>23B.</w:t>
      </w:r>
      <w:r>
        <w:tab/>
        <w:t>Deleted: No. 52 of 1995 s. 46.]</w:t>
      </w:r>
    </w:p>
    <w:p>
      <w:pPr>
        <w:pStyle w:val="Heading5"/>
        <w:rPr>
          <w:snapToGrid w:val="0"/>
        </w:rPr>
      </w:pPr>
      <w:bookmarkStart w:id="90" w:name="_Toc131582972"/>
      <w:bookmarkStart w:id="91" w:name="_Toc33608056"/>
      <w:r>
        <w:rPr>
          <w:rStyle w:val="CharSectno"/>
        </w:rPr>
        <w:t>24</w:t>
      </w:r>
      <w:r>
        <w:rPr>
          <w:snapToGrid w:val="0"/>
        </w:rPr>
        <w:t>.</w:t>
      </w:r>
      <w:r>
        <w:rPr>
          <w:snapToGrid w:val="0"/>
        </w:rPr>
        <w:tab/>
        <w:t>Policy guidelines, Minister may issue</w:t>
      </w:r>
      <w:bookmarkEnd w:id="90"/>
      <w:bookmarkEnd w:id="91"/>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No. 28 of 2006 s. 241.]</w:t>
      </w:r>
    </w:p>
    <w:p>
      <w:pPr>
        <w:pStyle w:val="Heading5"/>
        <w:rPr>
          <w:snapToGrid w:val="0"/>
        </w:rPr>
      </w:pPr>
      <w:bookmarkStart w:id="92" w:name="_Toc131582973"/>
      <w:bookmarkStart w:id="93" w:name="_Toc33608057"/>
      <w:r>
        <w:rPr>
          <w:rStyle w:val="CharSectno"/>
        </w:rPr>
        <w:t>25</w:t>
      </w:r>
      <w:r>
        <w:rPr>
          <w:snapToGrid w:val="0"/>
        </w:rPr>
        <w:t>.</w:t>
      </w:r>
      <w:r>
        <w:rPr>
          <w:snapToGrid w:val="0"/>
        </w:rPr>
        <w:tab/>
        <w:t>Farm leases etc., duration of</w:t>
      </w:r>
      <w:bookmarkEnd w:id="92"/>
      <w:bookmarkEnd w:id="93"/>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94" w:name="_Toc131582974"/>
      <w:bookmarkStart w:id="95" w:name="_Toc33608058"/>
      <w:r>
        <w:rPr>
          <w:rStyle w:val="CharSectno"/>
        </w:rPr>
        <w:t>26</w:t>
      </w:r>
      <w:r>
        <w:rPr>
          <w:snapToGrid w:val="0"/>
        </w:rPr>
        <w:t>.</w:t>
      </w:r>
      <w:r>
        <w:rPr>
          <w:snapToGrid w:val="0"/>
        </w:rPr>
        <w:tab/>
        <w:t>Licences and permits, conditions on</w:t>
      </w:r>
      <w:bookmarkEnd w:id="94"/>
      <w:bookmarkEnd w:id="95"/>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 and</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 and</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No. 28 of 2006 s. 241.]</w:t>
      </w:r>
    </w:p>
    <w:p>
      <w:pPr>
        <w:pStyle w:val="Heading5"/>
        <w:rPr>
          <w:snapToGrid w:val="0"/>
        </w:rPr>
      </w:pPr>
      <w:bookmarkStart w:id="96" w:name="_Toc131582975"/>
      <w:bookmarkStart w:id="97" w:name="_Toc33608059"/>
      <w:r>
        <w:rPr>
          <w:rStyle w:val="CharSectno"/>
        </w:rPr>
        <w:t>27</w:t>
      </w:r>
      <w:r>
        <w:rPr>
          <w:snapToGrid w:val="0"/>
        </w:rPr>
        <w:t>.</w:t>
      </w:r>
      <w:r>
        <w:rPr>
          <w:snapToGrid w:val="0"/>
        </w:rPr>
        <w:tab/>
        <w:t>Farm leases etc., annual fees for</w:t>
      </w:r>
      <w:bookmarkEnd w:id="96"/>
      <w:bookmarkEnd w:id="97"/>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No. 6 of 1993 s. 11; No. 49 of 1996 s. 64; No. 55 of 1998 s. 5; No. 28 of 2006 s. 241; No. 77 of 2006 s. 4 and Sch. 1 cl. 120(2).]</w:t>
      </w:r>
    </w:p>
    <w:p>
      <w:pPr>
        <w:pStyle w:val="Heading5"/>
        <w:rPr>
          <w:snapToGrid w:val="0"/>
        </w:rPr>
      </w:pPr>
      <w:bookmarkStart w:id="98" w:name="_Toc131582976"/>
      <w:bookmarkStart w:id="99" w:name="_Toc33608060"/>
      <w:r>
        <w:rPr>
          <w:rStyle w:val="CharSectno"/>
        </w:rPr>
        <w:t>27A</w:t>
      </w:r>
      <w:r>
        <w:rPr>
          <w:snapToGrid w:val="0"/>
        </w:rPr>
        <w:t>.</w:t>
      </w:r>
      <w:r>
        <w:rPr>
          <w:snapToGrid w:val="0"/>
        </w:rPr>
        <w:tab/>
        <w:t>Farm leases in marine reserves, renewal of limited</w:t>
      </w:r>
      <w:bookmarkEnd w:id="98"/>
      <w:bookmarkEnd w:id="99"/>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No. 5 of 1997 s. 62.]</w:t>
      </w:r>
    </w:p>
    <w:p>
      <w:pPr>
        <w:pStyle w:val="Heading5"/>
        <w:rPr>
          <w:snapToGrid w:val="0"/>
        </w:rPr>
      </w:pPr>
      <w:bookmarkStart w:id="100" w:name="_Toc131582977"/>
      <w:bookmarkStart w:id="101" w:name="_Toc33608061"/>
      <w:r>
        <w:rPr>
          <w:rStyle w:val="CharSectno"/>
        </w:rPr>
        <w:t>27B</w:t>
      </w:r>
      <w:r>
        <w:rPr>
          <w:snapToGrid w:val="0"/>
        </w:rPr>
        <w:t>.</w:t>
      </w:r>
      <w:r>
        <w:rPr>
          <w:snapToGrid w:val="0"/>
        </w:rPr>
        <w:tab/>
        <w:t>Licences and permits in marine reserves, renewal of limited</w:t>
      </w:r>
      <w:bookmarkEnd w:id="100"/>
      <w:bookmarkEnd w:id="101"/>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No. 5 of 1997 s. 62.]</w:t>
      </w:r>
    </w:p>
    <w:p>
      <w:pPr>
        <w:pStyle w:val="Heading3"/>
      </w:pPr>
      <w:bookmarkStart w:id="102" w:name="_Toc33607880"/>
      <w:bookmarkStart w:id="103" w:name="_Toc33608062"/>
      <w:bookmarkStart w:id="104" w:name="_Toc131513805"/>
      <w:bookmarkStart w:id="105" w:name="_Toc131514076"/>
      <w:bookmarkStart w:id="106" w:name="_Toc131582978"/>
      <w:r>
        <w:rPr>
          <w:rStyle w:val="CharDivNo"/>
        </w:rPr>
        <w:t>Division 2</w:t>
      </w:r>
      <w:r>
        <w:rPr>
          <w:snapToGrid w:val="0"/>
        </w:rPr>
        <w:t> — </w:t>
      </w:r>
      <w:r>
        <w:rPr>
          <w:rStyle w:val="CharDivText"/>
        </w:rPr>
        <w:t>Cancellation, suspension, surrender and transfer</w:t>
      </w:r>
      <w:bookmarkEnd w:id="102"/>
      <w:bookmarkEnd w:id="103"/>
      <w:bookmarkEnd w:id="104"/>
      <w:bookmarkEnd w:id="105"/>
      <w:bookmarkEnd w:id="106"/>
    </w:p>
    <w:p>
      <w:pPr>
        <w:pStyle w:val="Heading5"/>
        <w:rPr>
          <w:snapToGrid w:val="0"/>
        </w:rPr>
      </w:pPr>
      <w:bookmarkStart w:id="107" w:name="_Toc131582979"/>
      <w:bookmarkStart w:id="108" w:name="_Toc33608063"/>
      <w:r>
        <w:rPr>
          <w:rStyle w:val="CharSectno"/>
        </w:rPr>
        <w:t>28</w:t>
      </w:r>
      <w:r>
        <w:rPr>
          <w:snapToGrid w:val="0"/>
        </w:rPr>
        <w:t>.</w:t>
      </w:r>
      <w:r>
        <w:rPr>
          <w:snapToGrid w:val="0"/>
        </w:rPr>
        <w:tab/>
        <w:t>Licences and permits, cancellation etc. of</w:t>
      </w:r>
      <w:bookmarkEnd w:id="107"/>
      <w:bookmarkEnd w:id="108"/>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No. 28 of 2006 s. 241.]</w:t>
      </w:r>
    </w:p>
    <w:p>
      <w:pPr>
        <w:pStyle w:val="Heading5"/>
        <w:rPr>
          <w:snapToGrid w:val="0"/>
        </w:rPr>
      </w:pPr>
      <w:bookmarkStart w:id="109" w:name="_Toc131582980"/>
      <w:bookmarkStart w:id="110" w:name="_Toc33608064"/>
      <w:r>
        <w:rPr>
          <w:rStyle w:val="CharSectno"/>
        </w:rPr>
        <w:t>29</w:t>
      </w:r>
      <w:r>
        <w:rPr>
          <w:snapToGrid w:val="0"/>
        </w:rPr>
        <w:t>.</w:t>
      </w:r>
      <w:r>
        <w:rPr>
          <w:snapToGrid w:val="0"/>
        </w:rPr>
        <w:tab/>
        <w:t>Pearling licence, hatchery licence or permit, automatic cancellation of on 3</w:t>
      </w:r>
      <w:r>
        <w:rPr>
          <w:snapToGrid w:val="0"/>
          <w:vertAlign w:val="superscript"/>
        </w:rPr>
        <w:t>rd</w:t>
      </w:r>
      <w:r>
        <w:rPr>
          <w:snapToGrid w:val="0"/>
        </w:rPr>
        <w:t xml:space="preserve"> s. 8 offence in 10 years</w:t>
      </w:r>
      <w:bookmarkEnd w:id="109"/>
      <w:bookmarkEnd w:id="110"/>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111" w:name="_Toc131582981"/>
      <w:bookmarkStart w:id="112" w:name="_Toc33608065"/>
      <w:r>
        <w:rPr>
          <w:rStyle w:val="CharSectno"/>
        </w:rPr>
        <w:t>30</w:t>
      </w:r>
      <w:r>
        <w:rPr>
          <w:snapToGrid w:val="0"/>
        </w:rPr>
        <w:t>.</w:t>
      </w:r>
      <w:r>
        <w:rPr>
          <w:snapToGrid w:val="0"/>
        </w:rPr>
        <w:tab/>
        <w:t>Farm lease, cancellation of</w:t>
      </w:r>
      <w:bookmarkEnd w:id="111"/>
      <w:bookmarkEnd w:id="112"/>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No. 28 of 2006 s. 241.]</w:t>
      </w:r>
    </w:p>
    <w:p>
      <w:pPr>
        <w:pStyle w:val="Heading5"/>
        <w:rPr>
          <w:snapToGrid w:val="0"/>
        </w:rPr>
      </w:pPr>
      <w:bookmarkStart w:id="113" w:name="_Toc131582982"/>
      <w:bookmarkStart w:id="114" w:name="_Toc33608066"/>
      <w:r>
        <w:rPr>
          <w:rStyle w:val="CharSectno"/>
        </w:rPr>
        <w:t>31</w:t>
      </w:r>
      <w:r>
        <w:rPr>
          <w:snapToGrid w:val="0"/>
        </w:rPr>
        <w:t>.</w:t>
      </w:r>
      <w:r>
        <w:rPr>
          <w:snapToGrid w:val="0"/>
        </w:rPr>
        <w:tab/>
        <w:t>Cancelled farm lease, pearl oysters etc. to be removed from; consequences of non</w:t>
      </w:r>
      <w:r>
        <w:rPr>
          <w:snapToGrid w:val="0"/>
        </w:rPr>
        <w:noBreakHyphen/>
        <w:t>removal</w:t>
      </w:r>
      <w:bookmarkEnd w:id="113"/>
      <w:bookmarkEnd w:id="11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 or</w:t>
      </w:r>
    </w:p>
    <w:p>
      <w:pPr>
        <w:pStyle w:val="Indenta"/>
      </w:pPr>
      <w:r>
        <w:tab/>
        <w:t>(b)</w:t>
      </w:r>
      <w:r>
        <w:tab/>
        <w:t>if an application for a review is made under Part 4 against a cancellation under section 30(2) but is then withdrawn, 3 months from the day on which the application is withdrawn; or</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No. 49 of 1996 s. 64; No. 55 of 2004 s. 904; No. 28 of 2006 s. 241; No. 77 of 2006 Sch. 1 cl. 120(3).]</w:t>
      </w:r>
    </w:p>
    <w:p>
      <w:pPr>
        <w:pStyle w:val="Heading5"/>
        <w:rPr>
          <w:snapToGrid w:val="0"/>
        </w:rPr>
      </w:pPr>
      <w:bookmarkStart w:id="115" w:name="_Toc131582983"/>
      <w:bookmarkStart w:id="116" w:name="_Toc33608067"/>
      <w:r>
        <w:rPr>
          <w:rStyle w:val="CharSectno"/>
        </w:rPr>
        <w:t>32</w:t>
      </w:r>
      <w:r>
        <w:rPr>
          <w:snapToGrid w:val="0"/>
        </w:rPr>
        <w:t>.</w:t>
      </w:r>
      <w:r>
        <w:rPr>
          <w:snapToGrid w:val="0"/>
        </w:rPr>
        <w:tab/>
        <w:t>Farm leases etc. not transferable; exceptions</w:t>
      </w:r>
      <w:bookmarkEnd w:id="115"/>
      <w:bookmarkEnd w:id="116"/>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No. 28 of 2006 s. 241.]</w:t>
      </w:r>
    </w:p>
    <w:p>
      <w:pPr>
        <w:pStyle w:val="Ednotedivision"/>
      </w:pPr>
      <w:r>
        <w:t>[Division 3 (s. 32A</w:t>
      </w:r>
      <w:r>
        <w:noBreakHyphen/>
        <w:t>32H) deleted: No. 52 of 1995 s. 47.]</w:t>
      </w:r>
    </w:p>
    <w:p>
      <w:pPr>
        <w:pStyle w:val="Heading2"/>
      </w:pPr>
      <w:bookmarkStart w:id="117" w:name="_Toc33607886"/>
      <w:bookmarkStart w:id="118" w:name="_Toc33608068"/>
      <w:bookmarkStart w:id="119" w:name="_Toc131513811"/>
      <w:bookmarkStart w:id="120" w:name="_Toc131514082"/>
      <w:bookmarkStart w:id="121" w:name="_Toc131582984"/>
      <w:r>
        <w:rPr>
          <w:rStyle w:val="CharPartNo"/>
        </w:rPr>
        <w:t>Part 4</w:t>
      </w:r>
      <w:r>
        <w:rPr>
          <w:rStyle w:val="CharDivNo"/>
        </w:rPr>
        <w:t> </w:t>
      </w:r>
      <w:r>
        <w:t>—</w:t>
      </w:r>
      <w:r>
        <w:rPr>
          <w:rStyle w:val="CharDivText"/>
        </w:rPr>
        <w:t> </w:t>
      </w:r>
      <w:r>
        <w:rPr>
          <w:rStyle w:val="CharPartText"/>
        </w:rPr>
        <w:t>Review</w:t>
      </w:r>
      <w:bookmarkEnd w:id="117"/>
      <w:bookmarkEnd w:id="118"/>
      <w:bookmarkEnd w:id="119"/>
      <w:bookmarkEnd w:id="120"/>
      <w:bookmarkEnd w:id="121"/>
    </w:p>
    <w:p>
      <w:pPr>
        <w:pStyle w:val="Footnoteheading"/>
      </w:pPr>
      <w:r>
        <w:tab/>
        <w:t>[Heading amended: No. 55 of 2004 s. 905.]</w:t>
      </w:r>
    </w:p>
    <w:p>
      <w:pPr>
        <w:pStyle w:val="Heading5"/>
        <w:rPr>
          <w:snapToGrid w:val="0"/>
        </w:rPr>
      </w:pPr>
      <w:bookmarkStart w:id="122" w:name="_Toc131582985"/>
      <w:bookmarkStart w:id="123" w:name="_Toc33608069"/>
      <w:r>
        <w:rPr>
          <w:rStyle w:val="CharSectno"/>
        </w:rPr>
        <w:t>33</w:t>
      </w:r>
      <w:r>
        <w:rPr>
          <w:snapToGrid w:val="0"/>
        </w:rPr>
        <w:t>.</w:t>
      </w:r>
      <w:r>
        <w:rPr>
          <w:snapToGrid w:val="0"/>
        </w:rPr>
        <w:tab/>
        <w:t>Certain decisions by CEO, review of by SAT</w:t>
      </w:r>
      <w:bookmarkEnd w:id="122"/>
      <w:bookmarkEnd w:id="123"/>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 and</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No. 55 of 2004 s. 906; No. 28 of 2006 s. 241.]</w:t>
      </w:r>
    </w:p>
    <w:p>
      <w:pPr>
        <w:pStyle w:val="Heading5"/>
        <w:rPr>
          <w:snapToGrid w:val="0"/>
        </w:rPr>
      </w:pPr>
      <w:bookmarkStart w:id="124" w:name="_Toc131582986"/>
      <w:bookmarkStart w:id="125" w:name="_Toc33608070"/>
      <w:r>
        <w:rPr>
          <w:rStyle w:val="CharSectno"/>
        </w:rPr>
        <w:t>34</w:t>
      </w:r>
      <w:r>
        <w:rPr>
          <w:snapToGrid w:val="0"/>
        </w:rPr>
        <w:t>.</w:t>
      </w:r>
      <w:r>
        <w:rPr>
          <w:snapToGrid w:val="0"/>
        </w:rPr>
        <w:tab/>
        <w:t>Application for SAT review, effect of on CEO’s decision</w:t>
      </w:r>
      <w:bookmarkEnd w:id="124"/>
      <w:bookmarkEnd w:id="125"/>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 and</w:t>
      </w:r>
    </w:p>
    <w:p>
      <w:pPr>
        <w:pStyle w:val="Indenta"/>
        <w:rPr>
          <w:snapToGrid w:val="0"/>
        </w:rPr>
      </w:pPr>
      <w:r>
        <w:rPr>
          <w:snapToGrid w:val="0"/>
        </w:rPr>
        <w:tab/>
        <w:t>(b)</w:t>
      </w:r>
      <w:r>
        <w:rPr>
          <w:snapToGrid w:val="0"/>
        </w:rPr>
        <w:tab/>
        <w:t>refusing to renew a farm lease, licence or permit under section 27(4), the lease, licence or permit remains in force; and</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No. 55 of 2004 s. 907; No. 28 of 2006 s. 241.]</w:t>
      </w:r>
    </w:p>
    <w:p>
      <w:pPr>
        <w:pStyle w:val="Heading2"/>
      </w:pPr>
      <w:bookmarkStart w:id="126" w:name="_Toc33607889"/>
      <w:bookmarkStart w:id="127" w:name="_Toc33608071"/>
      <w:bookmarkStart w:id="128" w:name="_Toc131513814"/>
      <w:bookmarkStart w:id="129" w:name="_Toc131514085"/>
      <w:bookmarkStart w:id="130" w:name="_Toc131582987"/>
      <w:r>
        <w:rPr>
          <w:rStyle w:val="CharPartNo"/>
        </w:rPr>
        <w:t>Part 5</w:t>
      </w:r>
      <w:r>
        <w:rPr>
          <w:rStyle w:val="CharDivNo"/>
        </w:rPr>
        <w:t> </w:t>
      </w:r>
      <w:r>
        <w:t>—</w:t>
      </w:r>
      <w:r>
        <w:rPr>
          <w:rStyle w:val="CharDivText"/>
        </w:rPr>
        <w:t> </w:t>
      </w:r>
      <w:r>
        <w:rPr>
          <w:rStyle w:val="CharPartText"/>
        </w:rPr>
        <w:t>Inspection</w:t>
      </w:r>
      <w:bookmarkEnd w:id="126"/>
      <w:bookmarkEnd w:id="127"/>
      <w:bookmarkEnd w:id="128"/>
      <w:bookmarkEnd w:id="129"/>
      <w:bookmarkEnd w:id="130"/>
    </w:p>
    <w:p>
      <w:pPr>
        <w:pStyle w:val="Heading5"/>
        <w:rPr>
          <w:snapToGrid w:val="0"/>
        </w:rPr>
      </w:pPr>
      <w:bookmarkStart w:id="131" w:name="_Toc131582988"/>
      <w:bookmarkStart w:id="132" w:name="_Toc33608072"/>
      <w:r>
        <w:rPr>
          <w:rStyle w:val="CharSectno"/>
        </w:rPr>
        <w:t>35</w:t>
      </w:r>
      <w:r>
        <w:rPr>
          <w:snapToGrid w:val="0"/>
        </w:rPr>
        <w:t>.</w:t>
      </w:r>
      <w:r>
        <w:rPr>
          <w:snapToGrid w:val="0"/>
        </w:rPr>
        <w:tab/>
        <w:t>Inspectors, appointing etc.</w:t>
      </w:r>
      <w:bookmarkEnd w:id="131"/>
      <w:bookmarkEnd w:id="132"/>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No. 28 of 2006 s. 239 and 241.]</w:t>
      </w:r>
    </w:p>
    <w:p>
      <w:pPr>
        <w:pStyle w:val="Heading5"/>
        <w:rPr>
          <w:snapToGrid w:val="0"/>
        </w:rPr>
      </w:pPr>
      <w:bookmarkStart w:id="133" w:name="_Toc131582989"/>
      <w:bookmarkStart w:id="134" w:name="_Toc33608073"/>
      <w:r>
        <w:rPr>
          <w:rStyle w:val="CharSectno"/>
        </w:rPr>
        <w:t>36</w:t>
      </w:r>
      <w:r>
        <w:rPr>
          <w:snapToGrid w:val="0"/>
        </w:rPr>
        <w:t>.</w:t>
      </w:r>
      <w:r>
        <w:rPr>
          <w:snapToGrid w:val="0"/>
        </w:rPr>
        <w:tab/>
        <w:t>Inspectors, powers of</w:t>
      </w:r>
      <w:bookmarkEnd w:id="133"/>
      <w:bookmarkEnd w:id="134"/>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 or</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135" w:name="_Toc131582990"/>
      <w:bookmarkStart w:id="136" w:name="_Toc33608074"/>
      <w:r>
        <w:rPr>
          <w:rStyle w:val="CharSectno"/>
        </w:rPr>
        <w:t>37</w:t>
      </w:r>
      <w:r>
        <w:rPr>
          <w:snapToGrid w:val="0"/>
        </w:rPr>
        <w:t>.</w:t>
      </w:r>
      <w:r>
        <w:rPr>
          <w:snapToGrid w:val="0"/>
        </w:rPr>
        <w:tab/>
        <w:t>Inspector may require master of pearl boat etc. to transport inspector etc.</w:t>
      </w:r>
      <w:bookmarkEnd w:id="135"/>
      <w:bookmarkEnd w:id="136"/>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No. 49 of 1996 s. 64; No. 28 of 2006 s. 241; No. 77 of 2006 Sch. 1 cl. 120(4).]</w:t>
      </w:r>
    </w:p>
    <w:p>
      <w:pPr>
        <w:pStyle w:val="Heading2"/>
      </w:pPr>
      <w:bookmarkStart w:id="137" w:name="_Toc33607893"/>
      <w:bookmarkStart w:id="138" w:name="_Toc33608075"/>
      <w:bookmarkStart w:id="139" w:name="_Toc131513818"/>
      <w:bookmarkStart w:id="140" w:name="_Toc131514089"/>
      <w:bookmarkStart w:id="141" w:name="_Toc131582991"/>
      <w:r>
        <w:rPr>
          <w:rStyle w:val="CharPartNo"/>
        </w:rPr>
        <w:t>Part 6</w:t>
      </w:r>
      <w:r>
        <w:rPr>
          <w:rStyle w:val="CharDivNo"/>
        </w:rPr>
        <w:t> </w:t>
      </w:r>
      <w:r>
        <w:t>—</w:t>
      </w:r>
      <w:r>
        <w:rPr>
          <w:rStyle w:val="CharDivText"/>
        </w:rPr>
        <w:t> </w:t>
      </w:r>
      <w:r>
        <w:rPr>
          <w:rStyle w:val="CharPartText"/>
        </w:rPr>
        <w:t>Pearling Industry Advisory Committee</w:t>
      </w:r>
      <w:bookmarkEnd w:id="137"/>
      <w:bookmarkEnd w:id="138"/>
      <w:bookmarkEnd w:id="139"/>
      <w:bookmarkEnd w:id="140"/>
      <w:bookmarkEnd w:id="141"/>
    </w:p>
    <w:p>
      <w:pPr>
        <w:pStyle w:val="Heading5"/>
        <w:rPr>
          <w:snapToGrid w:val="0"/>
        </w:rPr>
      </w:pPr>
      <w:bookmarkStart w:id="142" w:name="_Toc131582992"/>
      <w:bookmarkStart w:id="143" w:name="_Toc33608076"/>
      <w:r>
        <w:rPr>
          <w:rStyle w:val="CharSectno"/>
        </w:rPr>
        <w:t>38</w:t>
      </w:r>
      <w:r>
        <w:rPr>
          <w:snapToGrid w:val="0"/>
        </w:rPr>
        <w:t>.</w:t>
      </w:r>
      <w:r>
        <w:rPr>
          <w:snapToGrid w:val="0"/>
        </w:rPr>
        <w:tab/>
        <w:t>Committee established and functions of</w:t>
      </w:r>
      <w:bookmarkEnd w:id="142"/>
      <w:bookmarkEnd w:id="143"/>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 and</w:t>
      </w:r>
    </w:p>
    <w:p>
      <w:pPr>
        <w:pStyle w:val="Indenta"/>
        <w:rPr>
          <w:snapToGrid w:val="0"/>
        </w:rPr>
      </w:pPr>
      <w:r>
        <w:rPr>
          <w:snapToGrid w:val="0"/>
        </w:rPr>
        <w:tab/>
        <w:t>(b)</w:t>
      </w:r>
      <w:r>
        <w:rPr>
          <w:snapToGrid w:val="0"/>
        </w:rPr>
        <w:tab/>
        <w:t>pearl oysters; and</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No. 28 of 2006 s. 241.]</w:t>
      </w:r>
    </w:p>
    <w:p>
      <w:pPr>
        <w:pStyle w:val="Heading5"/>
        <w:rPr>
          <w:snapToGrid w:val="0"/>
        </w:rPr>
      </w:pPr>
      <w:bookmarkStart w:id="144" w:name="_Toc131582993"/>
      <w:bookmarkStart w:id="145" w:name="_Toc33608077"/>
      <w:r>
        <w:rPr>
          <w:rStyle w:val="CharSectno"/>
        </w:rPr>
        <w:t>39</w:t>
      </w:r>
      <w:r>
        <w:rPr>
          <w:snapToGrid w:val="0"/>
        </w:rPr>
        <w:t>.</w:t>
      </w:r>
      <w:r>
        <w:rPr>
          <w:snapToGrid w:val="0"/>
        </w:rPr>
        <w:tab/>
        <w:t>Members of Committee</w:t>
      </w:r>
      <w:bookmarkEnd w:id="144"/>
      <w:bookmarkEnd w:id="145"/>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146" w:name="_Toc131582994"/>
      <w:bookmarkStart w:id="147" w:name="_Toc33608078"/>
      <w:r>
        <w:rPr>
          <w:rStyle w:val="CharSectno"/>
        </w:rPr>
        <w:t>40</w:t>
      </w:r>
      <w:r>
        <w:rPr>
          <w:snapToGrid w:val="0"/>
        </w:rPr>
        <w:t>.</w:t>
      </w:r>
      <w:r>
        <w:rPr>
          <w:snapToGrid w:val="0"/>
        </w:rPr>
        <w:tab/>
        <w:t>Constitution and proceedings of Committee (Sch. 1)</w:t>
      </w:r>
      <w:bookmarkEnd w:id="146"/>
      <w:bookmarkEnd w:id="147"/>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148" w:name="_Toc131582995"/>
      <w:bookmarkStart w:id="149" w:name="_Toc33608079"/>
      <w:r>
        <w:rPr>
          <w:rStyle w:val="CharSectno"/>
        </w:rPr>
        <w:t>41</w:t>
      </w:r>
      <w:r>
        <w:rPr>
          <w:snapToGrid w:val="0"/>
        </w:rPr>
        <w:t>.</w:t>
      </w:r>
      <w:r>
        <w:rPr>
          <w:snapToGrid w:val="0"/>
        </w:rPr>
        <w:tab/>
        <w:t>Remuneration and allowances for members</w:t>
      </w:r>
      <w:bookmarkEnd w:id="148"/>
      <w:bookmarkEnd w:id="149"/>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No. 49 of 1996 s. 64; No. 77 of 2006 Sch. 1 cl. 120(5); No. 39 of 2010 s. 89.]</w:t>
      </w:r>
    </w:p>
    <w:p>
      <w:pPr>
        <w:pStyle w:val="Heading5"/>
        <w:rPr>
          <w:snapToGrid w:val="0"/>
        </w:rPr>
      </w:pPr>
      <w:bookmarkStart w:id="150" w:name="_Toc131582996"/>
      <w:bookmarkStart w:id="151" w:name="_Toc33608080"/>
      <w:r>
        <w:rPr>
          <w:rStyle w:val="CharSectno"/>
        </w:rPr>
        <w:t>42</w:t>
      </w:r>
      <w:r>
        <w:rPr>
          <w:snapToGrid w:val="0"/>
        </w:rPr>
        <w:t>.</w:t>
      </w:r>
      <w:r>
        <w:rPr>
          <w:snapToGrid w:val="0"/>
        </w:rPr>
        <w:tab/>
        <w:t>Protection from personal liability for members</w:t>
      </w:r>
      <w:bookmarkEnd w:id="150"/>
      <w:bookmarkEnd w:id="151"/>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152" w:name="_Toc33607899"/>
      <w:bookmarkStart w:id="153" w:name="_Toc33608081"/>
      <w:bookmarkStart w:id="154" w:name="_Toc131513824"/>
      <w:bookmarkStart w:id="155" w:name="_Toc131514095"/>
      <w:bookmarkStart w:id="156" w:name="_Toc131582997"/>
      <w:r>
        <w:rPr>
          <w:rStyle w:val="CharPartNo"/>
        </w:rPr>
        <w:t>Part 7</w:t>
      </w:r>
      <w:r>
        <w:rPr>
          <w:rStyle w:val="CharDivNo"/>
        </w:rPr>
        <w:t> </w:t>
      </w:r>
      <w:r>
        <w:t>—</w:t>
      </w:r>
      <w:r>
        <w:rPr>
          <w:rStyle w:val="CharDivText"/>
        </w:rPr>
        <w:t> </w:t>
      </w:r>
      <w:r>
        <w:rPr>
          <w:rStyle w:val="CharPartText"/>
        </w:rPr>
        <w:t>Commonwealth</w:t>
      </w:r>
      <w:r>
        <w:rPr>
          <w:rStyle w:val="CharPartText"/>
        </w:rPr>
        <w:noBreakHyphen/>
        <w:t>State management of pearl oyster fisheries</w:t>
      </w:r>
      <w:bookmarkEnd w:id="152"/>
      <w:bookmarkEnd w:id="153"/>
      <w:bookmarkEnd w:id="154"/>
      <w:bookmarkEnd w:id="155"/>
      <w:bookmarkEnd w:id="156"/>
    </w:p>
    <w:p>
      <w:pPr>
        <w:pStyle w:val="Heading5"/>
        <w:spacing w:before="160"/>
        <w:rPr>
          <w:snapToGrid w:val="0"/>
        </w:rPr>
      </w:pPr>
      <w:bookmarkStart w:id="157" w:name="_Toc131582998"/>
      <w:bookmarkStart w:id="158" w:name="_Toc33608082"/>
      <w:r>
        <w:rPr>
          <w:rStyle w:val="CharSectno"/>
        </w:rPr>
        <w:t>43</w:t>
      </w:r>
      <w:r>
        <w:rPr>
          <w:snapToGrid w:val="0"/>
        </w:rPr>
        <w:t>.</w:t>
      </w:r>
      <w:r>
        <w:rPr>
          <w:snapToGrid w:val="0"/>
        </w:rPr>
        <w:tab/>
        <w:t>Terms used</w:t>
      </w:r>
      <w:bookmarkEnd w:id="157"/>
      <w:bookmarkEnd w:id="158"/>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In this Part —</w:t>
      </w:r>
    </w:p>
    <w:p>
      <w:pPr>
        <w:pStyle w:val="Defstart"/>
        <w:spacing w:before="60"/>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70"/>
        <w:rPr>
          <w:snapToGrid w:val="0"/>
        </w:rPr>
      </w:pPr>
      <w:bookmarkStart w:id="159" w:name="_Toc131582999"/>
      <w:bookmarkStart w:id="160" w:name="_Toc33608083"/>
      <w:r>
        <w:rPr>
          <w:rStyle w:val="CharSectno"/>
        </w:rPr>
        <w:t>44</w:t>
      </w:r>
      <w:r>
        <w:rPr>
          <w:snapToGrid w:val="0"/>
        </w:rPr>
        <w:t>.</w:t>
      </w:r>
      <w:r>
        <w:rPr>
          <w:snapToGrid w:val="0"/>
        </w:rPr>
        <w:tab/>
        <w:t>Application of Act to pearl oyster fishery if, under arrangement, State law applies</w:t>
      </w:r>
      <w:bookmarkEnd w:id="159"/>
      <w:bookmarkEnd w:id="160"/>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spacing w:before="80"/>
        <w:ind w:left="890" w:hanging="890"/>
      </w:pPr>
      <w:r>
        <w:tab/>
        <w:t>[Section 44 amended: No. 23 of 1994 s. 5.]</w:t>
      </w:r>
    </w:p>
    <w:p>
      <w:pPr>
        <w:pStyle w:val="Heading5"/>
        <w:spacing w:before="170"/>
        <w:rPr>
          <w:snapToGrid w:val="0"/>
        </w:rPr>
      </w:pPr>
      <w:bookmarkStart w:id="161" w:name="_Toc131583000"/>
      <w:bookmarkStart w:id="162" w:name="_Toc33608084"/>
      <w:r>
        <w:rPr>
          <w:rStyle w:val="CharSectno"/>
        </w:rPr>
        <w:t>45</w:t>
      </w:r>
      <w:r>
        <w:rPr>
          <w:snapToGrid w:val="0"/>
        </w:rPr>
        <w:t>.</w:t>
      </w:r>
      <w:r>
        <w:rPr>
          <w:snapToGrid w:val="0"/>
        </w:rPr>
        <w:tab/>
        <w:t>Functions of Joint Authority if, under arrangement, State law applies</w:t>
      </w:r>
      <w:bookmarkEnd w:id="161"/>
      <w:bookmarkEnd w:id="162"/>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163" w:name="_Toc131583001"/>
      <w:bookmarkStart w:id="164" w:name="_Toc33608085"/>
      <w:r>
        <w:rPr>
          <w:rStyle w:val="CharSectno"/>
        </w:rPr>
        <w:t>46</w:t>
      </w:r>
      <w:r>
        <w:rPr>
          <w:snapToGrid w:val="0"/>
        </w:rPr>
        <w:t>.</w:t>
      </w:r>
      <w:r>
        <w:rPr>
          <w:snapToGrid w:val="0"/>
        </w:rPr>
        <w:tab/>
        <w:t>Joint Authority pearl oyster fishery, provisions as to licences etc. for</w:t>
      </w:r>
      <w:bookmarkEnd w:id="163"/>
      <w:bookmarkEnd w:id="164"/>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spacing w:before="140"/>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spacing w:before="130"/>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spacing w:before="200"/>
        <w:rPr>
          <w:snapToGrid w:val="0"/>
        </w:rPr>
      </w:pPr>
      <w:bookmarkStart w:id="165" w:name="_Toc131583002"/>
      <w:bookmarkStart w:id="166" w:name="_Toc33608086"/>
      <w:r>
        <w:rPr>
          <w:rStyle w:val="CharSectno"/>
        </w:rPr>
        <w:t>47</w:t>
      </w:r>
      <w:r>
        <w:rPr>
          <w:snapToGrid w:val="0"/>
        </w:rPr>
        <w:t>.</w:t>
      </w:r>
      <w:r>
        <w:rPr>
          <w:snapToGrid w:val="0"/>
        </w:rPr>
        <w:tab/>
        <w:t>Joint Authority pearl oyster fishery, application of offence and enforcement provisions to</w:t>
      </w:r>
      <w:bookmarkEnd w:id="165"/>
      <w:bookmarkEnd w:id="166"/>
    </w:p>
    <w:p>
      <w:pPr>
        <w:pStyle w:val="Subsection"/>
        <w:spacing w:before="140"/>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spacing w:before="60"/>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spacing w:before="60"/>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spacing w:before="200"/>
        <w:rPr>
          <w:snapToGrid w:val="0"/>
        </w:rPr>
      </w:pPr>
      <w:bookmarkStart w:id="167" w:name="_Toc131583003"/>
      <w:bookmarkStart w:id="168" w:name="_Toc33608087"/>
      <w:r>
        <w:rPr>
          <w:rStyle w:val="CharSectno"/>
        </w:rPr>
        <w:t>48</w:t>
      </w:r>
      <w:r>
        <w:rPr>
          <w:snapToGrid w:val="0"/>
        </w:rPr>
        <w:t>.</w:t>
      </w:r>
      <w:r>
        <w:rPr>
          <w:snapToGrid w:val="0"/>
        </w:rPr>
        <w:tab/>
        <w:t>Pearl oyster fishery managed by Joint Authority, regulations for and notice of</w:t>
      </w:r>
      <w:bookmarkEnd w:id="167"/>
      <w:bookmarkEnd w:id="168"/>
    </w:p>
    <w:p>
      <w:pPr>
        <w:pStyle w:val="Subsection"/>
        <w:spacing w:before="140"/>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spacing w:before="60"/>
        <w:rPr>
          <w:snapToGrid w:val="0"/>
        </w:rPr>
      </w:pPr>
      <w:r>
        <w:rPr>
          <w:snapToGrid w:val="0"/>
        </w:rPr>
        <w:tab/>
        <w:t>(a)</w:t>
      </w:r>
      <w:r>
        <w:rPr>
          <w:snapToGrid w:val="0"/>
        </w:rPr>
        <w:tab/>
        <w:t>make regulations for the management of the pearl oyster fishery; or</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169" w:name="_Toc131583004"/>
      <w:bookmarkStart w:id="170" w:name="_Toc33608088"/>
      <w:r>
        <w:rPr>
          <w:rStyle w:val="CharSectno"/>
        </w:rPr>
        <w:t>49</w:t>
      </w:r>
      <w:r>
        <w:rPr>
          <w:snapToGrid w:val="0"/>
        </w:rPr>
        <w:t>.</w:t>
      </w:r>
      <w:r>
        <w:rPr>
          <w:snapToGrid w:val="0"/>
        </w:rPr>
        <w:tab/>
        <w:t>Powers before arrangement takes effect, on termination of arrangement and before termination takes effect</w:t>
      </w:r>
      <w:bookmarkEnd w:id="169"/>
      <w:bookmarkEnd w:id="170"/>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171" w:name="_Toc131583005"/>
      <w:bookmarkStart w:id="172" w:name="_Toc33608089"/>
      <w:r>
        <w:rPr>
          <w:rStyle w:val="CharSectno"/>
        </w:rPr>
        <w:t>50</w:t>
      </w:r>
      <w:r>
        <w:rPr>
          <w:snapToGrid w:val="0"/>
        </w:rPr>
        <w:t>.</w:t>
      </w:r>
      <w:r>
        <w:rPr>
          <w:snapToGrid w:val="0"/>
        </w:rPr>
        <w:tab/>
        <w:t>Delegation by Joint Authority etc.</w:t>
      </w:r>
      <w:bookmarkEnd w:id="171"/>
      <w:bookmarkEnd w:id="172"/>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173" w:name="_Toc131583006"/>
      <w:bookmarkStart w:id="174" w:name="_Toc33608090"/>
      <w:r>
        <w:rPr>
          <w:rStyle w:val="CharSectno"/>
        </w:rPr>
        <w:t>51</w:t>
      </w:r>
      <w:r>
        <w:rPr>
          <w:snapToGrid w:val="0"/>
        </w:rPr>
        <w:t>.</w:t>
      </w:r>
      <w:r>
        <w:rPr>
          <w:snapToGrid w:val="0"/>
        </w:rPr>
        <w:tab/>
        <w:t>Policy statement, Joint Authority may issue</w:t>
      </w:r>
      <w:bookmarkEnd w:id="173"/>
      <w:bookmarkEnd w:id="174"/>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175" w:name="_Toc33607909"/>
      <w:bookmarkStart w:id="176" w:name="_Toc33608091"/>
      <w:bookmarkStart w:id="177" w:name="_Toc131513834"/>
      <w:bookmarkStart w:id="178" w:name="_Toc131514105"/>
      <w:bookmarkStart w:id="179" w:name="_Toc131583007"/>
      <w:r>
        <w:rPr>
          <w:rStyle w:val="CharPartNo"/>
        </w:rPr>
        <w:t>Part 8</w:t>
      </w:r>
      <w:r>
        <w:rPr>
          <w:rStyle w:val="CharDivNo"/>
        </w:rPr>
        <w:t> </w:t>
      </w:r>
      <w:r>
        <w:t>—</w:t>
      </w:r>
      <w:r>
        <w:rPr>
          <w:rStyle w:val="CharDivText"/>
        </w:rPr>
        <w:t> </w:t>
      </w:r>
      <w:r>
        <w:rPr>
          <w:rStyle w:val="CharPartText"/>
        </w:rPr>
        <w:t>Proceedings for offences</w:t>
      </w:r>
      <w:bookmarkEnd w:id="175"/>
      <w:bookmarkEnd w:id="176"/>
      <w:bookmarkEnd w:id="177"/>
      <w:bookmarkEnd w:id="178"/>
      <w:bookmarkEnd w:id="179"/>
    </w:p>
    <w:p>
      <w:pPr>
        <w:pStyle w:val="Heading5"/>
        <w:rPr>
          <w:snapToGrid w:val="0"/>
        </w:rPr>
      </w:pPr>
      <w:bookmarkStart w:id="180" w:name="_Toc131583008"/>
      <w:bookmarkStart w:id="181" w:name="_Toc33608092"/>
      <w:r>
        <w:rPr>
          <w:rStyle w:val="CharSectno"/>
        </w:rPr>
        <w:t>52</w:t>
      </w:r>
      <w:r>
        <w:rPr>
          <w:snapToGrid w:val="0"/>
        </w:rPr>
        <w:t>.</w:t>
      </w:r>
      <w:r>
        <w:rPr>
          <w:snapToGrid w:val="0"/>
        </w:rPr>
        <w:tab/>
        <w:t>Prosecutions, commencing</w:t>
      </w:r>
      <w:bookmarkEnd w:id="180"/>
      <w:bookmarkEnd w:id="181"/>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r>
        <w:rPr>
          <w:snapToGrid w:val="0"/>
        </w:rPr>
        <w:tab/>
        <w:t>(2)</w:t>
      </w:r>
      <w:r>
        <w:rPr>
          <w:snapToGrid w:val="0"/>
        </w:rPr>
        <w:tab/>
        <w:t>A prosecution for an offence against this Act must be commenced within 12 months after the date on which the offence was allegedly committed.</w:t>
      </w:r>
    </w:p>
    <w:p>
      <w:pPr>
        <w:pStyle w:val="Footnotesection"/>
        <w:spacing w:before="100"/>
        <w:ind w:left="890" w:hanging="890"/>
      </w:pPr>
      <w:r>
        <w:tab/>
        <w:t>[Section 52 amended: No. 84 of 2004 s. 80; No. 28 of 2006 s. 241.]</w:t>
      </w:r>
    </w:p>
    <w:p>
      <w:pPr>
        <w:pStyle w:val="Heading5"/>
        <w:rPr>
          <w:snapToGrid w:val="0"/>
        </w:rPr>
      </w:pPr>
      <w:bookmarkStart w:id="182" w:name="_Toc131583009"/>
      <w:bookmarkStart w:id="183" w:name="_Toc33608093"/>
      <w:r>
        <w:rPr>
          <w:rStyle w:val="CharSectno"/>
        </w:rPr>
        <w:t>53</w:t>
      </w:r>
      <w:r>
        <w:rPr>
          <w:snapToGrid w:val="0"/>
        </w:rPr>
        <w:t>.</w:t>
      </w:r>
      <w:r>
        <w:rPr>
          <w:snapToGrid w:val="0"/>
        </w:rPr>
        <w:tab/>
        <w:t>Evidentiary provisions</w:t>
      </w:r>
      <w:bookmarkEnd w:id="182"/>
      <w:bookmarkEnd w:id="183"/>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 or</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spacing w:before="100"/>
        <w:ind w:left="890" w:hanging="890"/>
      </w:pPr>
      <w:r>
        <w:tab/>
        <w:t>[Section 53 amended: No. 84 of 2004 s. 80; No. 28 of 2006 s. 241.]</w:t>
      </w:r>
    </w:p>
    <w:p>
      <w:pPr>
        <w:pStyle w:val="Heading5"/>
        <w:rPr>
          <w:snapToGrid w:val="0"/>
        </w:rPr>
      </w:pPr>
      <w:bookmarkStart w:id="184" w:name="_Toc131583010"/>
      <w:bookmarkStart w:id="185" w:name="_Toc33608094"/>
      <w:r>
        <w:rPr>
          <w:rStyle w:val="CharSectno"/>
        </w:rPr>
        <w:t>54</w:t>
      </w:r>
      <w:r>
        <w:rPr>
          <w:snapToGrid w:val="0"/>
        </w:rPr>
        <w:t>.</w:t>
      </w:r>
      <w:r>
        <w:rPr>
          <w:snapToGrid w:val="0"/>
        </w:rPr>
        <w:tab/>
        <w:t>Seized property, forfeiture of on conviction</w:t>
      </w:r>
      <w:bookmarkEnd w:id="184"/>
      <w:bookmarkEnd w:id="185"/>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No. 49 of 1996 s. 64; No. 77 of 2006 Sch. 1 cl. 120(6).]</w:t>
      </w:r>
    </w:p>
    <w:p>
      <w:pPr>
        <w:pStyle w:val="Heading5"/>
        <w:rPr>
          <w:snapToGrid w:val="0"/>
        </w:rPr>
      </w:pPr>
      <w:bookmarkStart w:id="186" w:name="_Toc131583011"/>
      <w:bookmarkStart w:id="187" w:name="_Toc33608095"/>
      <w:r>
        <w:rPr>
          <w:rStyle w:val="CharSectno"/>
        </w:rPr>
        <w:t>55</w:t>
      </w:r>
      <w:r>
        <w:rPr>
          <w:snapToGrid w:val="0"/>
        </w:rPr>
        <w:t>.</w:t>
      </w:r>
      <w:r>
        <w:rPr>
          <w:snapToGrid w:val="0"/>
        </w:rPr>
        <w:tab/>
        <w:t>Seized pearl oyster and pearl oyster spat, dealing with</w:t>
      </w:r>
      <w:bookmarkEnd w:id="186"/>
      <w:bookmarkEnd w:id="187"/>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spacing w:before="7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spacing w:before="7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spacing w:before="70"/>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 and</w:t>
      </w:r>
    </w:p>
    <w:p>
      <w:pPr>
        <w:pStyle w:val="Indenta"/>
        <w:spacing w:before="70"/>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spacing w:before="70"/>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No. 49 of 1996 s. 64; No. 28 of 2006 s. 241; No. 77 of 2006 Sch. 1 cl. 120(7).]</w:t>
      </w:r>
    </w:p>
    <w:p>
      <w:pPr>
        <w:pStyle w:val="Heading5"/>
        <w:rPr>
          <w:ins w:id="188" w:author="Master Repository Process" w:date="2023-04-05T12:15:00Z"/>
        </w:rPr>
      </w:pPr>
      <w:bookmarkStart w:id="189" w:name="_Toc130918503"/>
      <w:bookmarkStart w:id="190" w:name="_Toc131583012"/>
      <w:bookmarkStart w:id="191" w:name="_Toc33608096"/>
      <w:r>
        <w:rPr>
          <w:rStyle w:val="CharSectno"/>
        </w:rPr>
        <w:t>56</w:t>
      </w:r>
      <w:r>
        <w:t>.</w:t>
      </w:r>
      <w:r>
        <w:tab/>
      </w:r>
      <w:del w:id="192" w:author="Master Repository Process" w:date="2023-04-05T12:15:00Z">
        <w:r>
          <w:rPr>
            <w:snapToGrid w:val="0"/>
          </w:rPr>
          <w:delText xml:space="preserve">Offences </w:delText>
        </w:r>
      </w:del>
      <w:ins w:id="193" w:author="Master Repository Process" w:date="2023-04-05T12:15:00Z">
        <w:r>
          <w:t xml:space="preserve">Liability of officers for offence </w:t>
        </w:r>
      </w:ins>
      <w:r>
        <w:t xml:space="preserve">by </w:t>
      </w:r>
      <w:del w:id="194" w:author="Master Repository Process" w:date="2023-04-05T12:15:00Z">
        <w:r>
          <w:rPr>
            <w:snapToGrid w:val="0"/>
          </w:rPr>
          <w:delText>bodies</w:delText>
        </w:r>
      </w:del>
      <w:ins w:id="195" w:author="Master Repository Process" w:date="2023-04-05T12:15:00Z">
        <w:r>
          <w:t>body</w:t>
        </w:r>
      </w:ins>
      <w:r>
        <w:t xml:space="preserve"> corporate</w:t>
      </w:r>
      <w:bookmarkEnd w:id="189"/>
      <w:bookmarkEnd w:id="190"/>
      <w:del w:id="196" w:author="Master Repository Process" w:date="2023-04-05T12:15:00Z">
        <w:r>
          <w:rPr>
            <w:snapToGrid w:val="0"/>
          </w:rPr>
          <w:delText>,</w:delText>
        </w:r>
      </w:del>
    </w:p>
    <w:p>
      <w:pPr>
        <w:pStyle w:val="Subsection"/>
      </w:pPr>
      <w:ins w:id="197" w:author="Master Repository Process" w:date="2023-04-05T12:15:00Z">
        <w:r>
          <w:tab/>
        </w:r>
        <w:r>
          <w:tab/>
        </w:r>
        <w:r>
          <w:rPr>
            <w:i/>
          </w:rPr>
          <w:t>The Criminal Code</w:t>
        </w:r>
        <w:r>
          <w:t xml:space="preserve"> section 39 (which provides for the criminal</w:t>
        </w:r>
      </w:ins>
      <w:r>
        <w:t xml:space="preserve"> liability of officers </w:t>
      </w:r>
      <w:del w:id="198" w:author="Master Repository Process" w:date="2023-04-05T12:15:00Z">
        <w:r>
          <w:rPr>
            <w:snapToGrid w:val="0"/>
          </w:rPr>
          <w:delText>for</w:delText>
        </w:r>
      </w:del>
      <w:bookmarkEnd w:id="191"/>
      <w:ins w:id="199" w:author="Master Repository Process" w:date="2023-04-05T12:15:00Z">
        <w:r>
          <w:t>of a body corporate) applies to an offence under a provision of this Act listed in the Table.</w:t>
        </w:r>
      </w:ins>
    </w:p>
    <w:p>
      <w:pPr>
        <w:pStyle w:val="Subsection"/>
        <w:rPr>
          <w:del w:id="200" w:author="Master Repository Process" w:date="2023-04-05T12:15:00Z"/>
          <w:snapToGrid w:val="0"/>
        </w:rPr>
      </w:pPr>
      <w:del w:id="201" w:author="Master Repository Process" w:date="2023-04-05T12:15:00Z">
        <w:r>
          <w:rPr>
            <w:snapToGrid w:val="0"/>
          </w:rPr>
          <w:tab/>
          <w:delText>(1)</w:delText>
        </w:r>
        <w:r>
          <w:rPr>
            <w:snapToGrid w:val="0"/>
          </w:rPr>
          <w:tab/>
          <w:delTex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delText>
        </w:r>
      </w:del>
    </w:p>
    <w:p>
      <w:pPr>
        <w:pStyle w:val="Subsection"/>
        <w:rPr>
          <w:del w:id="202" w:author="Master Repository Process" w:date="2023-04-05T12:15:00Z"/>
          <w:snapToGrid w:val="0"/>
        </w:rPr>
      </w:pPr>
      <w:del w:id="203" w:author="Master Repository Process" w:date="2023-04-05T12:15:00Z">
        <w:r>
          <w:rPr>
            <w:snapToGrid w:val="0"/>
          </w:rPr>
          <w:tab/>
          <w:delText>(2)</w:delText>
        </w:r>
        <w:r>
          <w:rPr>
            <w:snapToGrid w:val="0"/>
          </w:rPr>
          <w:tab/>
          <w:delText>Where the affairs of a body corporate are managed by its members, subsection (1) shall apply in relation to the acts and defaults of a member in connection with the functions of management of the member as if the member were a director of the body corporate.</w:delText>
        </w:r>
      </w:del>
    </w:p>
    <w:p>
      <w:pPr>
        <w:pStyle w:val="THeadingNAm"/>
        <w:rPr>
          <w:ins w:id="204" w:author="Master Repository Process" w:date="2023-04-05T12:15:00Z"/>
        </w:rPr>
      </w:pPr>
      <w:ins w:id="205" w:author="Master Repository Process" w:date="2023-04-05T12:15: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206" w:author="Master Repository Process" w:date="2023-04-05T12:15:00Z"/>
        </w:trPr>
        <w:tc>
          <w:tcPr>
            <w:tcW w:w="2409" w:type="dxa"/>
            <w:noWrap/>
          </w:tcPr>
          <w:p>
            <w:pPr>
              <w:pStyle w:val="TableNAm"/>
              <w:rPr>
                <w:ins w:id="207" w:author="Master Repository Process" w:date="2023-04-05T12:15:00Z"/>
              </w:rPr>
            </w:pPr>
            <w:ins w:id="208" w:author="Master Repository Process" w:date="2023-04-05T12:15:00Z">
              <w:r>
                <w:t>s. 7(2)</w:t>
              </w:r>
            </w:ins>
          </w:p>
        </w:tc>
        <w:tc>
          <w:tcPr>
            <w:tcW w:w="2410" w:type="dxa"/>
            <w:noWrap/>
          </w:tcPr>
          <w:p>
            <w:pPr>
              <w:pStyle w:val="TableNAm"/>
              <w:rPr>
                <w:ins w:id="209" w:author="Master Repository Process" w:date="2023-04-05T12:15:00Z"/>
              </w:rPr>
            </w:pPr>
            <w:ins w:id="210" w:author="Master Repository Process" w:date="2023-04-05T12:15:00Z">
              <w:r>
                <w:t>s. 8(2)</w:t>
              </w:r>
            </w:ins>
          </w:p>
        </w:tc>
      </w:tr>
      <w:tr>
        <w:trPr>
          <w:cantSplit/>
          <w:ins w:id="211" w:author="Master Repository Process" w:date="2023-04-05T12:15:00Z"/>
        </w:trPr>
        <w:tc>
          <w:tcPr>
            <w:tcW w:w="2409" w:type="dxa"/>
            <w:noWrap/>
          </w:tcPr>
          <w:p>
            <w:pPr>
              <w:pStyle w:val="TableNAm"/>
              <w:rPr>
                <w:ins w:id="212" w:author="Master Repository Process" w:date="2023-04-05T12:15:00Z"/>
              </w:rPr>
            </w:pPr>
            <w:ins w:id="213" w:author="Master Repository Process" w:date="2023-04-05T12:15:00Z">
              <w:r>
                <w:t>s. 12(4)</w:t>
              </w:r>
            </w:ins>
          </w:p>
        </w:tc>
        <w:tc>
          <w:tcPr>
            <w:tcW w:w="2410" w:type="dxa"/>
            <w:noWrap/>
          </w:tcPr>
          <w:p>
            <w:pPr>
              <w:pStyle w:val="TableNAm"/>
              <w:rPr>
                <w:ins w:id="214" w:author="Master Repository Process" w:date="2023-04-05T12:15:00Z"/>
              </w:rPr>
            </w:pPr>
            <w:ins w:id="215" w:author="Master Repository Process" w:date="2023-04-05T12:15:00Z">
              <w:r>
                <w:t>s. 16</w:t>
              </w:r>
            </w:ins>
          </w:p>
        </w:tc>
      </w:tr>
      <w:tr>
        <w:trPr>
          <w:cantSplit/>
          <w:ins w:id="216" w:author="Master Repository Process" w:date="2023-04-05T12:15:00Z"/>
        </w:trPr>
        <w:tc>
          <w:tcPr>
            <w:tcW w:w="2409" w:type="dxa"/>
            <w:noWrap/>
          </w:tcPr>
          <w:p>
            <w:pPr>
              <w:pStyle w:val="TableNAm"/>
              <w:rPr>
                <w:ins w:id="217" w:author="Master Repository Process" w:date="2023-04-05T12:15:00Z"/>
              </w:rPr>
            </w:pPr>
            <w:ins w:id="218" w:author="Master Repository Process" w:date="2023-04-05T12:15:00Z">
              <w:r>
                <w:t>s. 19(2)</w:t>
              </w:r>
            </w:ins>
          </w:p>
        </w:tc>
        <w:tc>
          <w:tcPr>
            <w:tcW w:w="2410" w:type="dxa"/>
            <w:noWrap/>
          </w:tcPr>
          <w:p>
            <w:pPr>
              <w:pStyle w:val="TableNAm"/>
              <w:rPr>
                <w:ins w:id="219" w:author="Master Repository Process" w:date="2023-04-05T12:15:00Z"/>
              </w:rPr>
            </w:pPr>
            <w:ins w:id="220" w:author="Master Repository Process" w:date="2023-04-05T12:15:00Z">
              <w:r>
                <w:t>s. 20</w:t>
              </w:r>
            </w:ins>
          </w:p>
        </w:tc>
      </w:tr>
      <w:tr>
        <w:trPr>
          <w:cantSplit/>
          <w:ins w:id="221" w:author="Master Repository Process" w:date="2023-04-05T12:15:00Z"/>
        </w:trPr>
        <w:tc>
          <w:tcPr>
            <w:tcW w:w="2409" w:type="dxa"/>
            <w:noWrap/>
          </w:tcPr>
          <w:p>
            <w:pPr>
              <w:pStyle w:val="TableNAm"/>
              <w:rPr>
                <w:ins w:id="222" w:author="Master Repository Process" w:date="2023-04-05T12:15:00Z"/>
              </w:rPr>
            </w:pPr>
            <w:ins w:id="223" w:author="Master Repository Process" w:date="2023-04-05T12:15:00Z">
              <w:r>
                <w:t>s. 21(1)</w:t>
              </w:r>
            </w:ins>
          </w:p>
        </w:tc>
        <w:tc>
          <w:tcPr>
            <w:tcW w:w="2410" w:type="dxa"/>
            <w:noWrap/>
          </w:tcPr>
          <w:p>
            <w:pPr>
              <w:pStyle w:val="TableNAm"/>
              <w:rPr>
                <w:ins w:id="224" w:author="Master Repository Process" w:date="2023-04-05T12:15:00Z"/>
              </w:rPr>
            </w:pPr>
          </w:p>
        </w:tc>
      </w:tr>
    </w:tbl>
    <w:p>
      <w:pPr>
        <w:pStyle w:val="Footnotesection"/>
        <w:rPr>
          <w:ins w:id="225" w:author="Master Repository Process" w:date="2023-04-05T12:15:00Z"/>
        </w:rPr>
      </w:pPr>
      <w:ins w:id="226" w:author="Master Repository Process" w:date="2023-04-05T12:15:00Z">
        <w:r>
          <w:tab/>
          <w:t>[Section 56 inserted: No. 9 of 2023 s. 114.]</w:t>
        </w:r>
      </w:ins>
    </w:p>
    <w:p>
      <w:pPr>
        <w:pStyle w:val="Heading5"/>
        <w:rPr>
          <w:snapToGrid w:val="0"/>
        </w:rPr>
      </w:pPr>
      <w:bookmarkStart w:id="227" w:name="_Toc131583013"/>
      <w:bookmarkStart w:id="228" w:name="_Toc33608097"/>
      <w:r>
        <w:rPr>
          <w:rStyle w:val="CharSectno"/>
        </w:rPr>
        <w:t>57</w:t>
      </w:r>
      <w:r>
        <w:rPr>
          <w:snapToGrid w:val="0"/>
        </w:rPr>
        <w:t>.</w:t>
      </w:r>
      <w:r>
        <w:rPr>
          <w:snapToGrid w:val="0"/>
        </w:rPr>
        <w:tab/>
        <w:t>Offence on boat etc., master guilty of offence as well etc.</w:t>
      </w:r>
      <w:bookmarkEnd w:id="227"/>
      <w:bookmarkEnd w:id="22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t xml:space="preserve">the </w:t>
      </w:r>
      <w:r>
        <w:rPr>
          <w:rStyle w:val="CharDefText"/>
        </w:rPr>
        <w:t>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229" w:name="_Toc131583014"/>
      <w:bookmarkStart w:id="230" w:name="_Toc33608098"/>
      <w:r>
        <w:rPr>
          <w:rStyle w:val="CharSectno"/>
        </w:rPr>
        <w:t>58</w:t>
      </w:r>
      <w:r>
        <w:rPr>
          <w:snapToGrid w:val="0"/>
        </w:rPr>
        <w:t>.</w:t>
      </w:r>
      <w:r>
        <w:rPr>
          <w:snapToGrid w:val="0"/>
        </w:rPr>
        <w:tab/>
        <w:t>False etc. information to inspector etc., offence</w:t>
      </w:r>
      <w:bookmarkEnd w:id="229"/>
      <w:bookmarkEnd w:id="230"/>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 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keepNext/>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231" w:name="_Toc131583015"/>
      <w:bookmarkStart w:id="232" w:name="_Toc33608099"/>
      <w:r>
        <w:rPr>
          <w:rStyle w:val="CharSectno"/>
        </w:rPr>
        <w:t>59</w:t>
      </w:r>
      <w:r>
        <w:rPr>
          <w:snapToGrid w:val="0"/>
        </w:rPr>
        <w:t>.</w:t>
      </w:r>
      <w:r>
        <w:rPr>
          <w:snapToGrid w:val="0"/>
        </w:rPr>
        <w:tab/>
        <w:t>Miscellaneous offences</w:t>
      </w:r>
      <w:bookmarkEnd w:id="231"/>
      <w:bookmarkEnd w:id="232"/>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 or</w:t>
      </w:r>
    </w:p>
    <w:p>
      <w:pPr>
        <w:pStyle w:val="Indenta"/>
        <w:rPr>
          <w:snapToGrid w:val="0"/>
        </w:rPr>
      </w:pPr>
      <w:r>
        <w:rPr>
          <w:snapToGrid w:val="0"/>
        </w:rPr>
        <w:tab/>
        <w:t>(b)</w:t>
      </w:r>
      <w:r>
        <w:rPr>
          <w:snapToGrid w:val="0"/>
        </w:rPr>
        <w:tab/>
        <w:t>obstruct, interfere with or assault an inspector in the exercise of his or her powers under this Act; or</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keepNext/>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233" w:name="_Toc33607918"/>
      <w:bookmarkStart w:id="234" w:name="_Toc33608100"/>
      <w:bookmarkStart w:id="235" w:name="_Toc131513843"/>
      <w:bookmarkStart w:id="236" w:name="_Toc131514114"/>
      <w:bookmarkStart w:id="237" w:name="_Toc131583016"/>
      <w:r>
        <w:rPr>
          <w:rStyle w:val="CharPartNo"/>
        </w:rPr>
        <w:t>Part 9</w:t>
      </w:r>
      <w:r>
        <w:rPr>
          <w:rStyle w:val="CharDivNo"/>
        </w:rPr>
        <w:t> </w:t>
      </w:r>
      <w:r>
        <w:t>—</w:t>
      </w:r>
      <w:r>
        <w:rPr>
          <w:rStyle w:val="CharDivText"/>
        </w:rPr>
        <w:t> </w:t>
      </w:r>
      <w:r>
        <w:rPr>
          <w:rStyle w:val="CharPartText"/>
        </w:rPr>
        <w:t>Miscellaneous</w:t>
      </w:r>
      <w:bookmarkEnd w:id="233"/>
      <w:bookmarkEnd w:id="234"/>
      <w:bookmarkEnd w:id="235"/>
      <w:bookmarkEnd w:id="236"/>
      <w:bookmarkEnd w:id="237"/>
    </w:p>
    <w:p>
      <w:pPr>
        <w:pStyle w:val="Heading5"/>
        <w:rPr>
          <w:snapToGrid w:val="0"/>
        </w:rPr>
      </w:pPr>
      <w:bookmarkStart w:id="238" w:name="_Toc131583017"/>
      <w:bookmarkStart w:id="239" w:name="_Toc33608101"/>
      <w:r>
        <w:rPr>
          <w:rStyle w:val="CharSectno"/>
        </w:rPr>
        <w:t>60</w:t>
      </w:r>
      <w:r>
        <w:rPr>
          <w:snapToGrid w:val="0"/>
        </w:rPr>
        <w:t>.</w:t>
      </w:r>
      <w:r>
        <w:rPr>
          <w:snapToGrid w:val="0"/>
        </w:rPr>
        <w:tab/>
        <w:t>Regulations (Sch. 2)</w:t>
      </w:r>
      <w:bookmarkEnd w:id="238"/>
      <w:bookmarkEnd w:id="23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240" w:name="_Toc131583018"/>
      <w:bookmarkStart w:id="241" w:name="_Toc33608102"/>
      <w:r>
        <w:rPr>
          <w:rStyle w:val="CharSectno"/>
        </w:rPr>
        <w:t>61</w:t>
      </w:r>
      <w:r>
        <w:rPr>
          <w:snapToGrid w:val="0"/>
        </w:rPr>
        <w:t>.</w:t>
      </w:r>
      <w:r>
        <w:rPr>
          <w:snapToGrid w:val="0"/>
        </w:rPr>
        <w:tab/>
        <w:t>Protection from personal liability for Minister and officials</w:t>
      </w:r>
      <w:bookmarkEnd w:id="240"/>
      <w:bookmarkEnd w:id="241"/>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No. 28 of 2006 s. 241.]</w:t>
      </w:r>
    </w:p>
    <w:p>
      <w:pPr>
        <w:pStyle w:val="Heading5"/>
        <w:rPr>
          <w:snapToGrid w:val="0"/>
        </w:rPr>
      </w:pPr>
      <w:bookmarkStart w:id="242" w:name="_Toc131583019"/>
      <w:bookmarkStart w:id="243" w:name="_Toc33608103"/>
      <w:r>
        <w:rPr>
          <w:rStyle w:val="CharSectno"/>
        </w:rPr>
        <w:t>62</w:t>
      </w:r>
      <w:r>
        <w:rPr>
          <w:snapToGrid w:val="0"/>
        </w:rPr>
        <w:t>.</w:t>
      </w:r>
      <w:r>
        <w:rPr>
          <w:snapToGrid w:val="0"/>
        </w:rPr>
        <w:tab/>
        <w:t>Disclosure etc. of information obtained under Act restricted</w:t>
      </w:r>
      <w:bookmarkEnd w:id="242"/>
      <w:bookmarkEnd w:id="243"/>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spacing w:before="60"/>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spacing w:before="60"/>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spacing w:before="60"/>
        <w:rPr>
          <w:snapToGrid w:val="0"/>
        </w:rPr>
      </w:pPr>
      <w:r>
        <w:rPr>
          <w:snapToGrid w:val="0"/>
        </w:rPr>
        <w:tab/>
        <w:t>(a)</w:t>
      </w:r>
      <w:r>
        <w:rPr>
          <w:snapToGrid w:val="0"/>
        </w:rPr>
        <w:tab/>
        <w:t>for the purpose of giving effect to the objects of, and in the performance of a duty under, this Act; or</w:t>
      </w:r>
    </w:p>
    <w:p>
      <w:pPr>
        <w:pStyle w:val="Indenta"/>
        <w:rPr>
          <w:snapToGrid w:val="0"/>
        </w:rPr>
      </w:pPr>
      <w:r>
        <w:rPr>
          <w:snapToGrid w:val="0"/>
        </w:rPr>
        <w:tab/>
        <w:t>(b)</w:t>
      </w:r>
      <w:r>
        <w:rPr>
          <w:snapToGrid w:val="0"/>
        </w:rPr>
        <w:tab/>
        <w:t>with the prior consent in writing of the person to whose activities the information relates; or</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244" w:name="_Toc131583020"/>
      <w:bookmarkStart w:id="245" w:name="_Toc33608104"/>
      <w:r>
        <w:rPr>
          <w:rStyle w:val="CharSectno"/>
        </w:rPr>
        <w:t>62A</w:t>
      </w:r>
      <w:r>
        <w:t>.</w:t>
      </w:r>
      <w:r>
        <w:tab/>
        <w:t>Delegation by CEO</w:t>
      </w:r>
      <w:bookmarkEnd w:id="244"/>
      <w:bookmarkEnd w:id="245"/>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No. 28 of 2006 s. 240.]</w:t>
      </w:r>
    </w:p>
    <w:p>
      <w:pPr>
        <w:pStyle w:val="Heading5"/>
        <w:rPr>
          <w:snapToGrid w:val="0"/>
        </w:rPr>
      </w:pPr>
      <w:bookmarkStart w:id="246" w:name="_Toc131583021"/>
      <w:bookmarkStart w:id="247" w:name="_Toc33608105"/>
      <w:r>
        <w:rPr>
          <w:rStyle w:val="CharSectno"/>
        </w:rPr>
        <w:t>63</w:t>
      </w:r>
      <w:r>
        <w:rPr>
          <w:snapToGrid w:val="0"/>
        </w:rPr>
        <w:t>.</w:t>
      </w:r>
      <w:r>
        <w:rPr>
          <w:snapToGrid w:val="0"/>
        </w:rPr>
        <w:tab/>
      </w:r>
      <w:r>
        <w:rPr>
          <w:i/>
          <w:snapToGrid w:val="0"/>
        </w:rPr>
        <w:t>Pearling Act 1912</w:t>
      </w:r>
      <w:r>
        <w:rPr>
          <w:snapToGrid w:val="0"/>
        </w:rPr>
        <w:t xml:space="preserve"> repealed</w:t>
      </w:r>
      <w:bookmarkEnd w:id="246"/>
      <w:bookmarkEnd w:id="24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248" w:name="_Toc131583022"/>
      <w:bookmarkStart w:id="249" w:name="_Toc33608106"/>
      <w:r>
        <w:rPr>
          <w:rStyle w:val="CharSectno"/>
        </w:rPr>
        <w:t>64</w:t>
      </w:r>
      <w:r>
        <w:rPr>
          <w:snapToGrid w:val="0"/>
        </w:rPr>
        <w:t>.</w:t>
      </w:r>
      <w:r>
        <w:rPr>
          <w:snapToGrid w:val="0"/>
        </w:rPr>
        <w:tab/>
        <w:t>Savings and transitional provisions (Sch. 3)</w:t>
      </w:r>
      <w:bookmarkEnd w:id="248"/>
      <w:bookmarkEnd w:id="249"/>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0" w:name="_Toc33607925"/>
      <w:bookmarkStart w:id="251" w:name="_Toc33608107"/>
      <w:bookmarkStart w:id="252" w:name="_Toc131513850"/>
      <w:bookmarkStart w:id="253" w:name="_Toc131514121"/>
      <w:bookmarkStart w:id="254" w:name="_Toc131583023"/>
      <w:r>
        <w:rPr>
          <w:rStyle w:val="CharSchNo"/>
        </w:rPr>
        <w:t>Schedule 1</w:t>
      </w:r>
      <w:r>
        <w:t> — </w:t>
      </w:r>
      <w:r>
        <w:rPr>
          <w:rStyle w:val="CharSchText"/>
        </w:rPr>
        <w:t>Constitution and proceedings of Committee</w:t>
      </w:r>
      <w:bookmarkEnd w:id="250"/>
      <w:bookmarkEnd w:id="251"/>
      <w:bookmarkEnd w:id="252"/>
      <w:bookmarkEnd w:id="253"/>
      <w:bookmarkEnd w:id="254"/>
    </w:p>
    <w:p>
      <w:pPr>
        <w:pStyle w:val="yShoulderClause"/>
        <w:rPr>
          <w:snapToGrid w:val="0"/>
        </w:rPr>
      </w:pPr>
      <w:r>
        <w:rPr>
          <w:snapToGrid w:val="0"/>
        </w:rPr>
        <w:t>[s. 40]</w:t>
      </w:r>
    </w:p>
    <w:p>
      <w:pPr>
        <w:pStyle w:val="yFootnoteheading"/>
      </w:pPr>
      <w:r>
        <w:tab/>
        <w:t>[Heading amended: No. 19 of 2010 s. 4.]</w:t>
      </w:r>
    </w:p>
    <w:p>
      <w:pPr>
        <w:pStyle w:val="yHeading5"/>
        <w:ind w:left="890" w:hanging="890"/>
        <w:rPr>
          <w:snapToGrid w:val="0"/>
        </w:rPr>
      </w:pPr>
      <w:bookmarkStart w:id="255" w:name="_Toc131583024"/>
      <w:bookmarkStart w:id="256" w:name="_Toc33608108"/>
      <w:r>
        <w:rPr>
          <w:rStyle w:val="CharSClsNo"/>
        </w:rPr>
        <w:t>1</w:t>
      </w:r>
      <w:r>
        <w:rPr>
          <w:snapToGrid w:val="0"/>
        </w:rPr>
        <w:t>.</w:t>
      </w:r>
      <w:r>
        <w:rPr>
          <w:snapToGrid w:val="0"/>
        </w:rPr>
        <w:tab/>
        <w:t>Term of office of member</w:t>
      </w:r>
      <w:bookmarkEnd w:id="255"/>
      <w:bookmarkEnd w:id="256"/>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rPr>
          <w:snapToGrid w:val="0"/>
        </w:rPr>
      </w:pPr>
      <w:bookmarkStart w:id="257" w:name="_Toc131583025"/>
      <w:bookmarkStart w:id="258" w:name="_Toc33608109"/>
      <w:r>
        <w:rPr>
          <w:rStyle w:val="CharSClsNo"/>
        </w:rPr>
        <w:t>2</w:t>
      </w:r>
      <w:r>
        <w:rPr>
          <w:snapToGrid w:val="0"/>
        </w:rPr>
        <w:t>.</w:t>
      </w:r>
      <w:r>
        <w:rPr>
          <w:snapToGrid w:val="0"/>
        </w:rPr>
        <w:tab/>
        <w:t>Meetings, times and places for</w:t>
      </w:r>
      <w:bookmarkEnd w:id="257"/>
      <w:bookmarkEnd w:id="258"/>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rPr>
          <w:snapToGrid w:val="0"/>
        </w:rPr>
      </w:pPr>
      <w:bookmarkStart w:id="259" w:name="_Toc131583026"/>
      <w:bookmarkStart w:id="260" w:name="_Toc33608110"/>
      <w:r>
        <w:rPr>
          <w:rStyle w:val="CharSClsNo"/>
        </w:rPr>
        <w:t>3</w:t>
      </w:r>
      <w:r>
        <w:rPr>
          <w:snapToGrid w:val="0"/>
        </w:rPr>
        <w:t>.</w:t>
      </w:r>
      <w:r>
        <w:rPr>
          <w:snapToGrid w:val="0"/>
        </w:rPr>
        <w:tab/>
        <w:t>Advisors and subcommittees</w:t>
      </w:r>
      <w:bookmarkEnd w:id="259"/>
      <w:bookmarkEnd w:id="260"/>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 or</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rPr>
          <w:snapToGrid w:val="0"/>
        </w:rPr>
      </w:pPr>
      <w:bookmarkStart w:id="261" w:name="_Toc131583027"/>
      <w:bookmarkStart w:id="262" w:name="_Toc33608111"/>
      <w:r>
        <w:rPr>
          <w:rStyle w:val="CharSClsNo"/>
        </w:rPr>
        <w:t>4</w:t>
      </w:r>
      <w:r>
        <w:rPr>
          <w:snapToGrid w:val="0"/>
        </w:rPr>
        <w:t>.</w:t>
      </w:r>
      <w:r>
        <w:rPr>
          <w:snapToGrid w:val="0"/>
        </w:rPr>
        <w:tab/>
        <w:t>Procedure of Committee and subcommittee</w:t>
      </w:r>
      <w:bookmarkEnd w:id="261"/>
      <w:bookmarkEnd w:id="262"/>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64" w:name="_Toc33607930"/>
      <w:bookmarkStart w:id="265" w:name="_Toc33608112"/>
      <w:bookmarkStart w:id="266" w:name="_Toc131513855"/>
      <w:bookmarkStart w:id="267" w:name="_Toc131514126"/>
      <w:bookmarkStart w:id="268" w:name="_Toc131583028"/>
      <w:r>
        <w:rPr>
          <w:rStyle w:val="CharSchNo"/>
        </w:rPr>
        <w:t>Schedule 2</w:t>
      </w:r>
      <w:r>
        <w:t> — </w:t>
      </w:r>
      <w:r>
        <w:rPr>
          <w:rStyle w:val="CharSchText"/>
        </w:rPr>
        <w:t>Matters with respect to which regulations may be made</w:t>
      </w:r>
      <w:bookmarkEnd w:id="264"/>
      <w:bookmarkEnd w:id="265"/>
      <w:bookmarkEnd w:id="266"/>
      <w:bookmarkEnd w:id="267"/>
      <w:bookmarkEnd w:id="268"/>
    </w:p>
    <w:p>
      <w:pPr>
        <w:pStyle w:val="yShoulderClause"/>
        <w:spacing w:before="0"/>
        <w:rPr>
          <w:snapToGrid w:val="0"/>
        </w:rPr>
      </w:pPr>
      <w:r>
        <w:rPr>
          <w:snapToGrid w:val="0"/>
        </w:rPr>
        <w:t>[s. 60]</w:t>
      </w:r>
    </w:p>
    <w:p>
      <w:pPr>
        <w:pStyle w:val="yFootnoteheading"/>
      </w:pPr>
      <w:r>
        <w:tab/>
        <w:t>[Heading amended: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spacing w:before="80"/>
        <w:ind w:left="1418" w:hanging="1418"/>
        <w:rPr>
          <w:snapToGrid w:val="0"/>
        </w:rPr>
      </w:pPr>
      <w:r>
        <w:rPr>
          <w:snapToGrid w:val="0"/>
        </w:rPr>
        <w:tab/>
        <w:t>(a)</w:t>
      </w:r>
      <w:r>
        <w:rPr>
          <w:snapToGrid w:val="0"/>
        </w:rPr>
        <w:tab/>
        <w:t>differential and periodic fees; and</w:t>
      </w:r>
    </w:p>
    <w:p>
      <w:pPr>
        <w:pStyle w:val="ySubsection"/>
        <w:tabs>
          <w:tab w:val="clear" w:pos="595"/>
          <w:tab w:val="clear" w:pos="879"/>
          <w:tab w:val="left" w:pos="851"/>
          <w:tab w:val="left" w:pos="1418"/>
        </w:tabs>
        <w:spacing w:before="80"/>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spacing w:before="80"/>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No. 55 of 1998 s. 6; No. 55 of 2004 s. 908.]</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269" w:name="_Toc33607931"/>
      <w:bookmarkStart w:id="270" w:name="_Toc33608113"/>
      <w:bookmarkStart w:id="271" w:name="_Toc131513856"/>
      <w:bookmarkStart w:id="272" w:name="_Toc131514127"/>
      <w:bookmarkStart w:id="273" w:name="_Toc131583029"/>
      <w:r>
        <w:rPr>
          <w:rStyle w:val="CharSchNo"/>
        </w:rPr>
        <w:t>Schedule 3</w:t>
      </w:r>
      <w:r>
        <w:t> — </w:t>
      </w:r>
      <w:r>
        <w:rPr>
          <w:rStyle w:val="CharSchText"/>
        </w:rPr>
        <w:t>Savings and transitional provisions</w:t>
      </w:r>
      <w:bookmarkEnd w:id="269"/>
      <w:bookmarkEnd w:id="270"/>
      <w:bookmarkEnd w:id="271"/>
      <w:bookmarkEnd w:id="272"/>
      <w:bookmarkEnd w:id="273"/>
    </w:p>
    <w:p>
      <w:pPr>
        <w:pStyle w:val="yShoulderClause"/>
        <w:rPr>
          <w:snapToGrid w:val="0"/>
        </w:rPr>
      </w:pPr>
      <w:r>
        <w:rPr>
          <w:snapToGrid w:val="0"/>
        </w:rPr>
        <w:t>[s. 64]</w:t>
      </w:r>
    </w:p>
    <w:p>
      <w:pPr>
        <w:pStyle w:val="yFootnoteheading"/>
      </w:pPr>
      <w:r>
        <w:tab/>
        <w:t>[Heading amended: No. 19 of 2010 s. 4.]</w:t>
      </w:r>
    </w:p>
    <w:p>
      <w:pPr>
        <w:pStyle w:val="yHeading5"/>
        <w:ind w:left="890" w:hanging="890"/>
        <w:rPr>
          <w:snapToGrid w:val="0"/>
        </w:rPr>
      </w:pPr>
      <w:bookmarkStart w:id="274" w:name="_Toc131583030"/>
      <w:bookmarkStart w:id="275" w:name="_Toc33608114"/>
      <w:r>
        <w:rPr>
          <w:rStyle w:val="CharSClsNo"/>
        </w:rPr>
        <w:t>1</w:t>
      </w:r>
      <w:r>
        <w:rPr>
          <w:snapToGrid w:val="0"/>
        </w:rPr>
        <w:t>.</w:t>
      </w:r>
      <w:r>
        <w:rPr>
          <w:snapToGrid w:val="0"/>
        </w:rPr>
        <w:tab/>
        <w:t>Terms used</w:t>
      </w:r>
      <w:bookmarkEnd w:id="274"/>
      <w:bookmarkEnd w:id="275"/>
    </w:p>
    <w:p>
      <w:pPr>
        <w:pStyle w:val="ySubsection"/>
        <w:spacing w:before="140"/>
        <w:rPr>
          <w:snapToGrid w:val="0"/>
        </w:rPr>
      </w:pPr>
      <w:r>
        <w:rPr>
          <w:snapToGrid w:val="0"/>
        </w:rPr>
        <w:tab/>
      </w:r>
      <w:r>
        <w:rPr>
          <w:snapToGrid w:val="0"/>
        </w:rPr>
        <w:tab/>
        <w:t>In this Schedule —</w:t>
      </w:r>
    </w:p>
    <w:p>
      <w:pPr>
        <w:pStyle w:val="yDefstart"/>
      </w:pPr>
      <w:r>
        <w:tab/>
      </w:r>
      <w:r>
        <w:rPr>
          <w:rStyle w:val="CharDefText"/>
        </w:rPr>
        <w:t>repeal time</w:t>
      </w:r>
      <w:r>
        <w:t xml:space="preserve"> means the commencement of section 63;</w:t>
      </w:r>
    </w:p>
    <w:p>
      <w:pPr>
        <w:pStyle w:val="yDefstart"/>
      </w:pPr>
      <w:r>
        <w:tab/>
      </w:r>
      <w:r>
        <w:rPr>
          <w:rStyle w:val="CharDefText"/>
        </w:rPr>
        <w:t>repealed Act</w:t>
      </w:r>
      <w:r>
        <w:t xml:space="preserve"> means the Act repealed by section 63.</w:t>
      </w:r>
    </w:p>
    <w:p>
      <w:pPr>
        <w:pStyle w:val="yHeading5"/>
        <w:ind w:left="890" w:hanging="890"/>
        <w:rPr>
          <w:snapToGrid w:val="0"/>
        </w:rPr>
      </w:pPr>
      <w:bookmarkStart w:id="276" w:name="_Toc131583031"/>
      <w:bookmarkStart w:id="277" w:name="_Toc33608115"/>
      <w:r>
        <w:rPr>
          <w:rStyle w:val="CharSClsNo"/>
        </w:rPr>
        <w:t>2</w:t>
      </w:r>
      <w:r>
        <w:rPr>
          <w:snapToGrid w:val="0"/>
        </w:rPr>
        <w:t>.</w:t>
      </w:r>
      <w:r>
        <w:rPr>
          <w:snapToGrid w:val="0"/>
        </w:rPr>
        <w:tab/>
        <w:t>Ship licences in force at 1 Jan 1991</w:t>
      </w:r>
      <w:bookmarkEnd w:id="276"/>
      <w:bookmarkEnd w:id="277"/>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rPr>
          <w:snapToGrid w:val="0"/>
        </w:rPr>
      </w:pPr>
      <w:bookmarkStart w:id="278" w:name="_Toc131583032"/>
      <w:bookmarkStart w:id="279" w:name="_Toc33608116"/>
      <w:r>
        <w:rPr>
          <w:rStyle w:val="CharSClsNo"/>
        </w:rPr>
        <w:t>3</w:t>
      </w:r>
      <w:r>
        <w:rPr>
          <w:snapToGrid w:val="0"/>
        </w:rPr>
        <w:t>.</w:t>
      </w:r>
      <w:r>
        <w:rPr>
          <w:snapToGrid w:val="0"/>
        </w:rPr>
        <w:tab/>
        <w:t>Diver’s licences in force at 1 Jan 1991</w:t>
      </w:r>
      <w:bookmarkEnd w:id="278"/>
      <w:bookmarkEnd w:id="279"/>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rPr>
          <w:snapToGrid w:val="0"/>
        </w:rPr>
      </w:pPr>
      <w:bookmarkStart w:id="280" w:name="_Toc131583033"/>
      <w:bookmarkStart w:id="281" w:name="_Toc33608117"/>
      <w:r>
        <w:rPr>
          <w:rStyle w:val="CharSClsNo"/>
        </w:rPr>
        <w:t>4</w:t>
      </w:r>
      <w:r>
        <w:rPr>
          <w:snapToGrid w:val="0"/>
        </w:rPr>
        <w:t>.</w:t>
      </w:r>
      <w:r>
        <w:rPr>
          <w:snapToGrid w:val="0"/>
        </w:rPr>
        <w:tab/>
        <w:t>Exclusive licences in force at 1 Jan 1991</w:t>
      </w:r>
      <w:bookmarkEnd w:id="280"/>
      <w:bookmarkEnd w:id="281"/>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No. 28 of 2006 s. 241.]</w:t>
      </w:r>
    </w:p>
    <w:p>
      <w:pPr>
        <w:pStyle w:val="yHeading5"/>
        <w:ind w:left="890" w:hanging="890"/>
        <w:rPr>
          <w:snapToGrid w:val="0"/>
        </w:rPr>
      </w:pPr>
      <w:bookmarkStart w:id="282" w:name="_Toc131583034"/>
      <w:bookmarkStart w:id="283" w:name="_Toc33608118"/>
      <w:r>
        <w:rPr>
          <w:rStyle w:val="CharSClsNo"/>
        </w:rPr>
        <w:t>5</w:t>
      </w:r>
      <w:r>
        <w:rPr>
          <w:snapToGrid w:val="0"/>
        </w:rPr>
        <w:t>.</w:t>
      </w:r>
      <w:r>
        <w:rPr>
          <w:snapToGrid w:val="0"/>
        </w:rPr>
        <w:tab/>
        <w:t>Pearling licences and hatchery licences held at 1 Jan 1991, renewing</w:t>
      </w:r>
      <w:bookmarkEnd w:id="282"/>
      <w:bookmarkEnd w:id="283"/>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No. 28 of 2006 s. 241.]</w:t>
      </w:r>
    </w:p>
    <w:p>
      <w:pPr>
        <w:pStyle w:val="yHeading5"/>
        <w:ind w:left="890" w:hanging="890"/>
        <w:rPr>
          <w:snapToGrid w:val="0"/>
        </w:rPr>
      </w:pPr>
      <w:bookmarkStart w:id="284" w:name="_Toc131583035"/>
      <w:bookmarkStart w:id="285" w:name="_Toc33608119"/>
      <w:r>
        <w:rPr>
          <w:rStyle w:val="CharSClsNo"/>
        </w:rPr>
        <w:t>6</w:t>
      </w:r>
      <w:r>
        <w:rPr>
          <w:snapToGrid w:val="0"/>
        </w:rPr>
        <w:t>.</w:t>
      </w:r>
      <w:r>
        <w:rPr>
          <w:snapToGrid w:val="0"/>
        </w:rPr>
        <w:tab/>
        <w:t>Quota imposed before arrangement</w:t>
      </w:r>
      <w:bookmarkEnd w:id="284"/>
      <w:bookmarkEnd w:id="285"/>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 </w:t>
      </w:r>
      <w:r>
        <w:rPr>
          <w:rFonts w:ascii="Times" w:hAnsi="Times"/>
          <w:snapToGrid w:val="0"/>
          <w:vertAlign w:val="superscript"/>
        </w:rPr>
        <w:t>2</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1</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86" w:name="_Toc33607938"/>
      <w:bookmarkStart w:id="287" w:name="_Toc33608120"/>
      <w:bookmarkStart w:id="288" w:name="_Toc131513863"/>
      <w:bookmarkStart w:id="289" w:name="_Toc131514134"/>
      <w:bookmarkStart w:id="290" w:name="_Toc131583036"/>
      <w:r>
        <w:t>Notes</w:t>
      </w:r>
      <w:bookmarkEnd w:id="286"/>
      <w:bookmarkEnd w:id="287"/>
      <w:bookmarkEnd w:id="288"/>
      <w:bookmarkEnd w:id="289"/>
      <w:bookmarkEnd w:id="290"/>
    </w:p>
    <w:p>
      <w:pPr>
        <w:pStyle w:val="nStatement"/>
      </w:pPr>
      <w:r>
        <w:t xml:space="preserve">This is a compilation of the </w:t>
      </w:r>
      <w:r>
        <w:rPr>
          <w:i/>
          <w:noProof/>
        </w:rPr>
        <w:t>Pearling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1" w:name="_Toc131583037"/>
      <w:bookmarkStart w:id="292" w:name="_Toc33608121"/>
      <w:r>
        <w:t>Compilation table</w:t>
      </w:r>
      <w:bookmarkEnd w:id="291"/>
      <w:bookmarkEnd w:id="292"/>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8"/>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Pearling Act 1990</w:t>
            </w:r>
          </w:p>
        </w:tc>
        <w:tc>
          <w:tcPr>
            <w:tcW w:w="1135" w:type="dxa"/>
          </w:tcPr>
          <w:p>
            <w:pPr>
              <w:pStyle w:val="nTable"/>
              <w:spacing w:after="40"/>
            </w:pPr>
            <w:r>
              <w:t>88 of 1990</w:t>
            </w:r>
          </w:p>
        </w:tc>
        <w:tc>
          <w:tcPr>
            <w:tcW w:w="1135" w:type="dxa"/>
          </w:tcPr>
          <w:p>
            <w:pPr>
              <w:pStyle w:val="nTable"/>
              <w:spacing w:after="40"/>
            </w:pPr>
            <w:r>
              <w:t>17 Dec 1990</w:t>
            </w:r>
          </w:p>
        </w:tc>
        <w:tc>
          <w:tcPr>
            <w:tcW w:w="2555" w:type="dxa"/>
          </w:tcPr>
          <w:p>
            <w:pPr>
              <w:pStyle w:val="nTable"/>
              <w:spacing w:after="40"/>
            </w:pPr>
            <w:r>
              <w:t>s. 1 and 2: 17 Dec 1990;</w:t>
            </w:r>
            <w:r>
              <w:br/>
              <w:t xml:space="preserve">Act other than s. 1 and 2: 1 Jan 1991 (see s. 2 and </w:t>
            </w:r>
            <w:r>
              <w:rPr>
                <w:i/>
              </w:rPr>
              <w:t>Gazette</w:t>
            </w:r>
            <w:r>
              <w:t xml:space="preserve"> 21 Dec 1990 p. 6199)</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5" w:type="dxa"/>
          </w:tcPr>
          <w:p>
            <w:pPr>
              <w:pStyle w:val="nTable"/>
              <w:spacing w:after="40"/>
            </w:pPr>
            <w:r>
              <w:t>1 Jul 1993 (see s. 2(1))</w:t>
            </w:r>
          </w:p>
        </w:tc>
      </w:tr>
      <w:tr>
        <w:trPr>
          <w:cantSplit/>
        </w:trPr>
        <w:tc>
          <w:tcPr>
            <w:tcW w:w="2269" w:type="dxa"/>
          </w:tcPr>
          <w:p>
            <w:pPr>
              <w:pStyle w:val="nTable"/>
              <w:spacing w:after="40"/>
              <w:ind w:right="113"/>
            </w:pPr>
            <w:r>
              <w:rPr>
                <w:i/>
              </w:rPr>
              <w:t>Land (Titles and Traditional Usage) Act 1993</w:t>
            </w:r>
            <w:r>
              <w:t xml:space="preserve"> s. 45</w:t>
            </w:r>
          </w:p>
        </w:tc>
        <w:tc>
          <w:tcPr>
            <w:tcW w:w="1135" w:type="dxa"/>
          </w:tcPr>
          <w:p>
            <w:pPr>
              <w:pStyle w:val="nTable"/>
              <w:spacing w:after="40"/>
            </w:pPr>
            <w:r>
              <w:t>21 of 1993</w:t>
            </w:r>
          </w:p>
        </w:tc>
        <w:tc>
          <w:tcPr>
            <w:tcW w:w="1135" w:type="dxa"/>
          </w:tcPr>
          <w:p>
            <w:pPr>
              <w:pStyle w:val="nTable"/>
              <w:spacing w:after="40"/>
            </w:pPr>
            <w:r>
              <w:t>2 Dec 1993</w:t>
            </w:r>
          </w:p>
        </w:tc>
        <w:tc>
          <w:tcPr>
            <w:tcW w:w="2555" w:type="dxa"/>
          </w:tcPr>
          <w:p>
            <w:pPr>
              <w:pStyle w:val="nTable"/>
              <w:spacing w:after="40"/>
            </w:pPr>
            <w:r>
              <w:t>2 Dec 1993 (see s. 2)</w:t>
            </w:r>
          </w:p>
        </w:tc>
      </w:tr>
      <w:tr>
        <w:trPr>
          <w:cantSplit/>
        </w:trPr>
        <w:tc>
          <w:tcPr>
            <w:tcW w:w="2269" w:type="dxa"/>
          </w:tcPr>
          <w:p>
            <w:pPr>
              <w:pStyle w:val="nTable"/>
              <w:spacing w:after="40"/>
              <w:ind w:right="113"/>
              <w:rPr>
                <w:vertAlign w:val="superscript"/>
              </w:rPr>
            </w:pPr>
            <w:r>
              <w:rPr>
                <w:i/>
              </w:rPr>
              <w:t>Pearling Amendment Act 1994</w:t>
            </w:r>
            <w:r>
              <w:t> </w:t>
            </w:r>
            <w:r>
              <w:rPr>
                <w:vertAlign w:val="superscript"/>
              </w:rPr>
              <w:t>3</w:t>
            </w:r>
          </w:p>
        </w:tc>
        <w:tc>
          <w:tcPr>
            <w:tcW w:w="1135" w:type="dxa"/>
          </w:tcPr>
          <w:p>
            <w:pPr>
              <w:pStyle w:val="nTable"/>
              <w:spacing w:after="40"/>
            </w:pPr>
            <w:r>
              <w:t>23 of 1994</w:t>
            </w:r>
          </w:p>
        </w:tc>
        <w:tc>
          <w:tcPr>
            <w:tcW w:w="1135" w:type="dxa"/>
          </w:tcPr>
          <w:p>
            <w:pPr>
              <w:pStyle w:val="nTable"/>
              <w:spacing w:after="40"/>
            </w:pPr>
            <w:r>
              <w:t>22 Jun 1994</w:t>
            </w:r>
          </w:p>
        </w:tc>
        <w:tc>
          <w:tcPr>
            <w:tcW w:w="2555" w:type="dxa"/>
          </w:tcPr>
          <w:p>
            <w:pPr>
              <w:pStyle w:val="nTable"/>
              <w:spacing w:after="40"/>
            </w:pPr>
            <w:r>
              <w:t>s. 1 and 2: 22 Jun 1994;</w:t>
            </w:r>
            <w:r>
              <w:br/>
              <w:t xml:space="preserve">Act other than s. 1 and 2: 3 Feb 1995 (see s. 2 and </w:t>
            </w:r>
            <w:r>
              <w:rPr>
                <w:i/>
              </w:rPr>
              <w:t>Gazette</w:t>
            </w:r>
            <w:r>
              <w:t xml:space="preserve"> 20 Jan 1995 p. 203)</w:t>
            </w:r>
          </w:p>
        </w:tc>
      </w:tr>
      <w:tr>
        <w:trPr>
          <w:cantSplit/>
        </w:trPr>
        <w:tc>
          <w:tcPr>
            <w:tcW w:w="2269" w:type="dxa"/>
          </w:tcPr>
          <w:p>
            <w:pPr>
              <w:pStyle w:val="nTable"/>
              <w:spacing w:after="40"/>
              <w:ind w:right="113"/>
            </w:pPr>
            <w:r>
              <w:rPr>
                <w:i/>
              </w:rPr>
              <w:t>Acts Amendment and Repeal (Native Title) Act 1995</w:t>
            </w:r>
            <w:r>
              <w:t xml:space="preserve"> Pt. 10</w:t>
            </w:r>
          </w:p>
        </w:tc>
        <w:tc>
          <w:tcPr>
            <w:tcW w:w="1135" w:type="dxa"/>
          </w:tcPr>
          <w:p>
            <w:pPr>
              <w:pStyle w:val="nTable"/>
              <w:spacing w:after="40"/>
            </w:pPr>
            <w:r>
              <w:t>52 of 1995</w:t>
            </w:r>
          </w:p>
        </w:tc>
        <w:tc>
          <w:tcPr>
            <w:tcW w:w="1135" w:type="dxa"/>
          </w:tcPr>
          <w:p>
            <w:pPr>
              <w:pStyle w:val="nTable"/>
              <w:spacing w:after="40"/>
            </w:pPr>
            <w:r>
              <w:t>24 Nov 1995</w:t>
            </w:r>
          </w:p>
        </w:tc>
        <w:tc>
          <w:tcPr>
            <w:tcW w:w="2555"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Sentencing (Consequential Provisions) Act 1995</w:t>
            </w:r>
            <w:r>
              <w:t xml:space="preserve"> Pt. 62</w:t>
            </w:r>
          </w:p>
        </w:tc>
        <w:tc>
          <w:tcPr>
            <w:tcW w:w="1135" w:type="dxa"/>
          </w:tcPr>
          <w:p>
            <w:pPr>
              <w:pStyle w:val="nTable"/>
              <w:spacing w:after="40"/>
            </w:pPr>
            <w:r>
              <w:t>78 of 1995</w:t>
            </w:r>
          </w:p>
        </w:tc>
        <w:tc>
          <w:tcPr>
            <w:tcW w:w="1135" w:type="dxa"/>
          </w:tcPr>
          <w:p>
            <w:pPr>
              <w:pStyle w:val="nTable"/>
              <w:spacing w:after="40"/>
            </w:pPr>
            <w:r>
              <w:t>16 Jan 1996</w:t>
            </w:r>
          </w:p>
        </w:tc>
        <w:tc>
          <w:tcPr>
            <w:tcW w:w="2555" w:type="dxa"/>
          </w:tcPr>
          <w:p>
            <w:pPr>
              <w:pStyle w:val="nTable"/>
              <w:spacing w:after="40"/>
            </w:pPr>
            <w:r>
              <w:t xml:space="preserve">4 Nov 1996 (see s. 2(1) and </w:t>
            </w:r>
            <w:r>
              <w:rPr>
                <w:i/>
              </w:rPr>
              <w:t>Gazette</w:t>
            </w:r>
            <w:r>
              <w:t xml:space="preserve"> 25 Oct 1996 p. 5632)</w:t>
            </w:r>
          </w:p>
        </w:tc>
      </w:tr>
      <w:tr>
        <w:trPr>
          <w:cantSplit/>
        </w:trPr>
        <w:tc>
          <w:tcPr>
            <w:tcW w:w="2269"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5" w:type="dxa"/>
          </w:tcPr>
          <w:p>
            <w:pPr>
              <w:pStyle w:val="nTable"/>
              <w:spacing w:after="40"/>
            </w:pPr>
            <w:r>
              <w:t>25 Oct 1996 (see s. 2(1))</w:t>
            </w:r>
          </w:p>
        </w:tc>
      </w:tr>
      <w:tr>
        <w:trPr>
          <w:cantSplit/>
        </w:trPr>
        <w:tc>
          <w:tcPr>
            <w:tcW w:w="2269" w:type="dxa"/>
          </w:tcPr>
          <w:p>
            <w:pPr>
              <w:pStyle w:val="nTable"/>
              <w:spacing w:after="40"/>
              <w:ind w:right="113"/>
            </w:pPr>
            <w:r>
              <w:rPr>
                <w:i/>
              </w:rPr>
              <w:t>Acts Amendment (Marine Reserves) Act 1997</w:t>
            </w:r>
            <w:r>
              <w:t xml:space="preserve"> Pt. 7</w:t>
            </w:r>
          </w:p>
        </w:tc>
        <w:tc>
          <w:tcPr>
            <w:tcW w:w="1135" w:type="dxa"/>
          </w:tcPr>
          <w:p>
            <w:pPr>
              <w:pStyle w:val="nTable"/>
              <w:spacing w:after="40"/>
            </w:pPr>
            <w:r>
              <w:t>5 of 1997</w:t>
            </w:r>
          </w:p>
        </w:tc>
        <w:tc>
          <w:tcPr>
            <w:tcW w:w="1135" w:type="dxa"/>
          </w:tcPr>
          <w:p>
            <w:pPr>
              <w:pStyle w:val="nTable"/>
              <w:spacing w:after="40"/>
            </w:pPr>
            <w:r>
              <w:t>10 Jun 1997</w:t>
            </w:r>
          </w:p>
        </w:tc>
        <w:tc>
          <w:tcPr>
            <w:tcW w:w="2555" w:type="dxa"/>
          </w:tcPr>
          <w:p>
            <w:pPr>
              <w:pStyle w:val="nTable"/>
              <w:spacing w:after="40"/>
            </w:pPr>
            <w:r>
              <w:t xml:space="preserve">29 Aug 1997 (see s. 2 and </w:t>
            </w:r>
            <w:r>
              <w:rPr>
                <w:i/>
              </w:rPr>
              <w:t>Gazette</w:t>
            </w:r>
            <w:r>
              <w:t xml:space="preserve"> 29 Aug 1997 p. 4867)</w:t>
            </w:r>
          </w:p>
        </w:tc>
      </w:tr>
      <w:tr>
        <w:trPr>
          <w:cantSplit/>
        </w:trPr>
        <w:tc>
          <w:tcPr>
            <w:tcW w:w="2269" w:type="dxa"/>
          </w:tcPr>
          <w:p>
            <w:pPr>
              <w:pStyle w:val="nTable"/>
              <w:spacing w:after="40"/>
              <w:ind w:right="113"/>
              <w:rPr>
                <w:i/>
              </w:rPr>
            </w:pPr>
            <w:r>
              <w:rPr>
                <w:i/>
              </w:rPr>
              <w:t>Pearling Amendment Act 1998</w:t>
            </w:r>
          </w:p>
        </w:tc>
        <w:tc>
          <w:tcPr>
            <w:tcW w:w="1135" w:type="dxa"/>
          </w:tcPr>
          <w:p>
            <w:pPr>
              <w:pStyle w:val="nTable"/>
              <w:spacing w:after="40"/>
            </w:pPr>
            <w:r>
              <w:t>55 of 1998</w:t>
            </w:r>
          </w:p>
        </w:tc>
        <w:tc>
          <w:tcPr>
            <w:tcW w:w="1135" w:type="dxa"/>
          </w:tcPr>
          <w:p>
            <w:pPr>
              <w:pStyle w:val="nTable"/>
              <w:spacing w:after="40"/>
            </w:pPr>
            <w:r>
              <w:t>14 Dec 1998</w:t>
            </w:r>
          </w:p>
        </w:tc>
        <w:tc>
          <w:tcPr>
            <w:tcW w:w="2555" w:type="dxa"/>
          </w:tcPr>
          <w:p>
            <w:pPr>
              <w:pStyle w:val="nTable"/>
              <w:spacing w:after="40"/>
            </w:pPr>
            <w:r>
              <w:t>14 Dec 1998 (see s. 2)</w:t>
            </w:r>
          </w:p>
        </w:tc>
      </w:tr>
      <w:tr>
        <w:trPr>
          <w:cantSplit/>
        </w:trPr>
        <w:tc>
          <w:tcPr>
            <w:tcW w:w="7094" w:type="dxa"/>
            <w:gridSpan w:val="4"/>
          </w:tcPr>
          <w:p>
            <w:pPr>
              <w:pStyle w:val="nTable"/>
              <w:spacing w:after="40"/>
            </w:pPr>
            <w:r>
              <w:rPr>
                <w:b/>
              </w:rPr>
              <w:t xml:space="preserve">Reprint of the </w:t>
            </w:r>
            <w:r>
              <w:rPr>
                <w:b/>
                <w:i/>
              </w:rPr>
              <w:t>Pearling Act 1990</w:t>
            </w:r>
            <w:r>
              <w:rPr>
                <w:b/>
              </w:rPr>
              <w:t xml:space="preserve"> as at 3 Nov 2000</w:t>
            </w:r>
            <w:r>
              <w:t xml:space="preserve"> (includes amendments listed above)</w:t>
            </w:r>
          </w:p>
        </w:tc>
      </w:tr>
      <w:tr>
        <w:trPr>
          <w:cantSplit/>
        </w:trPr>
        <w:tc>
          <w:tcPr>
            <w:tcW w:w="2269" w:type="dxa"/>
          </w:tcPr>
          <w:p>
            <w:pPr>
              <w:pStyle w:val="nTable"/>
              <w:spacing w:after="40"/>
              <w:ind w:right="113"/>
            </w:pPr>
            <w:r>
              <w:rPr>
                <w:i/>
              </w:rPr>
              <w:t>Acts Amendment (Australian Datum) Act 2000</w:t>
            </w:r>
            <w:r>
              <w:t xml:space="preserve"> s. 6</w:t>
            </w:r>
          </w:p>
        </w:tc>
        <w:tc>
          <w:tcPr>
            <w:tcW w:w="1135" w:type="dxa"/>
          </w:tcPr>
          <w:p>
            <w:pPr>
              <w:pStyle w:val="nTable"/>
              <w:spacing w:after="40"/>
            </w:pPr>
            <w:r>
              <w:t>54 of 2000</w:t>
            </w:r>
          </w:p>
        </w:tc>
        <w:tc>
          <w:tcPr>
            <w:tcW w:w="1135" w:type="dxa"/>
          </w:tcPr>
          <w:p>
            <w:pPr>
              <w:pStyle w:val="nTable"/>
              <w:spacing w:after="40"/>
            </w:pPr>
            <w:r>
              <w:t>28 Nov 2000</w:t>
            </w:r>
          </w:p>
        </w:tc>
        <w:tc>
          <w:tcPr>
            <w:tcW w:w="2555" w:type="dxa"/>
          </w:tcPr>
          <w:p>
            <w:pPr>
              <w:pStyle w:val="nTable"/>
              <w:spacing w:after="40"/>
            </w:pPr>
            <w:r>
              <w:t xml:space="preserve">8 Nov 2003 (see s. 2 and </w:t>
            </w:r>
            <w:r>
              <w:rPr>
                <w:i/>
              </w:rPr>
              <w:t>Gazette</w:t>
            </w:r>
            <w:r>
              <w:t xml:space="preserve"> 2 Sep 2003 p. 3923)</w:t>
            </w:r>
          </w:p>
        </w:tc>
      </w:tr>
      <w:tr>
        <w:trPr>
          <w:cantSplit/>
        </w:trPr>
        <w:tc>
          <w:tcPr>
            <w:tcW w:w="2269" w:type="dxa"/>
          </w:tcPr>
          <w:p>
            <w:pPr>
              <w:pStyle w:val="nTable"/>
              <w:spacing w:after="40"/>
              <w:ind w:right="113"/>
              <w:rPr>
                <w:i/>
                <w:vertAlign w:val="superscript"/>
              </w:rPr>
            </w:pPr>
            <w:r>
              <w:rPr>
                <w:i/>
              </w:rPr>
              <w:t xml:space="preserve">State Administrative Tribunal (Conferral of Jurisdiction) Amendment and Repeal Act 2004 </w:t>
            </w:r>
            <w:r>
              <w:t>Pt. 2 Div. 95</w:t>
            </w:r>
            <w:r>
              <w:rPr>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5" w:type="dxa"/>
          </w:tcPr>
          <w:p>
            <w:pPr>
              <w:pStyle w:val="nTable"/>
              <w:spacing w:after="40"/>
            </w:pPr>
            <w:r>
              <w:t xml:space="preserve">1 Jan 2005 (see s. 2 and </w:t>
            </w:r>
            <w:r>
              <w:rPr>
                <w:i/>
              </w:rPr>
              <w:t>Gazette</w:t>
            </w:r>
            <w:r>
              <w:t xml:space="preserve"> 31 Dec 2004 p. 7130)</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5"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left="-28"/>
              <w:rPr>
                <w:snapToGrid w:val="0"/>
              </w:rPr>
            </w:pPr>
            <w:r>
              <w:rPr>
                <w:i/>
                <w:snapToGrid w:val="0"/>
              </w:rPr>
              <w:t>Machinery of Government (Miscellaneous Amendments) Act 2006</w:t>
            </w:r>
            <w:r>
              <w:rPr>
                <w:snapToGrid w:val="0"/>
              </w:rPr>
              <w:t xml:space="preserve"> Pt. 8 Div. 4</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5" w:type="dxa"/>
          </w:tcPr>
          <w:p>
            <w:pPr>
              <w:pStyle w:val="nTable"/>
              <w:spacing w:after="40"/>
            </w:pPr>
            <w:r>
              <w:t xml:space="preserve">1 Jul 2006 (see s. 2 and </w:t>
            </w:r>
            <w:r>
              <w:rPr>
                <w:i/>
              </w:rPr>
              <w:t>Gazette</w:t>
            </w:r>
            <w:r>
              <w:t xml:space="preserve"> 27 Jun 2006 p. 2347)</w:t>
            </w:r>
          </w:p>
        </w:tc>
      </w:tr>
      <w:tr>
        <w:trPr>
          <w:cantSplit/>
        </w:trPr>
        <w:tc>
          <w:tcPr>
            <w:tcW w:w="7094" w:type="dxa"/>
            <w:gridSpan w:val="4"/>
          </w:tcPr>
          <w:p>
            <w:pPr>
              <w:pStyle w:val="nTable"/>
              <w:spacing w:after="40"/>
            </w:pPr>
            <w:r>
              <w:rPr>
                <w:b/>
              </w:rPr>
              <w:t xml:space="preserve">Reprint 2: The </w:t>
            </w:r>
            <w:r>
              <w:rPr>
                <w:b/>
                <w:i/>
              </w:rPr>
              <w:t>Pearling Act 1990</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120</w:t>
            </w:r>
          </w:p>
        </w:tc>
        <w:tc>
          <w:tcPr>
            <w:tcW w:w="1135"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5"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7 Div. 2</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5"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4" w:type="dxa"/>
            <w:gridSpan w:val="4"/>
            <w:shd w:val="clear" w:color="auto" w:fill="auto"/>
          </w:tcPr>
          <w:p>
            <w:pPr>
              <w:pStyle w:val="nTable"/>
              <w:spacing w:after="40"/>
              <w:rPr>
                <w:snapToGrid w:val="0"/>
              </w:rPr>
            </w:pPr>
            <w:r>
              <w:rPr>
                <w:b/>
              </w:rPr>
              <w:t xml:space="preserve">Reprint 3: The </w:t>
            </w:r>
            <w:r>
              <w:rPr>
                <w:b/>
                <w:i/>
              </w:rPr>
              <w:t>Pearling Act 1990</w:t>
            </w:r>
            <w:r>
              <w:rPr>
                <w:b/>
              </w:rPr>
              <w:t xml:space="preserve"> as at 1 Jun 2012</w:t>
            </w:r>
            <w:r>
              <w:t xml:space="preserve"> (includes amendments listed above)</w:t>
            </w:r>
          </w:p>
        </w:tc>
      </w:tr>
      <w:tr>
        <w:trPr>
          <w:cantSplit/>
          <w:ins w:id="293" w:author="Master Repository Process" w:date="2023-04-05T12:15:00Z"/>
        </w:trPr>
        <w:tc>
          <w:tcPr>
            <w:tcW w:w="2269" w:type="dxa"/>
            <w:tcBorders>
              <w:bottom w:val="single" w:sz="8" w:space="0" w:color="auto"/>
            </w:tcBorders>
            <w:shd w:val="clear" w:color="auto" w:fill="auto"/>
          </w:tcPr>
          <w:p>
            <w:pPr>
              <w:pStyle w:val="nTable"/>
              <w:spacing w:after="40"/>
              <w:rPr>
                <w:ins w:id="294" w:author="Master Repository Process" w:date="2023-04-05T12:15:00Z"/>
              </w:rPr>
            </w:pPr>
            <w:ins w:id="295" w:author="Master Repository Process" w:date="2023-04-05T12:15:00Z">
              <w:r>
                <w:rPr>
                  <w:i/>
                </w:rPr>
                <w:t>Directors’ Liability Reform Act 2023</w:t>
              </w:r>
              <w:r>
                <w:t xml:space="preserve"> Pt. 3 Div. 45</w:t>
              </w:r>
            </w:ins>
          </w:p>
        </w:tc>
        <w:tc>
          <w:tcPr>
            <w:tcW w:w="1135" w:type="dxa"/>
            <w:tcBorders>
              <w:bottom w:val="single" w:sz="8" w:space="0" w:color="auto"/>
            </w:tcBorders>
            <w:shd w:val="clear" w:color="auto" w:fill="auto"/>
          </w:tcPr>
          <w:p>
            <w:pPr>
              <w:pStyle w:val="nTable"/>
              <w:spacing w:after="40"/>
              <w:rPr>
                <w:ins w:id="296" w:author="Master Repository Process" w:date="2023-04-05T12:15:00Z"/>
              </w:rPr>
            </w:pPr>
            <w:ins w:id="297" w:author="Master Repository Process" w:date="2023-04-05T12:15:00Z">
              <w:r>
                <w:t>9 of 2023</w:t>
              </w:r>
            </w:ins>
          </w:p>
        </w:tc>
        <w:tc>
          <w:tcPr>
            <w:tcW w:w="1132" w:type="dxa"/>
            <w:tcBorders>
              <w:bottom w:val="single" w:sz="8" w:space="0" w:color="auto"/>
            </w:tcBorders>
            <w:shd w:val="clear" w:color="auto" w:fill="auto"/>
          </w:tcPr>
          <w:p>
            <w:pPr>
              <w:pStyle w:val="nTable"/>
              <w:spacing w:after="40"/>
              <w:rPr>
                <w:ins w:id="298" w:author="Master Repository Process" w:date="2023-04-05T12:15:00Z"/>
              </w:rPr>
            </w:pPr>
            <w:ins w:id="299" w:author="Master Repository Process" w:date="2023-04-05T12:15:00Z">
              <w:r>
                <w:t>4 Apr 2023</w:t>
              </w:r>
            </w:ins>
          </w:p>
        </w:tc>
        <w:tc>
          <w:tcPr>
            <w:tcW w:w="2558" w:type="dxa"/>
            <w:tcBorders>
              <w:bottom w:val="single" w:sz="8" w:space="0" w:color="auto"/>
            </w:tcBorders>
            <w:shd w:val="clear" w:color="auto" w:fill="auto"/>
          </w:tcPr>
          <w:p>
            <w:pPr>
              <w:pStyle w:val="nTable"/>
              <w:spacing w:after="40"/>
              <w:rPr>
                <w:ins w:id="300" w:author="Master Repository Process" w:date="2023-04-05T12:15:00Z"/>
              </w:rPr>
            </w:pPr>
            <w:ins w:id="301" w:author="Master Repository Process" w:date="2023-04-05T12:15:00Z">
              <w:r>
                <w:t>5 Apr 2023 (see s. 2(j))</w:t>
              </w:r>
            </w:ins>
          </w:p>
        </w:tc>
      </w:tr>
    </w:tbl>
    <w:p>
      <w:pPr>
        <w:pStyle w:val="nHeading3"/>
      </w:pPr>
      <w:bookmarkStart w:id="302" w:name="_Toc131583038"/>
      <w:bookmarkStart w:id="303" w:name="_Toc33608122"/>
      <w:r>
        <w:t>Uncommenced provisions table</w:t>
      </w:r>
      <w:bookmarkEnd w:id="302"/>
      <w:bookmarkEnd w:id="303"/>
    </w:p>
    <w:p>
      <w:pPr>
        <w:pStyle w:val="nStatement"/>
        <w:keepNext/>
        <w:spacing w:after="240"/>
      </w:pPr>
      <w:r>
        <w:t xml:space="preserve">To view the text of the uncommenced provisions see </w:t>
      </w:r>
      <w:r>
        <w:rPr>
          <w:i/>
        </w:rPr>
        <w:t>Acts as passed</w:t>
      </w:r>
      <w:r>
        <w:t xml:space="preserve"> on the WA Legislation website.</w:t>
      </w:r>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2" w:space="0" w:color="auto"/>
              <w:bottom w:val="single" w:sz="2" w:space="0" w:color="auto"/>
            </w:tcBorders>
            <w:shd w:val="clear" w:color="auto" w:fill="auto"/>
          </w:tcPr>
          <w:p>
            <w:pPr>
              <w:pStyle w:val="nTable"/>
              <w:keepNext/>
              <w:spacing w:after="40"/>
              <w:ind w:right="113"/>
              <w:rPr>
                <w:b/>
              </w:rPr>
            </w:pPr>
            <w:r>
              <w:rPr>
                <w:b/>
              </w:rPr>
              <w:t>Short title</w:t>
            </w:r>
          </w:p>
        </w:tc>
        <w:tc>
          <w:tcPr>
            <w:tcW w:w="1134" w:type="dxa"/>
            <w:tcBorders>
              <w:top w:val="single" w:sz="2" w:space="0" w:color="auto"/>
              <w:bottom w:val="single" w:sz="2" w:space="0" w:color="auto"/>
            </w:tcBorders>
            <w:shd w:val="clear" w:color="auto" w:fill="auto"/>
          </w:tcPr>
          <w:p>
            <w:pPr>
              <w:pStyle w:val="nTable"/>
              <w:keepNext/>
              <w:spacing w:after="40"/>
              <w:rPr>
                <w:b/>
              </w:rPr>
            </w:pPr>
            <w:r>
              <w:rPr>
                <w:b/>
              </w:rPr>
              <w:t>Number and year</w:t>
            </w:r>
          </w:p>
        </w:tc>
        <w:tc>
          <w:tcPr>
            <w:tcW w:w="1135" w:type="dxa"/>
            <w:tcBorders>
              <w:top w:val="single" w:sz="2" w:space="0" w:color="auto"/>
              <w:bottom w:val="single" w:sz="2" w:space="0" w:color="auto"/>
            </w:tcBorders>
            <w:shd w:val="clear" w:color="auto" w:fill="auto"/>
          </w:tcPr>
          <w:p>
            <w:pPr>
              <w:pStyle w:val="nTable"/>
              <w:keepNext/>
              <w:spacing w:after="40"/>
              <w:rPr>
                <w:b/>
              </w:rPr>
            </w:pPr>
            <w:r>
              <w:rPr>
                <w:b/>
              </w:rPr>
              <w:t>Assent</w:t>
            </w:r>
          </w:p>
        </w:tc>
        <w:tc>
          <w:tcPr>
            <w:tcW w:w="2638" w:type="dxa"/>
            <w:tcBorders>
              <w:top w:val="single" w:sz="2" w:space="0" w:color="auto"/>
              <w:bottom w:val="single" w:sz="2" w:space="0" w:color="auto"/>
            </w:tcBorders>
            <w:shd w:val="clear" w:color="auto" w:fill="auto"/>
          </w:tcPr>
          <w:p>
            <w:pPr>
              <w:pStyle w:val="nTable"/>
              <w:keepNext/>
              <w:spacing w:after="40"/>
              <w:rPr>
                <w:b/>
              </w:rPr>
            </w:pPr>
            <w:r>
              <w:rPr>
                <w:b/>
              </w:rPr>
              <w:t>Commencement</w:t>
            </w:r>
          </w:p>
        </w:tc>
      </w:tr>
      <w:tr>
        <w:trPr>
          <w:cantSplit/>
        </w:trPr>
        <w:tc>
          <w:tcPr>
            <w:tcW w:w="2268" w:type="dxa"/>
            <w:tcBorders>
              <w:bottom w:val="single" w:sz="2" w:space="0" w:color="auto"/>
            </w:tcBorders>
          </w:tcPr>
          <w:p>
            <w:pPr>
              <w:pStyle w:val="nTable"/>
              <w:spacing w:after="40"/>
              <w:rPr>
                <w:snapToGrid w:val="0"/>
                <w:vertAlign w:val="superscript"/>
              </w:rPr>
            </w:pPr>
            <w:r>
              <w:rPr>
                <w:i/>
                <w:snapToGrid w:val="0"/>
              </w:rPr>
              <w:t>Aquatic Resources Management Act 2016</w:t>
            </w:r>
            <w:r>
              <w:rPr>
                <w:snapToGrid w:val="0"/>
              </w:rPr>
              <w:t xml:space="preserve"> s. 268 and Pt. 18 Div. 1 and 3</w:t>
            </w:r>
          </w:p>
        </w:tc>
        <w:tc>
          <w:tcPr>
            <w:tcW w:w="1134" w:type="dxa"/>
            <w:tcBorders>
              <w:bottom w:val="single" w:sz="2" w:space="0" w:color="auto"/>
            </w:tcBorders>
          </w:tcPr>
          <w:p>
            <w:pPr>
              <w:pStyle w:val="nTable"/>
              <w:spacing w:after="40"/>
              <w:rPr>
                <w:snapToGrid w:val="0"/>
              </w:rPr>
            </w:pPr>
            <w:r>
              <w:rPr>
                <w:snapToGrid w:val="0"/>
              </w:rPr>
              <w:t>53 of 2016</w:t>
            </w:r>
          </w:p>
        </w:tc>
        <w:tc>
          <w:tcPr>
            <w:tcW w:w="1135" w:type="dxa"/>
            <w:tcBorders>
              <w:bottom w:val="single" w:sz="2" w:space="0" w:color="auto"/>
            </w:tcBorders>
          </w:tcPr>
          <w:p>
            <w:pPr>
              <w:pStyle w:val="nTable"/>
              <w:spacing w:after="40"/>
              <w:rPr>
                <w:snapToGrid w:val="0"/>
              </w:rPr>
            </w:pPr>
            <w:r>
              <w:rPr>
                <w:snapToGrid w:val="0"/>
              </w:rPr>
              <w:t>29 Nov 2016</w:t>
            </w:r>
          </w:p>
        </w:tc>
        <w:tc>
          <w:tcPr>
            <w:tcW w:w="2638" w:type="dxa"/>
            <w:tcBorders>
              <w:bottom w:val="single" w:sz="2" w:space="0" w:color="auto"/>
            </w:tcBorders>
          </w:tcPr>
          <w:p>
            <w:pPr>
              <w:pStyle w:val="nTable"/>
              <w:spacing w:after="40"/>
              <w:rPr>
                <w:snapToGrid w:val="0"/>
              </w:rPr>
            </w:pPr>
            <w:r>
              <w:rPr>
                <w:snapToGrid w:val="0"/>
              </w:rPr>
              <w:t>To be proclaimed (see s. 2(b))</w:t>
            </w:r>
          </w:p>
        </w:tc>
      </w:tr>
    </w:tbl>
    <w:p>
      <w:pPr>
        <w:pStyle w:val="nHeading3"/>
      </w:pPr>
      <w:bookmarkStart w:id="304" w:name="_Toc131583039"/>
      <w:bookmarkStart w:id="305" w:name="_Toc33608123"/>
      <w:r>
        <w:t>Other notes</w:t>
      </w:r>
      <w:bookmarkEnd w:id="304"/>
      <w:bookmarkEnd w:id="305"/>
    </w:p>
    <w:p>
      <w:pPr>
        <w:pStyle w:val="nNote"/>
        <w:rPr>
          <w:snapToGrid w:val="0"/>
        </w:rPr>
      </w:pPr>
      <w:r>
        <w:rPr>
          <w:snapToGrid w:val="0"/>
          <w:vertAlign w:val="superscript"/>
        </w:rPr>
        <w:t>1</w:t>
      </w:r>
      <w:r>
        <w:rPr>
          <w:snapToGrid w:val="0"/>
        </w:rPr>
        <w:tab/>
        <w:t xml:space="preserve">Repealed by the </w:t>
      </w:r>
      <w:r>
        <w:rPr>
          <w:i/>
          <w:snapToGrid w:val="0"/>
        </w:rPr>
        <w:t>Fish Resources Management Act 1994</w:t>
      </w:r>
      <w:r>
        <w:rPr>
          <w:snapToGrid w:val="0"/>
        </w:rPr>
        <w:t>.</w:t>
      </w:r>
    </w:p>
    <w:p>
      <w:pPr>
        <w:pStyle w:val="nNote"/>
        <w:rPr>
          <w:snapToGrid w:val="0"/>
        </w:rPr>
      </w:pPr>
      <w:r>
        <w:rPr>
          <w:snapToGrid w:val="0"/>
          <w:vertAlign w:val="superscript"/>
        </w:rPr>
        <w:t>2</w:t>
      </w:r>
      <w:r>
        <w:rPr>
          <w:snapToGrid w:val="0"/>
        </w:rPr>
        <w:tab/>
      </w:r>
      <w:r>
        <w:t xml:space="preserve">Repealed by the </w:t>
      </w:r>
      <w:r>
        <w:rPr>
          <w:i/>
        </w:rPr>
        <w:t>Fisheries Legislation (Consequential Provisions) Act 1991</w:t>
      </w:r>
      <w:r>
        <w:t xml:space="preserve"> of the Commonwealth.</w:t>
      </w:r>
    </w:p>
    <w:p>
      <w:pPr>
        <w:pStyle w:val="nNote"/>
        <w:rPr>
          <w:snapToGrid w:val="0"/>
        </w:rPr>
      </w:pPr>
      <w:r>
        <w:rPr>
          <w:snapToGrid w:val="0"/>
          <w:vertAlign w:val="superscript"/>
        </w:rPr>
        <w:t>3</w:t>
      </w:r>
      <w:r>
        <w:rPr>
          <w:snapToGrid w:val="0"/>
        </w:rPr>
        <w:tab/>
        <w:t xml:space="preserve">The </w:t>
      </w:r>
      <w:r>
        <w:rPr>
          <w:i/>
          <w:snapToGrid w:val="0"/>
        </w:rPr>
        <w:t>Pearling Amendment Act 1994</w:t>
      </w:r>
      <w:r>
        <w:rPr>
          <w:snapToGrid w:val="0"/>
        </w:rPr>
        <w:t xml:space="preserve"> s. 6 reads as follows:</w:t>
      </w:r>
    </w:p>
    <w:p>
      <w:pPr>
        <w:pStyle w:val="BlankOpen"/>
        <w:rPr>
          <w:snapToGrid w:val="0"/>
        </w:rPr>
      </w:pP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i/>
          <w:snapToGrid w:val="0"/>
        </w:rPr>
        <w:t>arrangement</w:t>
      </w:r>
      <w:r>
        <w:rPr>
          <w:snapToGrid w:val="0"/>
        </w:rPr>
        <w:t xml:space="preserve"> and </w:t>
      </w:r>
      <w:r>
        <w:rPr>
          <w:b/>
          <w:i/>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BlankClose"/>
        <w:rPr>
          <w:snapToGrid w:val="0"/>
        </w:rPr>
      </w:pP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5</w:t>
      </w:r>
      <w:r>
        <w:tab/>
        <w:t xml:space="preserve">The </w:t>
      </w:r>
      <w:r>
        <w:rPr>
          <w:i/>
        </w:rPr>
        <w:t>State Administrative Tribunal Regulations 2004</w:t>
      </w:r>
      <w:r>
        <w:t xml:space="preserve"> r. 60 is a savings provision of no further effect.</w:t>
      </w:r>
    </w:p>
    <w:p/>
    <w:p>
      <w:pPr>
        <w:rPr>
          <w:del w:id="306" w:author="Master Repository Process" w:date="2023-04-05T12:15: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Committee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Matters with respect to which regulations may be made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with respect to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8" w:name="Coversheet"/>
    <w:bookmarkEnd w:id="3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3" w:name="Schedule"/>
    <w:bookmarkEnd w:id="2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A4BD3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26110732"/>
    <w:docVar w:name="WAFER_20140122164157" w:val="RemoveTocBookmarks,RemoveUnusedBookmarks,RemoveLanguageTags,UsedStyles,ResetPageSize,UpdateArrangement"/>
    <w:docVar w:name="WAFER_20140122164157_GUID" w:val="d54147a5-fdfc-4e3d-941b-1a1ac1234c61"/>
    <w:docVar w:name="WAFER_20140122172932" w:val="RemoveTocBookmarks,RunningHeaders"/>
    <w:docVar w:name="WAFER_20140122172932_GUID" w:val="b399e5c5-35c8-4485-9c91-c4242ff9b028"/>
    <w:docVar w:name="WAFER_20150709143710" w:val="ResetPageSize,UpdateArrangement,UpdateNTable"/>
    <w:docVar w:name="WAFER_20150709143710_GUID" w:val="7336fd37-f73e-45ca-8bf7-231f9a5a9c27"/>
    <w:docVar w:name="WAFER_20151109112137" w:val="UpdateStyles,UsedStyles"/>
    <w:docVar w:name="WAFER_20151109112137_GUID" w:val="836ebedb-9b11-49ee-ad91-12c8ccba03c1"/>
    <w:docVar w:name="WAFER_202002261107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0732_GUID" w:val="abe49d5d-6c41-4e3b-a14e-db404f308b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16566</Words>
  <Characters>77199</Characters>
  <Application>Microsoft Office Word</Application>
  <DocSecurity>0</DocSecurity>
  <Lines>1979</Lines>
  <Paragraphs>997</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03-b0-03 - 03-c0-00</dc:title>
  <dc:subject/>
  <dc:creator/>
  <cp:keywords/>
  <dc:description/>
  <cp:lastModifiedBy>Master Repository Process</cp:lastModifiedBy>
  <cp:revision>2</cp:revision>
  <cp:lastPrinted>2012-06-13T04:45:00Z</cp:lastPrinted>
  <dcterms:created xsi:type="dcterms:W3CDTF">2023-04-05T04:15:00Z</dcterms:created>
  <dcterms:modified xsi:type="dcterms:W3CDTF">2023-04-05T04:15:00Z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DocumentType">
    <vt:lpwstr>Act</vt:lpwstr>
  </property>
  <property fmtid="{D5CDD505-2E9C-101B-9397-08002B2CF9AE}" pid="4" name="OwlsUID">
    <vt:i4>581</vt:i4>
  </property>
  <property fmtid="{D5CDD505-2E9C-101B-9397-08002B2CF9AE}" pid="5" name="ThisVersion">
    <vt:lpwstr>02-g0-00</vt:lpwstr>
  </property>
  <property fmtid="{D5CDD505-2E9C-101B-9397-08002B2CF9AE}" pid="6" name="ReprintNo">
    <vt:lpwstr>3</vt:lpwstr>
  </property>
  <property fmtid="{D5CDD505-2E9C-101B-9397-08002B2CF9AE}" pid="7" name="ReprintedAsAt">
    <vt:filetime>2012-05-31T16:00:00Z</vt:filetime>
  </property>
  <property fmtid="{D5CDD505-2E9C-101B-9397-08002B2CF9AE}" pid="8" name="CommencementDate">
    <vt:lpwstr>20230405</vt:lpwstr>
  </property>
  <property fmtid="{D5CDD505-2E9C-101B-9397-08002B2CF9AE}" pid="9" name="FromSuffix">
    <vt:lpwstr>03-b0-03</vt:lpwstr>
  </property>
  <property fmtid="{D5CDD505-2E9C-101B-9397-08002B2CF9AE}" pid="10" name="FromAsAtDate">
    <vt:lpwstr>29 Nov 2016</vt:lpwstr>
  </property>
  <property fmtid="{D5CDD505-2E9C-101B-9397-08002B2CF9AE}" pid="11" name="ToSuffix">
    <vt:lpwstr>03-c0-00</vt:lpwstr>
  </property>
  <property fmtid="{D5CDD505-2E9C-101B-9397-08002B2CF9AE}" pid="12" name="ToAsAtDate">
    <vt:lpwstr>05 Apr 2023</vt:lpwstr>
  </property>
</Properties>
</file>