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800"/>
      </w:pPr>
      <w:r>
        <w:t xml:space="preserve">Retail Trading Hours Act 1987 </w:t>
      </w:r>
    </w:p>
    <w:p>
      <w:pPr>
        <w:pStyle w:val="LongTitle"/>
        <w:rPr>
          <w:snapToGrid w:val="0"/>
        </w:rPr>
      </w:pPr>
      <w:r>
        <w:rPr>
          <w:snapToGrid w:val="0"/>
        </w:rPr>
        <w:t>A</w:t>
      </w:r>
      <w:bookmarkStart w:id="1" w:name="_GoBack"/>
      <w:bookmarkEnd w:id="1"/>
      <w:r>
        <w:rPr>
          <w:snapToGrid w:val="0"/>
        </w:rPr>
        <w:t xml:space="preserve">n Act relating to the hours of trading for retail shops and for other and incidental purposes. </w:t>
      </w:r>
    </w:p>
    <w:p>
      <w:pPr>
        <w:pStyle w:val="Heading2"/>
      </w:pPr>
      <w:bookmarkStart w:id="2" w:name="_Toc105752052"/>
      <w:bookmarkStart w:id="3" w:name="_Toc105752311"/>
      <w:bookmarkStart w:id="4" w:name="_Toc105767123"/>
      <w:bookmarkStart w:id="5" w:name="_Toc106100247"/>
      <w:bookmarkStart w:id="6" w:name="_Toc131506792"/>
      <w:bookmarkStart w:id="7" w:name="_Toc131507026"/>
      <w:bookmarkStart w:id="8" w:name="_Toc13150879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131508796"/>
      <w:bookmarkStart w:id="10" w:name="_Toc106100248"/>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w:t>
      </w:r>
      <w:r>
        <w:rPr>
          <w:snapToGrid w:val="0"/>
        </w:rPr>
        <w:t>.</w:t>
      </w:r>
    </w:p>
    <w:p>
      <w:pPr>
        <w:pStyle w:val="Heading5"/>
        <w:rPr>
          <w:snapToGrid w:val="0"/>
        </w:rPr>
      </w:pPr>
      <w:bookmarkStart w:id="11" w:name="_Toc131508797"/>
      <w:bookmarkStart w:id="12" w:name="_Toc106100249"/>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 provision of this Act shall come into operation on such day or days as is or are, respectively, fixed by proclamation.</w:t>
      </w:r>
    </w:p>
    <w:p>
      <w:pPr>
        <w:pStyle w:val="Heading5"/>
        <w:rPr>
          <w:snapToGrid w:val="0"/>
        </w:rPr>
      </w:pPr>
      <w:bookmarkStart w:id="13" w:name="_Toc131508798"/>
      <w:bookmarkStart w:id="14" w:name="_Toc106100250"/>
      <w:r>
        <w:rPr>
          <w:rStyle w:val="CharSectno"/>
        </w:rPr>
        <w:t>3</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motor 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No. 1 of 1991 s. 4 and 14; No. 88 of 1994 s. 100; No. 47 of 2006 s. 4; No. 8 of 2012 s. 169; No. 23 of 2014 s. 91.] </w:t>
      </w:r>
    </w:p>
    <w:p>
      <w:pPr>
        <w:pStyle w:val="Heading5"/>
        <w:spacing w:before="180"/>
        <w:rPr>
          <w:snapToGrid w:val="0"/>
        </w:rPr>
      </w:pPr>
      <w:bookmarkStart w:id="15" w:name="_Toc131508799"/>
      <w:bookmarkStart w:id="16" w:name="_Toc106100251"/>
      <w:r>
        <w:rPr>
          <w:rStyle w:val="CharSectno"/>
        </w:rPr>
        <w:t>4</w:t>
      </w:r>
      <w:r>
        <w:rPr>
          <w:snapToGrid w:val="0"/>
        </w:rPr>
        <w:t>.</w:t>
      </w:r>
      <w:r>
        <w:rPr>
          <w:snapToGrid w:val="0"/>
        </w:rPr>
        <w:tab/>
        <w:t>Application</w:t>
      </w:r>
      <w:bookmarkEnd w:id="15"/>
      <w:bookmarkEnd w:id="16"/>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pPr>
      <w:r>
        <w:tab/>
        <w:t>(2A)</w:t>
      </w:r>
      <w:r>
        <w:tab/>
        <w:t>Despite subsection (1), this Act does not apply to Rottnest Island.</w:t>
      </w:r>
    </w:p>
    <w:p>
      <w:pPr>
        <w:pStyle w:val="Subsection"/>
        <w:keepNext/>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w:t>
      </w:r>
      <w:r>
        <w:t xml:space="preserve"> is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pPr>
      <w:r>
        <w:tab/>
        <w:t>(c)</w:t>
      </w:r>
      <w:r>
        <w:tab/>
        <w:t xml:space="preserve">veterinary premises as defined in the </w:t>
      </w:r>
      <w:r>
        <w:rPr>
          <w:i/>
        </w:rPr>
        <w:t>Veterinary Practice Act 2021</w:t>
      </w:r>
      <w:r>
        <w:t xml:space="preserve"> section 3; or</w:t>
      </w:r>
    </w:p>
    <w:p>
      <w:pPr>
        <w:pStyle w:val="Indenta"/>
        <w:rPr>
          <w:snapToGrid w:val="0"/>
        </w:rPr>
      </w:pPr>
      <w:r>
        <w:rPr>
          <w:snapToGrid w:val="0"/>
        </w:rPr>
        <w:tab/>
        <w:t>(d)</w:t>
      </w:r>
      <w:r>
        <w:rPr>
          <w:snapToGrid w:val="0"/>
        </w:rPr>
        <w:tab/>
        <w:t>a retail shop located in a public passenger transport terminal or station where public passenger transport services are</w:t>
      </w:r>
      <w:r>
        <w:t xml:space="preserve"> running; or</w:t>
      </w:r>
    </w:p>
    <w:p>
      <w:pPr>
        <w:pStyle w:val="Indenta"/>
      </w:pPr>
      <w:r>
        <w:tab/>
        <w:t>(e)</w:t>
      </w:r>
      <w:r>
        <w:tab/>
        <w:t>a retail shop located in a short</w:t>
      </w:r>
      <w:r>
        <w:noBreakHyphen/>
        <w:t>term market.</w:t>
      </w:r>
    </w:p>
    <w:p>
      <w:pPr>
        <w:pStyle w:val="Subsection"/>
      </w:pPr>
      <w:r>
        <w:tab/>
        <w:t>(4A)</w:t>
      </w:r>
      <w:r>
        <w:tab/>
        <w:t>For the purposes of subsection (3)(e) a retail shop is located in a short</w:t>
      </w:r>
      <w:r>
        <w:noBreakHyphen/>
        <w:t xml:space="preserve">term market if — </w:t>
      </w:r>
    </w:p>
    <w:p>
      <w:pPr>
        <w:pStyle w:val="Indenta"/>
      </w:pPr>
      <w:r>
        <w:tab/>
        <w:t>(a)</w:t>
      </w:r>
      <w:r>
        <w:tab/>
        <w:t>it is one of a group of retail shops that are placed at a particular location on a particular day and removed from that location before midnight on that day; and</w:t>
      </w:r>
    </w:p>
    <w:p>
      <w:pPr>
        <w:pStyle w:val="Indenta"/>
      </w:pPr>
      <w:r>
        <w:tab/>
        <w:t>(b)</w:t>
      </w:r>
      <w:r>
        <w:tab/>
        <w:t>some or all of the retail shops in the group are operated by different persons; and</w:t>
      </w:r>
    </w:p>
    <w:p>
      <w:pPr>
        <w:pStyle w:val="Indenta"/>
      </w:pPr>
      <w:r>
        <w:tab/>
        <w:t>(c)</w:t>
      </w:r>
      <w:r>
        <w:tab/>
        <w:t>none of the shops in the group is a motor vehicle shop.</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No. 73 of 2006 s. 115; No. 35 of 2016 s. 4; No. 19 of 2021 s. 234(2).]</w:t>
      </w:r>
    </w:p>
    <w:p>
      <w:pPr>
        <w:pStyle w:val="Heading5"/>
      </w:pPr>
      <w:bookmarkStart w:id="17" w:name="_Toc131508800"/>
      <w:bookmarkStart w:id="18" w:name="_Toc106100252"/>
      <w:r>
        <w:rPr>
          <w:rStyle w:val="CharSectno"/>
        </w:rPr>
        <w:t>5</w:t>
      </w:r>
      <w:r>
        <w:t>.</w:t>
      </w:r>
      <w:r>
        <w:tab/>
        <w:t xml:space="preserve">Application of </w:t>
      </w:r>
      <w:r>
        <w:rPr>
          <w:i/>
        </w:rPr>
        <w:t>Interpretation Act 1984</w:t>
      </w:r>
      <w:r>
        <w:t xml:space="preserve"> to orders</w:t>
      </w:r>
      <w:bookmarkEnd w:id="17"/>
      <w:bookmarkEnd w:id="18"/>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w:t>
      </w:r>
      <w:r>
        <w:rPr>
          <w:szCs w:val="22"/>
        </w:rPr>
        <w:t>as if the order were a regulation</w:t>
      </w:r>
      <w:r>
        <w:t>.</w:t>
      </w:r>
    </w:p>
    <w:p>
      <w:pPr>
        <w:pStyle w:val="Footnotesection"/>
      </w:pPr>
      <w:r>
        <w:tab/>
        <w:t>[Section 5 inserted: No. 47 of 2006 s. 5; amended: No. 35 of 2016 s. 5.]</w:t>
      </w:r>
    </w:p>
    <w:p>
      <w:pPr>
        <w:pStyle w:val="Heading2"/>
      </w:pPr>
      <w:bookmarkStart w:id="19" w:name="_Toc105752058"/>
      <w:bookmarkStart w:id="20" w:name="_Toc105752317"/>
      <w:bookmarkStart w:id="21" w:name="_Toc105767129"/>
      <w:bookmarkStart w:id="22" w:name="_Toc106100253"/>
      <w:bookmarkStart w:id="23" w:name="_Toc131506798"/>
      <w:bookmarkStart w:id="24" w:name="_Toc131507032"/>
      <w:bookmarkStart w:id="25" w:name="_Toc131508801"/>
      <w:r>
        <w:rPr>
          <w:rStyle w:val="CharPartNo"/>
        </w:rPr>
        <w:t>Part II</w:t>
      </w:r>
      <w:r>
        <w:rPr>
          <w:rStyle w:val="CharDivNo"/>
        </w:rPr>
        <w:t> </w:t>
      </w:r>
      <w:r>
        <w:t>—</w:t>
      </w:r>
      <w:r>
        <w:rPr>
          <w:rStyle w:val="CharDivText"/>
        </w:rPr>
        <w:t> </w:t>
      </w:r>
      <w:r>
        <w:rPr>
          <w:rStyle w:val="CharPartText"/>
        </w:rPr>
        <w:t>Administration</w:t>
      </w:r>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131508802"/>
      <w:bookmarkStart w:id="27" w:name="_Toc106100254"/>
      <w:r>
        <w:rPr>
          <w:rStyle w:val="CharSectno"/>
        </w:rPr>
        <w:t>6</w:t>
      </w:r>
      <w:r>
        <w:rPr>
          <w:snapToGrid w:val="0"/>
        </w:rPr>
        <w:t>.</w:t>
      </w:r>
      <w:r>
        <w:rPr>
          <w:snapToGrid w:val="0"/>
        </w:rPr>
        <w:tab/>
        <w:t>Officers</w:t>
      </w:r>
      <w:bookmarkEnd w:id="26"/>
      <w:bookmarkEnd w:id="27"/>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No. 32 of 1994 s. 3(2).] </w:t>
      </w:r>
    </w:p>
    <w:p>
      <w:pPr>
        <w:pStyle w:val="Heading5"/>
        <w:rPr>
          <w:snapToGrid w:val="0"/>
        </w:rPr>
      </w:pPr>
      <w:bookmarkStart w:id="28" w:name="_Toc131508803"/>
      <w:bookmarkStart w:id="29" w:name="_Toc106100255"/>
      <w:r>
        <w:rPr>
          <w:rStyle w:val="CharSectno"/>
        </w:rPr>
        <w:t>7</w:t>
      </w:r>
      <w:r>
        <w:rPr>
          <w:snapToGrid w:val="0"/>
        </w:rPr>
        <w:t>.</w:t>
      </w:r>
      <w:r>
        <w:rPr>
          <w:snapToGrid w:val="0"/>
        </w:rPr>
        <w:tab/>
        <w:t>Inspectors</w:t>
      </w:r>
      <w:bookmarkEnd w:id="28"/>
      <w:bookmarkEnd w:id="29"/>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No. 1 of 1991 s. 14.] </w:t>
      </w:r>
    </w:p>
    <w:p>
      <w:pPr>
        <w:pStyle w:val="Heading5"/>
        <w:rPr>
          <w:snapToGrid w:val="0"/>
        </w:rPr>
      </w:pPr>
      <w:bookmarkStart w:id="30" w:name="_Toc131508804"/>
      <w:bookmarkStart w:id="31" w:name="_Toc106100256"/>
      <w:r>
        <w:rPr>
          <w:rStyle w:val="CharSectno"/>
        </w:rPr>
        <w:t>8</w:t>
      </w:r>
      <w:r>
        <w:rPr>
          <w:snapToGrid w:val="0"/>
        </w:rPr>
        <w:t>.</w:t>
      </w:r>
      <w:r>
        <w:rPr>
          <w:snapToGrid w:val="0"/>
        </w:rPr>
        <w:tab/>
        <w:t>Inspector’s certificate</w:t>
      </w:r>
      <w:bookmarkEnd w:id="30"/>
      <w:bookmarkEnd w:id="31"/>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No. 1 of 1991 s. 14.] </w:t>
      </w:r>
    </w:p>
    <w:p>
      <w:pPr>
        <w:pStyle w:val="Heading5"/>
        <w:rPr>
          <w:snapToGrid w:val="0"/>
        </w:rPr>
      </w:pPr>
      <w:bookmarkStart w:id="32" w:name="_Toc131508805"/>
      <w:bookmarkStart w:id="33" w:name="_Toc106100257"/>
      <w:r>
        <w:rPr>
          <w:rStyle w:val="CharSectno"/>
        </w:rPr>
        <w:t>9</w:t>
      </w:r>
      <w:r>
        <w:rPr>
          <w:snapToGrid w:val="0"/>
        </w:rPr>
        <w:t>.</w:t>
      </w:r>
      <w:r>
        <w:rPr>
          <w:snapToGrid w:val="0"/>
        </w:rPr>
        <w:tab/>
        <w:t>Inspector subject to chief executive officer</w:t>
      </w:r>
      <w:bookmarkEnd w:id="32"/>
      <w:bookmarkEnd w:id="33"/>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No. 1 of 1991 s. 14.] </w:t>
      </w:r>
    </w:p>
    <w:p>
      <w:pPr>
        <w:pStyle w:val="Heading2"/>
      </w:pPr>
      <w:bookmarkStart w:id="34" w:name="_Toc105752063"/>
      <w:bookmarkStart w:id="35" w:name="_Toc105752322"/>
      <w:bookmarkStart w:id="36" w:name="_Toc105767134"/>
      <w:bookmarkStart w:id="37" w:name="_Toc106100258"/>
      <w:bookmarkStart w:id="38" w:name="_Toc131506803"/>
      <w:bookmarkStart w:id="39" w:name="_Toc131507037"/>
      <w:bookmarkStart w:id="40" w:name="_Toc131508806"/>
      <w:r>
        <w:rPr>
          <w:rStyle w:val="CharPartNo"/>
        </w:rPr>
        <w:t>Part III</w:t>
      </w:r>
      <w:r>
        <w:rPr>
          <w:rStyle w:val="CharDivNo"/>
        </w:rPr>
        <w:t> </w:t>
      </w:r>
      <w:r>
        <w:t>—</w:t>
      </w:r>
      <w:r>
        <w:rPr>
          <w:rStyle w:val="CharDivText"/>
        </w:rPr>
        <w:t> </w:t>
      </w:r>
      <w:r>
        <w:rPr>
          <w:rStyle w:val="CharPartText"/>
        </w:rPr>
        <w:t>Retail trading hours</w:t>
      </w:r>
      <w:bookmarkEnd w:id="34"/>
      <w:bookmarkEnd w:id="35"/>
      <w:bookmarkEnd w:id="36"/>
      <w:bookmarkEnd w:id="37"/>
      <w:bookmarkEnd w:id="38"/>
      <w:bookmarkEnd w:id="39"/>
      <w:bookmarkEnd w:id="40"/>
      <w:r>
        <w:rPr>
          <w:rStyle w:val="CharPartText"/>
        </w:rPr>
        <w:t xml:space="preserve"> </w:t>
      </w:r>
    </w:p>
    <w:p>
      <w:pPr>
        <w:pStyle w:val="Heading5"/>
        <w:spacing w:before="200"/>
        <w:rPr>
          <w:snapToGrid w:val="0"/>
        </w:rPr>
      </w:pPr>
      <w:bookmarkStart w:id="41" w:name="_Toc131508807"/>
      <w:bookmarkStart w:id="42" w:name="_Toc106100259"/>
      <w:r>
        <w:rPr>
          <w:rStyle w:val="CharSectno"/>
        </w:rPr>
        <w:t>10</w:t>
      </w:r>
      <w:r>
        <w:rPr>
          <w:snapToGrid w:val="0"/>
        </w:rPr>
        <w:t>.</w:t>
      </w:r>
      <w:r>
        <w:rPr>
          <w:snapToGrid w:val="0"/>
        </w:rPr>
        <w:tab/>
        <w:t>Categories of retail shops</w:t>
      </w:r>
      <w:bookmarkEnd w:id="41"/>
      <w:bookmarkEnd w:id="42"/>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 xml:space="preserve">25 persons </w:t>
      </w:r>
      <w:r>
        <w:rPr>
          <w:snapToGrid w:val="0"/>
        </w:rPr>
        <w:t>(inclusive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4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3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3 or more retail shops that are not owned or operated together with the other persons in the group.</w:t>
      </w:r>
    </w:p>
    <w:p>
      <w:pPr>
        <w:pStyle w:val="Subsection"/>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spacing w:before="60"/>
      </w:pPr>
      <w:r>
        <w:tab/>
        <w:t>(ii)</w:t>
      </w:r>
      <w:r>
        <w:tab/>
        <w:t>an agent, banker, solicitor, accountant, auditor or other person acting in any capacity for or on behalf of the other owner;</w:t>
      </w:r>
    </w:p>
    <w:p>
      <w:pPr>
        <w:pStyle w:val="Indenta"/>
        <w:spacing w:before="60"/>
      </w:pPr>
      <w:r>
        <w:tab/>
      </w:r>
      <w:r>
        <w:tab/>
        <w:t>and</w:t>
      </w:r>
    </w:p>
    <w:p>
      <w:pPr>
        <w:pStyle w:val="Indenta"/>
        <w:spacing w:before="60"/>
      </w:pPr>
      <w:r>
        <w:tab/>
        <w:t>(f)</w:t>
      </w:r>
      <w:r>
        <w:tab/>
        <w:t xml:space="preserve">whether one owner is — </w:t>
      </w:r>
    </w:p>
    <w:p>
      <w:pPr>
        <w:pStyle w:val="Indenti"/>
        <w:spacing w:before="60"/>
      </w:pPr>
      <w:r>
        <w:tab/>
        <w:t>(i)</w:t>
      </w:r>
      <w:r>
        <w:tab/>
        <w:t>a trustee for the other owner; or</w:t>
      </w:r>
    </w:p>
    <w:p>
      <w:pPr>
        <w:pStyle w:val="Indenti"/>
        <w:spacing w:before="60"/>
      </w:pPr>
      <w:r>
        <w:tab/>
        <w:t>(ii)</w:t>
      </w:r>
      <w:r>
        <w:tab/>
        <w:t>a trustee of a trust of which the other owner is a discretionary or other beneficiary.</w:t>
      </w:r>
    </w:p>
    <w:p>
      <w:pPr>
        <w:pStyle w:val="Subsection"/>
        <w:spacing w:before="12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2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spacing w:before="12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No. 1 of 1991 s. 6 and 14; No. 47 of 2006 s. 6; No. 44 of 2008 s. 60; No. 40 of 2011 s. 4; No. 23 of 2014 s. 92.] </w:t>
      </w:r>
    </w:p>
    <w:p>
      <w:pPr>
        <w:pStyle w:val="Heading5"/>
        <w:rPr>
          <w:snapToGrid w:val="0"/>
        </w:rPr>
      </w:pPr>
      <w:bookmarkStart w:id="43" w:name="_Toc131508808"/>
      <w:bookmarkStart w:id="44" w:name="_Toc106100260"/>
      <w:r>
        <w:rPr>
          <w:rStyle w:val="CharSectno"/>
        </w:rPr>
        <w:t>11</w:t>
      </w:r>
      <w:r>
        <w:rPr>
          <w:snapToGrid w:val="0"/>
        </w:rPr>
        <w:t>.</w:t>
      </w:r>
      <w:r>
        <w:rPr>
          <w:snapToGrid w:val="0"/>
        </w:rPr>
        <w:tab/>
        <w:t>Certifying shops as small retail shops or special retail shops</w:t>
      </w:r>
      <w:bookmarkEnd w:id="43"/>
      <w:bookmarkEnd w:id="44"/>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No. 1 of 1991 s. 7 and 14; No. 47 of 2006 s. 7.] </w:t>
      </w:r>
    </w:p>
    <w:p>
      <w:pPr>
        <w:pStyle w:val="Heading5"/>
        <w:rPr>
          <w:snapToGrid w:val="0"/>
        </w:rPr>
      </w:pPr>
      <w:bookmarkStart w:id="45" w:name="_Toc131508809"/>
      <w:bookmarkStart w:id="46" w:name="_Toc106100261"/>
      <w:r>
        <w:rPr>
          <w:rStyle w:val="CharSectno"/>
        </w:rPr>
        <w:t>12</w:t>
      </w:r>
      <w:r>
        <w:rPr>
          <w:snapToGrid w:val="0"/>
        </w:rPr>
        <w:t>.</w:t>
      </w:r>
      <w:r>
        <w:rPr>
          <w:snapToGrid w:val="0"/>
        </w:rPr>
        <w:tab/>
        <w:t>Trading hours for some general retail shops</w:t>
      </w:r>
      <w:bookmarkEnd w:id="45"/>
      <w:bookmarkEnd w:id="46"/>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Subsection (1) does not apply to 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until 11 a.m. and from and after 5 p.m.; and</w:t>
      </w:r>
    </w:p>
    <w:p>
      <w:pPr>
        <w:pStyle w:val="Indenta"/>
      </w:pPr>
      <w:r>
        <w:tab/>
        <w:t>(d)</w:t>
      </w:r>
      <w:r>
        <w:tab/>
        <w:t>on each public holiday and public half</w:t>
      </w:r>
      <w:r>
        <w:noBreakHyphen/>
        <w:t>holiday.</w:t>
      </w:r>
    </w:p>
    <w:p>
      <w:pPr>
        <w:pStyle w:val="Subsection"/>
      </w:pPr>
      <w:r>
        <w:tab/>
        <w:t>(4)</w:t>
      </w:r>
      <w:r>
        <w:tab/>
        <w:t>Subsection (3) does not apply to a motor vehicle shop.</w:t>
      </w:r>
    </w:p>
    <w:p>
      <w:pPr>
        <w:pStyle w:val="Footnotesection"/>
      </w:pPr>
      <w:r>
        <w:tab/>
        <w:t xml:space="preserve">[Section 12 amended: No. 1 of 1991 s. 8; No. 47 of 2006 s. 8; No. 22 of 2010 s. 4; No. 38 of 2010 s. 4; No. 13 of 2012 s. 4; No. 35 of 2016 s. 6.] </w:t>
      </w:r>
    </w:p>
    <w:p>
      <w:pPr>
        <w:pStyle w:val="Ednotesection"/>
      </w:pPr>
      <w:r>
        <w:t>[</w:t>
      </w:r>
      <w:r>
        <w:rPr>
          <w:b/>
          <w:bCs/>
        </w:rPr>
        <w:t>12A.</w:t>
      </w:r>
      <w:r>
        <w:tab/>
        <w:t>Deleted: No. 35 of 2016 s. 7.]</w:t>
      </w:r>
    </w:p>
    <w:p>
      <w:pPr>
        <w:pStyle w:val="Heading5"/>
      </w:pPr>
      <w:bookmarkStart w:id="47" w:name="_Toc131508810"/>
      <w:bookmarkStart w:id="48" w:name="_Toc106100262"/>
      <w:r>
        <w:rPr>
          <w:rStyle w:val="CharSectno"/>
        </w:rPr>
        <w:t>12B</w:t>
      </w:r>
      <w:r>
        <w:t>.</w:t>
      </w:r>
      <w:r>
        <w:tab/>
        <w:t>Trading hours for motor vehicle shops</w:t>
      </w:r>
      <w:bookmarkEnd w:id="47"/>
      <w:bookmarkEnd w:id="48"/>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r>
        <w:tab/>
        <w:t>[Section 12B inserted: No. 47 of 2006 s. 9.]</w:t>
      </w:r>
    </w:p>
    <w:p>
      <w:pPr>
        <w:pStyle w:val="Heading5"/>
      </w:pPr>
      <w:bookmarkStart w:id="49" w:name="_Toc131508811"/>
      <w:bookmarkStart w:id="50" w:name="_Toc106100263"/>
      <w:r>
        <w:rPr>
          <w:rStyle w:val="CharSectno"/>
        </w:rPr>
        <w:t>12C</w:t>
      </w:r>
      <w:r>
        <w:t>.</w:t>
      </w:r>
      <w:r>
        <w:tab/>
        <w:t>No restriction on trading hours for small retail shops</w:t>
      </w:r>
      <w:bookmarkEnd w:id="49"/>
      <w:bookmarkEnd w:id="50"/>
    </w:p>
    <w:p>
      <w:pPr>
        <w:pStyle w:val="Subsection"/>
      </w:pPr>
      <w:r>
        <w:tab/>
      </w:r>
      <w:r>
        <w:tab/>
        <w:t>A small retail shop may be open at any time.</w:t>
      </w:r>
    </w:p>
    <w:p>
      <w:pPr>
        <w:pStyle w:val="Footnotesection"/>
      </w:pPr>
      <w:r>
        <w:tab/>
        <w:t>[Section 12C inserted: No. 47 of 2006 s. 9.]</w:t>
      </w:r>
    </w:p>
    <w:p>
      <w:pPr>
        <w:pStyle w:val="Heading5"/>
      </w:pPr>
      <w:bookmarkStart w:id="51" w:name="_Toc131508812"/>
      <w:bookmarkStart w:id="52" w:name="_Toc106100264"/>
      <w:r>
        <w:rPr>
          <w:rStyle w:val="CharSectno"/>
        </w:rPr>
        <w:t>12D</w:t>
      </w:r>
      <w:r>
        <w:t>.</w:t>
      </w:r>
      <w:r>
        <w:tab/>
        <w:t>Trading hours for special retail shops</w:t>
      </w:r>
      <w:bookmarkEnd w:id="51"/>
      <w:bookmarkEnd w:id="52"/>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r>
        <w:tab/>
        <w:t>[Section 12D inserted: No. 47 of 2006 s. 9.]</w:t>
      </w:r>
    </w:p>
    <w:p>
      <w:pPr>
        <w:pStyle w:val="Heading5"/>
      </w:pPr>
      <w:bookmarkStart w:id="53" w:name="_Toc131508813"/>
      <w:bookmarkStart w:id="54" w:name="_Toc106100265"/>
      <w:r>
        <w:rPr>
          <w:rStyle w:val="CharSectno"/>
        </w:rPr>
        <w:t>12E</w:t>
      </w:r>
      <w:r>
        <w:t>.</w:t>
      </w:r>
      <w:r>
        <w:tab/>
        <w:t>Variation of trading hours</w:t>
      </w:r>
      <w:bookmarkEnd w:id="53"/>
      <w:bookmarkEnd w:id="54"/>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 xml:space="preserve">Without limiting the effect of subsection (3A), but despite any other provision of this section, an order can vary the trading hours of general retail shops in the metropolitan area only in relation to a day that is — </w:t>
      </w:r>
    </w:p>
    <w:p>
      <w:pPr>
        <w:pStyle w:val="Indenta"/>
      </w:pPr>
      <w:r>
        <w:tab/>
        <w:t>(a)</w:t>
      </w:r>
      <w:r>
        <w:tab/>
        <w:t>within the period of 28 days ending on 1 January; or</w:t>
      </w:r>
    </w:p>
    <w:p>
      <w:pPr>
        <w:pStyle w:val="Indenta"/>
      </w:pPr>
      <w:r>
        <w:tab/>
        <w:t>(b)</w:t>
      </w:r>
      <w:r>
        <w:tab/>
        <w:t>a public holiday or public half</w:t>
      </w:r>
      <w:r>
        <w:noBreakHyphen/>
        <w:t>holiday outside that period.</w:t>
      </w:r>
    </w:p>
    <w:p>
      <w:pPr>
        <w:pStyle w:val="Subsection"/>
      </w:pPr>
      <w:r>
        <w:tab/>
        <w:t>(3A)</w:t>
      </w:r>
      <w:r>
        <w:tab/>
        <w:t>An order cannot authorise general retail shops in the metropolitan area to be open on Anzac Day (25 April), Christmas Day (25 December) or Good Friday.</w:t>
      </w:r>
    </w:p>
    <w:p>
      <w:pPr>
        <w:pStyle w:val="Subsection"/>
      </w:pPr>
      <w:r>
        <w:tab/>
        <w:t>(3)</w:t>
      </w:r>
      <w:r>
        <w:tab/>
        <w:t xml:space="preserve">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tab/>
      </w:r>
      <w:r>
        <w:rPr>
          <w:rStyle w:val="CharDefText"/>
        </w:rPr>
        <w:t>order</w:t>
      </w:r>
      <w:r>
        <w:t xml:space="preserve"> means an order made under subsection (1);</w:t>
      </w:r>
    </w:p>
    <w:p>
      <w:pPr>
        <w:pStyle w:val="Defstart"/>
      </w:pPr>
      <w:r>
        <w:rPr>
          <w:b/>
        </w:rPr>
        <w:tab/>
      </w:r>
      <w:r>
        <w:rPr>
          <w:rStyle w:val="CharDefText"/>
        </w:rPr>
        <w:t>specified</w:t>
      </w:r>
      <w:r>
        <w:t>, in relation to an order, means specified in the order.</w:t>
      </w:r>
    </w:p>
    <w:p>
      <w:pPr>
        <w:pStyle w:val="Footnotesection"/>
      </w:pPr>
      <w:r>
        <w:tab/>
        <w:t>[Section 12E inserted: No. 47 of 2006 s. 9; amended: No. 38 of 2010 s. 5; No. 13 of 2012 s. 6.]</w:t>
      </w:r>
    </w:p>
    <w:p>
      <w:pPr>
        <w:pStyle w:val="Ednotesection"/>
      </w:pPr>
      <w:r>
        <w:t>[</w:t>
      </w:r>
      <w:r>
        <w:rPr>
          <w:b/>
          <w:bCs/>
        </w:rPr>
        <w:t>13.</w:t>
      </w:r>
      <w:r>
        <w:tab/>
        <w:t>Deleted: No. 47 of 2006 s. 10.]</w:t>
      </w:r>
    </w:p>
    <w:p>
      <w:pPr>
        <w:pStyle w:val="Heading5"/>
      </w:pPr>
      <w:bookmarkStart w:id="55" w:name="_Toc131508814"/>
      <w:bookmarkStart w:id="56" w:name="_Toc106100266"/>
      <w:r>
        <w:rPr>
          <w:rStyle w:val="CharSectno"/>
        </w:rPr>
        <w:t>14</w:t>
      </w:r>
      <w:r>
        <w:t>.</w:t>
      </w:r>
      <w:r>
        <w:tab/>
        <w:t>No restriction on trading hours for filling stations</w:t>
      </w:r>
      <w:bookmarkEnd w:id="55"/>
      <w:bookmarkEnd w:id="56"/>
    </w:p>
    <w:p>
      <w:pPr>
        <w:pStyle w:val="Subsection"/>
      </w:pPr>
      <w:r>
        <w:tab/>
      </w:r>
      <w:r>
        <w:tab/>
        <w:t>A filling station may be open at any time.</w:t>
      </w:r>
    </w:p>
    <w:p>
      <w:pPr>
        <w:pStyle w:val="Footnotesection"/>
      </w:pPr>
      <w:r>
        <w:tab/>
        <w:t>[Section 14 inserted: No. 47 of 2006 s. 11.]</w:t>
      </w:r>
    </w:p>
    <w:p>
      <w:pPr>
        <w:pStyle w:val="Heading5"/>
      </w:pPr>
      <w:bookmarkStart w:id="57" w:name="_Toc131508815"/>
      <w:bookmarkStart w:id="58" w:name="_Toc106100267"/>
      <w:r>
        <w:rPr>
          <w:rStyle w:val="CharSectno"/>
        </w:rPr>
        <w:t>14A</w:t>
      </w:r>
      <w:r>
        <w:t>.</w:t>
      </w:r>
      <w:r>
        <w:tab/>
        <w:t>Goods that can be sold at filling stations</w:t>
      </w:r>
      <w:bookmarkEnd w:id="57"/>
      <w:bookmarkEnd w:id="58"/>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w:t>
      </w:r>
    </w:p>
    <w:p>
      <w:pPr>
        <w:pStyle w:val="Ednotepara"/>
      </w:pPr>
      <w:r>
        <w:tab/>
        <w:t>[(c), (d)</w:t>
      </w:r>
      <w:r>
        <w:tab/>
        <w:t>deleted]</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r>
        <w:tab/>
        <w:t>[Section 14A inserted: No. 47 of 2006 s. 11; amended: No. 38 of 2010 s. 6; No. 35 of 2016 s. 8.]</w:t>
      </w:r>
    </w:p>
    <w:p>
      <w:pPr>
        <w:pStyle w:val="Ednotesection"/>
      </w:pPr>
      <w:r>
        <w:t>[</w:t>
      </w:r>
      <w:r>
        <w:rPr>
          <w:b/>
          <w:bCs/>
        </w:rPr>
        <w:t>14B, 14C.</w:t>
      </w:r>
      <w:r>
        <w:tab/>
        <w:t>Deleted: No. 35 of 2016 s. 9.]</w:t>
      </w:r>
    </w:p>
    <w:p>
      <w:pPr>
        <w:pStyle w:val="Heading5"/>
        <w:rPr>
          <w:snapToGrid w:val="0"/>
        </w:rPr>
      </w:pPr>
      <w:bookmarkStart w:id="59" w:name="_Toc131508816"/>
      <w:bookmarkStart w:id="60" w:name="_Toc106100268"/>
      <w:r>
        <w:rPr>
          <w:rStyle w:val="CharSectno"/>
        </w:rPr>
        <w:t>15</w:t>
      </w:r>
      <w:r>
        <w:rPr>
          <w:snapToGrid w:val="0"/>
        </w:rPr>
        <w:t>.</w:t>
      </w:r>
      <w:r>
        <w:rPr>
          <w:snapToGrid w:val="0"/>
        </w:rPr>
        <w:tab/>
        <w:t>Permits</w:t>
      </w:r>
      <w:bookmarkEnd w:id="59"/>
      <w:bookmarkEnd w:id="60"/>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section 14A(1)(a) or prescribed for the purposes of section 14A(1)(b).</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No. 1 of 1991 s. 14; No. 47 of 2006 s. 12 and 17; No. 35 of 2016 s. 10.] </w:t>
      </w:r>
    </w:p>
    <w:p>
      <w:pPr>
        <w:pStyle w:val="Heading5"/>
        <w:spacing w:before="160"/>
        <w:rPr>
          <w:snapToGrid w:val="0"/>
        </w:rPr>
      </w:pPr>
      <w:bookmarkStart w:id="61" w:name="_Toc131508817"/>
      <w:bookmarkStart w:id="62" w:name="_Toc106100269"/>
      <w:r>
        <w:rPr>
          <w:rStyle w:val="CharSectno"/>
        </w:rPr>
        <w:t>16</w:t>
      </w:r>
      <w:r>
        <w:rPr>
          <w:snapToGrid w:val="0"/>
        </w:rPr>
        <w:t>.</w:t>
      </w:r>
      <w:r>
        <w:rPr>
          <w:snapToGrid w:val="0"/>
        </w:rPr>
        <w:tab/>
        <w:t>Covenants relating to opening of retail shops</w:t>
      </w:r>
      <w:bookmarkEnd w:id="61"/>
      <w:bookmarkEnd w:id="62"/>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No. 1 of 1991 s. 11.] </w:t>
      </w:r>
    </w:p>
    <w:p>
      <w:pPr>
        <w:pStyle w:val="Ednotesection"/>
        <w:spacing w:before="160"/>
        <w:ind w:left="890" w:hanging="890"/>
      </w:pPr>
      <w:r>
        <w:t>[</w:t>
      </w:r>
      <w:r>
        <w:rPr>
          <w:b/>
          <w:bCs/>
        </w:rPr>
        <w:t>17-21.</w:t>
      </w:r>
      <w:r>
        <w:tab/>
        <w:t>Deleted: No. 23 of 2014 s. 93.]</w:t>
      </w:r>
    </w:p>
    <w:p>
      <w:pPr>
        <w:pStyle w:val="Heading2"/>
      </w:pPr>
      <w:bookmarkStart w:id="63" w:name="_Toc105752075"/>
      <w:bookmarkStart w:id="64" w:name="_Toc105752334"/>
      <w:bookmarkStart w:id="65" w:name="_Toc105767146"/>
      <w:bookmarkStart w:id="66" w:name="_Toc106100270"/>
      <w:bookmarkStart w:id="67" w:name="_Toc131506815"/>
      <w:bookmarkStart w:id="68" w:name="_Toc131507049"/>
      <w:bookmarkStart w:id="69" w:name="_Toc131508818"/>
      <w:r>
        <w:rPr>
          <w:rStyle w:val="CharPartNo"/>
        </w:rPr>
        <w:t>Part IV</w:t>
      </w:r>
      <w:r>
        <w:rPr>
          <w:rStyle w:val="CharDivNo"/>
        </w:rPr>
        <w:t> </w:t>
      </w:r>
      <w:r>
        <w:t>—</w:t>
      </w:r>
      <w:r>
        <w:rPr>
          <w:rStyle w:val="CharDivText"/>
        </w:rPr>
        <w:t> </w:t>
      </w:r>
      <w:r>
        <w:rPr>
          <w:rStyle w:val="CharPartText"/>
        </w:rPr>
        <w:t>Miscellaneous</w:t>
      </w:r>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0" w:name="_Toc131508819"/>
      <w:bookmarkStart w:id="71" w:name="_Toc106100271"/>
      <w:r>
        <w:rPr>
          <w:rStyle w:val="CharSectno"/>
        </w:rPr>
        <w:t>22</w:t>
      </w:r>
      <w:r>
        <w:rPr>
          <w:snapToGrid w:val="0"/>
        </w:rPr>
        <w:t>.</w:t>
      </w:r>
      <w:r>
        <w:rPr>
          <w:snapToGrid w:val="0"/>
        </w:rPr>
        <w:tab/>
        <w:t>Covenants contrary to this Act negated</w:t>
      </w:r>
      <w:bookmarkEnd w:id="70"/>
      <w:bookmarkEnd w:id="71"/>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72" w:name="_Toc131508820"/>
      <w:bookmarkStart w:id="73" w:name="_Toc106100272"/>
      <w:r>
        <w:rPr>
          <w:rStyle w:val="CharSectno"/>
        </w:rPr>
        <w:t>23</w:t>
      </w:r>
      <w:r>
        <w:rPr>
          <w:snapToGrid w:val="0"/>
        </w:rPr>
        <w:t>.</w:t>
      </w:r>
      <w:r>
        <w:rPr>
          <w:snapToGrid w:val="0"/>
        </w:rPr>
        <w:tab/>
        <w:t>Auctions of domestic furniture at dwelling house</w:t>
      </w:r>
      <w:bookmarkEnd w:id="72"/>
      <w:bookmarkEnd w:id="73"/>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74" w:name="_Toc131508821"/>
      <w:bookmarkStart w:id="75" w:name="_Toc106100273"/>
      <w:r>
        <w:rPr>
          <w:rStyle w:val="CharSectno"/>
        </w:rPr>
        <w:t>24</w:t>
      </w:r>
      <w:r>
        <w:rPr>
          <w:snapToGrid w:val="0"/>
        </w:rPr>
        <w:t>.</w:t>
      </w:r>
      <w:r>
        <w:rPr>
          <w:snapToGrid w:val="0"/>
        </w:rPr>
        <w:tab/>
        <w:t>When retail shop deemed not to be closed</w:t>
      </w:r>
      <w:bookmarkEnd w:id="74"/>
      <w:bookmarkEnd w:id="75"/>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76" w:name="_Toc131508822"/>
      <w:bookmarkStart w:id="77" w:name="_Toc106100274"/>
      <w:r>
        <w:rPr>
          <w:rStyle w:val="CharSectno"/>
        </w:rPr>
        <w:t>25</w:t>
      </w:r>
      <w:r>
        <w:rPr>
          <w:snapToGrid w:val="0"/>
        </w:rPr>
        <w:t>.</w:t>
      </w:r>
      <w:r>
        <w:rPr>
          <w:snapToGrid w:val="0"/>
        </w:rPr>
        <w:tab/>
        <w:t>Offences as to operating retail shops</w:t>
      </w:r>
      <w:bookmarkEnd w:id="76"/>
      <w:bookmarkEnd w:id="77"/>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A person commits an offence if the person operates a retail shop that is certified to be a small retail shop under section 10(3)(c) and is not owned and operated in accordance with section 10(3)(a), (b), (ba), (bb), (bc), (bd) and (be).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No. 47 of 2006 s. 13 and 17; No. 35 of 2016 s. 11.]</w:t>
      </w:r>
    </w:p>
    <w:p>
      <w:pPr>
        <w:pStyle w:val="Heading5"/>
        <w:rPr>
          <w:snapToGrid w:val="0"/>
        </w:rPr>
      </w:pPr>
      <w:bookmarkStart w:id="78" w:name="_Toc131508823"/>
      <w:bookmarkStart w:id="79" w:name="_Toc106100275"/>
      <w:r>
        <w:rPr>
          <w:rStyle w:val="CharSectno"/>
        </w:rPr>
        <w:t>26</w:t>
      </w:r>
      <w:r>
        <w:rPr>
          <w:snapToGrid w:val="0"/>
        </w:rPr>
        <w:t>.</w:t>
      </w:r>
      <w:r>
        <w:rPr>
          <w:snapToGrid w:val="0"/>
        </w:rPr>
        <w:tab/>
        <w:t>Advertisements of retail shopping hours, restrictions on</w:t>
      </w:r>
      <w:bookmarkEnd w:id="78"/>
      <w:bookmarkEnd w:id="79"/>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No. 47 of 2006 s. 17.]</w:t>
      </w:r>
    </w:p>
    <w:p>
      <w:pPr>
        <w:pStyle w:val="Heading5"/>
        <w:rPr>
          <w:snapToGrid w:val="0"/>
        </w:rPr>
      </w:pPr>
      <w:bookmarkStart w:id="80" w:name="_Toc131508824"/>
      <w:bookmarkStart w:id="81" w:name="_Toc106100276"/>
      <w:r>
        <w:rPr>
          <w:rStyle w:val="CharSectno"/>
        </w:rPr>
        <w:t>27</w:t>
      </w:r>
      <w:r>
        <w:rPr>
          <w:snapToGrid w:val="0"/>
        </w:rPr>
        <w:t>.</w:t>
      </w:r>
      <w:r>
        <w:rPr>
          <w:snapToGrid w:val="0"/>
        </w:rPr>
        <w:tab/>
        <w:t>Chief executive officer’s powers</w:t>
      </w:r>
      <w:bookmarkEnd w:id="80"/>
      <w:bookmarkEnd w:id="81"/>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No. 1 of 1991 s. 14; No. 47 of 2006 s. 17.] </w:t>
      </w:r>
    </w:p>
    <w:p>
      <w:pPr>
        <w:pStyle w:val="Heading5"/>
        <w:rPr>
          <w:snapToGrid w:val="0"/>
        </w:rPr>
      </w:pPr>
      <w:bookmarkStart w:id="82" w:name="_Toc131508825"/>
      <w:bookmarkStart w:id="83" w:name="_Toc106100277"/>
      <w:r>
        <w:rPr>
          <w:rStyle w:val="CharSectno"/>
        </w:rPr>
        <w:t>27A</w:t>
      </w:r>
      <w:r>
        <w:rPr>
          <w:snapToGrid w:val="0"/>
        </w:rPr>
        <w:t>.</w:t>
      </w:r>
      <w:r>
        <w:rPr>
          <w:snapToGrid w:val="0"/>
        </w:rPr>
        <w:tab/>
        <w:t>Delegation</w:t>
      </w:r>
      <w:bookmarkEnd w:id="82"/>
      <w:bookmarkEnd w:id="83"/>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No. 1 of 1991 s. 13.] </w:t>
      </w:r>
    </w:p>
    <w:p>
      <w:pPr>
        <w:pStyle w:val="Heading5"/>
        <w:rPr>
          <w:snapToGrid w:val="0"/>
        </w:rPr>
      </w:pPr>
      <w:bookmarkStart w:id="84" w:name="_Toc131508826"/>
      <w:bookmarkStart w:id="85" w:name="_Toc106100278"/>
      <w:r>
        <w:rPr>
          <w:rStyle w:val="CharSectno"/>
        </w:rPr>
        <w:t>28</w:t>
      </w:r>
      <w:r>
        <w:rPr>
          <w:snapToGrid w:val="0"/>
        </w:rPr>
        <w:t>.</w:t>
      </w:r>
      <w:r>
        <w:rPr>
          <w:snapToGrid w:val="0"/>
        </w:rPr>
        <w:tab/>
        <w:t>Access to places, books etc.</w:t>
      </w:r>
      <w:bookmarkEnd w:id="84"/>
      <w:bookmarkEnd w:id="85"/>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No. 1 of 1991 s. 14; No. 47 of 2006 s. 16(1).] </w:t>
      </w:r>
    </w:p>
    <w:p>
      <w:pPr>
        <w:pStyle w:val="Heading5"/>
        <w:keepLines w:val="0"/>
        <w:widowControl w:val="0"/>
        <w:rPr>
          <w:snapToGrid w:val="0"/>
        </w:rPr>
      </w:pPr>
      <w:bookmarkStart w:id="86" w:name="_Toc131508827"/>
      <w:bookmarkStart w:id="87" w:name="_Toc106100279"/>
      <w:r>
        <w:rPr>
          <w:rStyle w:val="CharSectno"/>
        </w:rPr>
        <w:t>29</w:t>
      </w:r>
      <w:r>
        <w:rPr>
          <w:snapToGrid w:val="0"/>
        </w:rPr>
        <w:t>.</w:t>
      </w:r>
      <w:r>
        <w:rPr>
          <w:snapToGrid w:val="0"/>
        </w:rPr>
        <w:tab/>
        <w:t>Inspector or authorised person may require information</w:t>
      </w:r>
      <w:bookmarkEnd w:id="86"/>
      <w:bookmarkEnd w:id="87"/>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No. 1 of 1991 s. 14; No. 47 of 2006 s. 16(2) and (3).] </w:t>
      </w:r>
    </w:p>
    <w:p>
      <w:pPr>
        <w:pStyle w:val="Heading5"/>
        <w:rPr>
          <w:snapToGrid w:val="0"/>
        </w:rPr>
      </w:pPr>
      <w:bookmarkStart w:id="88" w:name="_Toc131508828"/>
      <w:bookmarkStart w:id="89" w:name="_Toc106100280"/>
      <w:r>
        <w:rPr>
          <w:rStyle w:val="CharSectno"/>
        </w:rPr>
        <w:t>30</w:t>
      </w:r>
      <w:r>
        <w:rPr>
          <w:snapToGrid w:val="0"/>
        </w:rPr>
        <w:t>.</w:t>
      </w:r>
      <w:r>
        <w:rPr>
          <w:snapToGrid w:val="0"/>
        </w:rPr>
        <w:tab/>
        <w:t>Obstructing etc. inspector, authorised person etc.</w:t>
      </w:r>
      <w:bookmarkEnd w:id="88"/>
      <w:bookmarkEnd w:id="8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No. 47 of 2006 s. 17.]</w:t>
      </w:r>
    </w:p>
    <w:p>
      <w:pPr>
        <w:pStyle w:val="Heading5"/>
        <w:spacing w:before="240"/>
        <w:rPr>
          <w:snapToGrid w:val="0"/>
        </w:rPr>
      </w:pPr>
      <w:bookmarkStart w:id="90" w:name="_Toc131508829"/>
      <w:bookmarkStart w:id="91" w:name="_Toc106100281"/>
      <w:r>
        <w:rPr>
          <w:rStyle w:val="CharSectno"/>
        </w:rPr>
        <w:t>31</w:t>
      </w:r>
      <w:r>
        <w:rPr>
          <w:snapToGrid w:val="0"/>
        </w:rPr>
        <w:t>.</w:t>
      </w:r>
      <w:r>
        <w:rPr>
          <w:snapToGrid w:val="0"/>
        </w:rPr>
        <w:tab/>
        <w:t>Protection of person questioned</w:t>
      </w:r>
      <w:bookmarkEnd w:id="90"/>
      <w:bookmarkEnd w:id="91"/>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240"/>
        <w:rPr>
          <w:snapToGrid w:val="0"/>
        </w:rPr>
      </w:pPr>
      <w:bookmarkStart w:id="92" w:name="_Toc131508830"/>
      <w:bookmarkStart w:id="93" w:name="_Toc106100282"/>
      <w:r>
        <w:rPr>
          <w:rStyle w:val="CharSectno"/>
        </w:rPr>
        <w:t>32</w:t>
      </w:r>
      <w:r>
        <w:rPr>
          <w:snapToGrid w:val="0"/>
        </w:rPr>
        <w:t>.</w:t>
      </w:r>
      <w:r>
        <w:rPr>
          <w:snapToGrid w:val="0"/>
        </w:rPr>
        <w:tab/>
        <w:t>Unauthorised disclosure of information</w:t>
      </w:r>
      <w:bookmarkEnd w:id="92"/>
      <w:bookmarkEnd w:id="93"/>
    </w:p>
    <w:p>
      <w:pPr>
        <w:pStyle w:val="Subsection"/>
        <w:spacing w:before="18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r>
        <w:tab/>
        <w:t>[Section 32 amended: No. 47 of 2006 s. 17.]</w:t>
      </w:r>
    </w:p>
    <w:p>
      <w:pPr>
        <w:pStyle w:val="Heading5"/>
        <w:spacing w:before="240"/>
        <w:rPr>
          <w:snapToGrid w:val="0"/>
        </w:rPr>
      </w:pPr>
      <w:bookmarkStart w:id="94" w:name="_Toc131508831"/>
      <w:bookmarkStart w:id="95" w:name="_Toc106100283"/>
      <w:r>
        <w:rPr>
          <w:rStyle w:val="CharSectno"/>
        </w:rPr>
        <w:t>33</w:t>
      </w:r>
      <w:r>
        <w:rPr>
          <w:snapToGrid w:val="0"/>
        </w:rPr>
        <w:t>.</w:t>
      </w:r>
      <w:r>
        <w:rPr>
          <w:snapToGrid w:val="0"/>
        </w:rPr>
        <w:tab/>
        <w:t>Offences as to dishonesty or damage</w:t>
      </w:r>
      <w:bookmarkEnd w:id="94"/>
      <w:bookmarkEnd w:id="95"/>
    </w:p>
    <w:p>
      <w:pPr>
        <w:pStyle w:val="Subsection"/>
        <w:spacing w:before="18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spacing w:before="180"/>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spacing w:before="180"/>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r>
        <w:tab/>
        <w:t>[Section 33 amended: No. 47 of 2006 s. 17.]</w:t>
      </w:r>
    </w:p>
    <w:p>
      <w:pPr>
        <w:pStyle w:val="Ednotesection"/>
      </w:pPr>
      <w:ins w:id="96" w:author="Master Repository Process" w:date="2023-04-05T12:27:00Z">
        <w:r>
          <w:t>[</w:t>
        </w:r>
      </w:ins>
      <w:bookmarkStart w:id="97" w:name="_Toc106100284"/>
      <w:r>
        <w:rPr>
          <w:b/>
        </w:rPr>
        <w:t>34.</w:t>
      </w:r>
      <w:r>
        <w:tab/>
      </w:r>
      <w:del w:id="98" w:author="Master Repository Process" w:date="2023-04-05T12:27:00Z">
        <w:r>
          <w:delText>Liability</w:delText>
        </w:r>
      </w:del>
      <w:ins w:id="99" w:author="Master Repository Process" w:date="2023-04-05T12:27:00Z">
        <w:r>
          <w:t>Deleted: No. 9</w:t>
        </w:r>
      </w:ins>
      <w:r>
        <w:t xml:space="preserve"> of </w:t>
      </w:r>
      <w:del w:id="100" w:author="Master Repository Process" w:date="2023-04-05T12:27:00Z">
        <w:r>
          <w:delText>directors etc. of bodies corporate</w:delText>
        </w:r>
      </w:del>
      <w:bookmarkEnd w:id="97"/>
      <w:ins w:id="101" w:author="Master Repository Process" w:date="2023-04-05T12:27:00Z">
        <w:r>
          <w:t>2023 s. 132.]</w:t>
        </w:r>
      </w:ins>
    </w:p>
    <w:p>
      <w:pPr>
        <w:pStyle w:val="Subsection"/>
        <w:rPr>
          <w:del w:id="102" w:author="Master Repository Process" w:date="2023-04-05T12:27:00Z"/>
          <w:snapToGrid w:val="0"/>
        </w:rPr>
      </w:pPr>
      <w:del w:id="103" w:author="Master Repository Process" w:date="2023-04-05T12:27:00Z">
        <w:r>
          <w:rPr>
            <w:snapToGrid w:val="0"/>
          </w:rPr>
          <w:tab/>
          <w:delText>(1)</w:delText>
        </w:r>
        <w:r>
          <w:rPr>
            <w:snapToGrid w:val="0"/>
          </w:rPr>
          <w:tab/>
          <w:delTex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delText>
        </w:r>
      </w:del>
    </w:p>
    <w:p>
      <w:pPr>
        <w:pStyle w:val="Subsection"/>
        <w:rPr>
          <w:del w:id="104" w:author="Master Repository Process" w:date="2023-04-05T12:27:00Z"/>
          <w:snapToGrid w:val="0"/>
        </w:rPr>
      </w:pPr>
      <w:del w:id="105" w:author="Master Repository Process" w:date="2023-04-05T12:27:00Z">
        <w:r>
          <w:rPr>
            <w:snapToGrid w:val="0"/>
          </w:rPr>
          <w:tab/>
          <w:delText>(2)</w:delText>
        </w:r>
        <w:r>
          <w:rPr>
            <w:snapToGrid w:val="0"/>
          </w:rPr>
          <w:tab/>
          <w:delText>When the affairs of a body corporate are managed by its members, subsection (1) applies in relation to the acts or omissions of a member of the body corporate in connection with his functions of management as if he were a director of the body corporate.</w:delText>
        </w:r>
      </w:del>
    </w:p>
    <w:p>
      <w:pPr>
        <w:pStyle w:val="Heading5"/>
        <w:rPr>
          <w:snapToGrid w:val="0"/>
        </w:rPr>
      </w:pPr>
      <w:bookmarkStart w:id="106" w:name="_Toc131508832"/>
      <w:bookmarkStart w:id="107" w:name="_Toc106100285"/>
      <w:r>
        <w:rPr>
          <w:rStyle w:val="CharSectno"/>
        </w:rPr>
        <w:t>35</w:t>
      </w:r>
      <w:r>
        <w:rPr>
          <w:snapToGrid w:val="0"/>
        </w:rPr>
        <w:t>.</w:t>
      </w:r>
      <w:r>
        <w:rPr>
          <w:snapToGrid w:val="0"/>
        </w:rPr>
        <w:tab/>
        <w:t>Records etc. for this Act, availability of</w:t>
      </w:r>
      <w:bookmarkEnd w:id="106"/>
      <w:bookmarkEnd w:id="107"/>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108" w:name="_Toc131508833"/>
      <w:bookmarkStart w:id="109" w:name="_Toc106100286"/>
      <w:r>
        <w:rPr>
          <w:rStyle w:val="CharSectno"/>
        </w:rPr>
        <w:t>36</w:t>
      </w:r>
      <w:r>
        <w:rPr>
          <w:snapToGrid w:val="0"/>
        </w:rPr>
        <w:t>.</w:t>
      </w:r>
      <w:r>
        <w:rPr>
          <w:snapToGrid w:val="0"/>
        </w:rPr>
        <w:tab/>
        <w:t>Records etc. for this Act to be in English</w:t>
      </w:r>
      <w:bookmarkEnd w:id="108"/>
      <w:bookmarkEnd w:id="109"/>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110" w:name="_Toc131508834"/>
      <w:bookmarkStart w:id="111" w:name="_Toc106100287"/>
      <w:r>
        <w:rPr>
          <w:rStyle w:val="CharSectno"/>
        </w:rPr>
        <w:t>37</w:t>
      </w:r>
      <w:r>
        <w:rPr>
          <w:snapToGrid w:val="0"/>
        </w:rPr>
        <w:t>.</w:t>
      </w:r>
      <w:r>
        <w:rPr>
          <w:snapToGrid w:val="0"/>
        </w:rPr>
        <w:tab/>
        <w:t>Prosecutions of offences need chief executive officer’s consent</w:t>
      </w:r>
      <w:bookmarkEnd w:id="110"/>
      <w:bookmarkEnd w:id="111"/>
    </w:p>
    <w:p>
      <w:pPr>
        <w:pStyle w:val="Subsection"/>
        <w:keepNext/>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No. 1 of 1991 s. 14.] </w:t>
      </w:r>
    </w:p>
    <w:p>
      <w:pPr>
        <w:pStyle w:val="Heading5"/>
        <w:spacing w:before="180"/>
        <w:rPr>
          <w:snapToGrid w:val="0"/>
        </w:rPr>
      </w:pPr>
      <w:bookmarkStart w:id="112" w:name="_Toc131508835"/>
      <w:bookmarkStart w:id="113" w:name="_Toc106100288"/>
      <w:r>
        <w:rPr>
          <w:rStyle w:val="CharSectno"/>
        </w:rPr>
        <w:t>38</w:t>
      </w:r>
      <w:r>
        <w:rPr>
          <w:snapToGrid w:val="0"/>
        </w:rPr>
        <w:t>.</w:t>
      </w:r>
      <w:r>
        <w:rPr>
          <w:snapToGrid w:val="0"/>
        </w:rPr>
        <w:tab/>
        <w:t>Protection of officers, members and others</w:t>
      </w:r>
      <w:bookmarkEnd w:id="112"/>
      <w:bookmarkEnd w:id="113"/>
      <w:r>
        <w:rPr>
          <w:snapToGrid w:val="0"/>
        </w:rPr>
        <w:t xml:space="preserve"> </w:t>
      </w:r>
    </w:p>
    <w:p>
      <w:pPr>
        <w:pStyle w:val="Subsection"/>
        <w:keepNext/>
        <w:rPr>
          <w:snapToGrid w:val="0"/>
        </w:rPr>
      </w:pPr>
      <w:r>
        <w:rPr>
          <w:snapToGrid w:val="0"/>
        </w:rPr>
        <w:tab/>
      </w:r>
      <w:r>
        <w:rPr>
          <w:snapToGrid w:val="0"/>
        </w:rPr>
        <w:tab/>
        <w:t xml:space="preserve">No liability attaches to the chief executive officer, any inspector, authorised </w:t>
      </w:r>
      <w:r>
        <w:t>person or officer of the Department</w:t>
      </w:r>
      <w:r>
        <w:rPr>
          <w:snapToGrid w:val="0"/>
        </w:rPr>
        <w:t xml:space="preserv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No. 1 of 1991 s. 14; No. 23 of 2014 s. 94.] </w:t>
      </w:r>
    </w:p>
    <w:p>
      <w:pPr>
        <w:pStyle w:val="Heading5"/>
        <w:rPr>
          <w:snapToGrid w:val="0"/>
        </w:rPr>
      </w:pPr>
      <w:bookmarkStart w:id="114" w:name="_Toc131508836"/>
      <w:bookmarkStart w:id="115" w:name="_Toc106100289"/>
      <w:r>
        <w:rPr>
          <w:rStyle w:val="CharSectno"/>
        </w:rPr>
        <w:t>39</w:t>
      </w:r>
      <w:r>
        <w:rPr>
          <w:snapToGrid w:val="0"/>
        </w:rPr>
        <w:t>.</w:t>
      </w:r>
      <w:r>
        <w:rPr>
          <w:snapToGrid w:val="0"/>
        </w:rPr>
        <w:tab/>
        <w:t>Evidentiary provisions</w:t>
      </w:r>
      <w:bookmarkEnd w:id="114"/>
      <w:bookmarkEnd w:id="115"/>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keepNext/>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No. 1 of 1991 s. 14; No. 84 of 2004 s. 80 and 82.]</w:t>
      </w:r>
    </w:p>
    <w:p>
      <w:pPr>
        <w:pStyle w:val="Heading5"/>
        <w:spacing w:before="240"/>
        <w:rPr>
          <w:snapToGrid w:val="0"/>
        </w:rPr>
      </w:pPr>
      <w:bookmarkStart w:id="116" w:name="_Toc131508837"/>
      <w:bookmarkStart w:id="117" w:name="_Toc106100290"/>
      <w:r>
        <w:rPr>
          <w:rStyle w:val="CharSectno"/>
        </w:rPr>
        <w:t>40</w:t>
      </w:r>
      <w:r>
        <w:rPr>
          <w:snapToGrid w:val="0"/>
        </w:rPr>
        <w:t>.</w:t>
      </w:r>
      <w:r>
        <w:rPr>
          <w:snapToGrid w:val="0"/>
        </w:rPr>
        <w:tab/>
        <w:t>Regulations</w:t>
      </w:r>
      <w:bookmarkEnd w:id="116"/>
      <w:bookmarkEnd w:id="117"/>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keepNext/>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No. 47 of 2006 s. 17.]</w:t>
      </w:r>
    </w:p>
    <w:p>
      <w:pPr>
        <w:pStyle w:val="Heading5"/>
      </w:pPr>
      <w:bookmarkStart w:id="118" w:name="_Toc131508838"/>
      <w:bookmarkStart w:id="119" w:name="_Toc106100291"/>
      <w:r>
        <w:rPr>
          <w:rStyle w:val="CharSectno"/>
        </w:rPr>
        <w:t>41</w:t>
      </w:r>
      <w:r>
        <w:t>.</w:t>
      </w:r>
      <w:r>
        <w:tab/>
        <w:t>Review of Act</w:t>
      </w:r>
      <w:bookmarkEnd w:id="118"/>
      <w:bookmarkEnd w:id="119"/>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p>
    <w:p>
      <w:pPr>
        <w:pStyle w:val="Subsection"/>
        <w:keepNext/>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No. 47 of 2006 s. 14.]</w:t>
      </w:r>
    </w:p>
    <w:p>
      <w:pPr>
        <w:pStyle w:val="Heading5"/>
        <w:rPr>
          <w:snapToGrid w:val="0"/>
        </w:rPr>
      </w:pPr>
      <w:bookmarkStart w:id="120" w:name="_Toc131508839"/>
      <w:bookmarkStart w:id="121" w:name="_Toc106100292"/>
      <w:r>
        <w:rPr>
          <w:rStyle w:val="CharSectno"/>
        </w:rPr>
        <w:t>42</w:t>
      </w:r>
      <w:r>
        <w:rPr>
          <w:snapToGrid w:val="0"/>
        </w:rPr>
        <w:t>.</w:t>
      </w:r>
      <w:r>
        <w:rPr>
          <w:snapToGrid w:val="0"/>
        </w:rPr>
        <w:tab/>
        <w:t>Savings</w:t>
      </w:r>
      <w:bookmarkEnd w:id="120"/>
      <w:bookmarkEnd w:id="121"/>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w:t>
      </w:r>
      <w:r>
        <w:rPr>
          <w:snapToGrid w:val="0"/>
          <w:vertAlign w:val="superscript"/>
        </w:rPr>
        <w:t> 1</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keepNext/>
        <w:rPr>
          <w:snapToGrid w:val="0"/>
        </w:rPr>
      </w:pPr>
      <w:r>
        <w:rPr>
          <w:snapToGrid w:val="0"/>
        </w:rPr>
        <w:tab/>
        <w:t>(2)</w:t>
      </w:r>
      <w:r>
        <w:rPr>
          <w:snapToGrid w:val="0"/>
        </w:rPr>
        <w:tab/>
        <w:t>In subsection (1) — </w:t>
      </w:r>
    </w:p>
    <w:p>
      <w:pPr>
        <w:pStyle w:val="Defstart"/>
        <w:keepNext/>
      </w:pPr>
      <w:r>
        <w:rPr>
          <w:b/>
        </w:rPr>
        <w:tab/>
      </w:r>
      <w:r>
        <w:rPr>
          <w:rStyle w:val="CharDefText"/>
        </w:rPr>
        <w:t>commencement day</w:t>
      </w:r>
      <w:r>
        <w:t xml:space="preserve"> means the day on which this Act comes into operation.</w:t>
      </w:r>
    </w:p>
    <w:p>
      <w:pPr>
        <w:pStyle w:val="Footnotesection"/>
      </w:pPr>
      <w:r>
        <w:tab/>
        <w:t xml:space="preserve">[Section 42 amended: No. 73 of 1994 s. 4.] </w:t>
      </w:r>
    </w:p>
    <w:p>
      <w:pPr>
        <w:pStyle w:val="Ednotesection"/>
      </w:pPr>
      <w:r>
        <w:t>[</w:t>
      </w:r>
      <w:r>
        <w:rPr>
          <w:b/>
          <w:bCs/>
        </w:rPr>
        <w:t>43.</w:t>
      </w:r>
      <w:r>
        <w:tab/>
        <w:t>Deleted: No. 47 of 2006 s. 15.]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22" w:name="_Toc105752098"/>
      <w:bookmarkStart w:id="123" w:name="_Toc105752357"/>
      <w:bookmarkStart w:id="124" w:name="_Toc105767169"/>
      <w:bookmarkStart w:id="125" w:name="_Toc106100293"/>
      <w:bookmarkStart w:id="126" w:name="_Toc131506838"/>
      <w:bookmarkStart w:id="127" w:name="_Toc131507071"/>
      <w:bookmarkStart w:id="128" w:name="_Toc131508840"/>
      <w:r>
        <w:t>Notes</w:t>
      </w:r>
      <w:bookmarkEnd w:id="122"/>
      <w:bookmarkEnd w:id="123"/>
      <w:bookmarkEnd w:id="124"/>
      <w:bookmarkEnd w:id="125"/>
      <w:bookmarkEnd w:id="126"/>
      <w:bookmarkEnd w:id="127"/>
      <w:bookmarkEnd w:id="128"/>
    </w:p>
    <w:p>
      <w:pPr>
        <w:pStyle w:val="nStatement"/>
      </w:pPr>
      <w:r>
        <w:t xml:space="preserve">This is a compilation of the </w:t>
      </w:r>
      <w:r>
        <w:rPr>
          <w:i/>
          <w:noProof/>
        </w:rPr>
        <w:t>Retail Trading Hours Act 1987</w:t>
      </w:r>
      <w:r>
        <w:t xml:space="preserve"> and includes amendments made by other written laws. For provisions that have come into operation, and for information about any reprints, see the compilation table.</w:t>
      </w:r>
    </w:p>
    <w:p>
      <w:pPr>
        <w:pStyle w:val="nHeading3"/>
      </w:pPr>
      <w:bookmarkStart w:id="129" w:name="_Toc131508841"/>
      <w:bookmarkStart w:id="130" w:name="_Toc106100294"/>
      <w:r>
        <w:t>Compilation table</w:t>
      </w:r>
      <w:bookmarkEnd w:id="129"/>
      <w:bookmarkEnd w:id="130"/>
    </w:p>
    <w:tbl>
      <w:tblPr>
        <w:tblW w:w="7089" w:type="dxa"/>
        <w:tblInd w:w="8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13"/>
            </w:pPr>
            <w:r>
              <w:rPr>
                <w:i/>
              </w:rPr>
              <w:t>Retail Trading Hours Act 1987</w:t>
            </w:r>
          </w:p>
        </w:tc>
        <w:tc>
          <w:tcPr>
            <w:tcW w:w="1134" w:type="dxa"/>
            <w:tcBorders>
              <w:top w:val="single" w:sz="8" w:space="0" w:color="auto"/>
            </w:tcBorders>
          </w:tcPr>
          <w:p>
            <w:pPr>
              <w:pStyle w:val="nTable"/>
              <w:spacing w:after="40"/>
            </w:pPr>
            <w:r>
              <w:t>123 of 1987</w:t>
            </w:r>
          </w:p>
        </w:tc>
        <w:tc>
          <w:tcPr>
            <w:tcW w:w="1134" w:type="dxa"/>
            <w:tcBorders>
              <w:top w:val="single" w:sz="8" w:space="0" w:color="auto"/>
            </w:tcBorders>
          </w:tcPr>
          <w:p>
            <w:pPr>
              <w:pStyle w:val="nTable"/>
              <w:spacing w:after="40"/>
            </w:pPr>
            <w:r>
              <w:t>31 Dec 1987</w:t>
            </w:r>
          </w:p>
        </w:tc>
        <w:tc>
          <w:tcPr>
            <w:tcW w:w="2552" w:type="dxa"/>
            <w:tcBorders>
              <w:top w:val="single" w:sz="8" w:space="0" w:color="auto"/>
            </w:tcBorders>
          </w:tcPr>
          <w:p>
            <w:pPr>
              <w:pStyle w:val="nTable"/>
              <w:spacing w:after="40"/>
            </w:pPr>
            <w:r>
              <w:t>s. 1 and 2: 31 Dec 1987;</w:t>
            </w:r>
            <w:r>
              <w:br/>
              <w:t xml:space="preserve">Act other than s. 1 and 2: 1 Sep 1988 (see s. 2 and </w:t>
            </w:r>
            <w:r>
              <w:rPr>
                <w:i/>
              </w:rPr>
              <w:t>Gazette</w:t>
            </w:r>
            <w:r>
              <w:t xml:space="preserve"> 12 Aug 1988 p. 2695)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Retail Trading Hours Amendment Act 1991</w:t>
            </w:r>
          </w:p>
        </w:tc>
        <w:tc>
          <w:tcPr>
            <w:tcW w:w="1134" w:type="dxa"/>
          </w:tcPr>
          <w:p>
            <w:pPr>
              <w:pStyle w:val="nTable"/>
              <w:spacing w:after="40"/>
            </w:pPr>
            <w:r>
              <w:t>1 of 1991</w:t>
            </w:r>
          </w:p>
        </w:tc>
        <w:tc>
          <w:tcPr>
            <w:tcW w:w="1134" w:type="dxa"/>
          </w:tcPr>
          <w:p>
            <w:pPr>
              <w:pStyle w:val="nTable"/>
              <w:spacing w:after="40"/>
            </w:pPr>
            <w:r>
              <w:t>17 May 1991</w:t>
            </w:r>
          </w:p>
        </w:tc>
        <w:tc>
          <w:tcPr>
            <w:tcW w:w="2552" w:type="dxa"/>
          </w:tcPr>
          <w:p>
            <w:pPr>
              <w:pStyle w:val="nTable"/>
              <w:spacing w:after="40"/>
            </w:pPr>
            <w:r>
              <w:t>s. 1 and 2: 17 May 1991;</w:t>
            </w:r>
            <w:r>
              <w:br/>
              <w:t xml:space="preserve">Act other than s. 1, 2 and 12: 2 Aug 1991 (see s. 2 and </w:t>
            </w:r>
            <w:r>
              <w:rPr>
                <w:i/>
              </w:rPr>
              <w:t>Gazette</w:t>
            </w:r>
            <w:r>
              <w:t xml:space="preserve"> 2 Aug 1991 p. 3991);</w:t>
            </w:r>
            <w:r>
              <w:br/>
              <w:t xml:space="preserve">s. 12: 1 Nov 1991 (see s. 2 and </w:t>
            </w:r>
            <w:r>
              <w:rPr>
                <w:i/>
              </w:rPr>
              <w:t>Gazette</w:t>
            </w:r>
            <w:r>
              <w:t xml:space="preserve"> 1 Nov 1991 p. 5588)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1994 </w:t>
            </w:r>
            <w:r>
              <w:t xml:space="preserve">s. 4 </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Pawnbrokers and Second</w:t>
            </w:r>
            <w:r>
              <w:rPr>
                <w:i/>
              </w:rPr>
              <w:noBreakHyphen/>
              <w:t xml:space="preserve">hand Dealers Act 1994 </w:t>
            </w:r>
            <w:r>
              <w:t>s. 100</w:t>
            </w:r>
          </w:p>
        </w:tc>
        <w:tc>
          <w:tcPr>
            <w:tcW w:w="1134" w:type="dxa"/>
          </w:tcPr>
          <w:p>
            <w:pPr>
              <w:pStyle w:val="nTable"/>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rPr>
                <w:kern w:val="20"/>
              </w:rP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Retail Trading Hours Act 1987</w:t>
            </w:r>
            <w:r>
              <w:rPr>
                <w:b/>
              </w:rPr>
              <w:t xml:space="preserve"> as at 18 Jan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Retail Trading Hours Amendment (Referendums) Act 2004</w:t>
            </w:r>
          </w:p>
        </w:tc>
        <w:tc>
          <w:tcPr>
            <w:tcW w:w="1134" w:type="dxa"/>
          </w:tcPr>
          <w:p>
            <w:pPr>
              <w:pStyle w:val="nTable"/>
              <w:spacing w:after="40"/>
            </w:pPr>
            <w:r>
              <w:t>78 of 2004</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napToGrid w:val="0"/>
                <w:vertAlign w:val="superscript"/>
              </w:rPr>
            </w:pPr>
            <w:r>
              <w:rPr>
                <w:i/>
                <w:iCs/>
                <w:snapToGrid w:val="0"/>
              </w:rPr>
              <w:t>Retail Shops and Fair Trading Legislation Amendment Act 2006</w:t>
            </w:r>
            <w:r>
              <w:rPr>
                <w:snapToGrid w:val="0"/>
              </w:rPr>
              <w:t> Pt. 2</w:t>
            </w:r>
            <w:r>
              <w:rPr>
                <w:snapToGrid w:val="0"/>
                <w:vertAlign w:val="superscript"/>
              </w:rPr>
              <w:t> 2</w:t>
            </w:r>
          </w:p>
        </w:tc>
        <w:tc>
          <w:tcPr>
            <w:tcW w:w="1134" w:type="dxa"/>
          </w:tcPr>
          <w:p>
            <w:pPr>
              <w:pStyle w:val="nTable"/>
              <w:spacing w:after="40"/>
              <w:rPr>
                <w:snapToGrid w:val="0"/>
              </w:rPr>
            </w:pPr>
            <w:r>
              <w:rPr>
                <w:snapToGrid w:val="0"/>
              </w:rPr>
              <w:t>47 of 2006</w:t>
            </w:r>
          </w:p>
        </w:tc>
        <w:tc>
          <w:tcPr>
            <w:tcW w:w="1134" w:type="dxa"/>
          </w:tcPr>
          <w:p>
            <w:pPr>
              <w:pStyle w:val="nTable"/>
              <w:spacing w:after="40"/>
            </w:pPr>
            <w:r>
              <w:t>4 Oct 2006</w:t>
            </w:r>
          </w:p>
        </w:tc>
        <w:tc>
          <w:tcPr>
            <w:tcW w:w="2552" w:type="dxa"/>
          </w:tcPr>
          <w:p>
            <w:pPr>
              <w:pStyle w:val="nTable"/>
              <w:spacing w:after="40"/>
              <w:rPr>
                <w:snapToGrid w:val="0"/>
              </w:rPr>
            </w:pPr>
            <w:r>
              <w:t xml:space="preserve">11 May 2007 (see s. 2 and </w:t>
            </w:r>
            <w:r>
              <w:rPr>
                <w:i/>
                <w:iCs/>
              </w:rPr>
              <w:t>Gazette</w:t>
            </w:r>
            <w:r>
              <w:t xml:space="preserve"> 11 May 2007 p. 2017)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napToGrid w:val="0"/>
              </w:rPr>
            </w:pPr>
            <w:r>
              <w:rPr>
                <w:i/>
                <w:iCs/>
                <w:snapToGrid w:val="0"/>
              </w:rPr>
              <w:t xml:space="preserve">Liquor and Gaming Legislation Amendment Act 2006 </w:t>
            </w:r>
            <w:r>
              <w:rPr>
                <w:snapToGrid w:val="0"/>
              </w:rPr>
              <w:t>s. 115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2:  The </w:t>
            </w:r>
            <w:r>
              <w:rPr>
                <w:b/>
                <w:i/>
              </w:rPr>
              <w:t>Retail Trading Hours Act 1987</w:t>
            </w:r>
            <w:r>
              <w:rPr>
                <w:b/>
              </w:rPr>
              <w:t xml:space="preserve"> 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napToGrid w:val="0"/>
              </w:rPr>
            </w:pPr>
            <w:r>
              <w:rPr>
                <w:i/>
                <w:iCs/>
                <w:snapToGrid w:val="0"/>
              </w:rPr>
              <w:t>Training Legislation Amendment and Repeal Act 2008</w:t>
            </w:r>
            <w:r>
              <w:rPr>
                <w:snapToGrid w:val="0"/>
              </w:rPr>
              <w:t xml:space="preserve"> s. 60</w:t>
            </w:r>
          </w:p>
        </w:tc>
        <w:tc>
          <w:tcPr>
            <w:tcW w:w="1134" w:type="dxa"/>
          </w:tcPr>
          <w:p>
            <w:pPr>
              <w:pStyle w:val="nTable"/>
              <w:spacing w:after="40"/>
              <w:rPr>
                <w:snapToGrid w:val="0"/>
              </w:rPr>
            </w:pPr>
            <w:r>
              <w:rPr>
                <w:snapToGrid w:val="0"/>
              </w:rPr>
              <w:t>44 of 2008</w:t>
            </w:r>
          </w:p>
        </w:tc>
        <w:tc>
          <w:tcPr>
            <w:tcW w:w="1134" w:type="dxa"/>
          </w:tcPr>
          <w:p>
            <w:pPr>
              <w:pStyle w:val="nTable"/>
              <w:spacing w:after="40"/>
            </w:pPr>
            <w:r>
              <w:rPr>
                <w:snapToGrid w:val="0"/>
              </w:rPr>
              <w:t>10 Dec 2008</w:t>
            </w:r>
          </w:p>
        </w:tc>
        <w:tc>
          <w:tcPr>
            <w:tcW w:w="2552" w:type="dxa"/>
          </w:tcPr>
          <w:p>
            <w:pPr>
              <w:pStyle w:val="nTable"/>
              <w:spacing w:after="40"/>
              <w:rPr>
                <w:snapToGrid w:val="0"/>
              </w:rPr>
            </w:pPr>
            <w:r>
              <w:rPr>
                <w:snapToGrid w:val="0"/>
              </w:rPr>
              <w:t>10 Jun 2009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75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(Joondalup Special Trading Precinct) Act 2010</w:t>
            </w:r>
          </w:p>
        </w:tc>
        <w:tc>
          <w:tcPr>
            <w:tcW w:w="1134" w:type="dxa"/>
          </w:tcPr>
          <w:p>
            <w:pPr>
              <w:pStyle w:val="nTable"/>
              <w:spacing w:after="40"/>
            </w:pPr>
            <w:r>
              <w:t>22 of 2010</w:t>
            </w:r>
          </w:p>
        </w:tc>
        <w:tc>
          <w:tcPr>
            <w:tcW w:w="1134" w:type="dxa"/>
          </w:tcPr>
          <w:p>
            <w:pPr>
              <w:pStyle w:val="nTable"/>
              <w:spacing w:after="40"/>
            </w:pPr>
            <w:r>
              <w:t>7 Jul 2010</w:t>
            </w:r>
          </w:p>
        </w:tc>
        <w:tc>
          <w:tcPr>
            <w:tcW w:w="2552" w:type="dxa"/>
          </w:tcPr>
          <w:p>
            <w:pPr>
              <w:pStyle w:val="nTable"/>
              <w:spacing w:after="40"/>
            </w:pPr>
            <w:r>
              <w:rPr>
                <w:snapToGrid w:val="0"/>
              </w:rPr>
              <w:t>s. 1 and 2: 7 Jul 2010 (see s. 2(a));</w:t>
            </w:r>
            <w:r>
              <w:rPr>
                <w:snapToGrid w:val="0"/>
              </w:rPr>
              <w:br/>
              <w:t>Act other than s. 1 and 2: 8 Jul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(Armadale Special Trading Precinct) Act 2010</w:t>
            </w:r>
          </w:p>
        </w:tc>
        <w:tc>
          <w:tcPr>
            <w:tcW w:w="1134" w:type="dxa"/>
          </w:tcPr>
          <w:p>
            <w:pPr>
              <w:pStyle w:val="nTable"/>
              <w:spacing w:after="40"/>
            </w:pPr>
            <w:r>
              <w:t>36 of 2010</w:t>
            </w:r>
          </w:p>
        </w:tc>
        <w:tc>
          <w:tcPr>
            <w:tcW w:w="1134" w:type="dxa"/>
          </w:tcPr>
          <w:p>
            <w:pPr>
              <w:pStyle w:val="nTable"/>
              <w:spacing w:after="40"/>
            </w:pPr>
            <w:r>
              <w:t>22 Sep 2010</w:t>
            </w:r>
          </w:p>
        </w:tc>
        <w:tc>
          <w:tcPr>
            <w:tcW w:w="2552" w:type="dxa"/>
          </w:tcPr>
          <w:p>
            <w:pPr>
              <w:pStyle w:val="nTable"/>
              <w:spacing w:after="40"/>
              <w:rPr>
                <w:snapToGrid w:val="0"/>
              </w:rPr>
            </w:pPr>
            <w:r>
              <w:rPr>
                <w:snapToGrid w:val="0"/>
              </w:rPr>
              <w:t>s. 1 and 2: 22 Sep 2010 (see s. 2(a));</w:t>
            </w:r>
            <w:r>
              <w:rPr>
                <w:snapToGrid w:val="0"/>
              </w:rPr>
              <w:br/>
              <w:t>Act other than s. 1 and 2: 23 Sep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(Midland Special Trading Precinct) Act 2010</w:t>
            </w:r>
          </w:p>
        </w:tc>
        <w:tc>
          <w:tcPr>
            <w:tcW w:w="1134" w:type="dxa"/>
          </w:tcPr>
          <w:p>
            <w:pPr>
              <w:pStyle w:val="nTable"/>
              <w:spacing w:after="40"/>
            </w:pPr>
            <w:r>
              <w:t>37 of 2010</w:t>
            </w:r>
          </w:p>
        </w:tc>
        <w:tc>
          <w:tcPr>
            <w:tcW w:w="1134" w:type="dxa"/>
          </w:tcPr>
          <w:p>
            <w:pPr>
              <w:pStyle w:val="nTable"/>
              <w:spacing w:after="40"/>
            </w:pPr>
            <w:r>
              <w:t>22 Sep 2010</w:t>
            </w:r>
          </w:p>
        </w:tc>
        <w:tc>
          <w:tcPr>
            <w:tcW w:w="2552" w:type="dxa"/>
          </w:tcPr>
          <w:p>
            <w:pPr>
              <w:pStyle w:val="nTable"/>
              <w:spacing w:after="40"/>
              <w:rPr>
                <w:snapToGrid w:val="0"/>
              </w:rPr>
            </w:pPr>
            <w:r>
              <w:rPr>
                <w:snapToGrid w:val="0"/>
              </w:rPr>
              <w:t>s. 1 and 2: 22 Sep 2010 (see s. 2(a));</w:t>
            </w:r>
            <w:r>
              <w:rPr>
                <w:snapToGrid w:val="0"/>
              </w:rPr>
              <w:br/>
              <w:t>Act other than s. 1 and 2: 23 Sep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Act 2010</w:t>
            </w:r>
          </w:p>
        </w:tc>
        <w:tc>
          <w:tcPr>
            <w:tcW w:w="1134" w:type="dxa"/>
          </w:tcPr>
          <w:p>
            <w:pPr>
              <w:pStyle w:val="nTable"/>
              <w:spacing w:after="40"/>
            </w:pPr>
            <w:r>
              <w:t xml:space="preserve">38 of 2010 </w:t>
            </w:r>
          </w:p>
        </w:tc>
        <w:tc>
          <w:tcPr>
            <w:tcW w:w="1134" w:type="dxa"/>
          </w:tcPr>
          <w:p>
            <w:pPr>
              <w:pStyle w:val="nTable"/>
              <w:spacing w:after="40"/>
            </w:pPr>
            <w:r>
              <w:t>1 Oct 2010</w:t>
            </w:r>
          </w:p>
        </w:tc>
        <w:tc>
          <w:tcPr>
            <w:tcW w:w="2552" w:type="dxa"/>
          </w:tcPr>
          <w:p>
            <w:pPr>
              <w:pStyle w:val="nTable"/>
              <w:spacing w:after="40"/>
              <w:rPr>
                <w:snapToGrid w:val="0"/>
              </w:rPr>
            </w:pPr>
            <w:r>
              <w:rPr>
                <w:snapToGrid w:val="0"/>
              </w:rPr>
              <w:t>s. 1 and 2: 1 Oct 2010 (see s. 2(a));</w:t>
            </w:r>
            <w:r>
              <w:rPr>
                <w:snapToGrid w:val="0"/>
              </w:rPr>
              <w:br/>
              <w:t xml:space="preserve">Act other than s. 1 and 2: 1 Nov 2010 (see s. 2(b) and </w:t>
            </w:r>
            <w:r>
              <w:rPr>
                <w:i/>
                <w:iCs/>
                <w:snapToGrid w:val="0"/>
              </w:rPr>
              <w:t xml:space="preserve">Gazette </w:t>
            </w:r>
            <w:r>
              <w:rPr>
                <w:snapToGrid w:val="0"/>
              </w:rPr>
              <w:t>22 Oct 2010 p. 5207)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3:  The </w:t>
            </w:r>
            <w:r>
              <w:rPr>
                <w:b/>
                <w:i/>
              </w:rPr>
              <w:t>Retail Trading Hours Act 1987</w:t>
            </w:r>
            <w:r>
              <w:rPr>
                <w:b/>
              </w:rPr>
              <w:t xml:space="preserve"> as at 4 Feb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Act 2011</w:t>
            </w:r>
          </w:p>
        </w:tc>
        <w:tc>
          <w:tcPr>
            <w:tcW w:w="1134" w:type="dxa"/>
          </w:tcPr>
          <w:p>
            <w:pPr>
              <w:pStyle w:val="nTable"/>
              <w:spacing w:after="40"/>
            </w:pPr>
            <w:r>
              <w:rPr>
                <w:snapToGrid w:val="0"/>
              </w:rPr>
              <w:t>40 of 2011</w:t>
            </w:r>
          </w:p>
        </w:tc>
        <w:tc>
          <w:tcPr>
            <w:tcW w:w="1134" w:type="dxa"/>
          </w:tcPr>
          <w:p>
            <w:pPr>
              <w:pStyle w:val="nTable"/>
              <w:spacing w:after="40"/>
            </w:pPr>
            <w:r>
              <w:t>4 Oct 2011</w:t>
            </w:r>
          </w:p>
        </w:tc>
        <w:tc>
          <w:tcPr>
            <w:tcW w:w="2552" w:type="dxa"/>
          </w:tcPr>
          <w:p>
            <w:pPr>
              <w:pStyle w:val="nTable"/>
              <w:spacing w:after="40"/>
              <w:rPr>
                <w:snapToGrid w:val="0"/>
                <w:spacing w:val="-2"/>
              </w:rPr>
            </w:pPr>
            <w:r>
              <w:rPr>
                <w:snapToGrid w:val="0"/>
              </w:rPr>
              <w:t>s. 1 and 2: 4 Oct 2011 (see s. 2(a));</w:t>
            </w:r>
            <w:r>
              <w:rPr>
                <w:snapToGrid w:val="0"/>
              </w:rPr>
              <w:br/>
              <w:t>Act other than s. 1 and 2: 5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45</w:t>
            </w:r>
          </w:p>
        </w:tc>
        <w:tc>
          <w:tcPr>
            <w:tcW w:w="1134"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Act 2012</w:t>
            </w:r>
          </w:p>
        </w:tc>
        <w:tc>
          <w:tcPr>
            <w:tcW w:w="1134" w:type="dxa"/>
          </w:tcPr>
          <w:p>
            <w:pPr>
              <w:pStyle w:val="nTable"/>
              <w:spacing w:after="40"/>
              <w:rPr>
                <w:snapToGrid w:val="0"/>
              </w:rPr>
            </w:pPr>
            <w:r>
              <w:rPr>
                <w:snapToGrid w:val="0"/>
              </w:rPr>
              <w:t>13 of 2012</w:t>
            </w:r>
          </w:p>
        </w:tc>
        <w:tc>
          <w:tcPr>
            <w:tcW w:w="1134" w:type="dxa"/>
          </w:tcPr>
          <w:p>
            <w:pPr>
              <w:pStyle w:val="nTable"/>
              <w:spacing w:after="40"/>
            </w:pPr>
            <w:r>
              <w:t>3 Jul 2012</w:t>
            </w:r>
          </w:p>
        </w:tc>
        <w:tc>
          <w:tcPr>
            <w:tcW w:w="2552" w:type="dxa"/>
          </w:tcPr>
          <w:p>
            <w:pPr>
              <w:pStyle w:val="nTable"/>
              <w:spacing w:after="40"/>
              <w:rPr>
                <w:snapToGrid w:val="0"/>
              </w:rPr>
            </w:pPr>
            <w:r>
              <w:rPr>
                <w:snapToGrid w:val="0"/>
              </w:rPr>
              <w:t>s. 1 and 2: 3 Jul 2012 (see s. 2(a));</w:t>
            </w:r>
            <w:r>
              <w:rPr>
                <w:snapToGrid w:val="0"/>
              </w:rPr>
              <w:br/>
              <w:t xml:space="preserve">s. 3-6: 26 Aug 2012 (see s. 2(b) and </w:t>
            </w:r>
            <w:r>
              <w:rPr>
                <w:i/>
                <w:snapToGrid w:val="0"/>
              </w:rPr>
              <w:t>Gazette</w:t>
            </w:r>
            <w:r>
              <w:rPr>
                <w:snapToGrid w:val="0"/>
              </w:rPr>
              <w:t xml:space="preserve"> 17 Aug 2012 p. 3899)</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13 Div. 1</w:t>
            </w:r>
          </w:p>
        </w:tc>
        <w:tc>
          <w:tcPr>
            <w:tcW w:w="1134" w:type="dxa"/>
            <w:shd w:val="clear" w:color="auto" w:fill="auto"/>
          </w:tcPr>
          <w:p>
            <w:pPr>
              <w:pStyle w:val="nTable"/>
              <w:spacing w:after="40"/>
              <w:rPr>
                <w:snapToGrid w:val="0"/>
              </w:rPr>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4: The </w:t>
            </w:r>
            <w:r>
              <w:rPr>
                <w:b/>
                <w:i/>
                <w:noProof/>
                <w:snapToGrid w:val="0"/>
              </w:rPr>
              <w:t>Retail Trading Hours Act 1987</w:t>
            </w:r>
            <w:r>
              <w:rPr>
                <w:b/>
                <w:snapToGrid w:val="0"/>
              </w:rPr>
              <w:t xml:space="preserve"> as at 7 Aug 2015</w:t>
            </w:r>
            <w:r>
              <w:rPr>
                <w:snapToGrid w:val="0"/>
              </w:rPr>
              <w:t xml:space="preserve"> (includes amendments listed above)</w:t>
            </w:r>
          </w:p>
        </w:tc>
      </w:tr>
      <w:tr>
        <w:trPr>
          <w:cantSplit/>
        </w:trPr>
        <w:tc>
          <w:tcPr>
            <w:tcW w:w="2269" w:type="dxa"/>
            <w:tcBorders>
              <w:top w:val="nil"/>
              <w:bottom w:val="nil"/>
            </w:tcBorders>
            <w:shd w:val="clear" w:color="auto" w:fill="auto"/>
          </w:tcPr>
          <w:p>
            <w:pPr>
              <w:pStyle w:val="nTable"/>
              <w:spacing w:after="40"/>
              <w:rPr>
                <w:i/>
                <w:snapToGrid w:val="0"/>
              </w:rPr>
            </w:pPr>
            <w:r>
              <w:rPr>
                <w:i/>
              </w:rPr>
              <w:t>Retail Trading Hours Amendment Act 2016</w:t>
            </w:r>
            <w:r>
              <w:t xml:space="preserve"> Pt. 2</w:t>
            </w:r>
          </w:p>
        </w:tc>
        <w:tc>
          <w:tcPr>
            <w:tcW w:w="1134" w:type="dxa"/>
            <w:tcBorders>
              <w:top w:val="nil"/>
              <w:bottom w:val="nil"/>
            </w:tcBorders>
            <w:shd w:val="clear" w:color="auto" w:fill="auto"/>
          </w:tcPr>
          <w:p>
            <w:pPr>
              <w:pStyle w:val="nTable"/>
              <w:spacing w:after="40"/>
              <w:rPr>
                <w:snapToGrid w:val="0"/>
              </w:rPr>
            </w:pPr>
            <w:r>
              <w:t>35 of 2016</w:t>
            </w:r>
          </w:p>
        </w:tc>
        <w:tc>
          <w:tcPr>
            <w:tcW w:w="1134" w:type="dxa"/>
            <w:tcBorders>
              <w:top w:val="nil"/>
              <w:bottom w:val="nil"/>
            </w:tcBorders>
            <w:shd w:val="clear" w:color="auto" w:fill="auto"/>
          </w:tcPr>
          <w:p>
            <w:pPr>
              <w:pStyle w:val="nTable"/>
              <w:spacing w:after="40"/>
            </w:pPr>
            <w:r>
              <w:t>16 Nov 2016</w:t>
            </w:r>
          </w:p>
        </w:tc>
        <w:tc>
          <w:tcPr>
            <w:tcW w:w="2552" w:type="dxa"/>
            <w:tcBorders>
              <w:top w:val="nil"/>
              <w:bottom w:val="nil"/>
            </w:tcBorders>
            <w:shd w:val="clear" w:color="auto" w:fill="auto"/>
          </w:tcPr>
          <w:p>
            <w:pPr>
              <w:pStyle w:val="nTable"/>
              <w:spacing w:after="40"/>
              <w:rPr>
                <w:snapToGrid w:val="0"/>
              </w:rPr>
            </w:pPr>
            <w:r>
              <w:rPr>
                <w:snapToGrid w:val="0"/>
              </w:rPr>
              <w:t xml:space="preserve">14 Dec 2016 (see s. 2(b) and </w:t>
            </w:r>
            <w:r>
              <w:rPr>
                <w:i/>
                <w:snapToGrid w:val="0"/>
              </w:rPr>
              <w:t>Gazette</w:t>
            </w:r>
            <w:r>
              <w:rPr>
                <w:snapToGrid w:val="0"/>
              </w:rPr>
              <w:t xml:space="preserve"> 13 Dec 2016 p. 5619)</w:t>
            </w:r>
          </w:p>
        </w:tc>
      </w:tr>
      <w:tr>
        <w:trPr>
          <w:cantSplit/>
        </w:trPr>
        <w:tc>
          <w:tcPr>
            <w:tcW w:w="2269" w:type="dxa"/>
            <w:tcBorders>
              <w:top w:val="nil"/>
              <w:bottom w:val="nil"/>
            </w:tcBorders>
            <w:shd w:val="clear" w:color="auto" w:fill="auto"/>
          </w:tcPr>
          <w:p>
            <w:pPr>
              <w:pStyle w:val="nTable"/>
              <w:spacing w:after="40"/>
              <w:rPr>
                <w:i/>
              </w:rPr>
            </w:pPr>
            <w:r>
              <w:rPr>
                <w:i/>
              </w:rPr>
              <w:t>Veterinary Practice Act 2021</w:t>
            </w:r>
            <w:r>
              <w:t xml:space="preserve"> s. 234</w:t>
            </w:r>
          </w:p>
        </w:tc>
        <w:tc>
          <w:tcPr>
            <w:tcW w:w="1134" w:type="dxa"/>
            <w:tcBorders>
              <w:top w:val="nil"/>
              <w:bottom w:val="nil"/>
            </w:tcBorders>
            <w:shd w:val="clear" w:color="auto" w:fill="auto"/>
          </w:tcPr>
          <w:p>
            <w:pPr>
              <w:pStyle w:val="nTable"/>
              <w:spacing w:after="40"/>
            </w:pPr>
            <w:r>
              <w:t>19 of 2021</w:t>
            </w:r>
          </w:p>
        </w:tc>
        <w:tc>
          <w:tcPr>
            <w:tcW w:w="1134" w:type="dxa"/>
            <w:tcBorders>
              <w:top w:val="nil"/>
              <w:bottom w:val="nil"/>
            </w:tcBorders>
            <w:shd w:val="clear" w:color="auto" w:fill="auto"/>
          </w:tcPr>
          <w:p>
            <w:pPr>
              <w:pStyle w:val="nTable"/>
              <w:spacing w:after="40"/>
            </w:pPr>
            <w:r>
              <w:t>27 Oct 2021</w:t>
            </w:r>
          </w:p>
        </w:tc>
        <w:tc>
          <w:tcPr>
            <w:tcW w:w="2552" w:type="dxa"/>
            <w:tcBorders>
              <w:top w:val="nil"/>
              <w:bottom w:val="nil"/>
            </w:tcBorders>
            <w:shd w:val="clear" w:color="auto" w:fill="auto"/>
          </w:tcPr>
          <w:p>
            <w:pPr>
              <w:pStyle w:val="nTable"/>
              <w:spacing w:after="40"/>
              <w:rPr>
                <w:snapToGrid w:val="0"/>
              </w:rPr>
            </w:pPr>
            <w:r>
              <w:rPr>
                <w:snapToGrid w:val="0"/>
              </w:rPr>
              <w:t>18 Jun 2022 (see s. 2(b) and SL 2022/81 cl. 2)</w:t>
            </w:r>
          </w:p>
        </w:tc>
      </w:tr>
      <w:tr>
        <w:tblPrEx>
          <w:tblBorders>
            <w:top w:val="none" w:sz="0" w:space="0" w:color="auto"/>
            <w:bottom w:val="none" w:sz="0" w:space="0" w:color="auto"/>
            <w:insideH w:val="none" w:sz="0" w:space="0" w:color="auto"/>
          </w:tblBorders>
        </w:tblPrEx>
        <w:trPr>
          <w:cantSplit/>
          <w:ins w:id="131" w:author="Master Repository Process" w:date="2023-04-05T12:27:00Z"/>
        </w:trPr>
        <w:tc>
          <w:tcPr>
            <w:tcW w:w="2269" w:type="dxa"/>
            <w:tcBorders>
              <w:bottom w:val="single" w:sz="4" w:space="0" w:color="auto"/>
            </w:tcBorders>
            <w:shd w:val="clear" w:color="auto" w:fill="auto"/>
          </w:tcPr>
          <w:p>
            <w:pPr>
              <w:pStyle w:val="nTable"/>
              <w:spacing w:after="40"/>
              <w:rPr>
                <w:ins w:id="132" w:author="Master Repository Process" w:date="2023-04-05T12:27:00Z"/>
              </w:rPr>
            </w:pPr>
            <w:ins w:id="133" w:author="Master Repository Process" w:date="2023-04-05T12:27:00Z">
              <w:r>
                <w:rPr>
                  <w:i/>
                </w:rPr>
                <w:t>Directors’ Liability Reform Act 2023</w:t>
              </w:r>
              <w:r>
                <w:t xml:space="preserve"> Pt. 3 Div. 53</w:t>
              </w:r>
            </w:ins>
          </w:p>
        </w:tc>
        <w:tc>
          <w:tcPr>
            <w:tcW w:w="1134" w:type="dxa"/>
            <w:tcBorders>
              <w:bottom w:val="single" w:sz="4" w:space="0" w:color="auto"/>
            </w:tcBorders>
            <w:shd w:val="clear" w:color="auto" w:fill="auto"/>
          </w:tcPr>
          <w:p>
            <w:pPr>
              <w:pStyle w:val="nTable"/>
              <w:spacing w:after="40"/>
              <w:rPr>
                <w:ins w:id="134" w:author="Master Repository Process" w:date="2023-04-05T12:27:00Z"/>
              </w:rPr>
            </w:pPr>
            <w:ins w:id="135" w:author="Master Repository Process" w:date="2023-04-05T12:27:00Z">
              <w:r>
                <w:t>9 of 2023</w:t>
              </w:r>
            </w:ins>
          </w:p>
        </w:tc>
        <w:tc>
          <w:tcPr>
            <w:tcW w:w="1134" w:type="dxa"/>
            <w:tcBorders>
              <w:bottom w:val="single" w:sz="4" w:space="0" w:color="auto"/>
            </w:tcBorders>
            <w:shd w:val="clear" w:color="auto" w:fill="auto"/>
          </w:tcPr>
          <w:p>
            <w:pPr>
              <w:pStyle w:val="nTable"/>
              <w:spacing w:after="40"/>
              <w:rPr>
                <w:ins w:id="136" w:author="Master Repository Process" w:date="2023-04-05T12:27:00Z"/>
              </w:rPr>
            </w:pPr>
            <w:ins w:id="137" w:author="Master Repository Process" w:date="2023-04-05T12:27:00Z">
              <w:r>
                <w:t>4 Apr 2023</w:t>
              </w:r>
            </w:ins>
          </w:p>
        </w:tc>
        <w:tc>
          <w:tcPr>
            <w:tcW w:w="2552" w:type="dxa"/>
            <w:tcBorders>
              <w:bottom w:val="single" w:sz="4" w:space="0" w:color="auto"/>
            </w:tcBorders>
            <w:shd w:val="clear" w:color="auto" w:fill="auto"/>
          </w:tcPr>
          <w:p>
            <w:pPr>
              <w:pStyle w:val="nTable"/>
              <w:spacing w:after="40"/>
              <w:rPr>
                <w:ins w:id="138" w:author="Master Repository Process" w:date="2023-04-05T12:27:00Z"/>
                <w:snapToGrid w:val="0"/>
              </w:rPr>
            </w:pPr>
            <w:ins w:id="139" w:author="Master Repository Process" w:date="2023-04-05T12:27:00Z">
              <w:r>
                <w:rPr>
                  <w:snapToGrid w:val="0"/>
                </w:rPr>
                <w:t>5 Apr 2023 (see s. 2(j))</w:t>
              </w:r>
            </w:ins>
          </w:p>
        </w:tc>
      </w:tr>
    </w:tbl>
    <w:p>
      <w:pPr>
        <w:pStyle w:val="nHeading3"/>
      </w:pPr>
      <w:bookmarkStart w:id="140" w:name="_Toc131508842"/>
      <w:bookmarkStart w:id="141" w:name="_Toc106100295"/>
      <w:r>
        <w:t>Other notes</w:t>
      </w:r>
      <w:bookmarkEnd w:id="140"/>
      <w:bookmarkEnd w:id="141"/>
    </w:p>
    <w:p>
      <w:pPr>
        <w:pStyle w:val="nNote"/>
        <w:spacing w:before="160"/>
      </w:pPr>
      <w:r>
        <w:rPr>
          <w:vertAlign w:val="superscript"/>
        </w:rPr>
        <w:t>1</w:t>
      </w:r>
      <w:r>
        <w:tab/>
        <w:t xml:space="preserve">Repealed by the </w:t>
      </w:r>
      <w:r>
        <w:rPr>
          <w:i/>
        </w:rPr>
        <w:t>Industrial Relations Legislation Amendment and Repeal Act 1995</w:t>
      </w:r>
      <w:r>
        <w:t>.</w:t>
      </w:r>
    </w:p>
    <w:p>
      <w:pPr>
        <w:pStyle w:val="nNote"/>
        <w:keepNext/>
        <w:rPr>
          <w:snapToGrid w:val="0"/>
        </w:rPr>
      </w:pPr>
      <w:r>
        <w:rPr>
          <w:snapToGrid w:val="0"/>
          <w:vertAlign w:val="superscript"/>
        </w:rPr>
        <w:t>2</w:t>
      </w:r>
      <w:r>
        <w:rPr>
          <w:snapToGrid w:val="0"/>
        </w:rPr>
        <w:tab/>
        <w:t xml:space="preserve">The </w:t>
      </w:r>
      <w:r>
        <w:rPr>
          <w:i/>
          <w:iCs/>
          <w:snapToGrid w:val="0"/>
        </w:rPr>
        <w:t>Retail Shops and Fair Trading Legislation Amendment Act 2006</w:t>
      </w:r>
      <w:r>
        <w:rPr>
          <w:snapToGrid w:val="0"/>
        </w:rPr>
        <w:t xml:space="preserve"> s. 18 reads as follows:</w:t>
      </w:r>
    </w:p>
    <w:p>
      <w:pPr>
        <w:pStyle w:val="BlankOpen"/>
        <w:rPr>
          <w:snapToGrid w:val="0"/>
        </w:rPr>
      </w:pPr>
    </w:p>
    <w:p>
      <w:pPr>
        <w:pStyle w:val="nzHeading5"/>
      </w:pPr>
      <w:r>
        <w:rPr>
          <w:rStyle w:val="CharSectno"/>
        </w:rPr>
        <w:t>18</w:t>
      </w:r>
      <w:r>
        <w:t>.</w:t>
      </w:r>
      <w:r>
        <w:tab/>
        <w:t>Validation</w:t>
      </w:r>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3" w:name="Coversheet"/>
    <w:bookmarkEnd w:id="1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46CBE1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239"/>
    <w:docVar w:name="WAFER_20140129115345" w:val="RemoveTocBookmarks,RemoveUnusedBookmarks,RemoveLanguageTags,UsedStyles,ResetPageSize,UpdateArrangement"/>
    <w:docVar w:name="WAFER_20140129115345_GUID" w:val="a3690614-3b8b-4b0c-b539-7444b4521126"/>
    <w:docVar w:name="WAFER_20140129130615" w:val="RemoveTocBookmarks,RunningHeaders"/>
    <w:docVar w:name="WAFER_20140129130615_GUID" w:val="987128a2-bc98-426a-90a3-71f2885f7156"/>
    <w:docVar w:name="WAFER_20141015123102" w:val="RemoveTocBookmarks,RemoveUnusedBookmarks,RemoveLanguageTags,UsedStyles,ResetPageSize,UpdateArrangement"/>
    <w:docVar w:name="WAFER_20141015123102_GUID" w:val="68b93da1-cd3e-44d7-852c-e4f8bdee707e"/>
    <w:docVar w:name="WAFER_20141119103520" w:val="RemoveTocBookmarks,RunningHeaders"/>
    <w:docVar w:name="WAFER_20141119103520_GUID" w:val="86ded48d-7f4c-4b23-a593-d56df598fe7e"/>
    <w:docVar w:name="WAFER_20150416145239" w:val="ResetPageSize,UpdateArrangement,UpdateNTable"/>
    <w:docVar w:name="WAFER_20150416145239_GUID" w:val="f8764094-cd97-4816-9a3f-7e38b0804ca0"/>
    <w:docVar w:name="WAFER_20151111175447" w:val="UpdateStyles,UsedStyles"/>
    <w:docVar w:name="WAFER_20151111175447_GUID" w:val="198688db-abbb-4e4b-8615-20522e86b9a3"/>
    <w:docVar w:name="WAFER_20211028122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22019_GUID" w:val="34aec83e-e119-4fdd-b1b8-1faf4ff5f74c"/>
    <w:docVar w:name="WAFER_2021102812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22044_GUID" w:val="6892d23d-617b-4d02-960f-c0255932b051"/>
    <w:docVar w:name="WAFER_202206091552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9155239_GUID" w:val="f7e8c378-49b3-4b17-9b20-b386f88631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F2486E-3533-4F1F-BE43-A2B825C9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8751</Words>
  <Characters>38942</Characters>
  <Application>Microsoft Office Word</Application>
  <DocSecurity>0</DocSecurity>
  <Lines>1145</Lines>
  <Paragraphs>627</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47066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04-e0-00 - 04-f0-00</dc:title>
  <dc:subject/>
  <dc:creator/>
  <cp:keywords/>
  <dc:description/>
  <cp:lastModifiedBy>Master Repository Process</cp:lastModifiedBy>
  <cp:revision>2</cp:revision>
  <cp:lastPrinted>2015-07-28T01:49:00Z</cp:lastPrinted>
  <dcterms:created xsi:type="dcterms:W3CDTF">2023-04-05T04:27:00Z</dcterms:created>
  <dcterms:modified xsi:type="dcterms:W3CDTF">2023-04-05T04:27:00Z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DocumentType">
    <vt:lpwstr>Act</vt:lpwstr>
  </property>
  <property fmtid="{D5CDD505-2E9C-101B-9397-08002B2CF9AE}" pid="4" name="OwlsUID">
    <vt:i4>696</vt:i4>
  </property>
  <property fmtid="{D5CDD505-2E9C-101B-9397-08002B2CF9AE}" pid="5" name="ReprintedAsAt">
    <vt:filetime>2015-08-06T16:00:00Z</vt:filetime>
  </property>
  <property fmtid="{D5CDD505-2E9C-101B-9397-08002B2CF9AE}" pid="6" name="ReprintNo">
    <vt:lpwstr>4</vt:lpwstr>
  </property>
  <property fmtid="{D5CDD505-2E9C-101B-9397-08002B2CF9AE}" pid="7" name="CommencementDate">
    <vt:lpwstr>20230405</vt:lpwstr>
  </property>
  <property fmtid="{D5CDD505-2E9C-101B-9397-08002B2CF9AE}" pid="8" name="FromSuffix">
    <vt:lpwstr>04-e0-00</vt:lpwstr>
  </property>
  <property fmtid="{D5CDD505-2E9C-101B-9397-08002B2CF9AE}" pid="9" name="FromAsAtDate">
    <vt:lpwstr>18 Jun 2022</vt:lpwstr>
  </property>
  <property fmtid="{D5CDD505-2E9C-101B-9397-08002B2CF9AE}" pid="10" name="ToSuffix">
    <vt:lpwstr>04-f0-00</vt:lpwstr>
  </property>
  <property fmtid="{D5CDD505-2E9C-101B-9397-08002B2CF9AE}" pid="11" name="ToAsAtDate">
    <vt:lpwstr>05 Apr 2023</vt:lpwstr>
  </property>
</Properties>
</file>