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693"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1" w:name="_GoBack"/>
      <w:bookmarkEnd w:id="1"/>
      <w:r>
        <w:rPr>
          <w:snapToGrid w:val="0"/>
        </w:rPr>
        <w:t>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2" w:name="_Toc100319379"/>
      <w:bookmarkStart w:id="3" w:name="_Toc100319600"/>
      <w:bookmarkStart w:id="4" w:name="_Toc100566427"/>
      <w:bookmarkStart w:id="5" w:name="_Toc107324494"/>
      <w:bookmarkStart w:id="6" w:name="_Toc107495442"/>
      <w:bookmarkStart w:id="7" w:name="_Toc131511314"/>
      <w:bookmarkStart w:id="8" w:name="_Toc131511553"/>
      <w:bookmarkStart w:id="9" w:name="_Toc1315148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31514866"/>
      <w:bookmarkStart w:id="11" w:name="_Toc107495443"/>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snapToGrid w:val="0"/>
        </w:rPr>
        <w:t>.</w:t>
      </w:r>
    </w:p>
    <w:p>
      <w:pPr>
        <w:pStyle w:val="Heading5"/>
        <w:rPr>
          <w:snapToGrid w:val="0"/>
        </w:rPr>
      </w:pPr>
      <w:bookmarkStart w:id="12" w:name="_Toc131514867"/>
      <w:bookmarkStart w:id="13" w:name="_Toc107495444"/>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4" w:name="_Toc131514868"/>
      <w:bookmarkStart w:id="15" w:name="_Toc107495445"/>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16" w:name="_Toc131514869"/>
      <w:bookmarkStart w:id="17" w:name="_Toc107495446"/>
      <w:r>
        <w:rPr>
          <w:rStyle w:val="CharSectno"/>
        </w:rPr>
        <w:t>4</w:t>
      </w:r>
      <w:r>
        <w:t>.</w:t>
      </w:r>
      <w:r>
        <w:tab/>
        <w:t>Term used: employment</w:t>
      </w:r>
      <w:bookmarkEnd w:id="16"/>
      <w:bookmarkEnd w:id="17"/>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18" w:name="_Toc131514870"/>
      <w:bookmarkStart w:id="19" w:name="_Toc107495447"/>
      <w:r>
        <w:rPr>
          <w:rStyle w:val="CharSectno"/>
        </w:rPr>
        <w:t>4A</w:t>
      </w:r>
      <w:r>
        <w:t>.</w:t>
      </w:r>
      <w:r>
        <w:tab/>
        <w:t>Term used: prohibited person</w:t>
      </w:r>
      <w:bookmarkEnd w:id="18"/>
      <w:bookmarkEnd w:id="19"/>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20" w:name="_Toc131514871"/>
      <w:bookmarkStart w:id="21" w:name="_Toc107495448"/>
      <w:r>
        <w:rPr>
          <w:rStyle w:val="CharSectno"/>
        </w:rPr>
        <w:t>4B</w:t>
      </w:r>
      <w:r>
        <w:t>.</w:t>
      </w:r>
      <w:r>
        <w:tab/>
        <w:t>Term used: finding of guilt</w:t>
      </w:r>
      <w:bookmarkEnd w:id="20"/>
      <w:bookmarkEnd w:id="21"/>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22" w:name="_Toc131514872"/>
      <w:bookmarkStart w:id="23" w:name="_Toc107495449"/>
      <w:r>
        <w:rPr>
          <w:rStyle w:val="CharSectno"/>
        </w:rPr>
        <w:t>5</w:t>
      </w:r>
      <w:r>
        <w:rPr>
          <w:snapToGrid w:val="0"/>
        </w:rPr>
        <w:t>.</w:t>
      </w:r>
      <w:r>
        <w:rPr>
          <w:snapToGrid w:val="0"/>
        </w:rPr>
        <w:tab/>
        <w:t>Police officers etc. not required to be licensed etc.</w:t>
      </w:r>
      <w:bookmarkEnd w:id="22"/>
      <w:bookmarkEnd w:id="23"/>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24" w:name="_Toc131514873"/>
      <w:bookmarkStart w:id="25" w:name="_Toc107495450"/>
      <w:r>
        <w:rPr>
          <w:rStyle w:val="CharSectno"/>
        </w:rPr>
        <w:t>6</w:t>
      </w:r>
      <w:r>
        <w:rPr>
          <w:snapToGrid w:val="0"/>
        </w:rPr>
        <w:t>.</w:t>
      </w:r>
      <w:r>
        <w:rPr>
          <w:snapToGrid w:val="0"/>
        </w:rPr>
        <w:tab/>
        <w:t>Regulations may provide for exemptions</w:t>
      </w:r>
      <w:bookmarkEnd w:id="24"/>
      <w:bookmarkEnd w:id="25"/>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26" w:name="_Toc100319388"/>
      <w:bookmarkStart w:id="27" w:name="_Toc100319609"/>
      <w:bookmarkStart w:id="28" w:name="_Toc100566436"/>
      <w:bookmarkStart w:id="29" w:name="_Toc107324503"/>
      <w:bookmarkStart w:id="30" w:name="_Toc107495451"/>
      <w:bookmarkStart w:id="31" w:name="_Toc131511323"/>
      <w:bookmarkStart w:id="32" w:name="_Toc131511562"/>
      <w:bookmarkStart w:id="33" w:name="_Toc131514874"/>
      <w:r>
        <w:rPr>
          <w:rStyle w:val="CharPartNo"/>
        </w:rPr>
        <w:t>Part 2</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131514875"/>
      <w:bookmarkStart w:id="35" w:name="_Toc107495452"/>
      <w:r>
        <w:rPr>
          <w:rStyle w:val="CharSectno"/>
        </w:rPr>
        <w:t>7</w:t>
      </w:r>
      <w:r>
        <w:rPr>
          <w:snapToGrid w:val="0"/>
        </w:rPr>
        <w:t>.</w:t>
      </w:r>
      <w:r>
        <w:rPr>
          <w:snapToGrid w:val="0"/>
        </w:rPr>
        <w:tab/>
        <w:t>Compliance and licensing officers</w:t>
      </w:r>
      <w:bookmarkEnd w:id="34"/>
      <w:bookmarkEnd w:id="35"/>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36" w:name="_Toc131514876"/>
      <w:bookmarkStart w:id="37" w:name="_Toc107495453"/>
      <w:r>
        <w:rPr>
          <w:rStyle w:val="CharSectno"/>
        </w:rPr>
        <w:t>7A</w:t>
      </w:r>
      <w:r>
        <w:t>.</w:t>
      </w:r>
      <w:r>
        <w:tab/>
        <w:t>Cards to identify compliance and licensing officers</w:t>
      </w:r>
      <w:bookmarkEnd w:id="36"/>
      <w:bookmarkEnd w:id="37"/>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38" w:name="_Toc131514877"/>
      <w:bookmarkStart w:id="39" w:name="_Toc107495454"/>
      <w:r>
        <w:rPr>
          <w:rStyle w:val="CharSectno"/>
        </w:rPr>
        <w:t>8</w:t>
      </w:r>
      <w:r>
        <w:rPr>
          <w:snapToGrid w:val="0"/>
        </w:rPr>
        <w:t>.</w:t>
      </w:r>
      <w:r>
        <w:rPr>
          <w:snapToGrid w:val="0"/>
        </w:rPr>
        <w:tab/>
        <w:t>Secrecy</w:t>
      </w:r>
      <w:bookmarkEnd w:id="38"/>
      <w:bookmarkEnd w:id="39"/>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40" w:name="_Toc131514878"/>
      <w:bookmarkStart w:id="41" w:name="_Toc107495455"/>
      <w:r>
        <w:rPr>
          <w:rStyle w:val="CharSectno"/>
        </w:rPr>
        <w:t>8A</w:t>
      </w:r>
      <w:r>
        <w:t>.</w:t>
      </w:r>
      <w:r>
        <w:tab/>
        <w:t xml:space="preserve">Disclosure of exempted matter under </w:t>
      </w:r>
      <w:r>
        <w:rPr>
          <w:i/>
        </w:rPr>
        <w:t>Freedom of Information Act 1992</w:t>
      </w:r>
      <w:bookmarkEnd w:id="40"/>
      <w:bookmarkEnd w:id="41"/>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42" w:name="_Toc131514879"/>
      <w:bookmarkStart w:id="43" w:name="_Toc107495456"/>
      <w:r>
        <w:rPr>
          <w:rStyle w:val="CharSectno"/>
        </w:rPr>
        <w:t>9</w:t>
      </w:r>
      <w:r>
        <w:rPr>
          <w:snapToGrid w:val="0"/>
        </w:rPr>
        <w:t>.</w:t>
      </w:r>
      <w:r>
        <w:rPr>
          <w:snapToGrid w:val="0"/>
        </w:rPr>
        <w:tab/>
        <w:t>Protection from liability</w:t>
      </w:r>
      <w:bookmarkEnd w:id="42"/>
      <w:bookmarkEnd w:id="4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44" w:name="_Toc131514880"/>
      <w:bookmarkStart w:id="45" w:name="_Toc107495457"/>
      <w:r>
        <w:rPr>
          <w:rStyle w:val="CharSectno"/>
        </w:rPr>
        <w:t>9A</w:t>
      </w:r>
      <w:r>
        <w:t>.</w:t>
      </w:r>
      <w:r>
        <w:tab/>
        <w:t>Delegation by Commissioner</w:t>
      </w:r>
      <w:bookmarkEnd w:id="44"/>
      <w:bookmarkEnd w:id="45"/>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46" w:name="_Toc131514881"/>
      <w:bookmarkStart w:id="47" w:name="_Toc107495458"/>
      <w:r>
        <w:rPr>
          <w:rStyle w:val="CharSectno"/>
        </w:rPr>
        <w:t>10</w:t>
      </w:r>
      <w:r>
        <w:rPr>
          <w:snapToGrid w:val="0"/>
        </w:rPr>
        <w:t>.</w:t>
      </w:r>
      <w:r>
        <w:rPr>
          <w:snapToGrid w:val="0"/>
        </w:rPr>
        <w:tab/>
        <w:t>Commissioner to keep register of licences</w:t>
      </w:r>
      <w:bookmarkEnd w:id="46"/>
      <w:bookmarkEnd w:id="47"/>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48" w:name="_Toc131514882"/>
      <w:bookmarkStart w:id="49" w:name="_Toc107495459"/>
      <w:r>
        <w:rPr>
          <w:rStyle w:val="CharSectno"/>
        </w:rPr>
        <w:t>10A</w:t>
      </w:r>
      <w:r>
        <w:rPr>
          <w:snapToGrid w:val="0"/>
        </w:rPr>
        <w:t>.</w:t>
      </w:r>
      <w:r>
        <w:rPr>
          <w:snapToGrid w:val="0"/>
        </w:rPr>
        <w:tab/>
        <w:t>Information relevant to section 79A may be given to holder of agent’s licence</w:t>
      </w:r>
      <w:bookmarkEnd w:id="48"/>
      <w:bookmarkEnd w:id="49"/>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50" w:name="_Toc100319397"/>
      <w:bookmarkStart w:id="51" w:name="_Toc100319618"/>
      <w:bookmarkStart w:id="52" w:name="_Toc100566445"/>
      <w:bookmarkStart w:id="53" w:name="_Toc107324512"/>
      <w:bookmarkStart w:id="54" w:name="_Toc107495460"/>
      <w:bookmarkStart w:id="55" w:name="_Toc131511332"/>
      <w:bookmarkStart w:id="56" w:name="_Toc131511571"/>
      <w:bookmarkStart w:id="57" w:name="_Toc131514883"/>
      <w:r>
        <w:rPr>
          <w:rStyle w:val="CharPartNo"/>
        </w:rPr>
        <w:t>Part 3</w:t>
      </w:r>
      <w:r>
        <w:t> — </w:t>
      </w:r>
      <w:r>
        <w:rPr>
          <w:rStyle w:val="CharPartText"/>
        </w:rPr>
        <w:t>Licensing of security activities</w:t>
      </w:r>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100319398"/>
      <w:bookmarkStart w:id="59" w:name="_Toc100319619"/>
      <w:bookmarkStart w:id="60" w:name="_Toc100566446"/>
      <w:bookmarkStart w:id="61" w:name="_Toc107324513"/>
      <w:bookmarkStart w:id="62" w:name="_Toc107495461"/>
      <w:bookmarkStart w:id="63" w:name="_Toc131511333"/>
      <w:bookmarkStart w:id="64" w:name="_Toc131511572"/>
      <w:bookmarkStart w:id="65" w:name="_Toc131514884"/>
      <w:r>
        <w:rPr>
          <w:rStyle w:val="CharDivNo"/>
        </w:rPr>
        <w:t>Division 1</w:t>
      </w:r>
      <w:r>
        <w:rPr>
          <w:snapToGrid w:val="0"/>
        </w:rPr>
        <w:t> — </w:t>
      </w:r>
      <w:r>
        <w:rPr>
          <w:rStyle w:val="CharDivText"/>
        </w:rPr>
        <w:t>Definitions</w:t>
      </w:r>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131514885"/>
      <w:bookmarkStart w:id="67" w:name="_Toc107495462"/>
      <w:r>
        <w:rPr>
          <w:rStyle w:val="CharSectno"/>
        </w:rPr>
        <w:t>11</w:t>
      </w:r>
      <w:r>
        <w:rPr>
          <w:snapToGrid w:val="0"/>
        </w:rPr>
        <w:t>.</w:t>
      </w:r>
      <w:r>
        <w:rPr>
          <w:snapToGrid w:val="0"/>
        </w:rPr>
        <w:tab/>
        <w:t xml:space="preserve">Term used: </w:t>
      </w:r>
      <w:r>
        <w:t>security agent</w:t>
      </w:r>
      <w:bookmarkEnd w:id="66"/>
      <w:bookmarkEnd w:id="67"/>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68" w:name="_Toc131514886"/>
      <w:bookmarkStart w:id="69" w:name="_Toc107495463"/>
      <w:r>
        <w:rPr>
          <w:rStyle w:val="CharSectno"/>
        </w:rPr>
        <w:t>12</w:t>
      </w:r>
      <w:r>
        <w:rPr>
          <w:snapToGrid w:val="0"/>
        </w:rPr>
        <w:t>.</w:t>
      </w:r>
      <w:r>
        <w:rPr>
          <w:snapToGrid w:val="0"/>
        </w:rPr>
        <w:tab/>
        <w:t xml:space="preserve">Term used: </w:t>
      </w:r>
      <w:r>
        <w:t>security officer</w:t>
      </w:r>
      <w:bookmarkEnd w:id="68"/>
      <w:bookmarkEnd w:id="69"/>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70" w:name="_Toc131514887"/>
      <w:bookmarkStart w:id="71" w:name="_Toc107495464"/>
      <w:r>
        <w:rPr>
          <w:rStyle w:val="CharSectno"/>
        </w:rPr>
        <w:t>13</w:t>
      </w:r>
      <w:r>
        <w:rPr>
          <w:snapToGrid w:val="0"/>
        </w:rPr>
        <w:t>.</w:t>
      </w:r>
      <w:r>
        <w:rPr>
          <w:snapToGrid w:val="0"/>
        </w:rPr>
        <w:tab/>
        <w:t xml:space="preserve">Term used: </w:t>
      </w:r>
      <w:r>
        <w:t>security consultant</w:t>
      </w:r>
      <w:bookmarkEnd w:id="70"/>
      <w:bookmarkEnd w:id="71"/>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72" w:name="_Toc131514888"/>
      <w:bookmarkStart w:id="73" w:name="_Toc107495465"/>
      <w:r>
        <w:rPr>
          <w:rStyle w:val="CharSectno"/>
        </w:rPr>
        <w:t>14</w:t>
      </w:r>
      <w:r>
        <w:rPr>
          <w:snapToGrid w:val="0"/>
        </w:rPr>
        <w:t>.</w:t>
      </w:r>
      <w:r>
        <w:rPr>
          <w:snapToGrid w:val="0"/>
        </w:rPr>
        <w:tab/>
        <w:t xml:space="preserve">Term used: </w:t>
      </w:r>
      <w:r>
        <w:t>security installer</w:t>
      </w:r>
      <w:bookmarkEnd w:id="72"/>
      <w:bookmarkEnd w:id="73"/>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74" w:name="_Toc131514889"/>
      <w:bookmarkStart w:id="75" w:name="_Toc107495466"/>
      <w:r>
        <w:rPr>
          <w:rStyle w:val="CharSectno"/>
        </w:rPr>
        <w:t>14A</w:t>
      </w:r>
      <w:r>
        <w:t>.</w:t>
      </w:r>
      <w:r>
        <w:tab/>
        <w:t>Term used: security bodyguard</w:t>
      </w:r>
      <w:bookmarkEnd w:id="74"/>
      <w:bookmarkEnd w:id="75"/>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76" w:name="_Toc100319404"/>
      <w:bookmarkStart w:id="77" w:name="_Toc100319625"/>
      <w:bookmarkStart w:id="78" w:name="_Toc100566452"/>
      <w:bookmarkStart w:id="79" w:name="_Toc107324519"/>
      <w:bookmarkStart w:id="80" w:name="_Toc107495467"/>
      <w:bookmarkStart w:id="81" w:name="_Toc131511339"/>
      <w:bookmarkStart w:id="82" w:name="_Toc131511578"/>
      <w:bookmarkStart w:id="83" w:name="_Toc131514890"/>
      <w:r>
        <w:rPr>
          <w:rStyle w:val="CharDivNo"/>
        </w:rPr>
        <w:t>Division 2</w:t>
      </w:r>
      <w:r>
        <w:rPr>
          <w:snapToGrid w:val="0"/>
        </w:rPr>
        <w:t> — </w:t>
      </w:r>
      <w:r>
        <w:rPr>
          <w:rStyle w:val="CharDivText"/>
        </w:rPr>
        <w:t>Licensing and related requirements</w:t>
      </w:r>
      <w:bookmarkEnd w:id="76"/>
      <w:bookmarkEnd w:id="77"/>
      <w:bookmarkEnd w:id="78"/>
      <w:bookmarkEnd w:id="79"/>
      <w:bookmarkEnd w:id="80"/>
      <w:bookmarkEnd w:id="81"/>
      <w:bookmarkEnd w:id="82"/>
      <w:bookmarkEnd w:id="83"/>
      <w:r>
        <w:rPr>
          <w:rStyle w:val="CharDivText"/>
        </w:rPr>
        <w:t xml:space="preserve"> </w:t>
      </w:r>
    </w:p>
    <w:p>
      <w:pPr>
        <w:pStyle w:val="Heading5"/>
        <w:spacing w:before="180"/>
        <w:rPr>
          <w:snapToGrid w:val="0"/>
        </w:rPr>
      </w:pPr>
      <w:bookmarkStart w:id="84" w:name="_Toc131514891"/>
      <w:bookmarkStart w:id="85" w:name="_Toc107495468"/>
      <w:r>
        <w:rPr>
          <w:rStyle w:val="CharSectno"/>
        </w:rPr>
        <w:t>15</w:t>
      </w:r>
      <w:r>
        <w:rPr>
          <w:snapToGrid w:val="0"/>
        </w:rPr>
        <w:t>.</w:t>
      </w:r>
      <w:r>
        <w:rPr>
          <w:snapToGrid w:val="0"/>
        </w:rPr>
        <w:tab/>
        <w:t>Security agents to be licensed</w:t>
      </w:r>
      <w:bookmarkEnd w:id="84"/>
      <w:bookmarkEnd w:id="8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No. 4 of 2008 s. 80(2).]</w:t>
      </w:r>
    </w:p>
    <w:p>
      <w:pPr>
        <w:pStyle w:val="Heading5"/>
        <w:rPr>
          <w:snapToGrid w:val="0"/>
        </w:rPr>
      </w:pPr>
      <w:bookmarkStart w:id="86" w:name="_Toc131514892"/>
      <w:bookmarkStart w:id="87" w:name="_Toc107495469"/>
      <w:r>
        <w:rPr>
          <w:rStyle w:val="CharSectno"/>
        </w:rPr>
        <w:t>16</w:t>
      </w:r>
      <w:r>
        <w:rPr>
          <w:snapToGrid w:val="0"/>
        </w:rPr>
        <w:t>.</w:t>
      </w:r>
      <w:r>
        <w:rPr>
          <w:snapToGrid w:val="0"/>
        </w:rPr>
        <w:tab/>
        <w:t>Security officers to be licensed</w:t>
      </w:r>
      <w:bookmarkEnd w:id="86"/>
      <w:bookmarkEnd w:id="87"/>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88" w:name="_Toc131514893"/>
      <w:bookmarkStart w:id="89" w:name="_Toc107495470"/>
      <w:r>
        <w:rPr>
          <w:rStyle w:val="CharSectno"/>
        </w:rPr>
        <w:t>17</w:t>
      </w:r>
      <w:r>
        <w:rPr>
          <w:snapToGrid w:val="0"/>
        </w:rPr>
        <w:t>.</w:t>
      </w:r>
      <w:r>
        <w:rPr>
          <w:snapToGrid w:val="0"/>
        </w:rPr>
        <w:tab/>
        <w:t>Security consultants to be licensed</w:t>
      </w:r>
      <w:bookmarkEnd w:id="88"/>
      <w:bookmarkEnd w:id="89"/>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90" w:name="_Toc131514894"/>
      <w:bookmarkStart w:id="91" w:name="_Toc107495471"/>
      <w:r>
        <w:rPr>
          <w:rStyle w:val="CharSectno"/>
        </w:rPr>
        <w:t>18</w:t>
      </w:r>
      <w:r>
        <w:rPr>
          <w:snapToGrid w:val="0"/>
        </w:rPr>
        <w:t>.</w:t>
      </w:r>
      <w:r>
        <w:rPr>
          <w:snapToGrid w:val="0"/>
        </w:rPr>
        <w:tab/>
        <w:t>Security installers to be licensed</w:t>
      </w:r>
      <w:bookmarkEnd w:id="90"/>
      <w:bookmarkEnd w:id="91"/>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92" w:name="_Toc131514895"/>
      <w:bookmarkStart w:id="93" w:name="_Toc107495472"/>
      <w:r>
        <w:rPr>
          <w:rStyle w:val="CharSectno"/>
        </w:rPr>
        <w:t>18A</w:t>
      </w:r>
      <w:r>
        <w:t>.</w:t>
      </w:r>
      <w:r>
        <w:tab/>
        <w:t>Security bodyguards to be licensed</w:t>
      </w:r>
      <w:bookmarkEnd w:id="92"/>
      <w:bookmarkEnd w:id="93"/>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No. 4 of 2008 s. 19.]</w:t>
      </w:r>
    </w:p>
    <w:p>
      <w:pPr>
        <w:pStyle w:val="Heading5"/>
        <w:rPr>
          <w:snapToGrid w:val="0"/>
        </w:rPr>
      </w:pPr>
      <w:bookmarkStart w:id="94" w:name="_Toc131514896"/>
      <w:bookmarkStart w:id="95" w:name="_Toc107495473"/>
      <w:r>
        <w:rPr>
          <w:rStyle w:val="CharSectno"/>
        </w:rPr>
        <w:t>19</w:t>
      </w:r>
      <w:r>
        <w:rPr>
          <w:snapToGrid w:val="0"/>
        </w:rPr>
        <w:t>.</w:t>
      </w:r>
      <w:r>
        <w:rPr>
          <w:snapToGrid w:val="0"/>
        </w:rPr>
        <w:tab/>
        <w:t>Security officers to be employed by security agent</w:t>
      </w:r>
      <w:bookmarkEnd w:id="94"/>
      <w:bookmarkEnd w:id="95"/>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96" w:name="_Toc131514897"/>
      <w:bookmarkStart w:id="97" w:name="_Toc107495474"/>
      <w:r>
        <w:t>20.</w:t>
      </w:r>
      <w:r>
        <w:tab/>
      </w:r>
      <w:r>
        <w:rPr>
          <w:snapToGrid w:val="0"/>
        </w:rPr>
        <w:t>Unlicensed person not to be employed as security officer etc.</w:t>
      </w:r>
      <w:bookmarkEnd w:id="96"/>
      <w:bookmarkEnd w:id="97"/>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98" w:name="_Toc131514898"/>
      <w:bookmarkStart w:id="99" w:name="_Toc107495475"/>
      <w:r>
        <w:rPr>
          <w:rStyle w:val="CharSectno"/>
        </w:rPr>
        <w:t>21</w:t>
      </w:r>
      <w:r>
        <w:rPr>
          <w:snapToGrid w:val="0"/>
        </w:rPr>
        <w:t>.</w:t>
      </w:r>
      <w:r>
        <w:rPr>
          <w:snapToGrid w:val="0"/>
        </w:rPr>
        <w:tab/>
        <w:t>Advertising</w:t>
      </w:r>
      <w:bookmarkEnd w:id="98"/>
      <w:bookmarkEnd w:id="9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100" w:name="_Toc100319413"/>
      <w:bookmarkStart w:id="101" w:name="_Toc100319634"/>
      <w:bookmarkStart w:id="102" w:name="_Toc100566461"/>
      <w:bookmarkStart w:id="103" w:name="_Toc107324528"/>
      <w:bookmarkStart w:id="104" w:name="_Toc107495476"/>
      <w:bookmarkStart w:id="105" w:name="_Toc131511348"/>
      <w:bookmarkStart w:id="106" w:name="_Toc131511587"/>
      <w:bookmarkStart w:id="107" w:name="_Toc131514899"/>
      <w:r>
        <w:rPr>
          <w:rStyle w:val="CharDivNo"/>
        </w:rPr>
        <w:t>Division 3</w:t>
      </w:r>
      <w:r>
        <w:rPr>
          <w:snapToGrid w:val="0"/>
        </w:rPr>
        <w:t> — </w:t>
      </w:r>
      <w:r>
        <w:rPr>
          <w:rStyle w:val="CharDivText"/>
        </w:rPr>
        <w:t>Authority to be in possession of firearms or batons</w:t>
      </w:r>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131514900"/>
      <w:bookmarkStart w:id="109" w:name="_Toc107495477"/>
      <w:r>
        <w:rPr>
          <w:rStyle w:val="CharSectno"/>
        </w:rPr>
        <w:t>22</w:t>
      </w:r>
      <w:r>
        <w:rPr>
          <w:snapToGrid w:val="0"/>
        </w:rPr>
        <w:t>.</w:t>
      </w:r>
      <w:r>
        <w:rPr>
          <w:snapToGrid w:val="0"/>
        </w:rPr>
        <w:tab/>
        <w:t>Term used: possession</w:t>
      </w:r>
      <w:bookmarkEnd w:id="108"/>
      <w:bookmarkEnd w:id="10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110" w:name="_Toc131514901"/>
      <w:bookmarkStart w:id="111" w:name="_Toc107495478"/>
      <w:r>
        <w:rPr>
          <w:rStyle w:val="CharSectno"/>
        </w:rPr>
        <w:t>23</w:t>
      </w:r>
      <w:r>
        <w:rPr>
          <w:snapToGrid w:val="0"/>
        </w:rPr>
        <w:t>.</w:t>
      </w:r>
      <w:r>
        <w:rPr>
          <w:snapToGrid w:val="0"/>
        </w:rPr>
        <w:tab/>
        <w:t>Security officers, possession of firearms</w:t>
      </w:r>
      <w:bookmarkEnd w:id="110"/>
      <w:bookmarkEnd w:id="111"/>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112" w:name="_Toc131514902"/>
      <w:bookmarkStart w:id="113" w:name="_Toc107495479"/>
      <w:r>
        <w:rPr>
          <w:rStyle w:val="CharSectno"/>
        </w:rPr>
        <w:t>24</w:t>
      </w:r>
      <w:r>
        <w:rPr>
          <w:snapToGrid w:val="0"/>
        </w:rPr>
        <w:t>.</w:t>
      </w:r>
      <w:r>
        <w:rPr>
          <w:snapToGrid w:val="0"/>
        </w:rPr>
        <w:tab/>
        <w:t>Endorsement for escort of money etc.</w:t>
      </w:r>
      <w:bookmarkEnd w:id="112"/>
      <w:bookmarkEnd w:id="113"/>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114" w:name="_Toc131514903"/>
      <w:bookmarkStart w:id="115" w:name="_Toc107495480"/>
      <w:r>
        <w:rPr>
          <w:rStyle w:val="CharSectno"/>
        </w:rPr>
        <w:t>25</w:t>
      </w:r>
      <w:r>
        <w:rPr>
          <w:snapToGrid w:val="0"/>
        </w:rPr>
        <w:t>.</w:t>
      </w:r>
      <w:r>
        <w:rPr>
          <w:snapToGrid w:val="0"/>
        </w:rPr>
        <w:tab/>
        <w:t>Permits for particular occasions</w:t>
      </w:r>
      <w:bookmarkEnd w:id="114"/>
      <w:bookmarkEnd w:id="115"/>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116" w:name="_Toc131514904"/>
      <w:bookmarkStart w:id="117" w:name="_Toc107495481"/>
      <w:r>
        <w:rPr>
          <w:rStyle w:val="CharSectno"/>
        </w:rPr>
        <w:t>26</w:t>
      </w:r>
      <w:r>
        <w:rPr>
          <w:snapToGrid w:val="0"/>
        </w:rPr>
        <w:t>.</w:t>
      </w:r>
      <w:r>
        <w:rPr>
          <w:snapToGrid w:val="0"/>
        </w:rPr>
        <w:tab/>
        <w:t>Security officers, possession of batons</w:t>
      </w:r>
      <w:bookmarkEnd w:id="116"/>
      <w:bookmarkEnd w:id="117"/>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18" w:name="_Toc100319419"/>
      <w:bookmarkStart w:id="119" w:name="_Toc100319640"/>
      <w:bookmarkStart w:id="120" w:name="_Toc100566467"/>
      <w:bookmarkStart w:id="121" w:name="_Toc107324534"/>
      <w:bookmarkStart w:id="122" w:name="_Toc107495482"/>
      <w:bookmarkStart w:id="123" w:name="_Toc131511354"/>
      <w:bookmarkStart w:id="124" w:name="_Toc131511593"/>
      <w:bookmarkStart w:id="125" w:name="_Toc131514905"/>
      <w:r>
        <w:rPr>
          <w:rStyle w:val="CharPartNo"/>
        </w:rPr>
        <w:t>Part 4</w:t>
      </w:r>
      <w:r>
        <w:t> — </w:t>
      </w:r>
      <w:r>
        <w:rPr>
          <w:rStyle w:val="CharPartText"/>
        </w:rPr>
        <w:t>Licensing of inquiry activities</w:t>
      </w:r>
      <w:bookmarkEnd w:id="118"/>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100319420"/>
      <w:bookmarkStart w:id="127" w:name="_Toc100319641"/>
      <w:bookmarkStart w:id="128" w:name="_Toc100566468"/>
      <w:bookmarkStart w:id="129" w:name="_Toc107324535"/>
      <w:bookmarkStart w:id="130" w:name="_Toc107495483"/>
      <w:bookmarkStart w:id="131" w:name="_Toc131511355"/>
      <w:bookmarkStart w:id="132" w:name="_Toc131511594"/>
      <w:bookmarkStart w:id="133" w:name="_Toc131514906"/>
      <w:r>
        <w:rPr>
          <w:rStyle w:val="CharDivNo"/>
        </w:rPr>
        <w:t>Division 1</w:t>
      </w:r>
      <w:r>
        <w:rPr>
          <w:snapToGrid w:val="0"/>
        </w:rPr>
        <w:t> — </w:t>
      </w:r>
      <w:r>
        <w:rPr>
          <w:rStyle w:val="CharDivText"/>
        </w:rPr>
        <w:t>Definitions</w:t>
      </w:r>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131514907"/>
      <w:bookmarkStart w:id="135" w:name="_Toc107495484"/>
      <w:r>
        <w:rPr>
          <w:rStyle w:val="CharSectno"/>
        </w:rPr>
        <w:t>27</w:t>
      </w:r>
      <w:r>
        <w:rPr>
          <w:snapToGrid w:val="0"/>
        </w:rPr>
        <w:t>.</w:t>
      </w:r>
      <w:r>
        <w:rPr>
          <w:snapToGrid w:val="0"/>
        </w:rPr>
        <w:tab/>
        <w:t xml:space="preserve">Term used: </w:t>
      </w:r>
      <w:r>
        <w:t>inquiry agent</w:t>
      </w:r>
      <w:bookmarkEnd w:id="134"/>
      <w:bookmarkEnd w:id="135"/>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36" w:name="_Toc131514908"/>
      <w:bookmarkStart w:id="137" w:name="_Toc107495485"/>
      <w:r>
        <w:rPr>
          <w:rStyle w:val="CharSectno"/>
        </w:rPr>
        <w:t>28</w:t>
      </w:r>
      <w:r>
        <w:rPr>
          <w:snapToGrid w:val="0"/>
        </w:rPr>
        <w:t>.</w:t>
      </w:r>
      <w:r>
        <w:rPr>
          <w:snapToGrid w:val="0"/>
        </w:rPr>
        <w:tab/>
        <w:t xml:space="preserve">Term used: </w:t>
      </w:r>
      <w:r>
        <w:t>investigator</w:t>
      </w:r>
      <w:bookmarkEnd w:id="136"/>
      <w:bookmarkEnd w:id="137"/>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legal practitioner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 No. 9 of 2022 s. 424.]</w:t>
      </w:r>
    </w:p>
    <w:p>
      <w:pPr>
        <w:pStyle w:val="Heading3"/>
        <w:rPr>
          <w:snapToGrid w:val="0"/>
        </w:rPr>
      </w:pPr>
      <w:bookmarkStart w:id="138" w:name="_Toc100319423"/>
      <w:bookmarkStart w:id="139" w:name="_Toc100319644"/>
      <w:bookmarkStart w:id="140" w:name="_Toc100566471"/>
      <w:bookmarkStart w:id="141" w:name="_Toc107324538"/>
      <w:bookmarkStart w:id="142" w:name="_Toc107495486"/>
      <w:bookmarkStart w:id="143" w:name="_Toc131511358"/>
      <w:bookmarkStart w:id="144" w:name="_Toc131511597"/>
      <w:bookmarkStart w:id="145" w:name="_Toc131514909"/>
      <w:r>
        <w:rPr>
          <w:rStyle w:val="CharDivNo"/>
        </w:rPr>
        <w:t>Division 2</w:t>
      </w:r>
      <w:r>
        <w:rPr>
          <w:snapToGrid w:val="0"/>
        </w:rPr>
        <w:t> — </w:t>
      </w:r>
      <w:r>
        <w:rPr>
          <w:rStyle w:val="CharDivText"/>
        </w:rPr>
        <w:t>Licensing and related requirements</w:t>
      </w:r>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131514910"/>
      <w:bookmarkStart w:id="147" w:name="_Toc107495487"/>
      <w:r>
        <w:rPr>
          <w:rStyle w:val="CharSectno"/>
        </w:rPr>
        <w:t>29</w:t>
      </w:r>
      <w:r>
        <w:rPr>
          <w:snapToGrid w:val="0"/>
        </w:rPr>
        <w:t>.</w:t>
      </w:r>
      <w:r>
        <w:rPr>
          <w:snapToGrid w:val="0"/>
        </w:rPr>
        <w:tab/>
        <w:t>Inquiry agents to be licensed</w:t>
      </w:r>
      <w:bookmarkEnd w:id="146"/>
      <w:bookmarkEnd w:id="147"/>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148" w:name="_Toc131514911"/>
      <w:bookmarkStart w:id="149" w:name="_Toc107495488"/>
      <w:r>
        <w:rPr>
          <w:rStyle w:val="CharSectno"/>
        </w:rPr>
        <w:t>30</w:t>
      </w:r>
      <w:r>
        <w:rPr>
          <w:snapToGrid w:val="0"/>
        </w:rPr>
        <w:t>.</w:t>
      </w:r>
      <w:r>
        <w:rPr>
          <w:snapToGrid w:val="0"/>
        </w:rPr>
        <w:tab/>
        <w:t>Investigators to be licensed</w:t>
      </w:r>
      <w:bookmarkEnd w:id="148"/>
      <w:bookmarkEnd w:id="149"/>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150" w:name="_Toc131514912"/>
      <w:bookmarkStart w:id="151" w:name="_Toc107495489"/>
      <w:r>
        <w:rPr>
          <w:rStyle w:val="CharSectno"/>
        </w:rPr>
        <w:t>31</w:t>
      </w:r>
      <w:r>
        <w:rPr>
          <w:snapToGrid w:val="0"/>
        </w:rPr>
        <w:t>.</w:t>
      </w:r>
      <w:r>
        <w:rPr>
          <w:snapToGrid w:val="0"/>
        </w:rPr>
        <w:tab/>
        <w:t>Investigators to be employed by inquiry agent</w:t>
      </w:r>
      <w:bookmarkEnd w:id="150"/>
      <w:bookmarkEnd w:id="15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152" w:name="_Toc131514913"/>
      <w:bookmarkStart w:id="153" w:name="_Toc107495490"/>
      <w:r>
        <w:rPr>
          <w:rStyle w:val="CharSectno"/>
        </w:rPr>
        <w:t>32</w:t>
      </w:r>
      <w:r>
        <w:rPr>
          <w:snapToGrid w:val="0"/>
        </w:rPr>
        <w:t>.</w:t>
      </w:r>
      <w:r>
        <w:rPr>
          <w:snapToGrid w:val="0"/>
        </w:rPr>
        <w:tab/>
        <w:t>Unlicensed person not to be employed as investigator</w:t>
      </w:r>
      <w:bookmarkEnd w:id="152"/>
      <w:bookmarkEnd w:id="153"/>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154" w:name="_Toc131514914"/>
      <w:bookmarkStart w:id="155" w:name="_Toc107495491"/>
      <w:r>
        <w:rPr>
          <w:rStyle w:val="CharSectno"/>
        </w:rPr>
        <w:t>33</w:t>
      </w:r>
      <w:r>
        <w:rPr>
          <w:snapToGrid w:val="0"/>
        </w:rPr>
        <w:t>.</w:t>
      </w:r>
      <w:r>
        <w:rPr>
          <w:snapToGrid w:val="0"/>
        </w:rPr>
        <w:tab/>
        <w:t>Advertising</w:t>
      </w:r>
      <w:bookmarkEnd w:id="154"/>
      <w:bookmarkEnd w:id="155"/>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156" w:name="_Toc100319429"/>
      <w:bookmarkStart w:id="157" w:name="_Toc100319650"/>
      <w:bookmarkStart w:id="158" w:name="_Toc100566477"/>
      <w:bookmarkStart w:id="159" w:name="_Toc107324544"/>
      <w:bookmarkStart w:id="160" w:name="_Toc107495492"/>
      <w:bookmarkStart w:id="161" w:name="_Toc131511364"/>
      <w:bookmarkStart w:id="162" w:name="_Toc131511603"/>
      <w:bookmarkStart w:id="163" w:name="_Toc131514915"/>
      <w:r>
        <w:rPr>
          <w:rStyle w:val="CharPartNo"/>
        </w:rPr>
        <w:t>Part 5</w:t>
      </w:r>
      <w:r>
        <w:t> — </w:t>
      </w:r>
      <w:r>
        <w:rPr>
          <w:rStyle w:val="CharPartText"/>
        </w:rPr>
        <w:t>Licensing of crowd control activities</w:t>
      </w:r>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100319430"/>
      <w:bookmarkStart w:id="165" w:name="_Toc100319651"/>
      <w:bookmarkStart w:id="166" w:name="_Toc100566478"/>
      <w:bookmarkStart w:id="167" w:name="_Toc107324545"/>
      <w:bookmarkStart w:id="168" w:name="_Toc107495493"/>
      <w:bookmarkStart w:id="169" w:name="_Toc131511365"/>
      <w:bookmarkStart w:id="170" w:name="_Toc131511604"/>
      <w:bookmarkStart w:id="171" w:name="_Toc131514916"/>
      <w:r>
        <w:rPr>
          <w:rStyle w:val="CharDivNo"/>
        </w:rPr>
        <w:t>Division 1</w:t>
      </w:r>
      <w:r>
        <w:rPr>
          <w:snapToGrid w:val="0"/>
        </w:rPr>
        <w:t> — </w:t>
      </w:r>
      <w:r>
        <w:rPr>
          <w:rStyle w:val="CharDivText"/>
        </w:rPr>
        <w:t>Definitions</w:t>
      </w:r>
      <w:bookmarkEnd w:id="164"/>
      <w:bookmarkEnd w:id="165"/>
      <w:bookmarkEnd w:id="166"/>
      <w:bookmarkEnd w:id="167"/>
      <w:bookmarkEnd w:id="168"/>
      <w:bookmarkEnd w:id="169"/>
      <w:bookmarkEnd w:id="170"/>
      <w:bookmarkEnd w:id="171"/>
      <w:r>
        <w:rPr>
          <w:rStyle w:val="CharDivText"/>
        </w:rPr>
        <w:t xml:space="preserve"> </w:t>
      </w:r>
    </w:p>
    <w:p>
      <w:pPr>
        <w:pStyle w:val="Heading5"/>
        <w:spacing w:before="240"/>
        <w:rPr>
          <w:snapToGrid w:val="0"/>
        </w:rPr>
      </w:pPr>
      <w:bookmarkStart w:id="172" w:name="_Toc131514917"/>
      <w:bookmarkStart w:id="173" w:name="_Toc107495494"/>
      <w:r>
        <w:rPr>
          <w:rStyle w:val="CharSectno"/>
        </w:rPr>
        <w:t>34</w:t>
      </w:r>
      <w:r>
        <w:rPr>
          <w:snapToGrid w:val="0"/>
        </w:rPr>
        <w:t>.</w:t>
      </w:r>
      <w:r>
        <w:rPr>
          <w:snapToGrid w:val="0"/>
        </w:rPr>
        <w:tab/>
        <w:t xml:space="preserve">Term used: </w:t>
      </w:r>
      <w:r>
        <w:t>crowd control agent</w:t>
      </w:r>
      <w:bookmarkEnd w:id="172"/>
      <w:bookmarkEnd w:id="173"/>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174" w:name="_Toc131514918"/>
      <w:bookmarkStart w:id="175" w:name="_Toc107495495"/>
      <w:r>
        <w:rPr>
          <w:rStyle w:val="CharSectno"/>
        </w:rPr>
        <w:t>35</w:t>
      </w:r>
      <w:r>
        <w:rPr>
          <w:snapToGrid w:val="0"/>
        </w:rPr>
        <w:t>.</w:t>
      </w:r>
      <w:r>
        <w:rPr>
          <w:snapToGrid w:val="0"/>
        </w:rPr>
        <w:tab/>
        <w:t xml:space="preserve">Term used: </w:t>
      </w:r>
      <w:r>
        <w:t>crowd controller</w:t>
      </w:r>
      <w:bookmarkEnd w:id="174"/>
      <w:bookmarkEnd w:id="175"/>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176" w:name="_Toc100319433"/>
      <w:bookmarkStart w:id="177" w:name="_Toc100319654"/>
      <w:bookmarkStart w:id="178" w:name="_Toc100566481"/>
      <w:bookmarkStart w:id="179" w:name="_Toc107324548"/>
      <w:bookmarkStart w:id="180" w:name="_Toc107495496"/>
      <w:bookmarkStart w:id="181" w:name="_Toc131511368"/>
      <w:bookmarkStart w:id="182" w:name="_Toc131511607"/>
      <w:bookmarkStart w:id="183" w:name="_Toc131514919"/>
      <w:r>
        <w:rPr>
          <w:rStyle w:val="CharDivNo"/>
        </w:rPr>
        <w:t>Division 2</w:t>
      </w:r>
      <w:r>
        <w:rPr>
          <w:snapToGrid w:val="0"/>
        </w:rPr>
        <w:t> — </w:t>
      </w:r>
      <w:r>
        <w:rPr>
          <w:rStyle w:val="CharDivText"/>
        </w:rPr>
        <w:t>Licensing and related requirements</w:t>
      </w:r>
      <w:bookmarkEnd w:id="176"/>
      <w:bookmarkEnd w:id="177"/>
      <w:bookmarkEnd w:id="178"/>
      <w:bookmarkEnd w:id="179"/>
      <w:bookmarkEnd w:id="180"/>
      <w:bookmarkEnd w:id="181"/>
      <w:bookmarkEnd w:id="182"/>
      <w:bookmarkEnd w:id="183"/>
      <w:r>
        <w:rPr>
          <w:rStyle w:val="CharDivText"/>
        </w:rPr>
        <w:t xml:space="preserve"> </w:t>
      </w:r>
    </w:p>
    <w:p>
      <w:pPr>
        <w:pStyle w:val="Heading5"/>
        <w:spacing w:before="240"/>
        <w:rPr>
          <w:snapToGrid w:val="0"/>
        </w:rPr>
      </w:pPr>
      <w:bookmarkStart w:id="184" w:name="_Toc131514920"/>
      <w:bookmarkStart w:id="185" w:name="_Toc107495497"/>
      <w:r>
        <w:rPr>
          <w:rStyle w:val="CharSectno"/>
        </w:rPr>
        <w:t>36</w:t>
      </w:r>
      <w:r>
        <w:rPr>
          <w:snapToGrid w:val="0"/>
        </w:rPr>
        <w:t>.</w:t>
      </w:r>
      <w:r>
        <w:rPr>
          <w:snapToGrid w:val="0"/>
        </w:rPr>
        <w:tab/>
        <w:t>Crowd control agents to be licensed</w:t>
      </w:r>
      <w:bookmarkEnd w:id="184"/>
      <w:bookmarkEnd w:id="185"/>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186" w:name="_Toc131514921"/>
      <w:bookmarkStart w:id="187" w:name="_Toc107495498"/>
      <w:r>
        <w:rPr>
          <w:rStyle w:val="CharSectno"/>
        </w:rPr>
        <w:t>37</w:t>
      </w:r>
      <w:r>
        <w:rPr>
          <w:snapToGrid w:val="0"/>
        </w:rPr>
        <w:t>.</w:t>
      </w:r>
      <w:r>
        <w:rPr>
          <w:snapToGrid w:val="0"/>
        </w:rPr>
        <w:tab/>
        <w:t>Crowd controllers to be licensed</w:t>
      </w:r>
      <w:bookmarkEnd w:id="186"/>
      <w:bookmarkEnd w:id="18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188" w:name="_Toc131514922"/>
      <w:bookmarkStart w:id="189" w:name="_Toc107495499"/>
      <w:r>
        <w:rPr>
          <w:rStyle w:val="CharSectno"/>
        </w:rPr>
        <w:t>38</w:t>
      </w:r>
      <w:r>
        <w:rPr>
          <w:snapToGrid w:val="0"/>
        </w:rPr>
        <w:t>.</w:t>
      </w:r>
      <w:r>
        <w:rPr>
          <w:snapToGrid w:val="0"/>
        </w:rPr>
        <w:tab/>
        <w:t>Crowd controllers to be employed by crowd control agent</w:t>
      </w:r>
      <w:bookmarkEnd w:id="188"/>
      <w:bookmarkEnd w:id="189"/>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190" w:name="_Toc131514923"/>
      <w:bookmarkStart w:id="191" w:name="_Toc107495500"/>
      <w:r>
        <w:rPr>
          <w:rStyle w:val="CharSectno"/>
        </w:rPr>
        <w:t>39</w:t>
      </w:r>
      <w:r>
        <w:rPr>
          <w:snapToGrid w:val="0"/>
        </w:rPr>
        <w:t>.</w:t>
      </w:r>
      <w:r>
        <w:rPr>
          <w:snapToGrid w:val="0"/>
        </w:rPr>
        <w:tab/>
        <w:t>Unlicensed person not to be employed as crowd controller</w:t>
      </w:r>
      <w:bookmarkEnd w:id="190"/>
      <w:bookmarkEnd w:id="191"/>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192" w:name="_Toc131514924"/>
      <w:bookmarkStart w:id="193" w:name="_Toc107495501"/>
      <w:r>
        <w:rPr>
          <w:rStyle w:val="CharSectno"/>
        </w:rPr>
        <w:t>40</w:t>
      </w:r>
      <w:r>
        <w:rPr>
          <w:snapToGrid w:val="0"/>
        </w:rPr>
        <w:t>.</w:t>
      </w:r>
      <w:r>
        <w:rPr>
          <w:snapToGrid w:val="0"/>
        </w:rPr>
        <w:tab/>
        <w:t>Advertising</w:t>
      </w:r>
      <w:bookmarkEnd w:id="192"/>
      <w:bookmarkEnd w:id="193"/>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194" w:name="_Toc100319439"/>
      <w:bookmarkStart w:id="195" w:name="_Toc100319660"/>
      <w:bookmarkStart w:id="196" w:name="_Toc100566487"/>
      <w:bookmarkStart w:id="197" w:name="_Toc107324554"/>
      <w:bookmarkStart w:id="198" w:name="_Toc107495502"/>
      <w:bookmarkStart w:id="199" w:name="_Toc131511374"/>
      <w:bookmarkStart w:id="200" w:name="_Toc131511613"/>
      <w:bookmarkStart w:id="201" w:name="_Toc131514925"/>
      <w:r>
        <w:rPr>
          <w:rStyle w:val="CharPartNo"/>
        </w:rPr>
        <w:t>Part 6</w:t>
      </w:r>
      <w:r>
        <w:rPr>
          <w:rStyle w:val="CharDivNo"/>
        </w:rPr>
        <w:t> </w:t>
      </w:r>
      <w:r>
        <w:t>—</w:t>
      </w:r>
      <w:r>
        <w:rPr>
          <w:rStyle w:val="CharDivText"/>
        </w:rPr>
        <w:t> </w:t>
      </w:r>
      <w:r>
        <w:rPr>
          <w:rStyle w:val="CharPartText"/>
        </w:rPr>
        <w:t>Control of armed bodyguards</w:t>
      </w:r>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131514926"/>
      <w:bookmarkStart w:id="203" w:name="_Toc107495503"/>
      <w:r>
        <w:rPr>
          <w:rStyle w:val="CharSectno"/>
        </w:rPr>
        <w:t>41</w:t>
      </w:r>
      <w:r>
        <w:rPr>
          <w:snapToGrid w:val="0"/>
        </w:rPr>
        <w:t>.</w:t>
      </w:r>
      <w:r>
        <w:rPr>
          <w:snapToGrid w:val="0"/>
        </w:rPr>
        <w:tab/>
        <w:t>Authorisation of armed bodyguards</w:t>
      </w:r>
      <w:bookmarkEnd w:id="202"/>
      <w:bookmarkEnd w:id="203"/>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204" w:name="_Toc131514927"/>
      <w:bookmarkStart w:id="205" w:name="_Toc107495504"/>
      <w:r>
        <w:rPr>
          <w:rStyle w:val="CharSectno"/>
        </w:rPr>
        <w:t>42</w:t>
      </w:r>
      <w:r>
        <w:rPr>
          <w:snapToGrid w:val="0"/>
        </w:rPr>
        <w:t>.</w:t>
      </w:r>
      <w:r>
        <w:rPr>
          <w:snapToGrid w:val="0"/>
        </w:rPr>
        <w:tab/>
        <w:t>Revocation etc. of authorisation</w:t>
      </w:r>
      <w:bookmarkEnd w:id="204"/>
      <w:bookmarkEnd w:id="205"/>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206" w:name="_Toc100319442"/>
      <w:bookmarkStart w:id="207" w:name="_Toc100319663"/>
      <w:bookmarkStart w:id="208" w:name="_Toc100566490"/>
      <w:bookmarkStart w:id="209" w:name="_Toc107324557"/>
      <w:bookmarkStart w:id="210" w:name="_Toc107495505"/>
      <w:bookmarkStart w:id="211" w:name="_Toc131511377"/>
      <w:bookmarkStart w:id="212" w:name="_Toc131511616"/>
      <w:bookmarkStart w:id="213" w:name="_Toc131514928"/>
      <w:r>
        <w:rPr>
          <w:rStyle w:val="CharPartNo"/>
        </w:rPr>
        <w:t>Part 6A</w:t>
      </w:r>
      <w:r>
        <w:rPr>
          <w:rStyle w:val="CharDivNo"/>
        </w:rPr>
        <w:t> </w:t>
      </w:r>
      <w:r>
        <w:t>—</w:t>
      </w:r>
      <w:r>
        <w:rPr>
          <w:rStyle w:val="CharDivText"/>
        </w:rPr>
        <w:t> </w:t>
      </w:r>
      <w:r>
        <w:rPr>
          <w:rStyle w:val="CharPartText"/>
        </w:rPr>
        <w:t>Temporary licences for interstate visitors</w:t>
      </w:r>
      <w:bookmarkEnd w:id="206"/>
      <w:bookmarkEnd w:id="207"/>
      <w:bookmarkEnd w:id="208"/>
      <w:bookmarkEnd w:id="209"/>
      <w:bookmarkEnd w:id="210"/>
      <w:bookmarkEnd w:id="211"/>
      <w:bookmarkEnd w:id="212"/>
      <w:bookmarkEnd w:id="213"/>
    </w:p>
    <w:p>
      <w:pPr>
        <w:pStyle w:val="Footnoteheading"/>
      </w:pPr>
      <w:r>
        <w:tab/>
        <w:t>[Heading inserted: No. 4 of 2008 s. 29.]</w:t>
      </w:r>
    </w:p>
    <w:p>
      <w:pPr>
        <w:pStyle w:val="Heading5"/>
        <w:spacing w:before="180"/>
      </w:pPr>
      <w:bookmarkStart w:id="214" w:name="_Toc131514929"/>
      <w:bookmarkStart w:id="215" w:name="_Toc107495506"/>
      <w:r>
        <w:rPr>
          <w:rStyle w:val="CharSectno"/>
        </w:rPr>
        <w:t>42A</w:t>
      </w:r>
      <w:r>
        <w:t>.</w:t>
      </w:r>
      <w:r>
        <w:tab/>
        <w:t>Temporary licence — security activities</w:t>
      </w:r>
      <w:bookmarkEnd w:id="214"/>
      <w:bookmarkEnd w:id="215"/>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216" w:name="_Toc131514930"/>
      <w:bookmarkStart w:id="217" w:name="_Toc107495507"/>
      <w:r>
        <w:rPr>
          <w:rStyle w:val="CharSectno"/>
        </w:rPr>
        <w:t>42B</w:t>
      </w:r>
      <w:r>
        <w:t>.</w:t>
      </w:r>
      <w:r>
        <w:tab/>
        <w:t>Temporary licence — agent services</w:t>
      </w:r>
      <w:bookmarkEnd w:id="216"/>
      <w:bookmarkEnd w:id="217"/>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No. 4 of 2008 s. 29.]</w:t>
      </w:r>
    </w:p>
    <w:p>
      <w:pPr>
        <w:pStyle w:val="Heading2"/>
      </w:pPr>
      <w:bookmarkStart w:id="218" w:name="_Toc100319445"/>
      <w:bookmarkStart w:id="219" w:name="_Toc100319666"/>
      <w:bookmarkStart w:id="220" w:name="_Toc100566493"/>
      <w:bookmarkStart w:id="221" w:name="_Toc107324560"/>
      <w:bookmarkStart w:id="222" w:name="_Toc107495508"/>
      <w:bookmarkStart w:id="223" w:name="_Toc131511380"/>
      <w:bookmarkStart w:id="224" w:name="_Toc131511619"/>
      <w:bookmarkStart w:id="225" w:name="_Toc131514931"/>
      <w:r>
        <w:rPr>
          <w:rStyle w:val="CharPartNo"/>
        </w:rPr>
        <w:t>Part 7</w:t>
      </w:r>
      <w:r>
        <w:t> — </w:t>
      </w:r>
      <w:r>
        <w:rPr>
          <w:rStyle w:val="CharPartText"/>
        </w:rPr>
        <w:t>Licensing procedures</w:t>
      </w:r>
      <w:bookmarkEnd w:id="218"/>
      <w:bookmarkEnd w:id="219"/>
      <w:bookmarkEnd w:id="220"/>
      <w:bookmarkEnd w:id="221"/>
      <w:bookmarkEnd w:id="222"/>
      <w:bookmarkEnd w:id="223"/>
      <w:bookmarkEnd w:id="224"/>
      <w:bookmarkEnd w:id="225"/>
      <w:r>
        <w:rPr>
          <w:rStyle w:val="CharPartText"/>
        </w:rPr>
        <w:t xml:space="preserve"> </w:t>
      </w:r>
    </w:p>
    <w:p>
      <w:pPr>
        <w:pStyle w:val="Heading3"/>
        <w:rPr>
          <w:snapToGrid w:val="0"/>
        </w:rPr>
      </w:pPr>
      <w:bookmarkStart w:id="226" w:name="_Toc100319446"/>
      <w:bookmarkStart w:id="227" w:name="_Toc100319667"/>
      <w:bookmarkStart w:id="228" w:name="_Toc100566494"/>
      <w:bookmarkStart w:id="229" w:name="_Toc107324561"/>
      <w:bookmarkStart w:id="230" w:name="_Toc107495509"/>
      <w:bookmarkStart w:id="231" w:name="_Toc131511381"/>
      <w:bookmarkStart w:id="232" w:name="_Toc131511620"/>
      <w:bookmarkStart w:id="233" w:name="_Toc131514932"/>
      <w:r>
        <w:rPr>
          <w:rStyle w:val="CharDivNo"/>
        </w:rPr>
        <w:t>Division 1</w:t>
      </w:r>
      <w:r>
        <w:rPr>
          <w:snapToGrid w:val="0"/>
        </w:rPr>
        <w:t> — </w:t>
      </w:r>
      <w:r>
        <w:rPr>
          <w:rStyle w:val="CharDivText"/>
        </w:rPr>
        <w:t>Who may hold licence</w:t>
      </w:r>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131514933"/>
      <w:bookmarkStart w:id="235" w:name="_Toc107495510"/>
      <w:r>
        <w:rPr>
          <w:rStyle w:val="CharSectno"/>
        </w:rPr>
        <w:t>43</w:t>
      </w:r>
      <w:r>
        <w:rPr>
          <w:snapToGrid w:val="0"/>
        </w:rPr>
        <w:t>.</w:t>
      </w:r>
      <w:r>
        <w:rPr>
          <w:snapToGrid w:val="0"/>
        </w:rPr>
        <w:tab/>
        <w:t>Natural persons only to be licensed</w:t>
      </w:r>
      <w:bookmarkEnd w:id="234"/>
      <w:bookmarkEnd w:id="235"/>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236" w:name="_Toc131514934"/>
      <w:bookmarkStart w:id="237" w:name="_Toc107495511"/>
      <w:r>
        <w:rPr>
          <w:rStyle w:val="CharSectno"/>
        </w:rPr>
        <w:t>44</w:t>
      </w:r>
      <w:r>
        <w:rPr>
          <w:snapToGrid w:val="0"/>
        </w:rPr>
        <w:t>.</w:t>
      </w:r>
      <w:r>
        <w:rPr>
          <w:snapToGrid w:val="0"/>
        </w:rPr>
        <w:tab/>
        <w:t>Residence requirements for licences on behalf of partnership etc.</w:t>
      </w:r>
      <w:bookmarkEnd w:id="236"/>
      <w:bookmarkEnd w:id="237"/>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238" w:name="_Toc131514935"/>
      <w:bookmarkStart w:id="239" w:name="_Toc107495512"/>
      <w:r>
        <w:rPr>
          <w:rStyle w:val="CharSectno"/>
        </w:rPr>
        <w:t>45</w:t>
      </w:r>
      <w:r>
        <w:rPr>
          <w:snapToGrid w:val="0"/>
        </w:rPr>
        <w:t>.</w:t>
      </w:r>
      <w:r>
        <w:rPr>
          <w:snapToGrid w:val="0"/>
        </w:rPr>
        <w:tab/>
        <w:t>Automatic termination of licence held on behalf of partnership etc.</w:t>
      </w:r>
      <w:bookmarkEnd w:id="238"/>
      <w:bookmarkEnd w:id="239"/>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240" w:name="_Toc100319450"/>
      <w:bookmarkStart w:id="241" w:name="_Toc100319671"/>
      <w:bookmarkStart w:id="242" w:name="_Toc100566498"/>
      <w:bookmarkStart w:id="243" w:name="_Toc107324565"/>
      <w:bookmarkStart w:id="244" w:name="_Toc107495513"/>
      <w:bookmarkStart w:id="245" w:name="_Toc131511385"/>
      <w:bookmarkStart w:id="246" w:name="_Toc131511624"/>
      <w:bookmarkStart w:id="247" w:name="_Toc131514936"/>
      <w:r>
        <w:rPr>
          <w:rStyle w:val="CharDivNo"/>
        </w:rPr>
        <w:t>Division 2</w:t>
      </w:r>
      <w:r>
        <w:rPr>
          <w:snapToGrid w:val="0"/>
        </w:rPr>
        <w:t> — </w:t>
      </w:r>
      <w:r>
        <w:rPr>
          <w:rStyle w:val="CharDivText"/>
        </w:rPr>
        <w:t>Applications for issue and renewal of licences</w:t>
      </w:r>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131514937"/>
      <w:bookmarkStart w:id="249" w:name="_Toc107495514"/>
      <w:r>
        <w:rPr>
          <w:rStyle w:val="CharSectno"/>
        </w:rPr>
        <w:t>46</w:t>
      </w:r>
      <w:r>
        <w:rPr>
          <w:snapToGrid w:val="0"/>
        </w:rPr>
        <w:t>.</w:t>
      </w:r>
      <w:r>
        <w:rPr>
          <w:snapToGrid w:val="0"/>
        </w:rPr>
        <w:tab/>
        <w:t>Application for licence</w:t>
      </w:r>
      <w:bookmarkEnd w:id="248"/>
      <w:bookmarkEnd w:id="249"/>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250" w:name="_Toc131514938"/>
      <w:bookmarkStart w:id="251" w:name="_Toc107495515"/>
      <w:r>
        <w:rPr>
          <w:rStyle w:val="CharSectno"/>
        </w:rPr>
        <w:t>47</w:t>
      </w:r>
      <w:r>
        <w:rPr>
          <w:snapToGrid w:val="0"/>
        </w:rPr>
        <w:t>.</w:t>
      </w:r>
      <w:r>
        <w:rPr>
          <w:snapToGrid w:val="0"/>
        </w:rPr>
        <w:tab/>
        <w:t>Material to support application for licence</w:t>
      </w:r>
      <w:bookmarkEnd w:id="250"/>
      <w:bookmarkEnd w:id="251"/>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252" w:name="_Toc131514939"/>
      <w:bookmarkStart w:id="253" w:name="_Toc107495516"/>
      <w:r>
        <w:rPr>
          <w:rStyle w:val="CharSectno"/>
        </w:rPr>
        <w:t>48</w:t>
      </w:r>
      <w:r>
        <w:rPr>
          <w:snapToGrid w:val="0"/>
        </w:rPr>
        <w:t>.</w:t>
      </w:r>
      <w:r>
        <w:rPr>
          <w:snapToGrid w:val="0"/>
        </w:rPr>
        <w:tab/>
        <w:t>Taking of fingerprints and palm prints</w:t>
      </w:r>
      <w:bookmarkEnd w:id="252"/>
      <w:bookmarkEnd w:id="253"/>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254" w:name="_Toc131514940"/>
      <w:bookmarkStart w:id="255" w:name="_Toc107495517"/>
      <w:r>
        <w:rPr>
          <w:rStyle w:val="CharSectno"/>
        </w:rPr>
        <w:t>49</w:t>
      </w:r>
      <w:r>
        <w:rPr>
          <w:snapToGrid w:val="0"/>
        </w:rPr>
        <w:t>.</w:t>
      </w:r>
      <w:r>
        <w:rPr>
          <w:snapToGrid w:val="0"/>
        </w:rPr>
        <w:tab/>
        <w:t>How and when to apply for renewal</w:t>
      </w:r>
      <w:bookmarkEnd w:id="254"/>
      <w:bookmarkEnd w:id="255"/>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256" w:name="_Toc131514941"/>
      <w:bookmarkStart w:id="257" w:name="_Toc107495518"/>
      <w:r>
        <w:rPr>
          <w:rStyle w:val="CharSectno"/>
        </w:rPr>
        <w:t>50</w:t>
      </w:r>
      <w:r>
        <w:rPr>
          <w:snapToGrid w:val="0"/>
        </w:rPr>
        <w:t>.</w:t>
      </w:r>
      <w:r>
        <w:rPr>
          <w:snapToGrid w:val="0"/>
        </w:rPr>
        <w:tab/>
        <w:t>Material to support application for renewal</w:t>
      </w:r>
      <w:bookmarkEnd w:id="256"/>
      <w:bookmarkEnd w:id="257"/>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Footnotesection"/>
        <w:ind w:left="890" w:hanging="890"/>
      </w:pPr>
      <w:r>
        <w:tab/>
        <w:t>[Section 50 amended: No. 4 of 2008 s. 34.]</w:t>
      </w:r>
    </w:p>
    <w:p>
      <w:pPr>
        <w:pStyle w:val="Heading5"/>
        <w:rPr>
          <w:snapToGrid w:val="0"/>
        </w:rPr>
      </w:pPr>
      <w:bookmarkStart w:id="258" w:name="_Toc131514942"/>
      <w:bookmarkStart w:id="259" w:name="_Toc107495519"/>
      <w:r>
        <w:rPr>
          <w:rStyle w:val="CharSectno"/>
        </w:rPr>
        <w:t>51</w:t>
      </w:r>
      <w:r>
        <w:rPr>
          <w:snapToGrid w:val="0"/>
        </w:rPr>
        <w:t>.</w:t>
      </w:r>
      <w:r>
        <w:rPr>
          <w:snapToGrid w:val="0"/>
        </w:rPr>
        <w:tab/>
        <w:t>False or misleading information</w:t>
      </w:r>
      <w:bookmarkEnd w:id="258"/>
      <w:bookmarkEnd w:id="259"/>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260" w:name="_Toc100319457"/>
      <w:bookmarkStart w:id="261" w:name="_Toc100319678"/>
      <w:bookmarkStart w:id="262" w:name="_Toc100566505"/>
      <w:bookmarkStart w:id="263" w:name="_Toc107324572"/>
      <w:bookmarkStart w:id="264" w:name="_Toc107495520"/>
      <w:bookmarkStart w:id="265" w:name="_Toc131511392"/>
      <w:bookmarkStart w:id="266" w:name="_Toc131511631"/>
      <w:bookmarkStart w:id="267" w:name="_Toc131514943"/>
      <w:r>
        <w:rPr>
          <w:rStyle w:val="CharDivNo"/>
        </w:rPr>
        <w:t>Division 3</w:t>
      </w:r>
      <w:r>
        <w:rPr>
          <w:snapToGrid w:val="0"/>
        </w:rPr>
        <w:t> — </w:t>
      </w:r>
      <w:r>
        <w:rPr>
          <w:rStyle w:val="CharDivText"/>
        </w:rPr>
        <w:t>Issue and renewal of licences</w:t>
      </w:r>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131514944"/>
      <w:bookmarkStart w:id="269" w:name="_Toc107495521"/>
      <w:r>
        <w:rPr>
          <w:rStyle w:val="CharSectno"/>
        </w:rPr>
        <w:t>52</w:t>
      </w:r>
      <w:r>
        <w:rPr>
          <w:snapToGrid w:val="0"/>
        </w:rPr>
        <w:t>.</w:t>
      </w:r>
      <w:r>
        <w:rPr>
          <w:snapToGrid w:val="0"/>
        </w:rPr>
        <w:tab/>
        <w:t>Issue of licences</w:t>
      </w:r>
      <w:bookmarkEnd w:id="268"/>
      <w:bookmarkEnd w:id="269"/>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270" w:name="_Toc131514945"/>
      <w:bookmarkStart w:id="271" w:name="_Toc107495522"/>
      <w:r>
        <w:rPr>
          <w:rStyle w:val="CharSectno"/>
        </w:rPr>
        <w:t>52A</w:t>
      </w:r>
      <w:r>
        <w:t>.</w:t>
      </w:r>
      <w:r>
        <w:tab/>
        <w:t>Matters to be taken into account in deciding whether to issue licence</w:t>
      </w:r>
      <w:bookmarkEnd w:id="270"/>
      <w:bookmarkEnd w:id="271"/>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272" w:name="_Toc131514946"/>
      <w:bookmarkStart w:id="273" w:name="_Toc107495523"/>
      <w:r>
        <w:rPr>
          <w:rStyle w:val="CharSectno"/>
        </w:rPr>
        <w:t>53</w:t>
      </w:r>
      <w:r>
        <w:rPr>
          <w:snapToGrid w:val="0"/>
        </w:rPr>
        <w:t>.</w:t>
      </w:r>
      <w:r>
        <w:rPr>
          <w:snapToGrid w:val="0"/>
        </w:rPr>
        <w:tab/>
        <w:t>Exemption from section 52(1)(g)(i)</w:t>
      </w:r>
      <w:bookmarkEnd w:id="272"/>
      <w:bookmarkEnd w:id="273"/>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274" w:name="_Toc131514947"/>
      <w:bookmarkStart w:id="275" w:name="_Toc107495524"/>
      <w:r>
        <w:rPr>
          <w:rStyle w:val="CharSectno"/>
        </w:rPr>
        <w:t>55</w:t>
      </w:r>
      <w:r>
        <w:t>.</w:t>
      </w:r>
      <w:r>
        <w:tab/>
        <w:t>Refusal of renewal</w:t>
      </w:r>
      <w:bookmarkEnd w:id="274"/>
      <w:bookmarkEnd w:id="275"/>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276" w:name="_Toc131514948"/>
      <w:bookmarkStart w:id="277" w:name="_Toc107495525"/>
      <w:r>
        <w:rPr>
          <w:rStyle w:val="CharSectno"/>
        </w:rPr>
        <w:t>56</w:t>
      </w:r>
      <w:r>
        <w:rPr>
          <w:snapToGrid w:val="0"/>
        </w:rPr>
        <w:t>.</w:t>
      </w:r>
      <w:r>
        <w:rPr>
          <w:snapToGrid w:val="0"/>
        </w:rPr>
        <w:tab/>
        <w:t>Issue and renewal of licences held on behalf of partnerships and bodies corporate</w:t>
      </w:r>
      <w:bookmarkEnd w:id="276"/>
      <w:bookmarkEnd w:id="277"/>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No. 10 of 2001 s. 164; No. 4 of 2008 s. 40.]</w:t>
      </w:r>
    </w:p>
    <w:p>
      <w:pPr>
        <w:pStyle w:val="Heading5"/>
        <w:rPr>
          <w:snapToGrid w:val="0"/>
        </w:rPr>
      </w:pPr>
      <w:bookmarkStart w:id="278" w:name="_Toc131514949"/>
      <w:bookmarkStart w:id="279" w:name="_Toc107495526"/>
      <w:r>
        <w:rPr>
          <w:rStyle w:val="CharSectno"/>
        </w:rPr>
        <w:t>57</w:t>
      </w:r>
      <w:r>
        <w:rPr>
          <w:snapToGrid w:val="0"/>
        </w:rPr>
        <w:t>.</w:t>
      </w:r>
      <w:r>
        <w:rPr>
          <w:snapToGrid w:val="0"/>
        </w:rPr>
        <w:tab/>
        <w:t>Notice of refusal to issue or renew licence</w:t>
      </w:r>
      <w:bookmarkEnd w:id="278"/>
      <w:bookmarkEnd w:id="279"/>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280" w:name="_Toc131514950"/>
      <w:bookmarkStart w:id="281" w:name="_Toc107495527"/>
      <w:r>
        <w:rPr>
          <w:rStyle w:val="CharSectno"/>
        </w:rPr>
        <w:t>58</w:t>
      </w:r>
      <w:r>
        <w:rPr>
          <w:snapToGrid w:val="0"/>
        </w:rPr>
        <w:t>.</w:t>
      </w:r>
      <w:r>
        <w:rPr>
          <w:snapToGrid w:val="0"/>
        </w:rPr>
        <w:tab/>
        <w:t>Form of licences</w:t>
      </w:r>
      <w:bookmarkEnd w:id="280"/>
      <w:bookmarkEnd w:id="281"/>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282" w:name="_Toc131514951"/>
      <w:bookmarkStart w:id="283" w:name="_Toc107495528"/>
      <w:r>
        <w:rPr>
          <w:rStyle w:val="CharSectno"/>
        </w:rPr>
        <w:t>60</w:t>
      </w:r>
      <w:r>
        <w:rPr>
          <w:snapToGrid w:val="0"/>
        </w:rPr>
        <w:t>.</w:t>
      </w:r>
      <w:r>
        <w:rPr>
          <w:snapToGrid w:val="0"/>
        </w:rPr>
        <w:tab/>
        <w:t>Duration of licences</w:t>
      </w:r>
      <w:bookmarkEnd w:id="282"/>
      <w:bookmarkEnd w:id="283"/>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284" w:name="_Toc131514952"/>
      <w:bookmarkStart w:id="285" w:name="_Toc107495529"/>
      <w:r>
        <w:rPr>
          <w:rStyle w:val="CharSectno"/>
        </w:rPr>
        <w:t>61</w:t>
      </w:r>
      <w:r>
        <w:rPr>
          <w:snapToGrid w:val="0"/>
        </w:rPr>
        <w:t>.</w:t>
      </w:r>
      <w:r>
        <w:rPr>
          <w:snapToGrid w:val="0"/>
        </w:rPr>
        <w:tab/>
        <w:t>Identity cards</w:t>
      </w:r>
      <w:bookmarkEnd w:id="284"/>
      <w:bookmarkEnd w:id="285"/>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286" w:name="_Toc131514953"/>
      <w:bookmarkStart w:id="287" w:name="_Toc107495530"/>
      <w:r>
        <w:rPr>
          <w:rStyle w:val="CharSectno"/>
        </w:rPr>
        <w:t>62</w:t>
      </w:r>
      <w:r>
        <w:rPr>
          <w:snapToGrid w:val="0"/>
        </w:rPr>
        <w:t>.</w:t>
      </w:r>
      <w:r>
        <w:rPr>
          <w:snapToGrid w:val="0"/>
        </w:rPr>
        <w:tab/>
        <w:t>Conditions and restrictions</w:t>
      </w:r>
      <w:bookmarkEnd w:id="286"/>
      <w:bookmarkEnd w:id="287"/>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288" w:name="_Toc131514954"/>
      <w:bookmarkStart w:id="289" w:name="_Toc107495531"/>
      <w:r>
        <w:rPr>
          <w:rStyle w:val="CharSectno"/>
        </w:rPr>
        <w:t>63</w:t>
      </w:r>
      <w:r>
        <w:rPr>
          <w:snapToGrid w:val="0"/>
        </w:rPr>
        <w:t>.</w:t>
      </w:r>
      <w:r>
        <w:rPr>
          <w:snapToGrid w:val="0"/>
        </w:rPr>
        <w:tab/>
        <w:t>Regulations may prescribe conditions and restrictions</w:t>
      </w:r>
      <w:bookmarkEnd w:id="288"/>
      <w:bookmarkEnd w:id="289"/>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290" w:name="_Toc131514955"/>
      <w:bookmarkStart w:id="291" w:name="_Toc107495532"/>
      <w:r>
        <w:rPr>
          <w:rStyle w:val="CharSectno"/>
        </w:rPr>
        <w:t>64</w:t>
      </w:r>
      <w:r>
        <w:rPr>
          <w:snapToGrid w:val="0"/>
        </w:rPr>
        <w:t>.</w:t>
      </w:r>
      <w:r>
        <w:rPr>
          <w:snapToGrid w:val="0"/>
        </w:rPr>
        <w:tab/>
        <w:t>Breach of condition or restriction</w:t>
      </w:r>
      <w:bookmarkEnd w:id="290"/>
      <w:bookmarkEnd w:id="291"/>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292" w:name="_Toc131514956"/>
      <w:bookmarkStart w:id="293" w:name="_Toc107495533"/>
      <w:r>
        <w:rPr>
          <w:rStyle w:val="CharSectno"/>
        </w:rPr>
        <w:t>65</w:t>
      </w:r>
      <w:r>
        <w:rPr>
          <w:snapToGrid w:val="0"/>
        </w:rPr>
        <w:t>.</w:t>
      </w:r>
      <w:r>
        <w:rPr>
          <w:snapToGrid w:val="0"/>
        </w:rPr>
        <w:tab/>
        <w:t>Licences not transferable</w:t>
      </w:r>
      <w:bookmarkEnd w:id="292"/>
      <w:bookmarkEnd w:id="293"/>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294" w:name="_Toc131514957"/>
      <w:bookmarkStart w:id="295" w:name="_Toc107495534"/>
      <w:r>
        <w:rPr>
          <w:rStyle w:val="CharSectno"/>
        </w:rPr>
        <w:t>66</w:t>
      </w:r>
      <w:r>
        <w:rPr>
          <w:snapToGrid w:val="0"/>
        </w:rPr>
        <w:t>.</w:t>
      </w:r>
      <w:r>
        <w:rPr>
          <w:snapToGrid w:val="0"/>
        </w:rPr>
        <w:tab/>
        <w:t>Issue of duplicate licence or identity card</w:t>
      </w:r>
      <w:bookmarkEnd w:id="294"/>
      <w:bookmarkEnd w:id="295"/>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296" w:name="_Toc100319472"/>
      <w:bookmarkStart w:id="297" w:name="_Toc100319693"/>
      <w:bookmarkStart w:id="298" w:name="_Toc100566520"/>
      <w:bookmarkStart w:id="299" w:name="_Toc107324587"/>
      <w:bookmarkStart w:id="300" w:name="_Toc107495535"/>
      <w:bookmarkStart w:id="301" w:name="_Toc131511407"/>
      <w:bookmarkStart w:id="302" w:name="_Toc131511646"/>
      <w:bookmarkStart w:id="303" w:name="_Toc131514958"/>
      <w:r>
        <w:rPr>
          <w:rStyle w:val="CharDivNo"/>
        </w:rPr>
        <w:t>Division 4</w:t>
      </w:r>
      <w:r>
        <w:t> — </w:t>
      </w:r>
      <w:r>
        <w:rPr>
          <w:rStyle w:val="CharDivText"/>
        </w:rPr>
        <w:t>Disciplinary proceedings</w:t>
      </w:r>
      <w:bookmarkEnd w:id="296"/>
      <w:bookmarkEnd w:id="297"/>
      <w:bookmarkEnd w:id="298"/>
      <w:bookmarkEnd w:id="299"/>
      <w:bookmarkEnd w:id="300"/>
      <w:bookmarkEnd w:id="301"/>
      <w:bookmarkEnd w:id="302"/>
      <w:bookmarkEnd w:id="303"/>
    </w:p>
    <w:p>
      <w:pPr>
        <w:pStyle w:val="Footnoteheading"/>
        <w:tabs>
          <w:tab w:val="clear" w:pos="879"/>
          <w:tab w:val="left" w:pos="882"/>
        </w:tabs>
      </w:pPr>
      <w:r>
        <w:tab/>
        <w:t>[Heading inserted: No. 55 of 2004 s. 1071; amended: No. 4 of 2008 s. 44.]</w:t>
      </w:r>
    </w:p>
    <w:p>
      <w:pPr>
        <w:pStyle w:val="Heading5"/>
        <w:spacing w:before="120"/>
      </w:pPr>
      <w:bookmarkStart w:id="304" w:name="_Toc131514959"/>
      <w:bookmarkStart w:id="305" w:name="_Toc107495536"/>
      <w:r>
        <w:rPr>
          <w:rStyle w:val="CharSectno"/>
        </w:rPr>
        <w:t>66A</w:t>
      </w:r>
      <w:r>
        <w:t>.</w:t>
      </w:r>
      <w:r>
        <w:tab/>
        <w:t>Term used: licensee</w:t>
      </w:r>
      <w:bookmarkEnd w:id="304"/>
      <w:bookmarkEnd w:id="305"/>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306" w:name="_Toc131514960"/>
      <w:bookmarkStart w:id="307" w:name="_Toc107495537"/>
      <w:r>
        <w:rPr>
          <w:rStyle w:val="CharSectno"/>
        </w:rPr>
        <w:t>67</w:t>
      </w:r>
      <w:r>
        <w:rPr>
          <w:snapToGrid w:val="0"/>
        </w:rPr>
        <w:t>.</w:t>
      </w:r>
      <w:r>
        <w:rPr>
          <w:snapToGrid w:val="0"/>
        </w:rPr>
        <w:tab/>
        <w:t xml:space="preserve">Power to </w:t>
      </w:r>
      <w:r>
        <w:t>revoke</w:t>
      </w:r>
      <w:r>
        <w:rPr>
          <w:snapToGrid w:val="0"/>
        </w:rPr>
        <w:t xml:space="preserve"> licence</w:t>
      </w:r>
      <w:bookmarkEnd w:id="306"/>
      <w:bookmarkEnd w:id="307"/>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308" w:name="_Toc131514961"/>
      <w:bookmarkStart w:id="309" w:name="_Toc107495538"/>
      <w:r>
        <w:rPr>
          <w:rStyle w:val="CharSectno"/>
        </w:rPr>
        <w:t>67A</w:t>
      </w:r>
      <w:r>
        <w:t>.</w:t>
      </w:r>
      <w:r>
        <w:tab/>
        <w:t>Summary power to revoke and suspend licences</w:t>
      </w:r>
      <w:bookmarkEnd w:id="308"/>
      <w:bookmarkEnd w:id="309"/>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310" w:name="_Toc131514962"/>
      <w:bookmarkStart w:id="311" w:name="_Toc107495539"/>
      <w:r>
        <w:rPr>
          <w:rStyle w:val="CharSectno"/>
        </w:rPr>
        <w:t>67B</w:t>
      </w:r>
      <w:r>
        <w:t>.</w:t>
      </w:r>
      <w:r>
        <w:tab/>
        <w:t>Return of revoked licence and identity card</w:t>
      </w:r>
      <w:bookmarkEnd w:id="310"/>
      <w:bookmarkEnd w:id="311"/>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312" w:name="_Toc131514963"/>
      <w:bookmarkStart w:id="313" w:name="_Toc107495540"/>
      <w:r>
        <w:rPr>
          <w:rStyle w:val="CharSectno"/>
        </w:rPr>
        <w:t>68</w:t>
      </w:r>
      <w:r>
        <w:rPr>
          <w:snapToGrid w:val="0"/>
        </w:rPr>
        <w:t>.</w:t>
      </w:r>
      <w:r>
        <w:rPr>
          <w:snapToGrid w:val="0"/>
        </w:rPr>
        <w:tab/>
        <w:t>Cancellation of endorsement</w:t>
      </w:r>
      <w:bookmarkEnd w:id="312"/>
      <w:bookmarkEnd w:id="313"/>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No. 55 of 2004 s. 1073; No. 4 of 2008 s. 80(1).]</w:t>
      </w:r>
    </w:p>
    <w:p>
      <w:pPr>
        <w:pStyle w:val="Heading5"/>
      </w:pPr>
      <w:bookmarkStart w:id="314" w:name="_Toc131514964"/>
      <w:bookmarkStart w:id="315" w:name="_Toc107495541"/>
      <w:r>
        <w:rPr>
          <w:rStyle w:val="CharSectno"/>
        </w:rPr>
        <w:t>68A</w:t>
      </w:r>
      <w:r>
        <w:t>.</w:t>
      </w:r>
      <w:r>
        <w:tab/>
        <w:t>Consent to release information</w:t>
      </w:r>
      <w:bookmarkEnd w:id="314"/>
      <w:bookmarkEnd w:id="31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316" w:name="_Toc131514965"/>
      <w:bookmarkStart w:id="317" w:name="_Toc107495542"/>
      <w:r>
        <w:rPr>
          <w:rStyle w:val="CharSectno"/>
        </w:rPr>
        <w:t>69</w:t>
      </w:r>
      <w:r>
        <w:rPr>
          <w:snapToGrid w:val="0"/>
        </w:rPr>
        <w:t>.</w:t>
      </w:r>
      <w:r>
        <w:rPr>
          <w:snapToGrid w:val="0"/>
        </w:rPr>
        <w:tab/>
        <w:t>Courts may revoke licence</w:t>
      </w:r>
      <w:bookmarkEnd w:id="316"/>
      <w:bookmarkEnd w:id="317"/>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318" w:name="_Toc131514966"/>
      <w:bookmarkStart w:id="319" w:name="_Toc107495543"/>
      <w:r>
        <w:rPr>
          <w:rStyle w:val="CharSectno"/>
        </w:rPr>
        <w:t>70</w:t>
      </w:r>
      <w:r>
        <w:rPr>
          <w:snapToGrid w:val="0"/>
        </w:rPr>
        <w:t>.</w:t>
      </w:r>
      <w:r>
        <w:rPr>
          <w:snapToGrid w:val="0"/>
        </w:rPr>
        <w:tab/>
        <w:t>Returns by courts</w:t>
      </w:r>
      <w:bookmarkEnd w:id="318"/>
      <w:bookmarkEnd w:id="319"/>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320" w:name="_Toc100319481"/>
      <w:bookmarkStart w:id="321" w:name="_Toc100319702"/>
      <w:bookmarkStart w:id="322" w:name="_Toc100566529"/>
      <w:bookmarkStart w:id="323" w:name="_Toc107324596"/>
      <w:bookmarkStart w:id="324" w:name="_Toc107495544"/>
      <w:bookmarkStart w:id="325" w:name="_Toc131511416"/>
      <w:bookmarkStart w:id="326" w:name="_Toc131511655"/>
      <w:bookmarkStart w:id="327" w:name="_Toc131514967"/>
      <w:r>
        <w:rPr>
          <w:rStyle w:val="CharDivNo"/>
        </w:rPr>
        <w:t>Division 5</w:t>
      </w:r>
      <w:r>
        <w:t> — </w:t>
      </w:r>
      <w:r>
        <w:rPr>
          <w:rStyle w:val="CharDivText"/>
        </w:rPr>
        <w:t>Review of licensing decisions</w:t>
      </w:r>
      <w:bookmarkEnd w:id="320"/>
      <w:bookmarkEnd w:id="321"/>
      <w:bookmarkEnd w:id="322"/>
      <w:bookmarkEnd w:id="323"/>
      <w:bookmarkEnd w:id="324"/>
      <w:bookmarkEnd w:id="325"/>
      <w:bookmarkEnd w:id="326"/>
      <w:bookmarkEnd w:id="327"/>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328" w:name="_Toc131514968"/>
      <w:bookmarkStart w:id="329" w:name="_Toc107495545"/>
      <w:r>
        <w:rPr>
          <w:rStyle w:val="CharSectno"/>
        </w:rPr>
        <w:t>72</w:t>
      </w:r>
      <w:r>
        <w:rPr>
          <w:snapToGrid w:val="0"/>
        </w:rPr>
        <w:t>.</w:t>
      </w:r>
      <w:r>
        <w:rPr>
          <w:snapToGrid w:val="0"/>
        </w:rPr>
        <w:tab/>
        <w:t>Application for review</w:t>
      </w:r>
      <w:bookmarkEnd w:id="328"/>
      <w:bookmarkEnd w:id="329"/>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330" w:name="_Toc131514969"/>
      <w:bookmarkStart w:id="331" w:name="_Toc107495546"/>
      <w:r>
        <w:rPr>
          <w:rStyle w:val="CharSectno"/>
        </w:rPr>
        <w:t>74</w:t>
      </w:r>
      <w:r>
        <w:t>.</w:t>
      </w:r>
      <w:r>
        <w:tab/>
        <w:t>Suspension of licence by State Administrative Tribunal</w:t>
      </w:r>
      <w:bookmarkEnd w:id="330"/>
      <w:bookmarkEnd w:id="331"/>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332" w:name="_Toc100319484"/>
      <w:bookmarkStart w:id="333" w:name="_Toc100319705"/>
      <w:bookmarkStart w:id="334" w:name="_Toc100566532"/>
      <w:bookmarkStart w:id="335" w:name="_Toc107324599"/>
      <w:bookmarkStart w:id="336" w:name="_Toc107495547"/>
      <w:bookmarkStart w:id="337" w:name="_Toc131511419"/>
      <w:bookmarkStart w:id="338" w:name="_Toc131511658"/>
      <w:bookmarkStart w:id="339" w:name="_Toc131514970"/>
      <w:r>
        <w:rPr>
          <w:rStyle w:val="CharPartNo"/>
        </w:rPr>
        <w:t>Part 8</w:t>
      </w:r>
      <w:r>
        <w:rPr>
          <w:rStyle w:val="CharDivNo"/>
        </w:rPr>
        <w:t> </w:t>
      </w:r>
      <w:r>
        <w:t>—</w:t>
      </w:r>
      <w:r>
        <w:rPr>
          <w:rStyle w:val="CharDivText"/>
        </w:rPr>
        <w:t> </w:t>
      </w:r>
      <w:r>
        <w:rPr>
          <w:rStyle w:val="CharPartText"/>
        </w:rPr>
        <w:t>Further obligations of licensees</w:t>
      </w:r>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131514971"/>
      <w:bookmarkStart w:id="341" w:name="_Toc107495548"/>
      <w:r>
        <w:rPr>
          <w:rStyle w:val="CharSectno"/>
        </w:rPr>
        <w:t>75</w:t>
      </w:r>
      <w:r>
        <w:rPr>
          <w:snapToGrid w:val="0"/>
        </w:rPr>
        <w:t>.</w:t>
      </w:r>
      <w:r>
        <w:rPr>
          <w:snapToGrid w:val="0"/>
        </w:rPr>
        <w:tab/>
        <w:t>Production of licence</w:t>
      </w:r>
      <w:bookmarkEnd w:id="340"/>
      <w:bookmarkEnd w:id="341"/>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342" w:name="_Toc131514972"/>
      <w:bookmarkStart w:id="343" w:name="_Toc107495549"/>
      <w:r>
        <w:rPr>
          <w:rStyle w:val="CharSectno"/>
        </w:rPr>
        <w:t>76</w:t>
      </w:r>
      <w:r>
        <w:rPr>
          <w:snapToGrid w:val="0"/>
        </w:rPr>
        <w:t>.</w:t>
      </w:r>
      <w:r>
        <w:rPr>
          <w:snapToGrid w:val="0"/>
        </w:rPr>
        <w:tab/>
        <w:t>Return of licence</w:t>
      </w:r>
      <w:bookmarkEnd w:id="342"/>
      <w:bookmarkEnd w:id="343"/>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344" w:name="_Toc131514973"/>
      <w:bookmarkStart w:id="345" w:name="_Toc107495550"/>
      <w:r>
        <w:rPr>
          <w:rStyle w:val="CharSectno"/>
        </w:rPr>
        <w:t>77</w:t>
      </w:r>
      <w:r>
        <w:rPr>
          <w:snapToGrid w:val="0"/>
        </w:rPr>
        <w:t>.</w:t>
      </w:r>
      <w:r>
        <w:rPr>
          <w:snapToGrid w:val="0"/>
        </w:rPr>
        <w:tab/>
        <w:t>Change of address of licensee</w:t>
      </w:r>
      <w:bookmarkEnd w:id="344"/>
      <w:bookmarkEnd w:id="345"/>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No. 4 of 2008 s. 54 and 80(1).]</w:t>
      </w:r>
    </w:p>
    <w:p>
      <w:pPr>
        <w:pStyle w:val="Heading5"/>
      </w:pPr>
      <w:bookmarkStart w:id="346" w:name="_Toc131514974"/>
      <w:bookmarkStart w:id="347" w:name="_Toc107495551"/>
      <w:r>
        <w:rPr>
          <w:rStyle w:val="CharSectno"/>
        </w:rPr>
        <w:t>77A</w:t>
      </w:r>
      <w:r>
        <w:t>.</w:t>
      </w:r>
      <w:r>
        <w:tab/>
        <w:t>Licensee to give notice about offences</w:t>
      </w:r>
      <w:bookmarkEnd w:id="346"/>
      <w:bookmarkEnd w:id="347"/>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348" w:name="_Toc131514975"/>
      <w:bookmarkStart w:id="349" w:name="_Toc107495552"/>
      <w:r>
        <w:rPr>
          <w:rStyle w:val="CharSectno"/>
        </w:rPr>
        <w:t>78</w:t>
      </w:r>
      <w:r>
        <w:rPr>
          <w:snapToGrid w:val="0"/>
        </w:rPr>
        <w:t>.</w:t>
      </w:r>
      <w:r>
        <w:rPr>
          <w:snapToGrid w:val="0"/>
        </w:rPr>
        <w:tab/>
        <w:t>Records to be kept</w:t>
      </w:r>
      <w:bookmarkEnd w:id="348"/>
      <w:bookmarkEnd w:id="349"/>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350" w:name="_Toc131514976"/>
      <w:bookmarkStart w:id="351" w:name="_Toc107495553"/>
      <w:r>
        <w:rPr>
          <w:rStyle w:val="CharSectno"/>
        </w:rPr>
        <w:t>79</w:t>
      </w:r>
      <w:r>
        <w:rPr>
          <w:snapToGrid w:val="0"/>
        </w:rPr>
        <w:t>.</w:t>
      </w:r>
      <w:r>
        <w:rPr>
          <w:snapToGrid w:val="0"/>
        </w:rPr>
        <w:tab/>
        <w:t>Disposal of licence to another</w:t>
      </w:r>
      <w:bookmarkEnd w:id="350"/>
      <w:bookmarkEnd w:id="351"/>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352" w:name="_Toc131514977"/>
      <w:bookmarkStart w:id="353" w:name="_Toc107495554"/>
      <w:r>
        <w:rPr>
          <w:rStyle w:val="CharSectno"/>
        </w:rPr>
        <w:t>79A</w:t>
      </w:r>
      <w:r>
        <w:t>.</w:t>
      </w:r>
      <w:r>
        <w:tab/>
        <w:t>Certain unlicensed persons not to be employed in agent’s business</w:t>
      </w:r>
      <w:bookmarkEnd w:id="352"/>
      <w:bookmarkEnd w:id="353"/>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354" w:name="_Toc100319492"/>
      <w:bookmarkStart w:id="355" w:name="_Toc100319713"/>
      <w:bookmarkStart w:id="356" w:name="_Toc100566540"/>
      <w:bookmarkStart w:id="357" w:name="_Toc107324607"/>
      <w:bookmarkStart w:id="358" w:name="_Toc107495555"/>
      <w:bookmarkStart w:id="359" w:name="_Toc131511427"/>
      <w:bookmarkStart w:id="360" w:name="_Toc131511666"/>
      <w:bookmarkStart w:id="361" w:name="_Toc131514978"/>
      <w:r>
        <w:rPr>
          <w:rStyle w:val="CharPartNo"/>
        </w:rPr>
        <w:t>Part 9</w:t>
      </w:r>
      <w:r>
        <w:rPr>
          <w:rStyle w:val="CharDivNo"/>
        </w:rPr>
        <w:t> </w:t>
      </w:r>
      <w:r>
        <w:t>—</w:t>
      </w:r>
      <w:r>
        <w:rPr>
          <w:rStyle w:val="CharDivText"/>
        </w:rPr>
        <w:t> </w:t>
      </w:r>
      <w:r>
        <w:rPr>
          <w:rStyle w:val="CharPartText"/>
        </w:rPr>
        <w:t>Random drug testing</w:t>
      </w:r>
      <w:bookmarkEnd w:id="354"/>
      <w:bookmarkEnd w:id="355"/>
      <w:bookmarkEnd w:id="356"/>
      <w:bookmarkEnd w:id="357"/>
      <w:bookmarkEnd w:id="358"/>
      <w:bookmarkEnd w:id="359"/>
      <w:bookmarkEnd w:id="360"/>
      <w:bookmarkEnd w:id="361"/>
    </w:p>
    <w:p>
      <w:pPr>
        <w:pStyle w:val="Footnoteheading"/>
      </w:pPr>
      <w:r>
        <w:tab/>
        <w:t>[Heading amended: No. 4 of 2008 s. 58.]</w:t>
      </w:r>
    </w:p>
    <w:p>
      <w:pPr>
        <w:pStyle w:val="Heading5"/>
      </w:pPr>
      <w:bookmarkStart w:id="362" w:name="_Toc131514979"/>
      <w:bookmarkStart w:id="363" w:name="_Toc107495556"/>
      <w:r>
        <w:rPr>
          <w:rStyle w:val="CharSectno"/>
        </w:rPr>
        <w:t>79B</w:t>
      </w:r>
      <w:r>
        <w:t>.</w:t>
      </w:r>
      <w:r>
        <w:tab/>
        <w:t>Term used: licensee</w:t>
      </w:r>
      <w:bookmarkEnd w:id="362"/>
      <w:bookmarkEnd w:id="363"/>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364" w:name="_Toc131514980"/>
      <w:bookmarkStart w:id="365" w:name="_Toc107495557"/>
      <w:r>
        <w:rPr>
          <w:rStyle w:val="CharSectno"/>
        </w:rPr>
        <w:t>80</w:t>
      </w:r>
      <w:r>
        <w:rPr>
          <w:snapToGrid w:val="0"/>
        </w:rPr>
        <w:t>.</w:t>
      </w:r>
      <w:r>
        <w:rPr>
          <w:snapToGrid w:val="0"/>
        </w:rPr>
        <w:tab/>
        <w:t>Licensee may be directed to provide blood or urine for analysis</w:t>
      </w:r>
      <w:bookmarkEnd w:id="364"/>
      <w:bookmarkEnd w:id="365"/>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366" w:name="_Toc131514981"/>
      <w:bookmarkStart w:id="367" w:name="_Toc107495558"/>
      <w:r>
        <w:rPr>
          <w:rStyle w:val="CharSectno"/>
        </w:rPr>
        <w:t>81</w:t>
      </w:r>
      <w:r>
        <w:rPr>
          <w:snapToGrid w:val="0"/>
        </w:rPr>
        <w:t>.</w:t>
      </w:r>
      <w:r>
        <w:rPr>
          <w:snapToGrid w:val="0"/>
        </w:rPr>
        <w:tab/>
        <w:t>Licence may be revoked</w:t>
      </w:r>
      <w:bookmarkEnd w:id="366"/>
      <w:bookmarkEnd w:id="367"/>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368" w:name="_Toc131514982"/>
      <w:bookmarkStart w:id="369" w:name="_Toc107495559"/>
      <w:r>
        <w:rPr>
          <w:rStyle w:val="CharSectno"/>
        </w:rPr>
        <w:t>82</w:t>
      </w:r>
      <w:r>
        <w:rPr>
          <w:snapToGrid w:val="0"/>
        </w:rPr>
        <w:t>.</w:t>
      </w:r>
      <w:r>
        <w:rPr>
          <w:snapToGrid w:val="0"/>
        </w:rPr>
        <w:tab/>
        <w:t>Cost of test may be recovered</w:t>
      </w:r>
      <w:bookmarkEnd w:id="368"/>
      <w:bookmarkEnd w:id="369"/>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370" w:name="_Toc131514983"/>
      <w:bookmarkStart w:id="371" w:name="_Toc107495560"/>
      <w:r>
        <w:rPr>
          <w:rStyle w:val="CharSectno"/>
        </w:rPr>
        <w:t>83</w:t>
      </w:r>
      <w:r>
        <w:rPr>
          <w:snapToGrid w:val="0"/>
        </w:rPr>
        <w:t>.</w:t>
      </w:r>
      <w:r>
        <w:rPr>
          <w:snapToGrid w:val="0"/>
        </w:rPr>
        <w:tab/>
        <w:t>Regulations relating to drug tests</w:t>
      </w:r>
      <w:bookmarkEnd w:id="370"/>
      <w:bookmarkEnd w:id="371"/>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372" w:name="_Toc100319498"/>
      <w:bookmarkStart w:id="373" w:name="_Toc100319719"/>
      <w:bookmarkStart w:id="374" w:name="_Toc100566546"/>
      <w:bookmarkStart w:id="375" w:name="_Toc107324613"/>
      <w:bookmarkStart w:id="376" w:name="_Toc107495561"/>
      <w:bookmarkStart w:id="377" w:name="_Toc131511433"/>
      <w:bookmarkStart w:id="378" w:name="_Toc131511672"/>
      <w:bookmarkStart w:id="379" w:name="_Toc131514984"/>
      <w:r>
        <w:rPr>
          <w:rStyle w:val="CharPartNo"/>
        </w:rPr>
        <w:t>Part 10</w:t>
      </w:r>
      <w:r>
        <w:t> — </w:t>
      </w:r>
      <w:r>
        <w:rPr>
          <w:rStyle w:val="CharPartText"/>
        </w:rPr>
        <w:t>Miscellaneous</w:t>
      </w:r>
      <w:bookmarkEnd w:id="372"/>
      <w:bookmarkEnd w:id="373"/>
      <w:bookmarkEnd w:id="374"/>
      <w:bookmarkEnd w:id="375"/>
      <w:bookmarkEnd w:id="376"/>
      <w:bookmarkEnd w:id="377"/>
      <w:bookmarkEnd w:id="378"/>
      <w:bookmarkEnd w:id="379"/>
      <w:r>
        <w:t xml:space="preserve"> </w:t>
      </w:r>
    </w:p>
    <w:p>
      <w:pPr>
        <w:pStyle w:val="Heading3"/>
      </w:pPr>
      <w:bookmarkStart w:id="380" w:name="_Toc100319499"/>
      <w:bookmarkStart w:id="381" w:name="_Toc100319720"/>
      <w:bookmarkStart w:id="382" w:name="_Toc100566547"/>
      <w:bookmarkStart w:id="383" w:name="_Toc107324614"/>
      <w:bookmarkStart w:id="384" w:name="_Toc107495562"/>
      <w:bookmarkStart w:id="385" w:name="_Toc131511434"/>
      <w:bookmarkStart w:id="386" w:name="_Toc131511673"/>
      <w:bookmarkStart w:id="387" w:name="_Toc131514985"/>
      <w:r>
        <w:rPr>
          <w:rStyle w:val="CharDivNo"/>
        </w:rPr>
        <w:t>Division 1</w:t>
      </w:r>
      <w:r>
        <w:t> — </w:t>
      </w:r>
      <w:r>
        <w:rPr>
          <w:rStyle w:val="CharDivText"/>
        </w:rPr>
        <w:t>Records</w:t>
      </w:r>
      <w:bookmarkEnd w:id="380"/>
      <w:bookmarkEnd w:id="381"/>
      <w:bookmarkEnd w:id="382"/>
      <w:bookmarkEnd w:id="383"/>
      <w:bookmarkEnd w:id="384"/>
      <w:bookmarkEnd w:id="385"/>
      <w:bookmarkEnd w:id="386"/>
      <w:bookmarkEnd w:id="387"/>
    </w:p>
    <w:p>
      <w:pPr>
        <w:pStyle w:val="Footnoteheading"/>
      </w:pPr>
      <w:r>
        <w:tab/>
        <w:t>[Heading inserted: No. 4 of 2008 s. 63.]</w:t>
      </w:r>
    </w:p>
    <w:p>
      <w:pPr>
        <w:pStyle w:val="Heading5"/>
        <w:spacing w:before="180"/>
        <w:rPr>
          <w:snapToGrid w:val="0"/>
        </w:rPr>
      </w:pPr>
      <w:bookmarkStart w:id="388" w:name="_Toc131514986"/>
      <w:bookmarkStart w:id="389" w:name="_Toc107495563"/>
      <w:r>
        <w:rPr>
          <w:rStyle w:val="CharSectno"/>
        </w:rPr>
        <w:t>84</w:t>
      </w:r>
      <w:r>
        <w:rPr>
          <w:snapToGrid w:val="0"/>
        </w:rPr>
        <w:t>.</w:t>
      </w:r>
      <w:r>
        <w:rPr>
          <w:snapToGrid w:val="0"/>
        </w:rPr>
        <w:tab/>
        <w:t>Records to be kept by person who engages crowd controller</w:t>
      </w:r>
      <w:bookmarkEnd w:id="388"/>
      <w:bookmarkEnd w:id="389"/>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390" w:name="_Toc131514987"/>
      <w:bookmarkStart w:id="391" w:name="_Toc107495564"/>
      <w:r>
        <w:rPr>
          <w:rStyle w:val="CharSectno"/>
        </w:rPr>
        <w:t>85</w:t>
      </w:r>
      <w:r>
        <w:rPr>
          <w:snapToGrid w:val="0"/>
        </w:rPr>
        <w:t>.</w:t>
      </w:r>
      <w:r>
        <w:rPr>
          <w:snapToGrid w:val="0"/>
        </w:rPr>
        <w:tab/>
        <w:t>Inspection of records</w:t>
      </w:r>
      <w:bookmarkEnd w:id="390"/>
      <w:bookmarkEnd w:id="391"/>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392" w:name="_Toc131514988"/>
      <w:bookmarkStart w:id="393" w:name="_Toc107495565"/>
      <w:r>
        <w:rPr>
          <w:rStyle w:val="CharSectno"/>
        </w:rPr>
        <w:t>86</w:t>
      </w:r>
      <w:r>
        <w:rPr>
          <w:snapToGrid w:val="0"/>
        </w:rPr>
        <w:t>.</w:t>
      </w:r>
      <w:r>
        <w:rPr>
          <w:snapToGrid w:val="0"/>
        </w:rPr>
        <w:tab/>
        <w:t>Police may retain records for certain purposes</w:t>
      </w:r>
      <w:bookmarkEnd w:id="392"/>
      <w:bookmarkEnd w:id="393"/>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394" w:name="_Toc131514989"/>
      <w:bookmarkStart w:id="395" w:name="_Toc107495566"/>
      <w:r>
        <w:rPr>
          <w:rStyle w:val="CharSectno"/>
        </w:rPr>
        <w:t>87</w:t>
      </w:r>
      <w:r>
        <w:rPr>
          <w:snapToGrid w:val="0"/>
        </w:rPr>
        <w:t>.</w:t>
      </w:r>
      <w:r>
        <w:rPr>
          <w:snapToGrid w:val="0"/>
        </w:rPr>
        <w:tab/>
        <w:t>Obstruction of police</w:t>
      </w:r>
      <w:bookmarkEnd w:id="394"/>
      <w:bookmarkEnd w:id="395"/>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396" w:name="_Toc100319504"/>
      <w:bookmarkStart w:id="397" w:name="_Toc100319725"/>
      <w:bookmarkStart w:id="398" w:name="_Toc100566552"/>
      <w:bookmarkStart w:id="399" w:name="_Toc107324619"/>
      <w:bookmarkStart w:id="400" w:name="_Toc107495567"/>
      <w:bookmarkStart w:id="401" w:name="_Toc131511439"/>
      <w:bookmarkStart w:id="402" w:name="_Toc131511678"/>
      <w:bookmarkStart w:id="403" w:name="_Toc131514990"/>
      <w:r>
        <w:rPr>
          <w:rStyle w:val="CharDivNo"/>
        </w:rPr>
        <w:t>Division 2</w:t>
      </w:r>
      <w:r>
        <w:t> — </w:t>
      </w:r>
      <w:r>
        <w:rPr>
          <w:rStyle w:val="CharDivText"/>
        </w:rPr>
        <w:t>Legal proceedings</w:t>
      </w:r>
      <w:bookmarkEnd w:id="396"/>
      <w:bookmarkEnd w:id="397"/>
      <w:bookmarkEnd w:id="398"/>
      <w:bookmarkEnd w:id="399"/>
      <w:bookmarkEnd w:id="400"/>
      <w:bookmarkEnd w:id="401"/>
      <w:bookmarkEnd w:id="402"/>
      <w:bookmarkEnd w:id="403"/>
    </w:p>
    <w:p>
      <w:pPr>
        <w:pStyle w:val="Footnoteheading"/>
      </w:pPr>
      <w:r>
        <w:tab/>
        <w:t>[Heading inserted: No. 4 of 2008 s. 68.]</w:t>
      </w:r>
    </w:p>
    <w:p>
      <w:pPr>
        <w:pStyle w:val="Heading5"/>
        <w:spacing w:before="160"/>
      </w:pPr>
      <w:bookmarkStart w:id="404" w:name="_Toc131514991"/>
      <w:bookmarkStart w:id="405" w:name="_Toc107495568"/>
      <w:r>
        <w:rPr>
          <w:rStyle w:val="CharSectno"/>
        </w:rPr>
        <w:t>88</w:t>
      </w:r>
      <w:r>
        <w:t>.</w:t>
      </w:r>
      <w:r>
        <w:tab/>
        <w:t>Designated persons</w:t>
      </w:r>
      <w:bookmarkEnd w:id="404"/>
      <w:bookmarkEnd w:id="405"/>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406" w:name="_Toc131514992"/>
      <w:bookmarkStart w:id="407" w:name="_Toc107495569"/>
      <w:r>
        <w:rPr>
          <w:rStyle w:val="CharSectno"/>
        </w:rPr>
        <w:t>88A</w:t>
      </w:r>
      <w:r>
        <w:t>.</w:t>
      </w:r>
      <w:r>
        <w:tab/>
        <w:t>Infringement notices</w:t>
      </w:r>
      <w:bookmarkEnd w:id="406"/>
      <w:bookmarkEnd w:id="407"/>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w:t>
      </w:r>
      <w:del w:id="408" w:author="Master Repository Process" w:date="2023-04-05T12:30:00Z">
        <w:r>
          <w:delText>, 90</w:delText>
        </w:r>
      </w:del>
      <w:r>
        <w:t xml:space="preserve">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w:t>
      </w:r>
      <w:del w:id="409" w:author="Master Repository Process" w:date="2023-04-05T12:30:00Z">
        <w:r>
          <w:delText>68</w:delText>
        </w:r>
      </w:del>
      <w:ins w:id="410" w:author="Master Repository Process" w:date="2023-04-05T12:30:00Z">
        <w:r>
          <w:t>68; amended: No. 9 of 2023 s. 138</w:t>
        </w:r>
      </w:ins>
      <w:r>
        <w:t>.]</w:t>
      </w:r>
    </w:p>
    <w:p>
      <w:pPr>
        <w:pStyle w:val="Heading5"/>
      </w:pPr>
      <w:bookmarkStart w:id="411" w:name="_Toc131514993"/>
      <w:bookmarkStart w:id="412" w:name="_Toc107495570"/>
      <w:r>
        <w:rPr>
          <w:rStyle w:val="CharSectno"/>
        </w:rPr>
        <w:t>88B</w:t>
      </w:r>
      <w:r>
        <w:t>.</w:t>
      </w:r>
      <w:r>
        <w:tab/>
        <w:t>Withdrawal of infringement notice</w:t>
      </w:r>
      <w:bookmarkEnd w:id="411"/>
      <w:bookmarkEnd w:id="412"/>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413" w:name="_Toc131514994"/>
      <w:bookmarkStart w:id="414" w:name="_Toc107495571"/>
      <w:r>
        <w:rPr>
          <w:rStyle w:val="CharSectno"/>
        </w:rPr>
        <w:t>88C</w:t>
      </w:r>
      <w:r>
        <w:t>.</w:t>
      </w:r>
      <w:r>
        <w:tab/>
        <w:t>Benefit of paying modified penalty</w:t>
      </w:r>
      <w:bookmarkEnd w:id="413"/>
      <w:bookmarkEnd w:id="414"/>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415" w:name="_Toc131514995"/>
      <w:bookmarkStart w:id="416" w:name="_Toc107495572"/>
      <w:r>
        <w:rPr>
          <w:rStyle w:val="CharSectno"/>
        </w:rPr>
        <w:t>88D</w:t>
      </w:r>
      <w:r>
        <w:t>.</w:t>
      </w:r>
      <w:r>
        <w:tab/>
        <w:t>No admission implied by payment</w:t>
      </w:r>
      <w:bookmarkEnd w:id="415"/>
      <w:bookmarkEnd w:id="416"/>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417" w:name="_Toc131514996"/>
      <w:bookmarkStart w:id="418" w:name="_Toc107495573"/>
      <w:r>
        <w:rPr>
          <w:rStyle w:val="CharSectno"/>
        </w:rPr>
        <w:t>88E</w:t>
      </w:r>
      <w:r>
        <w:t>.</w:t>
      </w:r>
      <w:r>
        <w:tab/>
        <w:t>Application of penalties collected</w:t>
      </w:r>
      <w:bookmarkEnd w:id="417"/>
      <w:bookmarkEnd w:id="418"/>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419" w:name="_Toc131514997"/>
      <w:bookmarkStart w:id="420" w:name="_Toc107495574"/>
      <w:r>
        <w:rPr>
          <w:rStyle w:val="CharSectno"/>
        </w:rPr>
        <w:t>89</w:t>
      </w:r>
      <w:r>
        <w:rPr>
          <w:snapToGrid w:val="0"/>
        </w:rPr>
        <w:t>.</w:t>
      </w:r>
      <w:r>
        <w:rPr>
          <w:snapToGrid w:val="0"/>
        </w:rPr>
        <w:tab/>
        <w:t>Liability of partners and bodies corporate</w:t>
      </w:r>
      <w:bookmarkEnd w:id="419"/>
      <w:bookmarkEnd w:id="420"/>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keepNext/>
        <w:spacing w:before="200"/>
        <w:rPr>
          <w:snapToGrid w:val="0"/>
        </w:rPr>
      </w:pPr>
      <w:r>
        <w:rPr>
          <w:snapToGrid w:val="0"/>
        </w:rPr>
        <w:tab/>
        <w:t>(3)</w:t>
      </w:r>
      <w:r>
        <w:rPr>
          <w:snapToGrid w:val="0"/>
        </w:rPr>
        <w:tab/>
        <w:t>The reference in subsection (2) to a partner does not include a reference to a partner who is also the licensee</w:t>
      </w:r>
      <w:del w:id="421" w:author="Master Repository Process" w:date="2023-04-05T12:30:00Z">
        <w:r>
          <w:rPr>
            <w:snapToGrid w:val="0"/>
          </w:rPr>
          <w:delText xml:space="preserve"> and the defence available to an officer under section 90 is not available to an officer who is also the licensee.</w:delText>
        </w:r>
      </w:del>
      <w:ins w:id="422" w:author="Master Repository Process" w:date="2023-04-05T12:30:00Z">
        <w:r>
          <w:rPr>
            <w:snapToGrid w:val="0"/>
          </w:rPr>
          <w:t>.</w:t>
        </w:r>
      </w:ins>
    </w:p>
    <w:p>
      <w:pPr>
        <w:pStyle w:val="Footnotesection"/>
        <w:spacing w:before="80"/>
        <w:ind w:left="890" w:hanging="890"/>
        <w:rPr>
          <w:del w:id="423" w:author="Master Repository Process" w:date="2023-04-05T12:30:00Z"/>
        </w:rPr>
      </w:pPr>
      <w:r>
        <w:tab/>
        <w:t>[Section 89 amended: No. 4 of 2008 s. 69</w:t>
      </w:r>
      <w:del w:id="424" w:author="Master Repository Process" w:date="2023-04-05T12:30:00Z">
        <w:r>
          <w:delText>.]</w:delText>
        </w:r>
      </w:del>
    </w:p>
    <w:p>
      <w:pPr>
        <w:pStyle w:val="Footnotesection"/>
        <w:spacing w:before="80"/>
        <w:ind w:left="890" w:hanging="890"/>
      </w:pPr>
      <w:bookmarkStart w:id="425" w:name="_Toc107495575"/>
      <w:del w:id="426" w:author="Master Repository Process" w:date="2023-04-05T12:30:00Z">
        <w:r>
          <w:rPr>
            <w:rStyle w:val="CharSectno"/>
          </w:rPr>
          <w:delText>90</w:delText>
        </w:r>
        <w:r>
          <w:delText>.</w:delText>
        </w:r>
        <w:r>
          <w:tab/>
          <w:delText>Liability</w:delText>
        </w:r>
      </w:del>
      <w:ins w:id="427" w:author="Master Repository Process" w:date="2023-04-05T12:30:00Z">
        <w:r>
          <w:t>; No. 9</w:t>
        </w:r>
      </w:ins>
      <w:r>
        <w:t xml:space="preserve"> of </w:t>
      </w:r>
      <w:del w:id="428" w:author="Master Repository Process" w:date="2023-04-05T12:30:00Z">
        <w:r>
          <w:delText>officers</w:delText>
        </w:r>
        <w:bookmarkEnd w:id="425"/>
        <w:r>
          <w:delText xml:space="preserve"> </w:delText>
        </w:r>
      </w:del>
      <w:ins w:id="429" w:author="Master Repository Process" w:date="2023-04-05T12:30:00Z">
        <w:r>
          <w:t>2023 s. 139.]</w:t>
        </w:r>
      </w:ins>
    </w:p>
    <w:p>
      <w:pPr>
        <w:pStyle w:val="Subsection"/>
        <w:spacing w:before="200"/>
        <w:rPr>
          <w:del w:id="430" w:author="Master Repository Process" w:date="2023-04-05T12:30:00Z"/>
          <w:snapToGrid w:val="0"/>
        </w:rPr>
      </w:pPr>
      <w:del w:id="431" w:author="Master Repository Process" w:date="2023-04-05T12:30:00Z">
        <w:r>
          <w:rPr>
            <w:snapToGrid w:val="0"/>
          </w:rPr>
          <w:tab/>
          <w:delText>(1)</w:delText>
        </w:r>
        <w:r>
          <w:rPr>
            <w:snapToGrid w:val="0"/>
          </w:rPr>
          <w:tab/>
          <w:delText>Where a body corporate is to be treated as having committed an offence against this Act, each of the body’s officers is also to be treated as having committed the offence unless the officer proves that — </w:delText>
        </w:r>
      </w:del>
    </w:p>
    <w:p>
      <w:pPr>
        <w:pStyle w:val="Indenta"/>
        <w:spacing w:before="100"/>
        <w:rPr>
          <w:del w:id="432" w:author="Master Repository Process" w:date="2023-04-05T12:30:00Z"/>
          <w:snapToGrid w:val="0"/>
        </w:rPr>
      </w:pPr>
      <w:del w:id="433" w:author="Master Repository Process" w:date="2023-04-05T12:30:00Z">
        <w:r>
          <w:rPr>
            <w:snapToGrid w:val="0"/>
          </w:rPr>
          <w:tab/>
          <w:delText>(a)</w:delText>
        </w:r>
        <w:r>
          <w:rPr>
            <w:snapToGrid w:val="0"/>
          </w:rPr>
          <w:tab/>
          <w:delText>the offence was committed without the officer’s consent or connivance; and</w:delText>
        </w:r>
      </w:del>
    </w:p>
    <w:p>
      <w:pPr>
        <w:pStyle w:val="Indenta"/>
        <w:spacing w:before="100"/>
        <w:rPr>
          <w:del w:id="434" w:author="Master Repository Process" w:date="2023-04-05T12:30:00Z"/>
          <w:snapToGrid w:val="0"/>
        </w:rPr>
      </w:pPr>
      <w:del w:id="435" w:author="Master Repository Process" w:date="2023-04-05T12:30:00Z">
        <w:r>
          <w:rPr>
            <w:snapToGrid w:val="0"/>
          </w:rPr>
          <w:tab/>
          <w:delText>(b)</w:delText>
        </w:r>
        <w:r>
          <w:rPr>
            <w:snapToGrid w:val="0"/>
          </w:rPr>
          <w:tab/>
          <w:delText>the officer exercised all such due diligence to prevent the commission of the offence as ought to have been exercised having regard to the nature of the officer’s functions and to all the circumstances.</w:delText>
        </w:r>
      </w:del>
    </w:p>
    <w:p>
      <w:pPr>
        <w:pStyle w:val="Subsection"/>
        <w:rPr>
          <w:del w:id="436" w:author="Master Repository Process" w:date="2023-04-05T12:30:00Z"/>
        </w:rPr>
      </w:pPr>
      <w:del w:id="437" w:author="Master Repository Process" w:date="2023-04-05T12:30:00Z">
        <w:r>
          <w:tab/>
          <w:delText>(2)</w:delText>
        </w:r>
        <w:r>
          <w:tab/>
        </w:r>
        <w:r>
          <w:rPr>
            <w:snapToGrid w:val="0"/>
          </w:rPr>
          <w:delTex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delText>
        </w:r>
      </w:del>
    </w:p>
    <w:p>
      <w:pPr>
        <w:pStyle w:val="Ednotesection"/>
      </w:pPr>
      <w:del w:id="438" w:author="Master Repository Process" w:date="2023-04-05T12:30:00Z">
        <w:r>
          <w:tab/>
          <w:delText>[Section </w:delText>
        </w:r>
      </w:del>
      <w:ins w:id="439" w:author="Master Repository Process" w:date="2023-04-05T12:30:00Z">
        <w:r>
          <w:t>[</w:t>
        </w:r>
      </w:ins>
      <w:r>
        <w:rPr>
          <w:b/>
        </w:rPr>
        <w:t>90</w:t>
      </w:r>
      <w:del w:id="440" w:author="Master Repository Process" w:date="2023-04-05T12:30:00Z">
        <w:r>
          <w:delText xml:space="preserve"> amended</w:delText>
        </w:r>
      </w:del>
      <w:ins w:id="441" w:author="Master Repository Process" w:date="2023-04-05T12:30:00Z">
        <w:r>
          <w:rPr>
            <w:b/>
          </w:rPr>
          <w:t>.</w:t>
        </w:r>
        <w:r>
          <w:tab/>
          <w:t>Deleted</w:t>
        </w:r>
      </w:ins>
      <w:r>
        <w:t>: No.</w:t>
      </w:r>
      <w:del w:id="442" w:author="Master Repository Process" w:date="2023-04-05T12:30:00Z">
        <w:r>
          <w:delText xml:space="preserve"> 4</w:delText>
        </w:r>
      </w:del>
      <w:ins w:id="443" w:author="Master Repository Process" w:date="2023-04-05T12:30:00Z">
        <w:r>
          <w:t> 9</w:t>
        </w:r>
      </w:ins>
      <w:r>
        <w:t xml:space="preserve"> of </w:t>
      </w:r>
      <w:del w:id="444" w:author="Master Repository Process" w:date="2023-04-05T12:30:00Z">
        <w:r>
          <w:delText>2008</w:delText>
        </w:r>
      </w:del>
      <w:ins w:id="445" w:author="Master Repository Process" w:date="2023-04-05T12:30:00Z">
        <w:r>
          <w:t>2023</w:t>
        </w:r>
      </w:ins>
      <w:r>
        <w:t xml:space="preserve"> s. </w:t>
      </w:r>
      <w:del w:id="446" w:author="Master Repository Process" w:date="2023-04-05T12:30:00Z">
        <w:r>
          <w:delText>70</w:delText>
        </w:r>
      </w:del>
      <w:ins w:id="447" w:author="Master Repository Process" w:date="2023-04-05T12:30:00Z">
        <w:r>
          <w:t>140</w:t>
        </w:r>
      </w:ins>
      <w:r>
        <w:t>.]</w:t>
      </w:r>
    </w:p>
    <w:p>
      <w:pPr>
        <w:pStyle w:val="Heading5"/>
      </w:pPr>
      <w:bookmarkStart w:id="448" w:name="_Toc131514998"/>
      <w:bookmarkStart w:id="449" w:name="_Toc107495576"/>
      <w:r>
        <w:t>90A.</w:t>
      </w:r>
      <w:r>
        <w:tab/>
        <w:t>Liability of agent for licensee</w:t>
      </w:r>
      <w:bookmarkEnd w:id="448"/>
      <w:bookmarkEnd w:id="449"/>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keepNext/>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keepNext/>
      </w:pPr>
      <w:r>
        <w:tab/>
        <w:t>(4)</w:t>
      </w:r>
      <w:r>
        <w:tab/>
        <w:t xml:space="preserve">In this section — </w:t>
      </w:r>
    </w:p>
    <w:p>
      <w:pPr>
        <w:pStyle w:val="Defstart"/>
        <w:keepNex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keepNext/>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450" w:name="_Toc131514999"/>
      <w:bookmarkStart w:id="451" w:name="_Toc107495577"/>
      <w:r>
        <w:rPr>
          <w:rStyle w:val="CharSectno"/>
        </w:rPr>
        <w:t>91</w:t>
      </w:r>
      <w:r>
        <w:rPr>
          <w:snapToGrid w:val="0"/>
        </w:rPr>
        <w:t>.</w:t>
      </w:r>
      <w:r>
        <w:rPr>
          <w:snapToGrid w:val="0"/>
        </w:rPr>
        <w:tab/>
        <w:t>Liability of employer of crowd controller for damages</w:t>
      </w:r>
      <w:bookmarkEnd w:id="450"/>
      <w:bookmarkEnd w:id="451"/>
      <w:r>
        <w:rPr>
          <w:snapToGrid w:val="0"/>
        </w:rPr>
        <w:t xml:space="preserve"> </w:t>
      </w:r>
    </w:p>
    <w:p>
      <w:pPr>
        <w:pStyle w:val="Subsection"/>
        <w:keepNext/>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keepNext/>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452" w:name="_Toc131515000"/>
      <w:bookmarkStart w:id="453" w:name="_Toc107495578"/>
      <w:r>
        <w:rPr>
          <w:rStyle w:val="CharSectno"/>
        </w:rPr>
        <w:t>92</w:t>
      </w:r>
      <w:r>
        <w:rPr>
          <w:snapToGrid w:val="0"/>
        </w:rPr>
        <w:t>.</w:t>
      </w:r>
      <w:r>
        <w:rPr>
          <w:snapToGrid w:val="0"/>
        </w:rPr>
        <w:tab/>
        <w:t>Evidentiary provisions</w:t>
      </w:r>
      <w:bookmarkEnd w:id="452"/>
      <w:bookmarkEnd w:id="453"/>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keepNext/>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454" w:name="_Toc131515001"/>
      <w:bookmarkStart w:id="455" w:name="_Toc107495579"/>
      <w:r>
        <w:rPr>
          <w:rStyle w:val="CharSectno"/>
        </w:rPr>
        <w:t>93</w:t>
      </w:r>
      <w:r>
        <w:rPr>
          <w:snapToGrid w:val="0"/>
        </w:rPr>
        <w:t>.</w:t>
      </w:r>
      <w:r>
        <w:rPr>
          <w:snapToGrid w:val="0"/>
        </w:rPr>
        <w:tab/>
        <w:t>Onus of proof</w:t>
      </w:r>
      <w:bookmarkEnd w:id="454"/>
      <w:bookmarkEnd w:id="455"/>
      <w:r>
        <w:rPr>
          <w:snapToGrid w:val="0"/>
        </w:rPr>
        <w:t xml:space="preserve"> </w:t>
      </w:r>
    </w:p>
    <w:p>
      <w:pPr>
        <w:pStyle w:val="Subsection"/>
        <w:keepNext/>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456" w:name="_Toc100319517"/>
      <w:bookmarkStart w:id="457" w:name="_Toc100319738"/>
      <w:bookmarkStart w:id="458" w:name="_Toc100566565"/>
      <w:bookmarkStart w:id="459" w:name="_Toc107324632"/>
      <w:bookmarkStart w:id="460" w:name="_Toc107495580"/>
      <w:bookmarkStart w:id="461" w:name="_Toc131511452"/>
      <w:bookmarkStart w:id="462" w:name="_Toc131511690"/>
      <w:bookmarkStart w:id="463" w:name="_Toc131515002"/>
      <w:r>
        <w:rPr>
          <w:rStyle w:val="CharDivNo"/>
        </w:rPr>
        <w:t>Division 3</w:t>
      </w:r>
      <w:r>
        <w:t> — </w:t>
      </w:r>
      <w:r>
        <w:rPr>
          <w:rStyle w:val="CharDivText"/>
        </w:rPr>
        <w:t>General provisions</w:t>
      </w:r>
      <w:bookmarkEnd w:id="456"/>
      <w:bookmarkEnd w:id="457"/>
      <w:bookmarkEnd w:id="458"/>
      <w:bookmarkEnd w:id="459"/>
      <w:bookmarkEnd w:id="460"/>
      <w:bookmarkEnd w:id="461"/>
      <w:bookmarkEnd w:id="462"/>
      <w:bookmarkEnd w:id="463"/>
    </w:p>
    <w:p>
      <w:pPr>
        <w:pStyle w:val="Footnoteheading"/>
        <w:keepNext/>
      </w:pPr>
      <w:r>
        <w:tab/>
        <w:t>[Heading inserted: No. 4 of 2008 s. 75.]</w:t>
      </w:r>
    </w:p>
    <w:p>
      <w:pPr>
        <w:pStyle w:val="Heading5"/>
      </w:pPr>
      <w:bookmarkStart w:id="464" w:name="_Toc131515003"/>
      <w:bookmarkStart w:id="465" w:name="_Toc107495581"/>
      <w:r>
        <w:rPr>
          <w:rStyle w:val="CharSectno"/>
        </w:rPr>
        <w:t>93A</w:t>
      </w:r>
      <w:r>
        <w:t>.</w:t>
      </w:r>
      <w:r>
        <w:tab/>
        <w:t>Licensee to provide name of agent</w:t>
      </w:r>
      <w:bookmarkEnd w:id="464"/>
      <w:bookmarkEnd w:id="465"/>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keepNext/>
      </w:pPr>
      <w:r>
        <w:tab/>
        <w:t>(2)</w:t>
      </w:r>
      <w:r>
        <w:tab/>
        <w:t>A licensee must not refuse or fail to comply with a requirement under this section and must not provide information that is false or misleading.</w:t>
      </w:r>
    </w:p>
    <w:p>
      <w:pPr>
        <w:pStyle w:val="Penstart"/>
        <w:keepNex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466" w:name="_Toc131515004"/>
      <w:bookmarkStart w:id="467" w:name="_Toc107495582"/>
      <w:r>
        <w:rPr>
          <w:rStyle w:val="CharSectno"/>
        </w:rPr>
        <w:t>94</w:t>
      </w:r>
      <w:r>
        <w:rPr>
          <w:snapToGrid w:val="0"/>
        </w:rPr>
        <w:t>.</w:t>
      </w:r>
      <w:r>
        <w:rPr>
          <w:snapToGrid w:val="0"/>
        </w:rPr>
        <w:tab/>
        <w:t>Regulations</w:t>
      </w:r>
      <w:bookmarkEnd w:id="466"/>
      <w:bookmarkEnd w:id="46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keepNext/>
      </w:pPr>
      <w:r>
        <w:tab/>
        <w:t>(c)</w:t>
      </w:r>
      <w:r>
        <w:tab/>
        <w:t xml:space="preserve">different classes of — </w:t>
      </w:r>
    </w:p>
    <w:p>
      <w:pPr>
        <w:pStyle w:val="Indenti"/>
      </w:pPr>
      <w:r>
        <w:tab/>
        <w:t>(i)</w:t>
      </w:r>
      <w:r>
        <w:tab/>
        <w:t>security consultant’s licence; or</w:t>
      </w:r>
    </w:p>
    <w:p>
      <w:pPr>
        <w:pStyle w:val="Indenti"/>
        <w:keepNext/>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keepNext/>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No. 4 of 2008 s. 79.]</w:t>
      </w:r>
    </w:p>
    <w:p>
      <w:pPr>
        <w:pStyle w:val="yEdnoteschedule"/>
      </w:pPr>
      <w:r>
        <w:t>[Schedule 2 omitted under the Reprints Act 1984 s. 7(4)(e).]</w:t>
      </w:r>
    </w:p>
    <w:p>
      <w:pPr>
        <w:rPr>
          <w:del w:id="468" w:author="Master Repository Process" w:date="2023-04-05T12:30:00Z"/>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69" w:name="_Toc100319520"/>
      <w:bookmarkStart w:id="470" w:name="_Toc100319741"/>
      <w:bookmarkStart w:id="471" w:name="_Toc100566568"/>
      <w:bookmarkStart w:id="472" w:name="_Toc107324635"/>
      <w:bookmarkStart w:id="473" w:name="_Toc107495583"/>
      <w:bookmarkStart w:id="474" w:name="_Toc131511455"/>
      <w:bookmarkStart w:id="475" w:name="_Toc131511693"/>
      <w:bookmarkStart w:id="476" w:name="_Toc131515005"/>
      <w:r>
        <w:t>Notes</w:t>
      </w:r>
      <w:bookmarkEnd w:id="469"/>
      <w:bookmarkEnd w:id="470"/>
      <w:bookmarkEnd w:id="471"/>
      <w:bookmarkEnd w:id="472"/>
      <w:bookmarkEnd w:id="473"/>
      <w:bookmarkEnd w:id="474"/>
      <w:bookmarkEnd w:id="475"/>
      <w:bookmarkEnd w:id="476"/>
    </w:p>
    <w:p>
      <w:pPr>
        <w:pStyle w:val="nStatement"/>
      </w:pPr>
      <w:r>
        <w:t xml:space="preserve">This is a compilation of the </w:t>
      </w:r>
      <w:r>
        <w:rPr>
          <w:i/>
          <w:noProof/>
        </w:rPr>
        <w:t>Security and Related Activities (Control) Act 1996</w:t>
      </w:r>
      <w:r>
        <w:t xml:space="preserve"> and includes amendments made by other written laws</w:t>
      </w:r>
      <w:r>
        <w:rPr>
          <w:vertAlign w:val="superscript"/>
        </w:rPr>
        <w:t> 4</w:t>
      </w:r>
      <w:r>
        <w:t xml:space="preserve">. For provisions that have come into operation, and for information about any reprints, see the compilation table. </w:t>
      </w:r>
    </w:p>
    <w:p>
      <w:pPr>
        <w:pStyle w:val="nHeading3"/>
      </w:pPr>
      <w:bookmarkStart w:id="477" w:name="_Toc131515006"/>
      <w:bookmarkStart w:id="478" w:name="_Toc107495584"/>
      <w:r>
        <w:t>Compilation table</w:t>
      </w:r>
      <w:bookmarkEnd w:id="477"/>
      <w:bookmarkEnd w:id="47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Security and Related Activities (Control) Act 1996</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t>Statutes (Repeals and Minor Amendments) Act 2011</w:t>
            </w:r>
            <w:r>
              <w:rPr>
                <w:iCs/>
                <w:snapToGrid w:val="0"/>
              </w:rPr>
              <w:t xml:space="preserve"> s. 15</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rPr>
              <w:t>Legal Profession Uniform Law Application Act 2022</w:t>
            </w:r>
            <w:r>
              <w:t xml:space="preserve"> s. 424</w:t>
            </w:r>
          </w:p>
        </w:tc>
        <w:tc>
          <w:tcPr>
            <w:tcW w:w="1134" w:type="dxa"/>
            <w:tcBorders>
              <w:top w:val="nil"/>
              <w:bottom w:val="nil"/>
            </w:tcBorders>
          </w:tcPr>
          <w:p>
            <w:pPr>
              <w:pStyle w:val="nTable"/>
              <w:spacing w:after="40"/>
              <w:rPr>
                <w:snapToGrid w:val="0"/>
              </w:rPr>
            </w:pPr>
            <w:r>
              <w:t>9 of 2022</w:t>
            </w:r>
          </w:p>
        </w:tc>
        <w:tc>
          <w:tcPr>
            <w:tcW w:w="1134" w:type="dxa"/>
            <w:tcBorders>
              <w:top w:val="nil"/>
              <w:bottom w:val="nil"/>
            </w:tcBorders>
          </w:tcPr>
          <w:p>
            <w:pPr>
              <w:pStyle w:val="nTable"/>
              <w:spacing w:after="40"/>
              <w:rPr>
                <w:snapToGrid w:val="0"/>
              </w:rPr>
            </w:pPr>
            <w:r>
              <w:t>14 Apr 2022</w:t>
            </w:r>
          </w:p>
        </w:tc>
        <w:tc>
          <w:tcPr>
            <w:tcW w:w="2552" w:type="dxa"/>
            <w:tcBorders>
              <w:top w:val="nil"/>
              <w:bottom w:val="nil"/>
            </w:tcBorders>
          </w:tcPr>
          <w:p>
            <w:pPr>
              <w:pStyle w:val="nTable"/>
              <w:spacing w:after="40"/>
              <w:rPr>
                <w:snapToGrid w:val="0"/>
              </w:rPr>
            </w:pPr>
            <w:r>
              <w:rPr>
                <w:snapToGrid w:val="0"/>
              </w:rPr>
              <w:t>1 Jul 2022 (see s. 2(c) and SL 2022/113 cl. 2)</w:t>
            </w:r>
          </w:p>
        </w:tc>
      </w:tr>
      <w:tr>
        <w:tblPrEx>
          <w:tblBorders>
            <w:top w:val="none" w:sz="0" w:space="0" w:color="auto"/>
            <w:bottom w:val="none" w:sz="0" w:space="0" w:color="auto"/>
            <w:insideH w:val="none" w:sz="0" w:space="0" w:color="auto"/>
          </w:tblBorders>
        </w:tblPrEx>
        <w:trPr>
          <w:ins w:id="479" w:author="Master Repository Process" w:date="2023-04-05T12:30:00Z"/>
        </w:trPr>
        <w:tc>
          <w:tcPr>
            <w:tcW w:w="2268" w:type="dxa"/>
            <w:tcBorders>
              <w:bottom w:val="single" w:sz="4" w:space="0" w:color="auto"/>
            </w:tcBorders>
          </w:tcPr>
          <w:p>
            <w:pPr>
              <w:pStyle w:val="nTable"/>
              <w:spacing w:after="40"/>
              <w:rPr>
                <w:ins w:id="480" w:author="Master Repository Process" w:date="2023-04-05T12:30:00Z"/>
              </w:rPr>
            </w:pPr>
            <w:ins w:id="481" w:author="Master Repository Process" w:date="2023-04-05T12:30:00Z">
              <w:r>
                <w:rPr>
                  <w:i/>
                </w:rPr>
                <w:t>Directors’ Liability Reform Act 2023</w:t>
              </w:r>
              <w:r>
                <w:t xml:space="preserve"> Pt. 3 Div. 56</w:t>
              </w:r>
            </w:ins>
          </w:p>
        </w:tc>
        <w:tc>
          <w:tcPr>
            <w:tcW w:w="1134" w:type="dxa"/>
            <w:tcBorders>
              <w:bottom w:val="single" w:sz="4" w:space="0" w:color="auto"/>
            </w:tcBorders>
          </w:tcPr>
          <w:p>
            <w:pPr>
              <w:pStyle w:val="nTable"/>
              <w:spacing w:after="40"/>
              <w:rPr>
                <w:ins w:id="482" w:author="Master Repository Process" w:date="2023-04-05T12:30:00Z"/>
              </w:rPr>
            </w:pPr>
            <w:ins w:id="483" w:author="Master Repository Process" w:date="2023-04-05T12:30:00Z">
              <w:r>
                <w:t>9 of 2023</w:t>
              </w:r>
            </w:ins>
          </w:p>
        </w:tc>
        <w:tc>
          <w:tcPr>
            <w:tcW w:w="1134" w:type="dxa"/>
            <w:tcBorders>
              <w:bottom w:val="single" w:sz="4" w:space="0" w:color="auto"/>
            </w:tcBorders>
          </w:tcPr>
          <w:p>
            <w:pPr>
              <w:pStyle w:val="nTable"/>
              <w:spacing w:after="40"/>
              <w:rPr>
                <w:ins w:id="484" w:author="Master Repository Process" w:date="2023-04-05T12:30:00Z"/>
              </w:rPr>
            </w:pPr>
            <w:ins w:id="485" w:author="Master Repository Process" w:date="2023-04-05T12:30:00Z">
              <w:r>
                <w:t>4 Apr 2023</w:t>
              </w:r>
            </w:ins>
          </w:p>
        </w:tc>
        <w:tc>
          <w:tcPr>
            <w:tcW w:w="2552" w:type="dxa"/>
            <w:tcBorders>
              <w:bottom w:val="single" w:sz="4" w:space="0" w:color="auto"/>
            </w:tcBorders>
          </w:tcPr>
          <w:p>
            <w:pPr>
              <w:pStyle w:val="nTable"/>
              <w:spacing w:after="40"/>
              <w:rPr>
                <w:ins w:id="486" w:author="Master Repository Process" w:date="2023-04-05T12:30:00Z"/>
                <w:snapToGrid w:val="0"/>
              </w:rPr>
            </w:pPr>
            <w:ins w:id="487" w:author="Master Repository Process" w:date="2023-04-05T12:30:00Z">
              <w:r>
                <w:rPr>
                  <w:snapToGrid w:val="0"/>
                </w:rPr>
                <w:t>5 Apr 2023 (see s. 2(j))</w:t>
              </w:r>
            </w:ins>
          </w:p>
        </w:tc>
      </w:tr>
    </w:tbl>
    <w:p>
      <w:pPr>
        <w:pStyle w:val="nHeading3"/>
      </w:pPr>
      <w:bookmarkStart w:id="488" w:name="_Toc131515007"/>
      <w:bookmarkStart w:id="489" w:name="_Toc107495585"/>
      <w:r>
        <w:t>Other notes</w:t>
      </w:r>
      <w:bookmarkEnd w:id="488"/>
      <w:bookmarkEnd w:id="489"/>
    </w:p>
    <w:p>
      <w:pPr>
        <w:pStyle w:val="nNote"/>
        <w:spacing w:before="160"/>
        <w:ind w:left="360" w:hanging="3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Note"/>
        <w:tabs>
          <w:tab w:val="left" w:pos="0"/>
        </w:tabs>
        <w:spacing w:before="160"/>
        <w:ind w:left="360" w:hanging="3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tabs>
          <w:tab w:val="left" w:pos="0"/>
        </w:tabs>
        <w:spacing w:before="160"/>
        <w:ind w:left="360" w:hanging="360"/>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Note"/>
        <w:keepNext/>
        <w:keepLines/>
        <w:rPr>
          <w:snapToGrid w:val="0"/>
        </w:rPr>
      </w:pPr>
      <w:r>
        <w:rPr>
          <w:snapToGrid w:val="0"/>
          <w:vertAlign w:val="superscript"/>
        </w:rPr>
        <w:t>4</w:t>
      </w:r>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1" w:name="Coversheet"/>
    <w:bookmarkEnd w:id="4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116"/>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 w:name="WAFER_20220408135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5116_GUID" w:val="b1c17b1a-e302-4147-baa8-dfca8d143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16894</Words>
  <Characters>78896</Characters>
  <Application>Microsoft Office Word</Application>
  <DocSecurity>0</DocSecurity>
  <Lines>2132</Lines>
  <Paragraphs>1312</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02-g0-00 - 02-h0-00</dc:title>
  <dc:subject/>
  <dc:creator/>
  <cp:keywords/>
  <dc:description/>
  <cp:lastModifiedBy>Master Repository Process</cp:lastModifiedBy>
  <cp:revision>2</cp:revision>
  <cp:lastPrinted>2010-03-12T07:51:00Z</cp:lastPrinted>
  <dcterms:created xsi:type="dcterms:W3CDTF">2023-04-05T04:30:00Z</dcterms:created>
  <dcterms:modified xsi:type="dcterms:W3CDTF">2023-04-05T04:30:00Z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DocumentType">
    <vt:lpwstr>Act</vt:lpwstr>
  </property>
  <property fmtid="{D5CDD505-2E9C-101B-9397-08002B2CF9AE}" pid="4" name="OwlsUID">
    <vt:i4>739</vt:i4>
  </property>
  <property fmtid="{D5CDD505-2E9C-101B-9397-08002B2CF9AE}" pid="5" name="ReprintNo">
    <vt:lpwstr>2</vt:lpwstr>
  </property>
  <property fmtid="{D5CDD505-2E9C-101B-9397-08002B2CF9AE}" pid="6" name="CommencementDate">
    <vt:lpwstr>20230405</vt:lpwstr>
  </property>
  <property fmtid="{D5CDD505-2E9C-101B-9397-08002B2CF9AE}" pid="7" name="FromSuffix">
    <vt:lpwstr>02-g0-00</vt:lpwstr>
  </property>
  <property fmtid="{D5CDD505-2E9C-101B-9397-08002B2CF9AE}" pid="8" name="FromAsAtDate">
    <vt:lpwstr>01 Jul 2022</vt:lpwstr>
  </property>
  <property fmtid="{D5CDD505-2E9C-101B-9397-08002B2CF9AE}" pid="9" name="ToSuffix">
    <vt:lpwstr>02-h0-00</vt:lpwstr>
  </property>
  <property fmtid="{D5CDD505-2E9C-101B-9397-08002B2CF9AE}" pid="10" name="ToAsAtDate">
    <vt:lpwstr>05 Apr 2023</vt:lpwstr>
  </property>
</Properties>
</file>