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32199711"/>
      <w:bookmarkStart w:id="3" w:name="_Toc132199922"/>
      <w:bookmarkStart w:id="4" w:name="_Toc132315638"/>
      <w:bookmarkStart w:id="5" w:name="_Toc130562268"/>
      <w:bookmarkStart w:id="6" w:name="_Toc130562479"/>
      <w:bookmarkStart w:id="7" w:name="_Toc130565070"/>
      <w:bookmarkStart w:id="8" w:name="_Toc131497750"/>
      <w:bookmarkStart w:id="9" w:name="_Toc131498218"/>
      <w:bookmarkStart w:id="10" w:name="_Toc1315172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2315639"/>
      <w:bookmarkStart w:id="12" w:name="_Toc131517288"/>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3" w:name="_Toc132315640"/>
      <w:bookmarkStart w:id="14" w:name="_Toc131517289"/>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5" w:name="_Toc132315641"/>
      <w:bookmarkStart w:id="16" w:name="_Toc131517290"/>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17" w:name="_Toc132315642"/>
      <w:bookmarkStart w:id="18" w:name="_Toc131517291"/>
      <w:r>
        <w:rPr>
          <w:rStyle w:val="CharSectno"/>
        </w:rPr>
        <w:t>4</w:t>
      </w:r>
      <w:r>
        <w:t>.</w:t>
      </w:r>
      <w:r>
        <w:tab/>
        <w:t>Terms used: family relationship and family member</w:t>
      </w:r>
      <w:bookmarkEnd w:id="17"/>
      <w:bookmarkEnd w:id="18"/>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9" w:name="_Toc132315643"/>
      <w:bookmarkStart w:id="20" w:name="_Toc131517292"/>
      <w:r>
        <w:rPr>
          <w:rStyle w:val="CharSectno"/>
        </w:rPr>
        <w:t>5</w:t>
      </w:r>
      <w:r>
        <w:t>.</w:t>
      </w:r>
      <w:r>
        <w:tab/>
        <w:t>Term used: family order</w:t>
      </w:r>
      <w:bookmarkEnd w:id="19"/>
      <w:bookmarkEnd w:id="2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 No. 5 of 2023 s. 12.]</w:t>
      </w:r>
    </w:p>
    <w:p>
      <w:pPr>
        <w:pStyle w:val="Heading5"/>
      </w:pPr>
      <w:bookmarkStart w:id="21" w:name="_Toc132315644"/>
      <w:bookmarkStart w:id="22" w:name="_Toc131517293"/>
      <w:r>
        <w:rPr>
          <w:rStyle w:val="CharSectno"/>
        </w:rPr>
        <w:t>5A</w:t>
      </w:r>
      <w:r>
        <w:t>.</w:t>
      </w:r>
      <w:r>
        <w:tab/>
        <w:t>Term used: family violence</w:t>
      </w:r>
      <w:bookmarkEnd w:id="21"/>
      <w:bookmarkEnd w:id="22"/>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23" w:name="_Toc132315645"/>
      <w:bookmarkStart w:id="24" w:name="_Toc131517294"/>
      <w:r>
        <w:rPr>
          <w:rStyle w:val="CharSectno"/>
        </w:rPr>
        <w:t>6</w:t>
      </w:r>
      <w:r>
        <w:t>.</w:t>
      </w:r>
      <w:r>
        <w:tab/>
        <w:t>Term used: personal violence</w:t>
      </w:r>
      <w:bookmarkEnd w:id="23"/>
      <w:bookmarkEnd w:id="24"/>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25" w:name="_Toc132315646"/>
      <w:bookmarkStart w:id="26" w:name="_Toc131517295"/>
      <w:r>
        <w:rPr>
          <w:rStyle w:val="CharSectno"/>
        </w:rPr>
        <w:t>6A</w:t>
      </w:r>
      <w:r>
        <w:t>.</w:t>
      </w:r>
      <w:r>
        <w:tab/>
        <w:t>Term used: exposed</w:t>
      </w:r>
      <w:bookmarkEnd w:id="25"/>
      <w:bookmarkEnd w:id="2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7" w:name="_Toc132315647"/>
      <w:bookmarkStart w:id="28" w:name="_Toc131517296"/>
      <w:r>
        <w:rPr>
          <w:rStyle w:val="CharSectno"/>
        </w:rPr>
        <w:t>7</w:t>
      </w:r>
      <w:r>
        <w:t>.</w:t>
      </w:r>
      <w:r>
        <w:tab/>
        <w:t>Persons protected, and bound, by order to be natural persons</w:t>
      </w:r>
      <w:bookmarkEnd w:id="27"/>
      <w:bookmarkEnd w:id="28"/>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29" w:name="_Toc132315648"/>
      <w:bookmarkStart w:id="30" w:name="_Toc131517297"/>
      <w:r>
        <w:rPr>
          <w:rStyle w:val="CharSectno"/>
        </w:rPr>
        <w:t>7A</w:t>
      </w:r>
      <w:r>
        <w:t>.</w:t>
      </w:r>
      <w:r>
        <w:tab/>
        <w:t>Orders under this Act imposing restraints</w:t>
      </w:r>
      <w:bookmarkEnd w:id="29"/>
      <w:bookmarkEnd w:id="30"/>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31" w:name="_Toc132315649"/>
      <w:bookmarkStart w:id="32" w:name="_Toc131517298"/>
      <w:r>
        <w:rPr>
          <w:rStyle w:val="CharSectno"/>
        </w:rPr>
        <w:t>8A</w:t>
      </w:r>
      <w:r>
        <w:t>.</w:t>
      </w:r>
      <w:r>
        <w:tab/>
      </w:r>
      <w:r>
        <w:rPr>
          <w:i/>
        </w:rPr>
        <w:t>Courts and Tribunals (Electronic Processes Facilitation) Act 2013</w:t>
      </w:r>
      <w:r>
        <w:t xml:space="preserve"> Part 2 applies</w:t>
      </w:r>
      <w:bookmarkEnd w:id="31"/>
      <w:bookmarkEnd w:id="32"/>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3" w:name="_Toc132199723"/>
      <w:bookmarkStart w:id="34" w:name="_Toc132199934"/>
      <w:bookmarkStart w:id="35" w:name="_Toc132315650"/>
      <w:bookmarkStart w:id="36" w:name="_Toc130562280"/>
      <w:bookmarkStart w:id="37" w:name="_Toc130562491"/>
      <w:bookmarkStart w:id="38" w:name="_Toc130565082"/>
      <w:bookmarkStart w:id="39" w:name="_Toc131497762"/>
      <w:bookmarkStart w:id="40" w:name="_Toc131498230"/>
      <w:bookmarkStart w:id="41" w:name="_Toc131517299"/>
      <w:r>
        <w:rPr>
          <w:rStyle w:val="CharPartNo"/>
        </w:rPr>
        <w:t>Part 1A</w:t>
      </w:r>
      <w:r>
        <w:rPr>
          <w:b w:val="0"/>
        </w:rPr>
        <w:t> </w:t>
      </w:r>
      <w:r>
        <w:t>—</w:t>
      </w:r>
      <w:r>
        <w:rPr>
          <w:b w:val="0"/>
        </w:rPr>
        <w:t> </w:t>
      </w:r>
      <w:r>
        <w:rPr>
          <w:rStyle w:val="CharPartText"/>
        </w:rPr>
        <w:t>Restraining orders generally</w:t>
      </w:r>
      <w:bookmarkEnd w:id="33"/>
      <w:bookmarkEnd w:id="34"/>
      <w:bookmarkEnd w:id="35"/>
      <w:bookmarkEnd w:id="36"/>
      <w:bookmarkEnd w:id="37"/>
      <w:bookmarkEnd w:id="38"/>
      <w:bookmarkEnd w:id="39"/>
      <w:bookmarkEnd w:id="40"/>
      <w:bookmarkEnd w:id="41"/>
    </w:p>
    <w:p>
      <w:pPr>
        <w:pStyle w:val="Footnoteheading"/>
        <w:tabs>
          <w:tab w:val="left" w:pos="851"/>
        </w:tabs>
      </w:pPr>
      <w:r>
        <w:tab/>
        <w:t>[Heading inserted: No. 38 of 2004 s. 9.]</w:t>
      </w:r>
    </w:p>
    <w:p>
      <w:pPr>
        <w:pStyle w:val="Heading5"/>
      </w:pPr>
      <w:bookmarkStart w:id="42" w:name="_Toc132315651"/>
      <w:bookmarkStart w:id="43" w:name="_Toc131517300"/>
      <w:r>
        <w:rPr>
          <w:rStyle w:val="CharSectno"/>
        </w:rPr>
        <w:t>8</w:t>
      </w:r>
      <w:r>
        <w:t>.</w:t>
      </w:r>
      <w:r>
        <w:tab/>
        <w:t>Explanation about orders to be given</w:t>
      </w:r>
      <w:bookmarkEnd w:id="42"/>
      <w:bookmarkEnd w:id="4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44" w:name="_Toc132315652"/>
      <w:bookmarkStart w:id="45" w:name="_Toc131517301"/>
      <w:r>
        <w:rPr>
          <w:rStyle w:val="CharSectno"/>
        </w:rPr>
        <w:t>9</w:t>
      </w:r>
      <w:r>
        <w:t>.</w:t>
      </w:r>
      <w:r>
        <w:tab/>
        <w:t>Fixing a hearing</w:t>
      </w:r>
      <w:bookmarkEnd w:id="44"/>
      <w:bookmarkEnd w:id="45"/>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46" w:name="_Toc132315653"/>
      <w:bookmarkStart w:id="47" w:name="_Toc131517302"/>
      <w:r>
        <w:rPr>
          <w:rStyle w:val="CharSectno"/>
        </w:rPr>
        <w:t>10</w:t>
      </w:r>
      <w:r>
        <w:rPr>
          <w:snapToGrid w:val="0"/>
        </w:rPr>
        <w:t>.</w:t>
      </w:r>
      <w:r>
        <w:rPr>
          <w:snapToGrid w:val="0"/>
        </w:rPr>
        <w:tab/>
        <w:t>Preparation and service of orders</w:t>
      </w:r>
      <w:bookmarkEnd w:id="46"/>
      <w:bookmarkEnd w:id="47"/>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48" w:name="_Toc132199727"/>
      <w:bookmarkStart w:id="49" w:name="_Toc132199938"/>
      <w:bookmarkStart w:id="50" w:name="_Toc132315654"/>
      <w:bookmarkStart w:id="51" w:name="_Toc130562284"/>
      <w:bookmarkStart w:id="52" w:name="_Toc130562495"/>
      <w:bookmarkStart w:id="53" w:name="_Toc130565086"/>
      <w:bookmarkStart w:id="54" w:name="_Toc131497766"/>
      <w:bookmarkStart w:id="55" w:name="_Toc131498234"/>
      <w:bookmarkStart w:id="56" w:name="_Toc131517303"/>
      <w:r>
        <w:rPr>
          <w:rStyle w:val="CharPartNo"/>
        </w:rPr>
        <w:t>Part 1B</w:t>
      </w:r>
      <w:r>
        <w:rPr>
          <w:rStyle w:val="CharDivNo"/>
        </w:rPr>
        <w:t> </w:t>
      </w:r>
      <w:r>
        <w:t>—</w:t>
      </w:r>
      <w:r>
        <w:rPr>
          <w:rStyle w:val="CharDivText"/>
        </w:rPr>
        <w:t> </w:t>
      </w:r>
      <w:r>
        <w:rPr>
          <w:rStyle w:val="CharPartText"/>
        </w:rPr>
        <w:t>Family violence restraining order</w:t>
      </w:r>
      <w:bookmarkEnd w:id="48"/>
      <w:bookmarkEnd w:id="49"/>
      <w:bookmarkEnd w:id="50"/>
      <w:bookmarkEnd w:id="51"/>
      <w:bookmarkEnd w:id="52"/>
      <w:bookmarkEnd w:id="53"/>
      <w:bookmarkEnd w:id="54"/>
      <w:bookmarkEnd w:id="55"/>
      <w:bookmarkEnd w:id="56"/>
      <w:r>
        <w:t xml:space="preserve"> </w:t>
      </w:r>
    </w:p>
    <w:p>
      <w:pPr>
        <w:pStyle w:val="Footnoteheading"/>
      </w:pPr>
      <w:r>
        <w:tab/>
        <w:t>[Heading inserted: No. 49 of 2016 s. 14.]</w:t>
      </w:r>
    </w:p>
    <w:p>
      <w:pPr>
        <w:pStyle w:val="Heading5"/>
      </w:pPr>
      <w:bookmarkStart w:id="57" w:name="_Toc132315655"/>
      <w:bookmarkStart w:id="58" w:name="_Toc131517304"/>
      <w:r>
        <w:rPr>
          <w:rStyle w:val="CharSectno"/>
        </w:rPr>
        <w:t>10A</w:t>
      </w:r>
      <w:r>
        <w:t>.</w:t>
      </w:r>
      <w:r>
        <w:tab/>
        <w:t>Objects</w:t>
      </w:r>
      <w:bookmarkEnd w:id="57"/>
      <w:bookmarkEnd w:id="58"/>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9" w:name="_Toc132315656"/>
      <w:bookmarkStart w:id="60" w:name="_Toc131517305"/>
      <w:r>
        <w:rPr>
          <w:rStyle w:val="CharSectno"/>
        </w:rPr>
        <w:t>10B</w:t>
      </w:r>
      <w:r>
        <w:t>.</w:t>
      </w:r>
      <w:r>
        <w:tab/>
        <w:t>Principles to be observed in performing functions in relation to FVROs</w:t>
      </w:r>
      <w:bookmarkEnd w:id="59"/>
      <w:bookmarkEnd w:id="60"/>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61" w:name="_Toc132315657"/>
      <w:bookmarkStart w:id="62" w:name="_Toc131517306"/>
      <w:r>
        <w:rPr>
          <w:rStyle w:val="CharSectno"/>
        </w:rPr>
        <w:t>10C</w:t>
      </w:r>
      <w:r>
        <w:t>.</w:t>
      </w:r>
      <w:r>
        <w:tab/>
        <w:t>FVRO to specify names of person bound, and person protected, by order</w:t>
      </w:r>
      <w:bookmarkEnd w:id="61"/>
      <w:bookmarkEnd w:id="62"/>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63" w:name="_Toc132315658"/>
      <w:bookmarkStart w:id="64" w:name="_Toc131517307"/>
      <w:r>
        <w:rPr>
          <w:rStyle w:val="CharSectno"/>
        </w:rPr>
        <w:t>10D</w:t>
      </w:r>
      <w:r>
        <w:t>.</w:t>
      </w:r>
      <w:r>
        <w:tab/>
        <w:t>When FVROs may be made</w:t>
      </w:r>
      <w:bookmarkEnd w:id="63"/>
      <w:bookmarkEnd w:id="64"/>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5" w:name="_Toc132315659"/>
      <w:bookmarkStart w:id="66" w:name="_Toc131517308"/>
      <w:r>
        <w:rPr>
          <w:rStyle w:val="CharSectno"/>
        </w:rPr>
        <w:t>10E</w:t>
      </w:r>
      <w:r>
        <w:t>.</w:t>
      </w:r>
      <w:r>
        <w:tab/>
        <w:t>FVRO may be made for child in circumstances of family violence</w:t>
      </w:r>
      <w:bookmarkEnd w:id="65"/>
      <w:bookmarkEnd w:id="66"/>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67" w:name="_Toc132315660"/>
      <w:bookmarkStart w:id="68" w:name="_Toc131517309"/>
      <w:r>
        <w:rPr>
          <w:rStyle w:val="CharSectno"/>
        </w:rPr>
        <w:t>10F</w:t>
      </w:r>
      <w:r>
        <w:t>.</w:t>
      </w:r>
      <w:r>
        <w:tab/>
        <w:t>Matters to be considered by court generally</w:t>
      </w:r>
      <w:bookmarkEnd w:id="67"/>
      <w:bookmarkEnd w:id="68"/>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9" w:name="_Toc132315661"/>
      <w:bookmarkStart w:id="70" w:name="_Toc131517310"/>
      <w:r>
        <w:rPr>
          <w:rStyle w:val="CharSectno"/>
        </w:rPr>
        <w:t>10G</w:t>
      </w:r>
      <w:r>
        <w:t>.</w:t>
      </w:r>
      <w:r>
        <w:tab/>
        <w:t>Restraints on respondent</w:t>
      </w:r>
      <w:bookmarkEnd w:id="69"/>
      <w:bookmarkEnd w:id="70"/>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71" w:name="_Toc132315662"/>
      <w:bookmarkStart w:id="72" w:name="_Toc131517311"/>
      <w:r>
        <w:rPr>
          <w:rStyle w:val="CharSectno"/>
        </w:rPr>
        <w:t>10H</w:t>
      </w:r>
      <w:r>
        <w:t>.</w:t>
      </w:r>
      <w:r>
        <w:tab/>
        <w:t>Conduct agreement</w:t>
      </w:r>
      <w:bookmarkEnd w:id="71"/>
      <w:bookmarkEnd w:id="72"/>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73" w:name="_Toc132199736"/>
      <w:bookmarkStart w:id="74" w:name="_Toc132199947"/>
      <w:bookmarkStart w:id="75" w:name="_Toc132315663"/>
      <w:bookmarkStart w:id="76" w:name="_Toc130562293"/>
      <w:bookmarkStart w:id="77" w:name="_Toc130562504"/>
      <w:bookmarkStart w:id="78" w:name="_Toc130565095"/>
      <w:bookmarkStart w:id="79" w:name="_Toc131497775"/>
      <w:bookmarkStart w:id="80" w:name="_Toc131498243"/>
      <w:bookmarkStart w:id="81" w:name="_Toc131517312"/>
      <w:r>
        <w:rPr>
          <w:rStyle w:val="CharPartNo"/>
        </w:rPr>
        <w:t>Part 1C</w:t>
      </w:r>
      <w:r>
        <w:t> — </w:t>
      </w:r>
      <w:r>
        <w:rPr>
          <w:rStyle w:val="CharPartText"/>
        </w:rPr>
        <w:t>Behaviour management order</w:t>
      </w:r>
      <w:bookmarkEnd w:id="73"/>
      <w:bookmarkEnd w:id="74"/>
      <w:bookmarkEnd w:id="75"/>
      <w:bookmarkEnd w:id="76"/>
      <w:bookmarkEnd w:id="77"/>
      <w:bookmarkEnd w:id="78"/>
      <w:bookmarkEnd w:id="79"/>
      <w:bookmarkEnd w:id="80"/>
      <w:bookmarkEnd w:id="81"/>
    </w:p>
    <w:p>
      <w:pPr>
        <w:pStyle w:val="Footnoteheading"/>
      </w:pPr>
      <w:r>
        <w:tab/>
        <w:t>[Heading inserted: No. 49 of 2016 s. 14.]</w:t>
      </w:r>
    </w:p>
    <w:p>
      <w:pPr>
        <w:pStyle w:val="Heading3"/>
      </w:pPr>
      <w:bookmarkStart w:id="82" w:name="_Toc132199737"/>
      <w:bookmarkStart w:id="83" w:name="_Toc132199948"/>
      <w:bookmarkStart w:id="84" w:name="_Toc132315664"/>
      <w:bookmarkStart w:id="85" w:name="_Toc130562294"/>
      <w:bookmarkStart w:id="86" w:name="_Toc130562505"/>
      <w:bookmarkStart w:id="87" w:name="_Toc130565096"/>
      <w:bookmarkStart w:id="88" w:name="_Toc131497776"/>
      <w:bookmarkStart w:id="89" w:name="_Toc131498244"/>
      <w:bookmarkStart w:id="90" w:name="_Toc131517313"/>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p>
    <w:p>
      <w:pPr>
        <w:pStyle w:val="Footnoteheading"/>
      </w:pPr>
      <w:r>
        <w:tab/>
        <w:t>[Heading inserted: No. 49 of 2016 s. 14.]</w:t>
      </w:r>
    </w:p>
    <w:p>
      <w:pPr>
        <w:pStyle w:val="Heading5"/>
      </w:pPr>
      <w:bookmarkStart w:id="91" w:name="_Toc132315665"/>
      <w:bookmarkStart w:id="92" w:name="_Toc131517314"/>
      <w:r>
        <w:rPr>
          <w:rStyle w:val="CharSectno"/>
        </w:rPr>
        <w:t>10I</w:t>
      </w:r>
      <w:r>
        <w:t>.</w:t>
      </w:r>
      <w:r>
        <w:tab/>
        <w:t>Terms used</w:t>
      </w:r>
      <w:bookmarkEnd w:id="91"/>
      <w:bookmarkEnd w:id="92"/>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93" w:name="_Toc132315666"/>
      <w:bookmarkStart w:id="94" w:name="_Toc131517315"/>
      <w:r>
        <w:rPr>
          <w:rStyle w:val="CharSectno"/>
        </w:rPr>
        <w:t>10J</w:t>
      </w:r>
      <w:r>
        <w:t>.</w:t>
      </w:r>
      <w:r>
        <w:tab/>
        <w:t>Objects</w:t>
      </w:r>
      <w:bookmarkEnd w:id="93"/>
      <w:bookmarkEnd w:id="94"/>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95" w:name="_Toc132315667"/>
      <w:bookmarkStart w:id="96" w:name="_Toc131517316"/>
      <w:r>
        <w:rPr>
          <w:rStyle w:val="CharSectno"/>
        </w:rPr>
        <w:t>10K</w:t>
      </w:r>
      <w:r>
        <w:t>.</w:t>
      </w:r>
      <w:r>
        <w:tab/>
        <w:t>Application of Part</w:t>
      </w:r>
      <w:bookmarkEnd w:id="95"/>
      <w:bookmarkEnd w:id="96"/>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97" w:name="_Toc132199741"/>
      <w:bookmarkStart w:id="98" w:name="_Toc132199952"/>
      <w:bookmarkStart w:id="99" w:name="_Toc132315668"/>
      <w:bookmarkStart w:id="100" w:name="_Toc130562298"/>
      <w:bookmarkStart w:id="101" w:name="_Toc130562509"/>
      <w:bookmarkStart w:id="102" w:name="_Toc130565100"/>
      <w:bookmarkStart w:id="103" w:name="_Toc131497780"/>
      <w:bookmarkStart w:id="104" w:name="_Toc131498248"/>
      <w:bookmarkStart w:id="105" w:name="_Toc131517317"/>
      <w:r>
        <w:rPr>
          <w:rStyle w:val="CharDivNo"/>
        </w:rPr>
        <w:t>Division 2</w:t>
      </w:r>
      <w:r>
        <w:t> — </w:t>
      </w:r>
      <w:r>
        <w:rPr>
          <w:rStyle w:val="CharDivText"/>
        </w:rPr>
        <w:t>Eligibility assessment order</w:t>
      </w:r>
      <w:bookmarkEnd w:id="97"/>
      <w:bookmarkEnd w:id="98"/>
      <w:bookmarkEnd w:id="99"/>
      <w:bookmarkEnd w:id="100"/>
      <w:bookmarkEnd w:id="101"/>
      <w:bookmarkEnd w:id="102"/>
      <w:bookmarkEnd w:id="103"/>
      <w:bookmarkEnd w:id="104"/>
      <w:bookmarkEnd w:id="105"/>
    </w:p>
    <w:p>
      <w:pPr>
        <w:pStyle w:val="Footnoteheading"/>
      </w:pPr>
      <w:r>
        <w:tab/>
        <w:t>[Heading inserted: No. 49 of 2016 s. 14.]</w:t>
      </w:r>
    </w:p>
    <w:p>
      <w:pPr>
        <w:pStyle w:val="Heading5"/>
      </w:pPr>
      <w:bookmarkStart w:id="106" w:name="_Toc132315669"/>
      <w:bookmarkStart w:id="107" w:name="_Toc131517318"/>
      <w:r>
        <w:rPr>
          <w:rStyle w:val="CharSectno"/>
        </w:rPr>
        <w:t>10L</w:t>
      </w:r>
      <w:r>
        <w:t>.</w:t>
      </w:r>
      <w:r>
        <w:tab/>
        <w:t>Making an eligibility assessment order</w:t>
      </w:r>
      <w:bookmarkEnd w:id="106"/>
      <w:bookmarkEnd w:id="107"/>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08" w:name="_Toc132315670"/>
      <w:bookmarkStart w:id="109" w:name="_Toc131517319"/>
      <w:r>
        <w:rPr>
          <w:rStyle w:val="CharSectno"/>
        </w:rPr>
        <w:t>10M</w:t>
      </w:r>
      <w:r>
        <w:t>.</w:t>
      </w:r>
      <w:r>
        <w:tab/>
        <w:t>Order to attend behaviour change programme</w:t>
      </w:r>
      <w:bookmarkEnd w:id="108"/>
      <w:bookmarkEnd w:id="10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10" w:name="_Toc132315671"/>
      <w:bookmarkStart w:id="111" w:name="_Toc131517320"/>
      <w:r>
        <w:rPr>
          <w:rStyle w:val="CharSectno"/>
        </w:rPr>
        <w:t>10N</w:t>
      </w:r>
      <w:r>
        <w:t>.</w:t>
      </w:r>
      <w:r>
        <w:tab/>
        <w:t>Effect of appeal against final order</w:t>
      </w:r>
      <w:bookmarkEnd w:id="110"/>
      <w:bookmarkEnd w:id="11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12" w:name="_Toc132199745"/>
      <w:bookmarkStart w:id="113" w:name="_Toc132199956"/>
      <w:bookmarkStart w:id="114" w:name="_Toc132315672"/>
      <w:bookmarkStart w:id="115" w:name="_Toc130562302"/>
      <w:bookmarkStart w:id="116" w:name="_Toc130562513"/>
      <w:bookmarkStart w:id="117" w:name="_Toc130565104"/>
      <w:bookmarkStart w:id="118" w:name="_Toc131497784"/>
      <w:bookmarkStart w:id="119" w:name="_Toc131498252"/>
      <w:bookmarkStart w:id="120" w:name="_Toc131517321"/>
      <w:r>
        <w:rPr>
          <w:rStyle w:val="CharDivNo"/>
        </w:rPr>
        <w:t>Division 3</w:t>
      </w:r>
      <w:r>
        <w:t> — </w:t>
      </w:r>
      <w:r>
        <w:rPr>
          <w:rStyle w:val="CharDivText"/>
        </w:rPr>
        <w:t>Procedures relating to behaviour management order</w:t>
      </w:r>
      <w:bookmarkEnd w:id="112"/>
      <w:bookmarkEnd w:id="113"/>
      <w:bookmarkEnd w:id="114"/>
      <w:bookmarkEnd w:id="115"/>
      <w:bookmarkEnd w:id="116"/>
      <w:bookmarkEnd w:id="117"/>
      <w:bookmarkEnd w:id="118"/>
      <w:bookmarkEnd w:id="119"/>
      <w:bookmarkEnd w:id="120"/>
    </w:p>
    <w:p>
      <w:pPr>
        <w:pStyle w:val="Footnoteheading"/>
      </w:pPr>
      <w:r>
        <w:tab/>
        <w:t>[Heading inserted: No. 49 of 2016 s. 14.]</w:t>
      </w:r>
    </w:p>
    <w:p>
      <w:pPr>
        <w:pStyle w:val="Heading5"/>
      </w:pPr>
      <w:bookmarkStart w:id="121" w:name="_Toc132315673"/>
      <w:bookmarkStart w:id="122" w:name="_Toc131517322"/>
      <w:r>
        <w:rPr>
          <w:rStyle w:val="CharSectno"/>
        </w:rPr>
        <w:t>10O</w:t>
      </w:r>
      <w:r>
        <w:t>.</w:t>
      </w:r>
      <w:r>
        <w:tab/>
        <w:t>Notice of hearings</w:t>
      </w:r>
      <w:bookmarkEnd w:id="121"/>
      <w:bookmarkEnd w:id="12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23" w:name="_Toc132315674"/>
      <w:bookmarkStart w:id="124" w:name="_Toc131517323"/>
      <w:r>
        <w:rPr>
          <w:rStyle w:val="CharSectno"/>
        </w:rPr>
        <w:t>10P</w:t>
      </w:r>
      <w:r>
        <w:t>.</w:t>
      </w:r>
      <w:r>
        <w:tab/>
        <w:t>Approval of persons and of behaviour change programme</w:t>
      </w:r>
      <w:bookmarkEnd w:id="123"/>
      <w:bookmarkEnd w:id="124"/>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25" w:name="_Toc132315675"/>
      <w:bookmarkStart w:id="126" w:name="_Toc131517324"/>
      <w:r>
        <w:rPr>
          <w:rStyle w:val="CharSectno"/>
        </w:rPr>
        <w:t>10Q</w:t>
      </w:r>
      <w:r>
        <w:t>.</w:t>
      </w:r>
      <w:r>
        <w:tab/>
        <w:t>Eligibility assessor may be required to attend hearing</w:t>
      </w:r>
      <w:bookmarkEnd w:id="125"/>
      <w:bookmarkEnd w:id="126"/>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27" w:name="_Toc132315676"/>
      <w:bookmarkStart w:id="128" w:name="_Toc131517325"/>
      <w:r>
        <w:rPr>
          <w:rStyle w:val="CharSectno"/>
        </w:rPr>
        <w:t>10R</w:t>
      </w:r>
      <w:r>
        <w:t>.</w:t>
      </w:r>
      <w:r>
        <w:tab/>
        <w:t>Disputed eligibility assessment report</w:t>
      </w:r>
      <w:bookmarkEnd w:id="127"/>
      <w:bookmarkEnd w:id="12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29" w:name="_Toc132315677"/>
      <w:bookmarkStart w:id="130" w:name="_Toc131517326"/>
      <w:r>
        <w:rPr>
          <w:rStyle w:val="CharSectno"/>
        </w:rPr>
        <w:t>10S</w:t>
      </w:r>
      <w:r>
        <w:t>.</w:t>
      </w:r>
      <w:r>
        <w:tab/>
        <w:t>Explanation of behaviour management orders</w:t>
      </w:r>
      <w:bookmarkEnd w:id="129"/>
      <w:bookmarkEnd w:id="130"/>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31" w:name="_Toc132315678"/>
      <w:bookmarkStart w:id="132" w:name="_Toc131517327"/>
      <w:r>
        <w:rPr>
          <w:rStyle w:val="CharSectno"/>
        </w:rPr>
        <w:t>10T</w:t>
      </w:r>
      <w:r>
        <w:t>.</w:t>
      </w:r>
      <w:r>
        <w:tab/>
        <w:t>Variation or cancellation of behaviour management orders</w:t>
      </w:r>
      <w:bookmarkEnd w:id="131"/>
      <w:bookmarkEnd w:id="132"/>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33" w:name="_Toc132315679"/>
      <w:bookmarkStart w:id="134" w:name="_Toc131517328"/>
      <w:r>
        <w:rPr>
          <w:rStyle w:val="CharSectno"/>
        </w:rPr>
        <w:t>10U</w:t>
      </w:r>
      <w:r>
        <w:t>.</w:t>
      </w:r>
      <w:r>
        <w:tab/>
        <w:t>Service of orders</w:t>
      </w:r>
      <w:bookmarkEnd w:id="133"/>
      <w:bookmarkEnd w:id="134"/>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35" w:name="_Toc132199753"/>
      <w:bookmarkStart w:id="136" w:name="_Toc132199964"/>
      <w:bookmarkStart w:id="137" w:name="_Toc132315680"/>
      <w:bookmarkStart w:id="138" w:name="_Toc130562310"/>
      <w:bookmarkStart w:id="139" w:name="_Toc130562521"/>
      <w:bookmarkStart w:id="140" w:name="_Toc130565112"/>
      <w:bookmarkStart w:id="141" w:name="_Toc131497792"/>
      <w:bookmarkStart w:id="142" w:name="_Toc131498260"/>
      <w:bookmarkStart w:id="143" w:name="_Toc131517329"/>
      <w:r>
        <w:rPr>
          <w:rStyle w:val="CharDivNo"/>
        </w:rPr>
        <w:t>Division 4</w:t>
      </w:r>
      <w:r>
        <w:t> — </w:t>
      </w:r>
      <w:r>
        <w:rPr>
          <w:rStyle w:val="CharDivText"/>
        </w:rPr>
        <w:t>Other matters</w:t>
      </w:r>
      <w:bookmarkEnd w:id="135"/>
      <w:bookmarkEnd w:id="136"/>
      <w:bookmarkEnd w:id="137"/>
      <w:bookmarkEnd w:id="138"/>
      <w:bookmarkEnd w:id="139"/>
      <w:bookmarkEnd w:id="140"/>
      <w:bookmarkEnd w:id="141"/>
      <w:bookmarkEnd w:id="142"/>
      <w:bookmarkEnd w:id="143"/>
    </w:p>
    <w:p>
      <w:pPr>
        <w:pStyle w:val="Footnoteheading"/>
      </w:pPr>
      <w:r>
        <w:tab/>
        <w:t>[Heading inserted: No. 49 of 2016 s. 14.]</w:t>
      </w:r>
    </w:p>
    <w:p>
      <w:pPr>
        <w:pStyle w:val="Heading5"/>
      </w:pPr>
      <w:bookmarkStart w:id="144" w:name="_Toc132315681"/>
      <w:bookmarkStart w:id="145" w:name="_Toc131517330"/>
      <w:r>
        <w:rPr>
          <w:rStyle w:val="CharSectno"/>
        </w:rPr>
        <w:t>10V</w:t>
      </w:r>
      <w:r>
        <w:t>.</w:t>
      </w:r>
      <w:r>
        <w:tab/>
        <w:t>Respondent’s participation in behaviour change programme</w:t>
      </w:r>
      <w:bookmarkEnd w:id="144"/>
      <w:bookmarkEnd w:id="145"/>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46" w:name="_Toc132315682"/>
      <w:bookmarkStart w:id="147" w:name="_Toc131517331"/>
      <w:r>
        <w:rPr>
          <w:rStyle w:val="CharSectno"/>
        </w:rPr>
        <w:t>10W</w:t>
      </w:r>
      <w:r>
        <w:t>.</w:t>
      </w:r>
      <w:r>
        <w:tab/>
        <w:t>Respondent’s contravention of behaviour management order</w:t>
      </w:r>
      <w:bookmarkEnd w:id="146"/>
      <w:bookmarkEnd w:id="147"/>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48" w:name="_Toc132315683"/>
      <w:bookmarkStart w:id="149" w:name="_Toc131517332"/>
      <w:r>
        <w:rPr>
          <w:rStyle w:val="CharSectno"/>
        </w:rPr>
        <w:t>10X</w:t>
      </w:r>
      <w:r>
        <w:t>.</w:t>
      </w:r>
      <w:r>
        <w:tab/>
        <w:t>Confidentiality of interviews and reports</w:t>
      </w:r>
      <w:bookmarkEnd w:id="148"/>
      <w:bookmarkEnd w:id="149"/>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50" w:name="_Toc132315684"/>
      <w:bookmarkStart w:id="151" w:name="_Toc131517333"/>
      <w:r>
        <w:rPr>
          <w:rStyle w:val="CharSectno"/>
        </w:rPr>
        <w:t>10Y</w:t>
      </w:r>
      <w:r>
        <w:t>.</w:t>
      </w:r>
      <w:r>
        <w:tab/>
        <w:t>Confidentiality of behaviour change programme</w:t>
      </w:r>
      <w:bookmarkEnd w:id="150"/>
      <w:bookmarkEnd w:id="151"/>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52" w:name="_Toc132315685"/>
      <w:bookmarkStart w:id="153" w:name="_Toc131517334"/>
      <w:r>
        <w:rPr>
          <w:rStyle w:val="CharSectno"/>
        </w:rPr>
        <w:t>10Z</w:t>
      </w:r>
      <w:r>
        <w:t>.</w:t>
      </w:r>
      <w:r>
        <w:tab/>
        <w:t>Delegation</w:t>
      </w:r>
      <w:bookmarkEnd w:id="152"/>
      <w:bookmarkEnd w:id="153"/>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54" w:name="_Toc132199759"/>
      <w:bookmarkStart w:id="155" w:name="_Toc132199970"/>
      <w:bookmarkStart w:id="156" w:name="_Toc132315686"/>
      <w:bookmarkStart w:id="157" w:name="_Toc130562316"/>
      <w:bookmarkStart w:id="158" w:name="_Toc130562527"/>
      <w:bookmarkStart w:id="159" w:name="_Toc130565118"/>
      <w:bookmarkStart w:id="160" w:name="_Toc131497798"/>
      <w:bookmarkStart w:id="161" w:name="_Toc131498266"/>
      <w:bookmarkStart w:id="162" w:name="_Toc131517335"/>
      <w:r>
        <w:rPr>
          <w:rStyle w:val="CharPartNo"/>
        </w:rPr>
        <w:t>Part 2</w:t>
      </w:r>
      <w:r>
        <w:rPr>
          <w:rStyle w:val="CharDivNo"/>
        </w:rPr>
        <w:t> </w:t>
      </w:r>
      <w:r>
        <w:t>—</w:t>
      </w:r>
      <w:r>
        <w:rPr>
          <w:rStyle w:val="CharDivText"/>
        </w:rPr>
        <w:t> </w:t>
      </w:r>
      <w:r>
        <w:rPr>
          <w:rStyle w:val="CharPartText"/>
        </w:rPr>
        <w:t>Violence restraining order</w:t>
      </w:r>
      <w:bookmarkEnd w:id="154"/>
      <w:bookmarkEnd w:id="155"/>
      <w:bookmarkEnd w:id="156"/>
      <w:bookmarkEnd w:id="157"/>
      <w:bookmarkEnd w:id="158"/>
      <w:bookmarkEnd w:id="159"/>
      <w:bookmarkEnd w:id="160"/>
      <w:bookmarkEnd w:id="161"/>
      <w:bookmarkEnd w:id="162"/>
      <w:r>
        <w:rPr>
          <w:rStyle w:val="CharPartText"/>
        </w:rPr>
        <w:t xml:space="preserve"> </w:t>
      </w:r>
    </w:p>
    <w:p>
      <w:pPr>
        <w:pStyle w:val="Ednotedivision"/>
      </w:pPr>
      <w:r>
        <w:tab/>
        <w:t>[Division heading deleted: No. 49 of 2016 s. 15.]</w:t>
      </w:r>
    </w:p>
    <w:p>
      <w:pPr>
        <w:pStyle w:val="Heading5"/>
      </w:pPr>
      <w:bookmarkStart w:id="163" w:name="_Toc132315687"/>
      <w:bookmarkStart w:id="164" w:name="_Toc131517336"/>
      <w:r>
        <w:rPr>
          <w:rStyle w:val="CharSectno"/>
        </w:rPr>
        <w:t>11</w:t>
      </w:r>
      <w:r>
        <w:t>.</w:t>
      </w:r>
      <w:r>
        <w:tab/>
        <w:t>VRO to specify names of person bound, and person protected, by order</w:t>
      </w:r>
      <w:bookmarkEnd w:id="163"/>
      <w:bookmarkEnd w:id="164"/>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65" w:name="_Toc132315688"/>
      <w:bookmarkStart w:id="166" w:name="_Toc131517337"/>
      <w:r>
        <w:rPr>
          <w:rStyle w:val="CharSectno"/>
        </w:rPr>
        <w:t>11A</w:t>
      </w:r>
      <w:r>
        <w:t>.</w:t>
      </w:r>
      <w:r>
        <w:tab/>
        <w:t>When VROs may be made</w:t>
      </w:r>
      <w:bookmarkEnd w:id="165"/>
      <w:bookmarkEnd w:id="166"/>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67" w:name="_Toc132315689"/>
      <w:bookmarkStart w:id="168" w:name="_Toc131517338"/>
      <w:r>
        <w:rPr>
          <w:rStyle w:val="CharSectno"/>
        </w:rPr>
        <w:t>12</w:t>
      </w:r>
      <w:r>
        <w:rPr>
          <w:snapToGrid w:val="0"/>
        </w:rPr>
        <w:t>.</w:t>
      </w:r>
      <w:r>
        <w:rPr>
          <w:snapToGrid w:val="0"/>
        </w:rPr>
        <w:tab/>
        <w:t>Matters to be considered by court generally</w:t>
      </w:r>
      <w:bookmarkEnd w:id="167"/>
      <w:bookmarkEnd w:id="168"/>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69" w:name="_Toc132315690"/>
      <w:bookmarkStart w:id="170" w:name="_Toc131517339"/>
      <w:r>
        <w:rPr>
          <w:rStyle w:val="CharSectno"/>
        </w:rPr>
        <w:t>12A</w:t>
      </w:r>
      <w:r>
        <w:t>.</w:t>
      </w:r>
      <w:r>
        <w:tab/>
        <w:t>VROs not for persons in family relationship</w:t>
      </w:r>
      <w:bookmarkEnd w:id="169"/>
      <w:bookmarkEnd w:id="170"/>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71" w:name="_Toc132315691"/>
      <w:bookmarkStart w:id="172" w:name="_Toc131517340"/>
      <w:r>
        <w:rPr>
          <w:rStyle w:val="CharSectno"/>
        </w:rPr>
        <w:t>13</w:t>
      </w:r>
      <w:r>
        <w:rPr>
          <w:snapToGrid w:val="0"/>
        </w:rPr>
        <w:t>.</w:t>
      </w:r>
      <w:r>
        <w:rPr>
          <w:snapToGrid w:val="0"/>
        </w:rPr>
        <w:tab/>
        <w:t>Restraints on respondent</w:t>
      </w:r>
      <w:bookmarkEnd w:id="171"/>
      <w:bookmarkEnd w:id="172"/>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73" w:name="_Toc132199765"/>
      <w:bookmarkStart w:id="174" w:name="_Toc132199976"/>
      <w:bookmarkStart w:id="175" w:name="_Toc132315692"/>
      <w:bookmarkStart w:id="176" w:name="_Toc130562322"/>
      <w:bookmarkStart w:id="177" w:name="_Toc130562533"/>
      <w:bookmarkStart w:id="178" w:name="_Toc130565124"/>
      <w:bookmarkStart w:id="179" w:name="_Toc131497804"/>
      <w:bookmarkStart w:id="180" w:name="_Toc131498272"/>
      <w:bookmarkStart w:id="181" w:name="_Toc131517341"/>
      <w:r>
        <w:rPr>
          <w:rStyle w:val="CharPartNo"/>
        </w:rPr>
        <w:t>Part 2A</w:t>
      </w:r>
      <w:r>
        <w:t> — </w:t>
      </w:r>
      <w:r>
        <w:rPr>
          <w:rStyle w:val="CharPartText"/>
        </w:rPr>
        <w:t>Provisions for FVRO and VRO</w:t>
      </w:r>
      <w:bookmarkEnd w:id="173"/>
      <w:bookmarkEnd w:id="174"/>
      <w:bookmarkEnd w:id="175"/>
      <w:bookmarkEnd w:id="176"/>
      <w:bookmarkEnd w:id="177"/>
      <w:bookmarkEnd w:id="178"/>
      <w:bookmarkEnd w:id="179"/>
      <w:bookmarkEnd w:id="180"/>
      <w:bookmarkEnd w:id="181"/>
    </w:p>
    <w:p>
      <w:pPr>
        <w:pStyle w:val="Footnoteheading"/>
      </w:pPr>
      <w:r>
        <w:tab/>
        <w:t>[Heading inserted: No. 49 of 2016 s. 22.]</w:t>
      </w:r>
    </w:p>
    <w:p>
      <w:pPr>
        <w:pStyle w:val="Heading3"/>
      </w:pPr>
      <w:bookmarkStart w:id="182" w:name="_Toc132199766"/>
      <w:bookmarkStart w:id="183" w:name="_Toc132199977"/>
      <w:bookmarkStart w:id="184" w:name="_Toc132315693"/>
      <w:bookmarkStart w:id="185" w:name="_Toc130562323"/>
      <w:bookmarkStart w:id="186" w:name="_Toc130562534"/>
      <w:bookmarkStart w:id="187" w:name="_Toc130565125"/>
      <w:bookmarkStart w:id="188" w:name="_Toc131497805"/>
      <w:bookmarkStart w:id="189" w:name="_Toc131498273"/>
      <w:bookmarkStart w:id="190" w:name="_Toc131517342"/>
      <w:r>
        <w:rPr>
          <w:rStyle w:val="CharDivNo"/>
        </w:rPr>
        <w:t>Division 1AA</w:t>
      </w:r>
      <w:r>
        <w:t> — </w:t>
      </w:r>
      <w:r>
        <w:rPr>
          <w:rStyle w:val="CharDivText"/>
        </w:rPr>
        <w:t>Additional circumstances where orders may be made</w:t>
      </w:r>
      <w:bookmarkEnd w:id="182"/>
      <w:bookmarkEnd w:id="183"/>
      <w:bookmarkEnd w:id="184"/>
      <w:bookmarkEnd w:id="185"/>
      <w:bookmarkEnd w:id="186"/>
      <w:bookmarkEnd w:id="187"/>
      <w:bookmarkEnd w:id="188"/>
      <w:bookmarkEnd w:id="189"/>
      <w:bookmarkEnd w:id="190"/>
    </w:p>
    <w:p>
      <w:pPr>
        <w:pStyle w:val="Footnoteheading"/>
      </w:pPr>
      <w:r>
        <w:tab/>
        <w:t>[Heading inserted: No. 30 of 2020 s. 57.]</w:t>
      </w:r>
    </w:p>
    <w:p>
      <w:pPr>
        <w:pStyle w:val="Heading5"/>
      </w:pPr>
      <w:bookmarkStart w:id="191" w:name="_Toc132315694"/>
      <w:bookmarkStart w:id="192" w:name="_Toc131517343"/>
      <w:r>
        <w:rPr>
          <w:rStyle w:val="CharSectno"/>
        </w:rPr>
        <w:t>13A</w:t>
      </w:r>
      <w:r>
        <w:t>.</w:t>
      </w:r>
      <w:r>
        <w:tab/>
        <w:t>Cases involving violent offences</w:t>
      </w:r>
      <w:bookmarkEnd w:id="191"/>
      <w:bookmarkEnd w:id="192"/>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93" w:name="_Toc132199768"/>
      <w:bookmarkStart w:id="194" w:name="_Toc132199979"/>
      <w:bookmarkStart w:id="195" w:name="_Toc132315695"/>
      <w:bookmarkStart w:id="196" w:name="_Toc130562325"/>
      <w:bookmarkStart w:id="197" w:name="_Toc130562536"/>
      <w:bookmarkStart w:id="198" w:name="_Toc130565127"/>
      <w:bookmarkStart w:id="199" w:name="_Toc131497807"/>
      <w:bookmarkStart w:id="200" w:name="_Toc131498275"/>
      <w:bookmarkStart w:id="201" w:name="_Toc131517344"/>
      <w:r>
        <w:rPr>
          <w:rStyle w:val="CharDivNo"/>
        </w:rPr>
        <w:t>Division 1</w:t>
      </w:r>
      <w:r>
        <w:t> — </w:t>
      </w:r>
      <w:r>
        <w:rPr>
          <w:rStyle w:val="CharDivText"/>
        </w:rPr>
        <w:t>Orders relating to firearm items and explosives</w:t>
      </w:r>
      <w:bookmarkEnd w:id="193"/>
      <w:bookmarkEnd w:id="194"/>
      <w:bookmarkEnd w:id="195"/>
      <w:bookmarkEnd w:id="196"/>
      <w:bookmarkEnd w:id="197"/>
      <w:bookmarkEnd w:id="198"/>
      <w:bookmarkEnd w:id="199"/>
      <w:bookmarkEnd w:id="200"/>
      <w:bookmarkEnd w:id="201"/>
    </w:p>
    <w:p>
      <w:pPr>
        <w:pStyle w:val="Footnoteheading"/>
        <w:keepNext/>
      </w:pPr>
      <w:r>
        <w:tab/>
        <w:t>[Heading inserted: No. 49 of 2016 s. 22; amended: No. 30 of 2020 s. 58; No. 13 of 2022 s. 80.]</w:t>
      </w:r>
    </w:p>
    <w:p>
      <w:pPr>
        <w:pStyle w:val="Heading5"/>
        <w:spacing w:before="120"/>
        <w:rPr>
          <w:snapToGrid w:val="0"/>
        </w:rPr>
      </w:pPr>
      <w:bookmarkStart w:id="202" w:name="_Toc132315696"/>
      <w:bookmarkStart w:id="203" w:name="_Toc131517345"/>
      <w:r>
        <w:rPr>
          <w:rStyle w:val="CharSectno"/>
        </w:rPr>
        <w:t>14</w:t>
      </w:r>
      <w:r>
        <w:rPr>
          <w:snapToGrid w:val="0"/>
        </w:rPr>
        <w:t>.</w:t>
      </w:r>
      <w:r>
        <w:rPr>
          <w:snapToGrid w:val="0"/>
        </w:rPr>
        <w:tab/>
        <w:t>Firearms order</w:t>
      </w:r>
      <w:bookmarkEnd w:id="202"/>
      <w:bookmarkEnd w:id="203"/>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204" w:name="_Toc132315697"/>
      <w:bookmarkStart w:id="205" w:name="_Toc131517346"/>
      <w:r>
        <w:rPr>
          <w:rStyle w:val="CharSectno"/>
        </w:rPr>
        <w:t>14A</w:t>
      </w:r>
      <w:r>
        <w:t>.</w:t>
      </w:r>
      <w:r>
        <w:tab/>
        <w:t>Explosives order</w:t>
      </w:r>
      <w:bookmarkEnd w:id="204"/>
      <w:bookmarkEnd w:id="205"/>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206" w:name="_Toc132199771"/>
      <w:bookmarkStart w:id="207" w:name="_Toc132199982"/>
      <w:bookmarkStart w:id="208" w:name="_Toc132315698"/>
      <w:bookmarkStart w:id="209" w:name="_Toc130562328"/>
      <w:bookmarkStart w:id="210" w:name="_Toc130562539"/>
      <w:bookmarkStart w:id="211" w:name="_Toc130565130"/>
      <w:bookmarkStart w:id="212" w:name="_Toc131497810"/>
      <w:bookmarkStart w:id="213" w:name="_Toc131498278"/>
      <w:bookmarkStart w:id="214" w:name="_Toc131517347"/>
      <w:r>
        <w:rPr>
          <w:rStyle w:val="CharDivNo"/>
        </w:rPr>
        <w:t>Division 1A</w:t>
      </w:r>
      <w:r>
        <w:t> — </w:t>
      </w:r>
      <w:r>
        <w:rPr>
          <w:rStyle w:val="CharDivText"/>
        </w:rPr>
        <w:t>Duration of orders</w:t>
      </w:r>
      <w:bookmarkEnd w:id="206"/>
      <w:bookmarkEnd w:id="207"/>
      <w:bookmarkEnd w:id="208"/>
      <w:bookmarkEnd w:id="209"/>
      <w:bookmarkEnd w:id="210"/>
      <w:bookmarkEnd w:id="211"/>
      <w:bookmarkEnd w:id="212"/>
      <w:bookmarkEnd w:id="213"/>
      <w:bookmarkEnd w:id="214"/>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215" w:name="_Toc132315699"/>
      <w:bookmarkStart w:id="216" w:name="_Toc131517348"/>
      <w:r>
        <w:rPr>
          <w:rStyle w:val="CharSectno"/>
        </w:rPr>
        <w:t>16</w:t>
      </w:r>
      <w:r>
        <w:rPr>
          <w:snapToGrid w:val="0"/>
        </w:rPr>
        <w:t>.</w:t>
      </w:r>
      <w:r>
        <w:rPr>
          <w:snapToGrid w:val="0"/>
        </w:rPr>
        <w:tab/>
        <w:t>Duration of FVRO or VRO generally</w:t>
      </w:r>
      <w:bookmarkEnd w:id="215"/>
      <w:bookmarkEnd w:id="216"/>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217" w:name="_Toc132315700"/>
      <w:bookmarkStart w:id="218" w:name="_Toc131517349"/>
      <w:r>
        <w:rPr>
          <w:rStyle w:val="CharSectno"/>
        </w:rPr>
        <w:t>16A</w:t>
      </w:r>
      <w:r>
        <w:t>.</w:t>
      </w:r>
      <w:r>
        <w:tab/>
        <w:t>Duration of FVRO</w:t>
      </w:r>
      <w:bookmarkEnd w:id="217"/>
      <w:bookmarkEnd w:id="218"/>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219" w:name="_Toc132315701"/>
      <w:bookmarkStart w:id="220" w:name="_Toc131517350"/>
      <w:r>
        <w:rPr>
          <w:rStyle w:val="CharSectno"/>
        </w:rPr>
        <w:t>16B</w:t>
      </w:r>
      <w:r>
        <w:t>.</w:t>
      </w:r>
      <w:r>
        <w:tab/>
        <w:t>Duration of VRO</w:t>
      </w:r>
      <w:bookmarkEnd w:id="219"/>
      <w:bookmarkEnd w:id="220"/>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221" w:name="_Toc132199775"/>
      <w:bookmarkStart w:id="222" w:name="_Toc132199986"/>
      <w:bookmarkStart w:id="223" w:name="_Toc132315702"/>
      <w:bookmarkStart w:id="224" w:name="_Toc130562332"/>
      <w:bookmarkStart w:id="225" w:name="_Toc130562543"/>
      <w:bookmarkStart w:id="226" w:name="_Toc130565134"/>
      <w:bookmarkStart w:id="227" w:name="_Toc131497814"/>
      <w:bookmarkStart w:id="228" w:name="_Toc131498282"/>
      <w:bookmarkStart w:id="229" w:name="_Toc131517351"/>
      <w:r>
        <w:rPr>
          <w:rStyle w:val="CharDivNo"/>
        </w:rPr>
        <w:t>Division 2</w:t>
      </w:r>
      <w:r>
        <w:rPr>
          <w:snapToGrid w:val="0"/>
        </w:rPr>
        <w:t> — </w:t>
      </w:r>
      <w:r>
        <w:rPr>
          <w:rStyle w:val="CharDivText"/>
        </w:rPr>
        <w:t>Telephone applications</w:t>
      </w:r>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132315703"/>
      <w:bookmarkStart w:id="231" w:name="_Toc131517352"/>
      <w:r>
        <w:rPr>
          <w:rStyle w:val="CharSectno"/>
        </w:rPr>
        <w:t>17</w:t>
      </w:r>
      <w:r>
        <w:rPr>
          <w:snapToGrid w:val="0"/>
        </w:rPr>
        <w:t>.</w:t>
      </w:r>
      <w:r>
        <w:rPr>
          <w:snapToGrid w:val="0"/>
        </w:rPr>
        <w:tab/>
        <w:t>Authorised magistrates</w:t>
      </w:r>
      <w:bookmarkEnd w:id="230"/>
      <w:bookmarkEnd w:id="231"/>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232" w:name="_Toc132315704"/>
      <w:bookmarkStart w:id="233" w:name="_Toc131517353"/>
      <w:r>
        <w:rPr>
          <w:rStyle w:val="CharSectno"/>
        </w:rPr>
        <w:t>18</w:t>
      </w:r>
      <w:r>
        <w:t>.</w:t>
      </w:r>
      <w:r>
        <w:tab/>
        <w:t>Who can apply</w:t>
      </w:r>
      <w:bookmarkEnd w:id="232"/>
      <w:bookmarkEnd w:id="233"/>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34" w:name="_Toc132315705"/>
      <w:bookmarkStart w:id="235" w:name="_Toc131517354"/>
      <w:r>
        <w:rPr>
          <w:rStyle w:val="CharSectno"/>
        </w:rPr>
        <w:t>19</w:t>
      </w:r>
      <w:r>
        <w:rPr>
          <w:snapToGrid w:val="0"/>
        </w:rPr>
        <w:t>.</w:t>
      </w:r>
      <w:r>
        <w:rPr>
          <w:snapToGrid w:val="0"/>
        </w:rPr>
        <w:tab/>
        <w:t>How to make telephone application</w:t>
      </w:r>
      <w:bookmarkEnd w:id="234"/>
      <w:bookmarkEnd w:id="235"/>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36" w:name="_Toc132315706"/>
      <w:bookmarkStart w:id="237" w:name="_Toc131517355"/>
      <w:r>
        <w:rPr>
          <w:rStyle w:val="CharSectno"/>
        </w:rPr>
        <w:t>20</w:t>
      </w:r>
      <w:r>
        <w:rPr>
          <w:snapToGrid w:val="0"/>
        </w:rPr>
        <w:t>.</w:t>
      </w:r>
      <w:r>
        <w:rPr>
          <w:snapToGrid w:val="0"/>
        </w:rPr>
        <w:tab/>
        <w:t>When telephone application may be heard</w:t>
      </w:r>
      <w:bookmarkEnd w:id="236"/>
      <w:bookmarkEnd w:id="237"/>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38" w:name="_Toc132315707"/>
      <w:bookmarkStart w:id="239" w:name="_Toc131517356"/>
      <w:r>
        <w:rPr>
          <w:rStyle w:val="CharSectno"/>
        </w:rPr>
        <w:t>21</w:t>
      </w:r>
      <w:r>
        <w:rPr>
          <w:snapToGrid w:val="0"/>
        </w:rPr>
        <w:t>.</w:t>
      </w:r>
      <w:r>
        <w:rPr>
          <w:snapToGrid w:val="0"/>
        </w:rPr>
        <w:tab/>
        <w:t>How hearing to be conducted</w:t>
      </w:r>
      <w:bookmarkEnd w:id="238"/>
      <w:bookmarkEnd w:id="23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40" w:name="_Toc132315708"/>
      <w:bookmarkStart w:id="241" w:name="_Toc131517357"/>
      <w:r>
        <w:rPr>
          <w:rStyle w:val="CharSectno"/>
        </w:rPr>
        <w:t>23</w:t>
      </w:r>
      <w:r>
        <w:rPr>
          <w:snapToGrid w:val="0"/>
        </w:rPr>
        <w:t>.</w:t>
      </w:r>
      <w:r>
        <w:rPr>
          <w:snapToGrid w:val="0"/>
        </w:rPr>
        <w:tab/>
        <w:t>Orders at telephone hearing</w:t>
      </w:r>
      <w:bookmarkEnd w:id="240"/>
      <w:bookmarkEnd w:id="241"/>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42" w:name="_Toc132315709"/>
      <w:bookmarkStart w:id="243" w:name="_Toc131517358"/>
      <w:r>
        <w:rPr>
          <w:rStyle w:val="CharSectno"/>
        </w:rPr>
        <w:t>24</w:t>
      </w:r>
      <w:r>
        <w:rPr>
          <w:snapToGrid w:val="0"/>
        </w:rPr>
        <w:t>.</w:t>
      </w:r>
      <w:r>
        <w:rPr>
          <w:snapToGrid w:val="0"/>
        </w:rPr>
        <w:tab/>
        <w:t>Telephone order to be prepared and served</w:t>
      </w:r>
      <w:bookmarkEnd w:id="242"/>
      <w:bookmarkEnd w:id="24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44" w:name="_Toc132199783"/>
      <w:bookmarkStart w:id="245" w:name="_Toc132199994"/>
      <w:bookmarkStart w:id="246" w:name="_Toc132315710"/>
      <w:bookmarkStart w:id="247" w:name="_Toc130562340"/>
      <w:bookmarkStart w:id="248" w:name="_Toc130562551"/>
      <w:bookmarkStart w:id="249" w:name="_Toc130565142"/>
      <w:bookmarkStart w:id="250" w:name="_Toc131497822"/>
      <w:bookmarkStart w:id="251" w:name="_Toc131498290"/>
      <w:bookmarkStart w:id="252" w:name="_Toc131517359"/>
      <w:r>
        <w:rPr>
          <w:rStyle w:val="CharDivNo"/>
        </w:rPr>
        <w:t>Division 3</w:t>
      </w:r>
      <w:r>
        <w:rPr>
          <w:snapToGrid w:val="0"/>
        </w:rPr>
        <w:t> — </w:t>
      </w:r>
      <w:r>
        <w:rPr>
          <w:rStyle w:val="CharDivText"/>
        </w:rPr>
        <w:t>Applications in person to a court</w:t>
      </w:r>
      <w:bookmarkEnd w:id="244"/>
      <w:bookmarkEnd w:id="245"/>
      <w:bookmarkEnd w:id="246"/>
      <w:bookmarkEnd w:id="247"/>
      <w:bookmarkEnd w:id="248"/>
      <w:bookmarkEnd w:id="249"/>
      <w:bookmarkEnd w:id="250"/>
      <w:bookmarkEnd w:id="251"/>
      <w:bookmarkEnd w:id="252"/>
    </w:p>
    <w:p>
      <w:pPr>
        <w:pStyle w:val="Footnoteheading"/>
        <w:keepNext/>
        <w:tabs>
          <w:tab w:val="left" w:pos="851"/>
        </w:tabs>
      </w:pPr>
      <w:r>
        <w:tab/>
        <w:t>[Heading amended: No. 38 of 2004 s. 18(7).]</w:t>
      </w:r>
    </w:p>
    <w:p>
      <w:pPr>
        <w:pStyle w:val="Heading5"/>
      </w:pPr>
      <w:bookmarkStart w:id="253" w:name="_Toc132315711"/>
      <w:bookmarkStart w:id="254" w:name="_Toc131517360"/>
      <w:r>
        <w:rPr>
          <w:rStyle w:val="CharSectno"/>
        </w:rPr>
        <w:t>24A</w:t>
      </w:r>
      <w:r>
        <w:t>.</w:t>
      </w:r>
      <w:r>
        <w:tab/>
        <w:t>Application for FVRO</w:t>
      </w:r>
      <w:bookmarkEnd w:id="253"/>
      <w:bookmarkEnd w:id="254"/>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55" w:name="_Toc132315712"/>
      <w:bookmarkStart w:id="256" w:name="_Toc131517361"/>
      <w:r>
        <w:rPr>
          <w:rStyle w:val="CharSectno"/>
        </w:rPr>
        <w:t>25</w:t>
      </w:r>
      <w:r>
        <w:t>.</w:t>
      </w:r>
      <w:r>
        <w:tab/>
        <w:t>Application for VRO</w:t>
      </w:r>
      <w:bookmarkEnd w:id="255"/>
      <w:bookmarkEnd w:id="256"/>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57" w:name="_Toc132315713"/>
      <w:bookmarkStart w:id="258" w:name="_Toc131517362"/>
      <w:r>
        <w:rPr>
          <w:rStyle w:val="CharSectno"/>
        </w:rPr>
        <w:t>26</w:t>
      </w:r>
      <w:r>
        <w:rPr>
          <w:snapToGrid w:val="0"/>
        </w:rPr>
        <w:t>.</w:t>
      </w:r>
      <w:r>
        <w:rPr>
          <w:snapToGrid w:val="0"/>
        </w:rPr>
        <w:tab/>
        <w:t>Applicant to choose whether to have hearing in absence of respondent</w:t>
      </w:r>
      <w:bookmarkEnd w:id="257"/>
      <w:bookmarkEnd w:id="258"/>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59" w:name="_Toc132315714"/>
      <w:bookmarkStart w:id="260" w:name="_Toc131517363"/>
      <w:r>
        <w:rPr>
          <w:rStyle w:val="CharSectno"/>
        </w:rPr>
        <w:t>27</w:t>
      </w:r>
      <w:r>
        <w:rPr>
          <w:snapToGrid w:val="0"/>
        </w:rPr>
        <w:t>.</w:t>
      </w:r>
      <w:r>
        <w:rPr>
          <w:snapToGrid w:val="0"/>
        </w:rPr>
        <w:tab/>
        <w:t>Attendance at hearing in absence of respondent</w:t>
      </w:r>
      <w:bookmarkEnd w:id="259"/>
      <w:bookmarkEnd w:id="26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261" w:name="_Toc132315715"/>
      <w:bookmarkStart w:id="262" w:name="_Toc131517364"/>
      <w:r>
        <w:rPr>
          <w:rStyle w:val="CharSectno"/>
        </w:rPr>
        <w:t>28</w:t>
      </w:r>
      <w:r>
        <w:rPr>
          <w:snapToGrid w:val="0"/>
        </w:rPr>
        <w:t>.</w:t>
      </w:r>
      <w:r>
        <w:rPr>
          <w:snapToGrid w:val="0"/>
        </w:rPr>
        <w:tab/>
        <w:t>Affidavit evidence</w:t>
      </w:r>
      <w:bookmarkEnd w:id="261"/>
      <w:bookmarkEnd w:id="262"/>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63" w:name="_Toc132315716"/>
      <w:bookmarkStart w:id="264" w:name="_Toc131517365"/>
      <w:r>
        <w:rPr>
          <w:rStyle w:val="CharSectno"/>
        </w:rPr>
        <w:t>29</w:t>
      </w:r>
      <w:r>
        <w:rPr>
          <w:snapToGrid w:val="0"/>
        </w:rPr>
        <w:t>.</w:t>
      </w:r>
      <w:r>
        <w:rPr>
          <w:snapToGrid w:val="0"/>
        </w:rPr>
        <w:tab/>
        <w:t>Order at hearing in absence of respondent</w:t>
      </w:r>
      <w:bookmarkEnd w:id="263"/>
      <w:bookmarkEnd w:id="264"/>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65" w:name="_Toc132315717"/>
      <w:bookmarkStart w:id="266" w:name="_Toc131517366"/>
      <w:r>
        <w:rPr>
          <w:rStyle w:val="CharSectno"/>
        </w:rPr>
        <w:t>30</w:t>
      </w:r>
      <w:r>
        <w:rPr>
          <w:snapToGrid w:val="0"/>
        </w:rPr>
        <w:t>.</w:t>
      </w:r>
      <w:r>
        <w:rPr>
          <w:snapToGrid w:val="0"/>
        </w:rPr>
        <w:tab/>
        <w:t>Order to be prepared and served</w:t>
      </w:r>
      <w:bookmarkEnd w:id="265"/>
      <w:bookmarkEnd w:id="26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267" w:name="_Toc132199791"/>
      <w:bookmarkStart w:id="268" w:name="_Toc132200002"/>
      <w:bookmarkStart w:id="269" w:name="_Toc132315718"/>
      <w:bookmarkStart w:id="270" w:name="_Toc130562348"/>
      <w:bookmarkStart w:id="271" w:name="_Toc130562559"/>
      <w:bookmarkStart w:id="272" w:name="_Toc130565150"/>
      <w:bookmarkStart w:id="273" w:name="_Toc131497830"/>
      <w:bookmarkStart w:id="274" w:name="_Toc131498298"/>
      <w:bookmarkStart w:id="275" w:name="_Toc131517367"/>
      <w:r>
        <w:rPr>
          <w:rStyle w:val="CharDivNo"/>
        </w:rPr>
        <w:t>Division 3A</w:t>
      </w:r>
      <w:r>
        <w:t> — </w:t>
      </w:r>
      <w:r>
        <w:rPr>
          <w:rStyle w:val="CharDivText"/>
        </w:rPr>
        <w:t>Police officers may make police orders where family violence</w:t>
      </w:r>
      <w:bookmarkEnd w:id="267"/>
      <w:bookmarkEnd w:id="268"/>
      <w:bookmarkEnd w:id="269"/>
      <w:bookmarkEnd w:id="270"/>
      <w:bookmarkEnd w:id="271"/>
      <w:bookmarkEnd w:id="272"/>
      <w:bookmarkEnd w:id="273"/>
      <w:bookmarkEnd w:id="274"/>
      <w:bookmarkEnd w:id="275"/>
    </w:p>
    <w:p>
      <w:pPr>
        <w:pStyle w:val="Footnoteheading"/>
        <w:keepNext/>
        <w:keepLines/>
        <w:tabs>
          <w:tab w:val="left" w:pos="851"/>
        </w:tabs>
      </w:pPr>
      <w:r>
        <w:tab/>
        <w:t>[Heading inserted: No. 38 of 2004 s. 18(1); amended: No. 49 of 2016 s. 34.]</w:t>
      </w:r>
    </w:p>
    <w:p>
      <w:pPr>
        <w:pStyle w:val="Heading5"/>
        <w:spacing w:before="180"/>
      </w:pPr>
      <w:bookmarkStart w:id="276" w:name="_Toc132315719"/>
      <w:bookmarkStart w:id="277" w:name="_Toc131517368"/>
      <w:r>
        <w:rPr>
          <w:rStyle w:val="CharSectno"/>
        </w:rPr>
        <w:t>30A</w:t>
      </w:r>
      <w:r>
        <w:t>.</w:t>
      </w:r>
      <w:r>
        <w:tab/>
        <w:t>When police order may be made</w:t>
      </w:r>
      <w:bookmarkEnd w:id="276"/>
      <w:bookmarkEnd w:id="277"/>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278" w:name="_Toc132315720"/>
      <w:bookmarkStart w:id="279" w:name="_Toc131517369"/>
      <w:r>
        <w:rPr>
          <w:rStyle w:val="CharSectno"/>
        </w:rPr>
        <w:t>30B</w:t>
      </w:r>
      <w:r>
        <w:t>.</w:t>
      </w:r>
      <w:r>
        <w:tab/>
        <w:t>Matters to be considered by police officer generally</w:t>
      </w:r>
      <w:bookmarkEnd w:id="278"/>
      <w:bookmarkEnd w:id="279"/>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80" w:name="_Toc132315721"/>
      <w:bookmarkStart w:id="281" w:name="_Toc131517370"/>
      <w:r>
        <w:rPr>
          <w:rStyle w:val="CharSectno"/>
        </w:rPr>
        <w:t>30C</w:t>
      </w:r>
      <w:r>
        <w:t>.</w:t>
      </w:r>
      <w:r>
        <w:tab/>
        <w:t>Restraints that may be imposed</w:t>
      </w:r>
      <w:bookmarkEnd w:id="280"/>
      <w:bookmarkEnd w:id="281"/>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82" w:name="_Toc132315722"/>
      <w:bookmarkStart w:id="283" w:name="_Toc131517371"/>
      <w:r>
        <w:rPr>
          <w:rStyle w:val="CharSectno"/>
        </w:rPr>
        <w:t>30D</w:t>
      </w:r>
      <w:r>
        <w:t>.</w:t>
      </w:r>
      <w:r>
        <w:tab/>
        <w:t>Police orders against children</w:t>
      </w:r>
      <w:bookmarkEnd w:id="282"/>
      <w:bookmarkEnd w:id="283"/>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84" w:name="_Toc132315723"/>
      <w:bookmarkStart w:id="285" w:name="_Toc131517372"/>
      <w:r>
        <w:rPr>
          <w:rStyle w:val="CharSectno"/>
        </w:rPr>
        <w:t>30E</w:t>
      </w:r>
      <w:r>
        <w:t>.</w:t>
      </w:r>
      <w:r>
        <w:tab/>
        <w:t>Police order to be served and explained</w:t>
      </w:r>
      <w:bookmarkEnd w:id="284"/>
      <w:bookmarkEnd w:id="285"/>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286" w:name="_Toc132315724"/>
      <w:bookmarkStart w:id="287" w:name="_Toc131517373"/>
      <w:r>
        <w:rPr>
          <w:rStyle w:val="CharSectno"/>
        </w:rPr>
        <w:t>30F</w:t>
      </w:r>
      <w:r>
        <w:t>.</w:t>
      </w:r>
      <w:r>
        <w:tab/>
        <w:t>Duration of police orders</w:t>
      </w:r>
      <w:bookmarkEnd w:id="286"/>
      <w:bookmarkEnd w:id="287"/>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88" w:name="_Toc132315725"/>
      <w:bookmarkStart w:id="289" w:name="_Toc131517374"/>
      <w:r>
        <w:rPr>
          <w:rStyle w:val="CharSectno"/>
        </w:rPr>
        <w:t>30H</w:t>
      </w:r>
      <w:r>
        <w:t>.</w:t>
      </w:r>
      <w:r>
        <w:tab/>
        <w:t>Order not to be renewed by police officer</w:t>
      </w:r>
      <w:bookmarkEnd w:id="288"/>
      <w:bookmarkEnd w:id="289"/>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90" w:name="_Toc132315726"/>
      <w:bookmarkStart w:id="291" w:name="_Toc131517375"/>
      <w:r>
        <w:rPr>
          <w:rStyle w:val="CharSectno"/>
        </w:rPr>
        <w:t>30I</w:t>
      </w:r>
      <w:r>
        <w:t>.</w:t>
      </w:r>
      <w:r>
        <w:tab/>
        <w:t>Review of Division</w:t>
      </w:r>
      <w:bookmarkEnd w:id="290"/>
      <w:bookmarkEnd w:id="291"/>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92" w:name="_Toc132199800"/>
      <w:bookmarkStart w:id="293" w:name="_Toc132200011"/>
      <w:bookmarkStart w:id="294" w:name="_Toc132315727"/>
      <w:bookmarkStart w:id="295" w:name="_Toc130562357"/>
      <w:bookmarkStart w:id="296" w:name="_Toc130562568"/>
      <w:bookmarkStart w:id="297" w:name="_Toc130565159"/>
      <w:bookmarkStart w:id="298" w:name="_Toc131497839"/>
      <w:bookmarkStart w:id="299" w:name="_Toc131498307"/>
      <w:bookmarkStart w:id="300" w:name="_Toc131517376"/>
      <w:r>
        <w:rPr>
          <w:rStyle w:val="CharDivNo"/>
        </w:rPr>
        <w:t>Division 4</w:t>
      </w:r>
      <w:r>
        <w:rPr>
          <w:snapToGrid w:val="0"/>
        </w:rPr>
        <w:t> — </w:t>
      </w:r>
      <w:r>
        <w:rPr>
          <w:rStyle w:val="CharDivText"/>
        </w:rPr>
        <w:t>Procedure when interim order made</w:t>
      </w:r>
      <w:bookmarkEnd w:id="292"/>
      <w:bookmarkEnd w:id="293"/>
      <w:bookmarkEnd w:id="294"/>
      <w:bookmarkEnd w:id="295"/>
      <w:bookmarkEnd w:id="296"/>
      <w:bookmarkEnd w:id="297"/>
      <w:bookmarkEnd w:id="298"/>
      <w:bookmarkEnd w:id="299"/>
      <w:bookmarkEnd w:id="300"/>
      <w:r>
        <w:rPr>
          <w:rStyle w:val="CharDivText"/>
        </w:rPr>
        <w:t xml:space="preserve"> </w:t>
      </w:r>
    </w:p>
    <w:p>
      <w:pPr>
        <w:pStyle w:val="Heading5"/>
      </w:pPr>
      <w:bookmarkStart w:id="301" w:name="_Toc132315728"/>
      <w:bookmarkStart w:id="302" w:name="_Toc131517377"/>
      <w:r>
        <w:rPr>
          <w:rStyle w:val="CharSectno"/>
        </w:rPr>
        <w:t>31A</w:t>
      </w:r>
      <w:r>
        <w:t>.</w:t>
      </w:r>
      <w:r>
        <w:tab/>
        <w:t>Term used: respondent</w:t>
      </w:r>
      <w:bookmarkEnd w:id="301"/>
      <w:bookmarkEnd w:id="302"/>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03" w:name="_Toc132315729"/>
      <w:bookmarkStart w:id="304" w:name="_Toc131517378"/>
      <w:r>
        <w:rPr>
          <w:rStyle w:val="CharSectno"/>
        </w:rPr>
        <w:t>31</w:t>
      </w:r>
      <w:r>
        <w:rPr>
          <w:snapToGrid w:val="0"/>
        </w:rPr>
        <w:t>.</w:t>
      </w:r>
      <w:r>
        <w:rPr>
          <w:snapToGrid w:val="0"/>
        </w:rPr>
        <w:tab/>
        <w:t>21 days for respondent to object</w:t>
      </w:r>
      <w:bookmarkEnd w:id="303"/>
      <w:bookmarkEnd w:id="304"/>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05" w:name="_Toc132315730"/>
      <w:bookmarkStart w:id="306" w:name="_Toc131517379"/>
      <w:r>
        <w:rPr>
          <w:rStyle w:val="CharSectno"/>
        </w:rPr>
        <w:t>32</w:t>
      </w:r>
      <w:r>
        <w:rPr>
          <w:snapToGrid w:val="0"/>
        </w:rPr>
        <w:t>.</w:t>
      </w:r>
      <w:r>
        <w:rPr>
          <w:snapToGrid w:val="0"/>
        </w:rPr>
        <w:tab/>
        <w:t>Respondent does not object to final order being made</w:t>
      </w:r>
      <w:bookmarkEnd w:id="305"/>
      <w:bookmarkEnd w:id="30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307" w:name="_Toc132315731"/>
      <w:bookmarkStart w:id="308" w:name="_Toc131517380"/>
      <w:r>
        <w:rPr>
          <w:rStyle w:val="CharSectno"/>
        </w:rPr>
        <w:t>33</w:t>
      </w:r>
      <w:r>
        <w:rPr>
          <w:snapToGrid w:val="0"/>
        </w:rPr>
        <w:t>.</w:t>
      </w:r>
      <w:r>
        <w:rPr>
          <w:snapToGrid w:val="0"/>
        </w:rPr>
        <w:tab/>
        <w:t>Respondent objects to final order being made</w:t>
      </w:r>
      <w:bookmarkEnd w:id="307"/>
      <w:bookmarkEnd w:id="30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309" w:name="_Toc132199805"/>
      <w:bookmarkStart w:id="310" w:name="_Toc132200016"/>
      <w:bookmarkStart w:id="311" w:name="_Toc132315732"/>
      <w:bookmarkStart w:id="312" w:name="_Toc130562362"/>
      <w:bookmarkStart w:id="313" w:name="_Toc130562573"/>
      <w:bookmarkStart w:id="314" w:name="_Toc130565164"/>
      <w:bookmarkStart w:id="315" w:name="_Toc131497844"/>
      <w:bookmarkStart w:id="316" w:name="_Toc131498312"/>
      <w:bookmarkStart w:id="317" w:name="_Toc131517381"/>
      <w:r>
        <w:rPr>
          <w:rStyle w:val="CharPartNo"/>
        </w:rPr>
        <w:t>Part 3</w:t>
      </w:r>
      <w:r>
        <w:rPr>
          <w:rStyle w:val="CharDivNo"/>
        </w:rPr>
        <w:t> </w:t>
      </w:r>
      <w:r>
        <w:t>—</w:t>
      </w:r>
      <w:r>
        <w:rPr>
          <w:rStyle w:val="CharDivText"/>
        </w:rPr>
        <w:t> </w:t>
      </w:r>
      <w:r>
        <w:rPr>
          <w:rStyle w:val="CharPartText"/>
        </w:rPr>
        <w:t>Misconduct restraining order</w:t>
      </w:r>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132315733"/>
      <w:bookmarkStart w:id="319" w:name="_Toc131517382"/>
      <w:r>
        <w:rPr>
          <w:rStyle w:val="CharSectno"/>
        </w:rPr>
        <w:t>34</w:t>
      </w:r>
      <w:r>
        <w:rPr>
          <w:snapToGrid w:val="0"/>
        </w:rPr>
        <w:t>.</w:t>
      </w:r>
      <w:r>
        <w:rPr>
          <w:snapToGrid w:val="0"/>
        </w:rPr>
        <w:tab/>
        <w:t>Grounds for misconduct restraining order</w:t>
      </w:r>
      <w:bookmarkEnd w:id="318"/>
      <w:bookmarkEnd w:id="319"/>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w:t>
      </w:r>
      <w:r>
        <w:t xml:space="preserve">peace; or </w:t>
      </w:r>
    </w:p>
    <w:p>
      <w:pPr>
        <w:pStyle w:val="Indenti"/>
      </w:pPr>
      <w:r>
        <w:tab/>
        <w:t>(iv)</w:t>
      </w:r>
      <w:r>
        <w:tab/>
        <w:t xml:space="preserve">commit an offence under </w:t>
      </w:r>
      <w:r>
        <w:rPr>
          <w:i/>
        </w:rPr>
        <w:t xml:space="preserve">The Criminal Code </w:t>
      </w:r>
      <w:r>
        <w:t>section 70A(2A);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 No. 5 of 2023 s. 13.]</w:t>
      </w:r>
    </w:p>
    <w:p>
      <w:pPr>
        <w:pStyle w:val="Heading5"/>
        <w:rPr>
          <w:snapToGrid w:val="0"/>
        </w:rPr>
      </w:pPr>
      <w:bookmarkStart w:id="320" w:name="_Toc132315734"/>
      <w:bookmarkStart w:id="321" w:name="_Toc131517383"/>
      <w:r>
        <w:rPr>
          <w:rStyle w:val="CharSectno"/>
        </w:rPr>
        <w:t>35</w:t>
      </w:r>
      <w:r>
        <w:rPr>
          <w:snapToGrid w:val="0"/>
        </w:rPr>
        <w:t>.</w:t>
      </w:r>
      <w:r>
        <w:rPr>
          <w:snapToGrid w:val="0"/>
        </w:rPr>
        <w:tab/>
        <w:t>Matters to be considered by court generally</w:t>
      </w:r>
      <w:bookmarkEnd w:id="320"/>
      <w:bookmarkEnd w:id="321"/>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pPr>
      <w:r>
        <w:tab/>
        <w:t>(2A)</w:t>
      </w:r>
      <w:r>
        <w:tab/>
        <w:t>When considering whether to make an MRO for reasons referred to in section 34(a)(iv) and the terms of the order, a court is to have regard to — </w:t>
      </w:r>
    </w:p>
    <w:p>
      <w:pPr>
        <w:pStyle w:val="Indenta"/>
      </w:pPr>
      <w:r>
        <w:tab/>
        <w:t>(a)</w:t>
      </w:r>
      <w:r>
        <w:tab/>
        <w:t>the need to ensure that the following persons are protected from the effects of an offence under</w:t>
      </w:r>
      <w:r>
        <w:rPr>
          <w:i/>
        </w:rPr>
        <w:t xml:space="preserve"> The Criminal Code </w:t>
      </w:r>
      <w:r>
        <w:t xml:space="preserve">section 70A(2A) — </w:t>
      </w:r>
    </w:p>
    <w:p>
      <w:pPr>
        <w:pStyle w:val="Indenti"/>
      </w:pPr>
      <w:r>
        <w:tab/>
        <w:t>(i)</w:t>
      </w:r>
      <w:r>
        <w:tab/>
        <w:t xml:space="preserve">a person engaged in animal source food production, as defined in </w:t>
      </w:r>
      <w:r>
        <w:rPr>
          <w:i/>
        </w:rPr>
        <w:t xml:space="preserve">The Criminal Code </w:t>
      </w:r>
      <w:r>
        <w:t>section 70A(1);</w:t>
      </w:r>
    </w:p>
    <w:p>
      <w:pPr>
        <w:pStyle w:val="Indenti"/>
      </w:pPr>
      <w:r>
        <w:tab/>
        <w:t>(ii)</w:t>
      </w:r>
      <w:r>
        <w:tab/>
        <w:t xml:space="preserve">a family member, as defined in </w:t>
      </w:r>
      <w:r>
        <w:rPr>
          <w:i/>
        </w:rPr>
        <w:t xml:space="preserve">The Criminal Code </w:t>
      </w:r>
      <w:r>
        <w:t>section 70A(1), of a person referred to in subparagraph (i);</w:t>
      </w:r>
    </w:p>
    <w:p>
      <w:pPr>
        <w:pStyle w:val="Indenta"/>
      </w:pPr>
      <w:r>
        <w:tab/>
      </w:r>
      <w:r>
        <w:tab/>
        <w:t>and</w:t>
      </w:r>
    </w:p>
    <w:p>
      <w:pPr>
        <w:pStyle w:val="Indenta"/>
      </w:pPr>
      <w:r>
        <w:tab/>
        <w:t>(b)</w:t>
      </w:r>
      <w:r>
        <w:tab/>
        <w:t>the wellbeing of children who are likely to be affected by the respondent’s behaviour or the operation of the proposed order; and</w:t>
      </w:r>
    </w:p>
    <w:p>
      <w:pPr>
        <w:pStyle w:val="Indenta"/>
      </w:pPr>
      <w:r>
        <w:tab/>
        <w:t>(c)</w:t>
      </w:r>
      <w:r>
        <w:tab/>
        <w:t>the accommodation needs of the respondent; and</w:t>
      </w:r>
    </w:p>
    <w:p>
      <w:pPr>
        <w:pStyle w:val="Indenta"/>
      </w:pPr>
      <w:r>
        <w:tab/>
        <w:t>(d)</w:t>
      </w:r>
      <w:r>
        <w:tab/>
        <w:t>hardship that may be caused to the respondent if the order is made; and</w:t>
      </w:r>
    </w:p>
    <w:p>
      <w:pPr>
        <w:pStyle w:val="Indenta"/>
      </w:pPr>
      <w:r>
        <w:tab/>
        <w:t>(e)</w:t>
      </w:r>
      <w:r>
        <w:tab/>
        <w:t>any criminal convictions of the respondent; and</w:t>
      </w:r>
    </w:p>
    <w:p>
      <w:pPr>
        <w:pStyle w:val="Indenta"/>
      </w:pPr>
      <w:r>
        <w:tab/>
        <w:t>(f)</w:t>
      </w:r>
      <w:r>
        <w:tab/>
        <w:t xml:space="preserve">other current legal proceedings involving the respondent; and </w:t>
      </w:r>
    </w:p>
    <w:p>
      <w:pPr>
        <w:pStyle w:val="Indenta"/>
      </w:pPr>
      <w:r>
        <w:tab/>
        <w:t>(g)</w:t>
      </w:r>
      <w:r>
        <w:tab/>
        <w:t>other matters the court considers relevant.</w:t>
      </w:r>
    </w:p>
    <w:p>
      <w:pPr>
        <w:pStyle w:val="Subsection"/>
        <w:spacing w:before="100"/>
        <w:rPr>
          <w:snapToGrid w:val="0"/>
        </w:rPr>
      </w:pPr>
      <w:r>
        <w:rPr>
          <w:snapToGrid w:val="0"/>
        </w:rPr>
        <w:tab/>
        <w:t>(3)</w:t>
      </w:r>
      <w:r>
        <w:rPr>
          <w:snapToGrid w:val="0"/>
        </w:rPr>
        <w:tab/>
        <w:t xml:space="preserve">A court is to have regard to the matters set out in </w:t>
      </w:r>
      <w:r>
        <w:t xml:space="preserve">subsections (1)(a) and </w:t>
      </w:r>
      <w:r>
        <w:rPr>
          <w:snapToGrid w:val="0"/>
        </w:rPr>
        <w:t>(b)</w:t>
      </w:r>
      <w:r>
        <w:t xml:space="preserve">, </w:t>
      </w:r>
      <w:r>
        <w:rPr>
          <w:snapToGrid w:val="0"/>
        </w:rPr>
        <w:t>(2)(a) and (b) and (</w:t>
      </w:r>
      <w:r>
        <w:t xml:space="preserve">2A)(a) and (b) </w:t>
      </w:r>
      <w:r>
        <w:rPr>
          <w:snapToGrid w:val="0"/>
        </w:rPr>
        <w:t>as being of primary importance.</w:t>
      </w:r>
    </w:p>
    <w:p>
      <w:pPr>
        <w:pStyle w:val="Footnotesection"/>
        <w:ind w:left="890" w:hanging="890"/>
      </w:pPr>
      <w:r>
        <w:tab/>
        <w:t>[Section 35 amended: No. 38 of 2004 s. 19, 54, 55, 56 and 57(5); No. 49 of 2016 s. 41; No. 5 of 2023 s. 14.]</w:t>
      </w:r>
    </w:p>
    <w:p>
      <w:pPr>
        <w:pStyle w:val="Heading5"/>
      </w:pPr>
      <w:bookmarkStart w:id="322" w:name="_Toc132315735"/>
      <w:bookmarkStart w:id="323" w:name="_Toc131517384"/>
      <w:r>
        <w:rPr>
          <w:rStyle w:val="CharSectno"/>
        </w:rPr>
        <w:t>35A</w:t>
      </w:r>
      <w:r>
        <w:t>.</w:t>
      </w:r>
      <w:r>
        <w:tab/>
        <w:t>MROs not for persons in family relationship</w:t>
      </w:r>
      <w:bookmarkEnd w:id="322"/>
      <w:bookmarkEnd w:id="323"/>
    </w:p>
    <w:p>
      <w:pPr>
        <w:pStyle w:val="Subsection"/>
        <w:keepNext/>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324" w:name="_Toc132315736"/>
      <w:bookmarkStart w:id="325" w:name="_Toc131517385"/>
      <w:r>
        <w:rPr>
          <w:rStyle w:val="CharSectno"/>
        </w:rPr>
        <w:t>36</w:t>
      </w:r>
      <w:r>
        <w:rPr>
          <w:snapToGrid w:val="0"/>
        </w:rPr>
        <w:t>.</w:t>
      </w:r>
      <w:r>
        <w:rPr>
          <w:snapToGrid w:val="0"/>
        </w:rPr>
        <w:tab/>
        <w:t>Restraints on respondent</w:t>
      </w:r>
      <w:bookmarkEnd w:id="324"/>
      <w:bookmarkEnd w:id="32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 xml:space="preserve">behaving in a manner that is, or is likely to lead to, a breach of the </w:t>
      </w:r>
      <w:r>
        <w:t>peace; or</w:t>
      </w:r>
    </w:p>
    <w:p>
      <w:pPr>
        <w:pStyle w:val="Indenta"/>
      </w:pPr>
      <w:r>
        <w:tab/>
        <w:t>(d)</w:t>
      </w:r>
      <w:r>
        <w:tab/>
        <w:t xml:space="preserve">committing an offence under </w:t>
      </w:r>
      <w:r>
        <w:rPr>
          <w:i/>
        </w:rPr>
        <w:t xml:space="preserve">The Criminal Code </w:t>
      </w:r>
      <w:r>
        <w:t>section 70A(2A).</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 xml:space="preserve">Without limiting the restraints that may be imposed for the purposes of </w:t>
      </w:r>
      <w:r>
        <w:t xml:space="preserve">subsection (1)(c) or (d), </w:t>
      </w:r>
      <w:r>
        <w:rPr>
          <w:snapToGrid w:val="0"/>
        </w:rPr>
        <w:t>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 No. 5 of 2023 s. 15.]</w:t>
      </w:r>
    </w:p>
    <w:p>
      <w:pPr>
        <w:pStyle w:val="Heading5"/>
        <w:rPr>
          <w:snapToGrid w:val="0"/>
        </w:rPr>
      </w:pPr>
      <w:bookmarkStart w:id="326" w:name="_Toc132315737"/>
      <w:bookmarkStart w:id="327" w:name="_Toc131517386"/>
      <w:r>
        <w:rPr>
          <w:rStyle w:val="CharSectno"/>
        </w:rPr>
        <w:t>37</w:t>
      </w:r>
      <w:r>
        <w:rPr>
          <w:snapToGrid w:val="0"/>
        </w:rPr>
        <w:t>.</w:t>
      </w:r>
      <w:r>
        <w:rPr>
          <w:snapToGrid w:val="0"/>
        </w:rPr>
        <w:tab/>
        <w:t>Duration of MRO</w:t>
      </w:r>
      <w:bookmarkEnd w:id="326"/>
      <w:bookmarkEnd w:id="327"/>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328" w:name="_Toc132315738"/>
      <w:bookmarkStart w:id="329" w:name="_Toc131517387"/>
      <w:r>
        <w:rPr>
          <w:rStyle w:val="CharSectno"/>
        </w:rPr>
        <w:t>38</w:t>
      </w:r>
      <w:r>
        <w:t>.</w:t>
      </w:r>
      <w:r>
        <w:tab/>
        <w:t>Application for MRO</w:t>
      </w:r>
      <w:bookmarkEnd w:id="328"/>
      <w:bookmarkEnd w:id="32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330" w:name="_Toc132315739"/>
      <w:bookmarkStart w:id="331" w:name="_Toc131517388"/>
      <w:r>
        <w:rPr>
          <w:rStyle w:val="CharSectno"/>
        </w:rPr>
        <w:t>39</w:t>
      </w:r>
      <w:r>
        <w:rPr>
          <w:snapToGrid w:val="0"/>
        </w:rPr>
        <w:t>.</w:t>
      </w:r>
      <w:r>
        <w:rPr>
          <w:snapToGrid w:val="0"/>
        </w:rPr>
        <w:tab/>
      </w:r>
      <w:r>
        <w:t xml:space="preserve">Registrar </w:t>
      </w:r>
      <w:r>
        <w:rPr>
          <w:snapToGrid w:val="0"/>
        </w:rPr>
        <w:t>to fix hearing and issue summons</w:t>
      </w:r>
      <w:bookmarkEnd w:id="330"/>
      <w:bookmarkEnd w:id="331"/>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32" w:name="_Toc132199813"/>
      <w:bookmarkStart w:id="333" w:name="_Toc132200024"/>
      <w:bookmarkStart w:id="334" w:name="_Toc132315740"/>
      <w:bookmarkStart w:id="335" w:name="_Toc130562370"/>
      <w:bookmarkStart w:id="336" w:name="_Toc130562581"/>
      <w:bookmarkStart w:id="337" w:name="_Toc130565172"/>
      <w:bookmarkStart w:id="338" w:name="_Toc131497852"/>
      <w:bookmarkStart w:id="339" w:name="_Toc131498320"/>
      <w:bookmarkStart w:id="340" w:name="_Toc131517389"/>
      <w:r>
        <w:rPr>
          <w:rStyle w:val="CharPartNo"/>
        </w:rPr>
        <w:t>Part 4</w:t>
      </w:r>
      <w:r>
        <w:t> — </w:t>
      </w:r>
      <w:r>
        <w:rPr>
          <w:rStyle w:val="CharPartText"/>
        </w:rPr>
        <w:t>Hearings and evidence</w:t>
      </w:r>
      <w:bookmarkEnd w:id="332"/>
      <w:bookmarkEnd w:id="333"/>
      <w:bookmarkEnd w:id="334"/>
      <w:bookmarkEnd w:id="335"/>
      <w:bookmarkEnd w:id="336"/>
      <w:bookmarkEnd w:id="337"/>
      <w:bookmarkEnd w:id="338"/>
      <w:bookmarkEnd w:id="339"/>
      <w:bookmarkEnd w:id="340"/>
    </w:p>
    <w:p>
      <w:pPr>
        <w:pStyle w:val="Footnoteheading"/>
        <w:tabs>
          <w:tab w:val="left" w:pos="851"/>
        </w:tabs>
      </w:pPr>
      <w:r>
        <w:tab/>
        <w:t>[Heading amended: No. 38 of 2004 s. 22.]</w:t>
      </w:r>
    </w:p>
    <w:p>
      <w:pPr>
        <w:pStyle w:val="Heading3"/>
        <w:rPr>
          <w:snapToGrid w:val="0"/>
        </w:rPr>
      </w:pPr>
      <w:bookmarkStart w:id="341" w:name="_Toc132199814"/>
      <w:bookmarkStart w:id="342" w:name="_Toc132200025"/>
      <w:bookmarkStart w:id="343" w:name="_Toc132315741"/>
      <w:bookmarkStart w:id="344" w:name="_Toc130562371"/>
      <w:bookmarkStart w:id="345" w:name="_Toc130562582"/>
      <w:bookmarkStart w:id="346" w:name="_Toc130565173"/>
      <w:bookmarkStart w:id="347" w:name="_Toc131497853"/>
      <w:bookmarkStart w:id="348" w:name="_Toc131498321"/>
      <w:bookmarkStart w:id="349" w:name="_Toc131517390"/>
      <w:r>
        <w:rPr>
          <w:rStyle w:val="CharDivNo"/>
        </w:rPr>
        <w:t>Division 1</w:t>
      </w:r>
      <w:r>
        <w:rPr>
          <w:snapToGrid w:val="0"/>
        </w:rPr>
        <w:t> — </w:t>
      </w:r>
      <w:r>
        <w:rPr>
          <w:rStyle w:val="CharDivText"/>
        </w:rPr>
        <w:t>Mention hearings</w:t>
      </w:r>
      <w:bookmarkEnd w:id="341"/>
      <w:bookmarkEnd w:id="342"/>
      <w:bookmarkEnd w:id="343"/>
      <w:bookmarkEnd w:id="344"/>
      <w:bookmarkEnd w:id="345"/>
      <w:bookmarkEnd w:id="346"/>
      <w:bookmarkEnd w:id="347"/>
      <w:bookmarkEnd w:id="348"/>
      <w:bookmarkEnd w:id="349"/>
      <w:r>
        <w:rPr>
          <w:rStyle w:val="CharDivText"/>
        </w:rPr>
        <w:t xml:space="preserve"> </w:t>
      </w:r>
    </w:p>
    <w:p>
      <w:pPr>
        <w:pStyle w:val="Heading5"/>
        <w:spacing w:before="200"/>
        <w:rPr>
          <w:snapToGrid w:val="0"/>
        </w:rPr>
      </w:pPr>
      <w:bookmarkStart w:id="350" w:name="_Toc132315742"/>
      <w:bookmarkStart w:id="351" w:name="_Toc131517391"/>
      <w:r>
        <w:rPr>
          <w:rStyle w:val="CharSectno"/>
        </w:rPr>
        <w:t>40</w:t>
      </w:r>
      <w:r>
        <w:rPr>
          <w:snapToGrid w:val="0"/>
        </w:rPr>
        <w:t>.</w:t>
      </w:r>
      <w:r>
        <w:rPr>
          <w:snapToGrid w:val="0"/>
        </w:rPr>
        <w:tab/>
        <w:t>Attendance at hearing</w:t>
      </w:r>
      <w:bookmarkEnd w:id="350"/>
      <w:bookmarkEnd w:id="35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52" w:name="_Toc132315743"/>
      <w:bookmarkStart w:id="353" w:name="_Toc131517392"/>
      <w:r>
        <w:rPr>
          <w:rStyle w:val="CharSectno"/>
        </w:rPr>
        <w:t>41</w:t>
      </w:r>
      <w:r>
        <w:rPr>
          <w:snapToGrid w:val="0"/>
        </w:rPr>
        <w:t>.</w:t>
      </w:r>
      <w:r>
        <w:rPr>
          <w:snapToGrid w:val="0"/>
        </w:rPr>
        <w:tab/>
        <w:t>Consent order or final order hearing to be fixed</w:t>
      </w:r>
      <w:bookmarkEnd w:id="352"/>
      <w:bookmarkEnd w:id="35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54" w:name="_Toc132199817"/>
      <w:bookmarkStart w:id="355" w:name="_Toc132200028"/>
      <w:bookmarkStart w:id="356" w:name="_Toc132315744"/>
      <w:bookmarkStart w:id="357" w:name="_Toc130562374"/>
      <w:bookmarkStart w:id="358" w:name="_Toc130562585"/>
      <w:bookmarkStart w:id="359" w:name="_Toc130565176"/>
      <w:bookmarkStart w:id="360" w:name="_Toc131497856"/>
      <w:bookmarkStart w:id="361" w:name="_Toc131498324"/>
      <w:bookmarkStart w:id="362" w:name="_Toc131517393"/>
      <w:r>
        <w:rPr>
          <w:rStyle w:val="CharDivNo"/>
        </w:rPr>
        <w:t>Division 2</w:t>
      </w:r>
      <w:r>
        <w:rPr>
          <w:snapToGrid w:val="0"/>
        </w:rPr>
        <w:t> — </w:t>
      </w:r>
      <w:r>
        <w:rPr>
          <w:rStyle w:val="CharDivText"/>
        </w:rPr>
        <w:t>Final order hearings</w:t>
      </w:r>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132315745"/>
      <w:bookmarkStart w:id="364" w:name="_Toc131517394"/>
      <w:r>
        <w:rPr>
          <w:rStyle w:val="CharSectno"/>
        </w:rPr>
        <w:t>42</w:t>
      </w:r>
      <w:r>
        <w:rPr>
          <w:snapToGrid w:val="0"/>
        </w:rPr>
        <w:t>.</w:t>
      </w:r>
      <w:r>
        <w:rPr>
          <w:snapToGrid w:val="0"/>
        </w:rPr>
        <w:tab/>
        <w:t>Attendance at final order hearing</w:t>
      </w:r>
      <w:bookmarkEnd w:id="363"/>
      <w:bookmarkEnd w:id="36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65" w:name="_Toc132315746"/>
      <w:bookmarkStart w:id="366" w:name="_Toc131517395"/>
      <w:r>
        <w:rPr>
          <w:rStyle w:val="CharSectno"/>
        </w:rPr>
        <w:t>43</w:t>
      </w:r>
      <w:r>
        <w:rPr>
          <w:snapToGrid w:val="0"/>
        </w:rPr>
        <w:t>.</w:t>
      </w:r>
      <w:r>
        <w:rPr>
          <w:snapToGrid w:val="0"/>
        </w:rPr>
        <w:tab/>
        <w:t>Making final order</w:t>
      </w:r>
      <w:bookmarkEnd w:id="365"/>
      <w:bookmarkEnd w:id="36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67" w:name="_Toc132315747"/>
      <w:bookmarkStart w:id="368" w:name="_Toc131517396"/>
      <w:r>
        <w:rPr>
          <w:rStyle w:val="CharSectno"/>
        </w:rPr>
        <w:t>43A</w:t>
      </w:r>
      <w:r>
        <w:t>.</w:t>
      </w:r>
      <w:r>
        <w:tab/>
        <w:t>Decision under s. 42 in default of appearance may be set aside</w:t>
      </w:r>
      <w:bookmarkEnd w:id="367"/>
      <w:bookmarkEnd w:id="368"/>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69" w:name="_Toc132315748"/>
      <w:bookmarkStart w:id="370" w:name="_Toc131517397"/>
      <w:r>
        <w:rPr>
          <w:rStyle w:val="CharSectno"/>
        </w:rPr>
        <w:t>44</w:t>
      </w:r>
      <w:r>
        <w:rPr>
          <w:snapToGrid w:val="0"/>
        </w:rPr>
        <w:t>.</w:t>
      </w:r>
      <w:r>
        <w:rPr>
          <w:snapToGrid w:val="0"/>
        </w:rPr>
        <w:tab/>
        <w:t>Order to be prepared and served</w:t>
      </w:r>
      <w:bookmarkEnd w:id="369"/>
      <w:bookmarkEnd w:id="37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71" w:name="_Toc132199822"/>
      <w:bookmarkStart w:id="372" w:name="_Toc132200033"/>
      <w:bookmarkStart w:id="373" w:name="_Toc132315749"/>
      <w:bookmarkStart w:id="374" w:name="_Toc130562379"/>
      <w:bookmarkStart w:id="375" w:name="_Toc130562590"/>
      <w:bookmarkStart w:id="376" w:name="_Toc130565181"/>
      <w:bookmarkStart w:id="377" w:name="_Toc131497861"/>
      <w:bookmarkStart w:id="378" w:name="_Toc131498329"/>
      <w:bookmarkStart w:id="379" w:name="_Toc131517398"/>
      <w:r>
        <w:rPr>
          <w:rStyle w:val="CharDivNo"/>
        </w:rPr>
        <w:t>Division 3</w:t>
      </w:r>
      <w:r>
        <w:t> — </w:t>
      </w:r>
      <w:r>
        <w:rPr>
          <w:rStyle w:val="CharDivText"/>
        </w:rPr>
        <w:t>Evidence</w:t>
      </w:r>
      <w:bookmarkEnd w:id="371"/>
      <w:bookmarkEnd w:id="372"/>
      <w:bookmarkEnd w:id="373"/>
      <w:bookmarkEnd w:id="374"/>
      <w:bookmarkEnd w:id="375"/>
      <w:bookmarkEnd w:id="376"/>
      <w:bookmarkEnd w:id="377"/>
      <w:bookmarkEnd w:id="378"/>
      <w:bookmarkEnd w:id="379"/>
    </w:p>
    <w:p>
      <w:pPr>
        <w:pStyle w:val="Footnoteheading"/>
        <w:keepNext/>
        <w:keepLines/>
        <w:tabs>
          <w:tab w:val="left" w:pos="851"/>
        </w:tabs>
      </w:pPr>
      <w:r>
        <w:tab/>
        <w:t>[Heading inserted: No. 38 of 2004 s. 26.]</w:t>
      </w:r>
    </w:p>
    <w:p>
      <w:pPr>
        <w:pStyle w:val="Heading5"/>
      </w:pPr>
      <w:bookmarkStart w:id="380" w:name="_Toc132315750"/>
      <w:bookmarkStart w:id="381" w:name="_Toc131517399"/>
      <w:r>
        <w:rPr>
          <w:rStyle w:val="CharSectno"/>
        </w:rPr>
        <w:t>44A</w:t>
      </w:r>
      <w:r>
        <w:t>.</w:t>
      </w:r>
      <w:r>
        <w:tab/>
        <w:t>Rules of evidence not to apply in certain circumstances</w:t>
      </w:r>
      <w:bookmarkEnd w:id="380"/>
      <w:bookmarkEnd w:id="381"/>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82" w:name="_Toc132315751"/>
      <w:bookmarkStart w:id="383" w:name="_Toc131517400"/>
      <w:r>
        <w:rPr>
          <w:rStyle w:val="CharSectno"/>
        </w:rPr>
        <w:t>44B</w:t>
      </w:r>
      <w:r>
        <w:t>.</w:t>
      </w:r>
      <w:r>
        <w:tab/>
        <w:t>Access to affidavit evidence</w:t>
      </w:r>
      <w:bookmarkEnd w:id="382"/>
      <w:bookmarkEnd w:id="383"/>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84" w:name="_Toc132315752"/>
      <w:bookmarkStart w:id="385" w:name="_Toc131517401"/>
      <w:r>
        <w:rPr>
          <w:rStyle w:val="CharSectno"/>
        </w:rPr>
        <w:t>44C</w:t>
      </w:r>
      <w:r>
        <w:t>.</w:t>
      </w:r>
      <w:r>
        <w:tab/>
        <w:t>Cross</w:t>
      </w:r>
      <w:r>
        <w:noBreakHyphen/>
        <w:t>examination of certain persons</w:t>
      </w:r>
      <w:bookmarkEnd w:id="384"/>
      <w:bookmarkEnd w:id="38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386" w:name="_Toc132199826"/>
      <w:bookmarkStart w:id="387" w:name="_Toc132200037"/>
      <w:bookmarkStart w:id="388" w:name="_Toc132315753"/>
      <w:bookmarkStart w:id="389" w:name="_Toc130562383"/>
      <w:bookmarkStart w:id="390" w:name="_Toc130562594"/>
      <w:bookmarkStart w:id="391" w:name="_Toc130565185"/>
      <w:bookmarkStart w:id="392" w:name="_Toc131497865"/>
      <w:bookmarkStart w:id="393" w:name="_Toc131498333"/>
      <w:bookmarkStart w:id="394" w:name="_Toc131517402"/>
      <w:r>
        <w:rPr>
          <w:rStyle w:val="CharDivNo"/>
        </w:rPr>
        <w:t>Division 4</w:t>
      </w:r>
      <w:r>
        <w:t> — </w:t>
      </w:r>
      <w:r>
        <w:rPr>
          <w:rStyle w:val="CharDivText"/>
        </w:rPr>
        <w:t>Other provisions to protect applicants</w:t>
      </w:r>
      <w:bookmarkEnd w:id="386"/>
      <w:bookmarkEnd w:id="387"/>
      <w:bookmarkEnd w:id="388"/>
      <w:bookmarkEnd w:id="389"/>
      <w:bookmarkEnd w:id="390"/>
      <w:bookmarkEnd w:id="391"/>
      <w:bookmarkEnd w:id="392"/>
      <w:bookmarkEnd w:id="393"/>
      <w:bookmarkEnd w:id="394"/>
    </w:p>
    <w:p>
      <w:pPr>
        <w:pStyle w:val="Footnoteheading"/>
        <w:keepNext/>
        <w:keepLines/>
        <w:tabs>
          <w:tab w:val="left" w:pos="851"/>
        </w:tabs>
      </w:pPr>
      <w:r>
        <w:tab/>
        <w:t>[Heading inserted: No. 30 of 2020 s. 67.]</w:t>
      </w:r>
    </w:p>
    <w:p>
      <w:pPr>
        <w:pStyle w:val="Heading5"/>
      </w:pPr>
      <w:bookmarkStart w:id="395" w:name="_Toc132315754"/>
      <w:bookmarkStart w:id="396" w:name="_Toc131517403"/>
      <w:r>
        <w:rPr>
          <w:rStyle w:val="CharSectno"/>
        </w:rPr>
        <w:t>44D</w:t>
      </w:r>
      <w:r>
        <w:t>.</w:t>
      </w:r>
      <w:r>
        <w:tab/>
        <w:t>Support and other persons who may be present</w:t>
      </w:r>
      <w:bookmarkEnd w:id="395"/>
      <w:bookmarkEnd w:id="396"/>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397" w:name="_Toc132315755"/>
      <w:bookmarkStart w:id="398" w:name="_Toc131517404"/>
      <w:r>
        <w:rPr>
          <w:rStyle w:val="CharSectno"/>
        </w:rPr>
        <w:t>44E</w:t>
      </w:r>
      <w:r>
        <w:t>.</w:t>
      </w:r>
      <w:r>
        <w:tab/>
        <w:t>Use of closed circuit television or screening arrangements</w:t>
      </w:r>
      <w:bookmarkEnd w:id="397"/>
      <w:bookmarkEnd w:id="398"/>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399" w:name="_Toc132315756"/>
      <w:bookmarkStart w:id="400" w:name="_Toc131517405"/>
      <w:r>
        <w:rPr>
          <w:rStyle w:val="CharSectno"/>
        </w:rPr>
        <w:t>44F</w:t>
      </w:r>
      <w:r>
        <w:t>.</w:t>
      </w:r>
      <w:r>
        <w:tab/>
        <w:t>Additional provisions relating to FVROs</w:t>
      </w:r>
      <w:bookmarkEnd w:id="399"/>
      <w:bookmarkEnd w:id="400"/>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401" w:name="_Toc132199830"/>
      <w:bookmarkStart w:id="402" w:name="_Toc132200041"/>
      <w:bookmarkStart w:id="403" w:name="_Toc132315757"/>
      <w:bookmarkStart w:id="404" w:name="_Toc130562387"/>
      <w:bookmarkStart w:id="405" w:name="_Toc130562598"/>
      <w:bookmarkStart w:id="406" w:name="_Toc130565189"/>
      <w:bookmarkStart w:id="407" w:name="_Toc131497869"/>
      <w:bookmarkStart w:id="408" w:name="_Toc131498337"/>
      <w:bookmarkStart w:id="409" w:name="_Toc131517406"/>
      <w:r>
        <w:rPr>
          <w:rStyle w:val="CharPartNo"/>
        </w:rPr>
        <w:t>Part 5</w:t>
      </w:r>
      <w:r>
        <w:rPr>
          <w:rStyle w:val="CharDivNo"/>
        </w:rPr>
        <w:t> </w:t>
      </w:r>
      <w:r>
        <w:t>—</w:t>
      </w:r>
      <w:r>
        <w:rPr>
          <w:rStyle w:val="CharDivText"/>
        </w:rPr>
        <w:t> </w:t>
      </w:r>
      <w:r>
        <w:rPr>
          <w:rStyle w:val="CharPartText"/>
        </w:rPr>
        <w:t>Variation or cancellation</w:t>
      </w:r>
      <w:bookmarkEnd w:id="401"/>
      <w:bookmarkEnd w:id="402"/>
      <w:bookmarkEnd w:id="403"/>
      <w:bookmarkEnd w:id="404"/>
      <w:bookmarkEnd w:id="405"/>
      <w:bookmarkEnd w:id="406"/>
      <w:bookmarkEnd w:id="407"/>
      <w:bookmarkEnd w:id="408"/>
      <w:bookmarkEnd w:id="409"/>
    </w:p>
    <w:p>
      <w:pPr>
        <w:pStyle w:val="Heading5"/>
      </w:pPr>
      <w:bookmarkStart w:id="410" w:name="_Toc132315758"/>
      <w:bookmarkStart w:id="411" w:name="_Toc131517407"/>
      <w:r>
        <w:rPr>
          <w:rStyle w:val="CharSectno"/>
        </w:rPr>
        <w:t>45</w:t>
      </w:r>
      <w:r>
        <w:t>.</w:t>
      </w:r>
      <w:r>
        <w:tab/>
        <w:t>Application</w:t>
      </w:r>
      <w:bookmarkEnd w:id="410"/>
      <w:bookmarkEnd w:id="41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412" w:name="_Toc132315759"/>
      <w:bookmarkStart w:id="413" w:name="_Toc131517408"/>
      <w:r>
        <w:rPr>
          <w:rStyle w:val="CharSectno"/>
        </w:rPr>
        <w:t>45A</w:t>
      </w:r>
      <w:r>
        <w:t>.</w:t>
      </w:r>
      <w:r>
        <w:tab/>
        <w:t>Application by CEO (child welfare)</w:t>
      </w:r>
      <w:bookmarkEnd w:id="412"/>
      <w:bookmarkEnd w:id="413"/>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414" w:name="_Toc132315760"/>
      <w:bookmarkStart w:id="415" w:name="_Toc131517409"/>
      <w:r>
        <w:rPr>
          <w:rStyle w:val="CharSectno"/>
        </w:rPr>
        <w:t>46</w:t>
      </w:r>
      <w:r>
        <w:rPr>
          <w:snapToGrid w:val="0"/>
        </w:rPr>
        <w:t>.</w:t>
      </w:r>
      <w:r>
        <w:rPr>
          <w:snapToGrid w:val="0"/>
        </w:rPr>
        <w:tab/>
        <w:t>Leave hearing</w:t>
      </w:r>
      <w:bookmarkEnd w:id="414"/>
      <w:bookmarkEnd w:id="41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416" w:name="_Toc132315761"/>
      <w:bookmarkStart w:id="417" w:name="_Toc131517410"/>
      <w:r>
        <w:rPr>
          <w:rStyle w:val="CharSectno"/>
        </w:rPr>
        <w:t>47</w:t>
      </w:r>
      <w:r>
        <w:rPr>
          <w:snapToGrid w:val="0"/>
        </w:rPr>
        <w:t>.</w:t>
      </w:r>
      <w:r>
        <w:rPr>
          <w:snapToGrid w:val="0"/>
        </w:rPr>
        <w:tab/>
      </w:r>
      <w:r>
        <w:t xml:space="preserve">Registrar </w:t>
      </w:r>
      <w:r>
        <w:rPr>
          <w:snapToGrid w:val="0"/>
        </w:rPr>
        <w:t>to issue summons</w:t>
      </w:r>
      <w:bookmarkEnd w:id="416"/>
      <w:bookmarkEnd w:id="41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418" w:name="_Toc132315762"/>
      <w:bookmarkStart w:id="419" w:name="_Toc131517411"/>
      <w:r>
        <w:rPr>
          <w:rStyle w:val="CharSectno"/>
        </w:rPr>
        <w:t>48</w:t>
      </w:r>
      <w:r>
        <w:rPr>
          <w:snapToGrid w:val="0"/>
        </w:rPr>
        <w:t>.</w:t>
      </w:r>
      <w:r>
        <w:rPr>
          <w:snapToGrid w:val="0"/>
        </w:rPr>
        <w:tab/>
        <w:t>Attendance at hearing</w:t>
      </w:r>
      <w:bookmarkEnd w:id="418"/>
      <w:bookmarkEnd w:id="41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420" w:name="_Toc132315763"/>
      <w:bookmarkStart w:id="421" w:name="_Toc131517412"/>
      <w:r>
        <w:rPr>
          <w:rStyle w:val="CharSectno"/>
        </w:rPr>
        <w:t>48A</w:t>
      </w:r>
      <w:r>
        <w:t>.</w:t>
      </w:r>
      <w:r>
        <w:tab/>
        <w:t>Ex parte application to cancel order by person protected by order</w:t>
      </w:r>
      <w:bookmarkEnd w:id="420"/>
      <w:bookmarkEnd w:id="42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422" w:name="_Toc132315764"/>
      <w:bookmarkStart w:id="423" w:name="_Toc131517413"/>
      <w:r>
        <w:rPr>
          <w:rStyle w:val="CharSectno"/>
        </w:rPr>
        <w:t>49</w:t>
      </w:r>
      <w:r>
        <w:rPr>
          <w:snapToGrid w:val="0"/>
        </w:rPr>
        <w:t>.</w:t>
      </w:r>
      <w:r>
        <w:rPr>
          <w:snapToGrid w:val="0"/>
        </w:rPr>
        <w:tab/>
        <w:t>Variation or cancellation</w:t>
      </w:r>
      <w:bookmarkEnd w:id="422"/>
      <w:bookmarkEnd w:id="42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424" w:name="_Toc132315765"/>
      <w:bookmarkStart w:id="425" w:name="_Toc131517414"/>
      <w:r>
        <w:rPr>
          <w:rStyle w:val="CharSectno"/>
        </w:rPr>
        <w:t>49A</w:t>
      </w:r>
      <w:r>
        <w:t>.</w:t>
      </w:r>
      <w:r>
        <w:tab/>
        <w:t>Correcting minor errors in restraining orders</w:t>
      </w:r>
      <w:bookmarkEnd w:id="424"/>
      <w:bookmarkEnd w:id="42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426" w:name="_Toc132315766"/>
      <w:bookmarkStart w:id="427" w:name="_Toc131517415"/>
      <w:r>
        <w:rPr>
          <w:rStyle w:val="CharSectno"/>
        </w:rPr>
        <w:t>49B</w:t>
      </w:r>
      <w:r>
        <w:t>.</w:t>
      </w:r>
      <w:r>
        <w:tab/>
        <w:t>Matters to be considered by court generally</w:t>
      </w:r>
      <w:bookmarkEnd w:id="426"/>
      <w:bookmarkEnd w:id="427"/>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428" w:name="_Toc132315767"/>
      <w:bookmarkStart w:id="429" w:name="_Toc131517416"/>
      <w:r>
        <w:rPr>
          <w:rStyle w:val="CharSectno"/>
        </w:rPr>
        <w:t>49C</w:t>
      </w:r>
      <w:r>
        <w:t>.</w:t>
      </w:r>
      <w:r>
        <w:tab/>
        <w:t>Variation of application to allow a different order to be sought</w:t>
      </w:r>
      <w:bookmarkEnd w:id="428"/>
      <w:bookmarkEnd w:id="429"/>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430" w:name="_Toc132199841"/>
      <w:bookmarkStart w:id="431" w:name="_Toc132200052"/>
      <w:bookmarkStart w:id="432" w:name="_Toc132315768"/>
      <w:bookmarkStart w:id="433" w:name="_Toc130562398"/>
      <w:bookmarkStart w:id="434" w:name="_Toc130562609"/>
      <w:bookmarkStart w:id="435" w:name="_Toc130565200"/>
      <w:bookmarkStart w:id="436" w:name="_Toc131497880"/>
      <w:bookmarkStart w:id="437" w:name="_Toc131498348"/>
      <w:bookmarkStart w:id="438" w:name="_Toc131517417"/>
      <w:r>
        <w:rPr>
          <w:rStyle w:val="CharPartNo"/>
        </w:rPr>
        <w:t>Part 5A</w:t>
      </w:r>
      <w:r>
        <w:rPr>
          <w:rStyle w:val="CharDivNo"/>
        </w:rPr>
        <w:t> </w:t>
      </w:r>
      <w:r>
        <w:t>—</w:t>
      </w:r>
      <w:r>
        <w:rPr>
          <w:rStyle w:val="CharDivText"/>
        </w:rPr>
        <w:t> </w:t>
      </w:r>
      <w:r>
        <w:rPr>
          <w:rStyle w:val="CharPartText"/>
        </w:rPr>
        <w:t>Conferences</w:t>
      </w:r>
      <w:bookmarkEnd w:id="430"/>
      <w:bookmarkEnd w:id="431"/>
      <w:bookmarkEnd w:id="432"/>
      <w:bookmarkEnd w:id="433"/>
      <w:bookmarkEnd w:id="434"/>
      <w:bookmarkEnd w:id="435"/>
      <w:bookmarkEnd w:id="436"/>
      <w:bookmarkEnd w:id="437"/>
      <w:bookmarkEnd w:id="438"/>
    </w:p>
    <w:p>
      <w:pPr>
        <w:pStyle w:val="Footnoteheading"/>
        <w:tabs>
          <w:tab w:val="left" w:pos="851"/>
        </w:tabs>
        <w:spacing w:before="100"/>
      </w:pPr>
      <w:r>
        <w:tab/>
        <w:t>[Heading inserted: No. 30 of 2020 s. 72.]</w:t>
      </w:r>
    </w:p>
    <w:p>
      <w:pPr>
        <w:pStyle w:val="Heading5"/>
      </w:pPr>
      <w:bookmarkStart w:id="439" w:name="_Toc132315769"/>
      <w:bookmarkStart w:id="440" w:name="_Toc131517418"/>
      <w:r>
        <w:rPr>
          <w:rStyle w:val="CharSectno"/>
        </w:rPr>
        <w:t>49D</w:t>
      </w:r>
      <w:r>
        <w:t>.</w:t>
      </w:r>
      <w:r>
        <w:tab/>
        <w:t>Special conference procedures</w:t>
      </w:r>
      <w:bookmarkEnd w:id="439"/>
      <w:bookmarkEnd w:id="440"/>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441" w:name="_Toc132199843"/>
      <w:bookmarkStart w:id="442" w:name="_Toc132200054"/>
      <w:bookmarkStart w:id="443" w:name="_Toc132315770"/>
      <w:bookmarkStart w:id="444" w:name="_Toc130562400"/>
      <w:bookmarkStart w:id="445" w:name="_Toc130562611"/>
      <w:bookmarkStart w:id="446" w:name="_Toc130565202"/>
      <w:bookmarkStart w:id="447" w:name="_Toc131497882"/>
      <w:bookmarkStart w:id="448" w:name="_Toc131498350"/>
      <w:bookmarkStart w:id="449" w:name="_Toc131517419"/>
      <w:r>
        <w:rPr>
          <w:rStyle w:val="CharPartNo"/>
        </w:rPr>
        <w:t>Part 6</w:t>
      </w:r>
      <w:r>
        <w:t> — </w:t>
      </w:r>
      <w:r>
        <w:rPr>
          <w:rStyle w:val="CharPartText"/>
        </w:rPr>
        <w:t>General</w:t>
      </w:r>
      <w:bookmarkEnd w:id="441"/>
      <w:bookmarkEnd w:id="442"/>
      <w:bookmarkEnd w:id="443"/>
      <w:bookmarkEnd w:id="444"/>
      <w:bookmarkEnd w:id="445"/>
      <w:bookmarkEnd w:id="446"/>
      <w:bookmarkEnd w:id="447"/>
      <w:bookmarkEnd w:id="448"/>
      <w:bookmarkEnd w:id="449"/>
      <w:r>
        <w:rPr>
          <w:rStyle w:val="CharPartText"/>
        </w:rPr>
        <w:t xml:space="preserve"> </w:t>
      </w:r>
    </w:p>
    <w:p>
      <w:pPr>
        <w:pStyle w:val="Heading3"/>
      </w:pPr>
      <w:bookmarkStart w:id="450" w:name="_Toc132199844"/>
      <w:bookmarkStart w:id="451" w:name="_Toc132200055"/>
      <w:bookmarkStart w:id="452" w:name="_Toc132315771"/>
      <w:bookmarkStart w:id="453" w:name="_Toc130562401"/>
      <w:bookmarkStart w:id="454" w:name="_Toc130562612"/>
      <w:bookmarkStart w:id="455" w:name="_Toc130565203"/>
      <w:bookmarkStart w:id="456" w:name="_Toc131497883"/>
      <w:bookmarkStart w:id="457" w:name="_Toc131498351"/>
      <w:bookmarkStart w:id="458" w:name="_Toc131517420"/>
      <w:r>
        <w:rPr>
          <w:rStyle w:val="CharDivNo"/>
        </w:rPr>
        <w:t>Division 1</w:t>
      </w:r>
      <w:r>
        <w:t> — </w:t>
      </w:r>
      <w:r>
        <w:rPr>
          <w:rStyle w:val="CharDivText"/>
        </w:rPr>
        <w:t>Children</w:t>
      </w:r>
      <w:bookmarkEnd w:id="450"/>
      <w:bookmarkEnd w:id="451"/>
      <w:bookmarkEnd w:id="452"/>
      <w:bookmarkEnd w:id="453"/>
      <w:bookmarkEnd w:id="454"/>
      <w:bookmarkEnd w:id="455"/>
      <w:bookmarkEnd w:id="456"/>
      <w:bookmarkEnd w:id="457"/>
      <w:bookmarkEnd w:id="458"/>
    </w:p>
    <w:p>
      <w:pPr>
        <w:pStyle w:val="Footnoteheading"/>
        <w:tabs>
          <w:tab w:val="left" w:pos="851"/>
        </w:tabs>
        <w:spacing w:before="100"/>
      </w:pPr>
      <w:r>
        <w:tab/>
        <w:t>[Heading inserted: No. 38 of 2004 s. 35.]</w:t>
      </w:r>
    </w:p>
    <w:p>
      <w:pPr>
        <w:pStyle w:val="Heading5"/>
        <w:rPr>
          <w:snapToGrid w:val="0"/>
        </w:rPr>
      </w:pPr>
      <w:bookmarkStart w:id="459" w:name="_Toc132315772"/>
      <w:bookmarkStart w:id="460" w:name="_Toc131517421"/>
      <w:r>
        <w:rPr>
          <w:rStyle w:val="CharSectno"/>
        </w:rPr>
        <w:t>50</w:t>
      </w:r>
      <w:r>
        <w:rPr>
          <w:snapToGrid w:val="0"/>
        </w:rPr>
        <w:t>.</w:t>
      </w:r>
      <w:r>
        <w:rPr>
          <w:snapToGrid w:val="0"/>
        </w:rPr>
        <w:tab/>
        <w:t>No restraining orders against children under 10</w:t>
      </w:r>
      <w:bookmarkEnd w:id="459"/>
      <w:bookmarkEnd w:id="46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61" w:name="_Toc132315773"/>
      <w:bookmarkStart w:id="462" w:name="_Toc131517422"/>
      <w:r>
        <w:rPr>
          <w:rStyle w:val="CharSectno"/>
        </w:rPr>
        <w:t>50A</w:t>
      </w:r>
      <w:r>
        <w:t>.</w:t>
      </w:r>
      <w:r>
        <w:tab/>
        <w:t>Restraining order against child not to exceed 6 months</w:t>
      </w:r>
      <w:bookmarkEnd w:id="461"/>
      <w:bookmarkEnd w:id="46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463" w:name="_Toc132315774"/>
      <w:bookmarkStart w:id="464" w:name="_Toc131517423"/>
      <w:r>
        <w:rPr>
          <w:rStyle w:val="CharSectno"/>
        </w:rPr>
        <w:t>50B</w:t>
      </w:r>
      <w:r>
        <w:t>.</w:t>
      </w:r>
      <w:r>
        <w:tab/>
        <w:t>Child welfare laws not affected</w:t>
      </w:r>
      <w:bookmarkEnd w:id="463"/>
      <w:bookmarkEnd w:id="46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465" w:name="_Toc132315775"/>
      <w:bookmarkStart w:id="466" w:name="_Toc131517424"/>
      <w:r>
        <w:rPr>
          <w:rStyle w:val="CharSectno"/>
        </w:rPr>
        <w:t>50C</w:t>
      </w:r>
      <w:r>
        <w:t>.</w:t>
      </w:r>
      <w:r>
        <w:tab/>
        <w:t>CEO (child welfare) to be notified before certain FVROs or VROs are made</w:t>
      </w:r>
      <w:bookmarkEnd w:id="465"/>
      <w:bookmarkEnd w:id="466"/>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467" w:name="_Toc132315776"/>
      <w:bookmarkStart w:id="468" w:name="_Toc131517425"/>
      <w:r>
        <w:rPr>
          <w:rStyle w:val="CharSectno"/>
        </w:rPr>
        <w:t>50D</w:t>
      </w:r>
      <w:r>
        <w:t>.</w:t>
      </w:r>
      <w:r>
        <w:tab/>
        <w:t>Intervention by CEO (child welfare)</w:t>
      </w:r>
      <w:bookmarkEnd w:id="467"/>
      <w:bookmarkEnd w:id="46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469" w:name="_Toc132315777"/>
      <w:bookmarkStart w:id="470" w:name="_Toc131517426"/>
      <w:r>
        <w:rPr>
          <w:rStyle w:val="CharSectno"/>
        </w:rPr>
        <w:t>51</w:t>
      </w:r>
      <w:r>
        <w:rPr>
          <w:snapToGrid w:val="0"/>
        </w:rPr>
        <w:t>.</w:t>
      </w:r>
      <w:r>
        <w:rPr>
          <w:snapToGrid w:val="0"/>
        </w:rPr>
        <w:tab/>
        <w:t>Responsible adult to attend</w:t>
      </w:r>
      <w:bookmarkEnd w:id="469"/>
      <w:bookmarkEnd w:id="47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71" w:name="_Toc132315778"/>
      <w:bookmarkStart w:id="472" w:name="_Toc131517427"/>
      <w:r>
        <w:rPr>
          <w:rStyle w:val="CharSectno"/>
        </w:rPr>
        <w:t>52</w:t>
      </w:r>
      <w:r>
        <w:rPr>
          <w:snapToGrid w:val="0"/>
        </w:rPr>
        <w:t>.</w:t>
      </w:r>
      <w:r>
        <w:rPr>
          <w:snapToGrid w:val="0"/>
        </w:rPr>
        <w:tab/>
        <w:t>Transfer between courts</w:t>
      </w:r>
      <w:bookmarkEnd w:id="471"/>
      <w:bookmarkEnd w:id="47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73" w:name="_Toc132315779"/>
      <w:bookmarkStart w:id="474" w:name="_Toc131517428"/>
      <w:r>
        <w:rPr>
          <w:rStyle w:val="CharSectno"/>
        </w:rPr>
        <w:t>53</w:t>
      </w:r>
      <w:r>
        <w:rPr>
          <w:snapToGrid w:val="0"/>
        </w:rPr>
        <w:t>.</w:t>
      </w:r>
      <w:r>
        <w:rPr>
          <w:snapToGrid w:val="0"/>
        </w:rPr>
        <w:tab/>
        <w:t>Telephone order made against child</w:t>
      </w:r>
      <w:bookmarkEnd w:id="473"/>
      <w:bookmarkEnd w:id="47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75" w:name="_Toc132315780"/>
      <w:bookmarkStart w:id="476" w:name="_Toc131517429"/>
      <w:r>
        <w:rPr>
          <w:rStyle w:val="CharSectno"/>
        </w:rPr>
        <w:t>53A</w:t>
      </w:r>
      <w:r>
        <w:t>.</w:t>
      </w:r>
      <w:r>
        <w:tab/>
        <w:t>Children not to give oral evidence without leave of court, other than in Children’s Court</w:t>
      </w:r>
      <w:bookmarkEnd w:id="475"/>
      <w:bookmarkEnd w:id="47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477" w:name="_Toc132315781"/>
      <w:bookmarkStart w:id="478" w:name="_Toc131517430"/>
      <w:r>
        <w:rPr>
          <w:rStyle w:val="CharSectno"/>
        </w:rPr>
        <w:t>53B</w:t>
      </w:r>
      <w:r>
        <w:t>.</w:t>
      </w:r>
      <w:r>
        <w:tab/>
        <w:t>Evidence of children</w:t>
      </w:r>
      <w:bookmarkEnd w:id="477"/>
      <w:bookmarkEnd w:id="47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479" w:name="_Toc132315782"/>
      <w:bookmarkStart w:id="480" w:name="_Toc131517431"/>
      <w:r>
        <w:rPr>
          <w:rStyle w:val="CharSectno"/>
        </w:rPr>
        <w:t>53C</w:t>
      </w:r>
      <w:r>
        <w:t>.</w:t>
      </w:r>
      <w:r>
        <w:tab/>
        <w:t>Child who gives evidence entitled to support</w:t>
      </w:r>
      <w:bookmarkEnd w:id="479"/>
      <w:bookmarkEnd w:id="48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81" w:name="_Toc132315783"/>
      <w:bookmarkStart w:id="482" w:name="_Toc131517432"/>
      <w:r>
        <w:rPr>
          <w:rStyle w:val="CharSectno"/>
        </w:rPr>
        <w:t>53D</w:t>
      </w:r>
      <w:r>
        <w:t>.</w:t>
      </w:r>
      <w:r>
        <w:tab/>
        <w:t>Cross</w:t>
      </w:r>
      <w:r>
        <w:noBreakHyphen/>
        <w:t>examination of child by unrepresented person</w:t>
      </w:r>
      <w:bookmarkEnd w:id="481"/>
      <w:bookmarkEnd w:id="48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83" w:name="_Toc132315784"/>
      <w:bookmarkStart w:id="484" w:name="_Toc131517433"/>
      <w:r>
        <w:rPr>
          <w:rStyle w:val="CharSectno"/>
        </w:rPr>
        <w:t>53E</w:t>
      </w:r>
      <w:r>
        <w:t>.</w:t>
      </w:r>
      <w:r>
        <w:tab/>
        <w:t>Admissibility of evidence of representations made by children</w:t>
      </w:r>
      <w:bookmarkEnd w:id="483"/>
      <w:bookmarkEnd w:id="48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85" w:name="_Toc132315785"/>
      <w:bookmarkStart w:id="486" w:name="_Toc131517434"/>
      <w:r>
        <w:rPr>
          <w:rStyle w:val="CharSectno"/>
        </w:rPr>
        <w:t>53F</w:t>
      </w:r>
      <w:r>
        <w:t>.</w:t>
      </w:r>
      <w:r>
        <w:tab/>
        <w:t>Summonsing of children</w:t>
      </w:r>
      <w:bookmarkEnd w:id="485"/>
      <w:bookmarkEnd w:id="486"/>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87" w:name="_Toc132315786"/>
      <w:bookmarkStart w:id="488" w:name="_Toc131517435"/>
      <w:r>
        <w:rPr>
          <w:rStyle w:val="CharSectno"/>
        </w:rPr>
        <w:t>53G</w:t>
      </w:r>
      <w:r>
        <w:t>.</w:t>
      </w:r>
      <w:r>
        <w:tab/>
        <w:t>Arrangements for care and wellbeing of children bound by restraining orders</w:t>
      </w:r>
      <w:bookmarkEnd w:id="487"/>
      <w:bookmarkEnd w:id="488"/>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89" w:name="_Toc132199860"/>
      <w:bookmarkStart w:id="490" w:name="_Toc132200071"/>
      <w:bookmarkStart w:id="491" w:name="_Toc132315787"/>
      <w:bookmarkStart w:id="492" w:name="_Toc130562417"/>
      <w:bookmarkStart w:id="493" w:name="_Toc130562628"/>
      <w:bookmarkStart w:id="494" w:name="_Toc130565219"/>
      <w:bookmarkStart w:id="495" w:name="_Toc131497899"/>
      <w:bookmarkStart w:id="496" w:name="_Toc131498367"/>
      <w:bookmarkStart w:id="497" w:name="_Toc131517436"/>
      <w:r>
        <w:rPr>
          <w:rStyle w:val="CharDivNo"/>
        </w:rPr>
        <w:t>Division 2</w:t>
      </w:r>
      <w:r>
        <w:rPr>
          <w:snapToGrid w:val="0"/>
        </w:rPr>
        <w:t> — </w:t>
      </w:r>
      <w:r>
        <w:rPr>
          <w:rStyle w:val="CharDivText"/>
        </w:rPr>
        <w:t>Service</w:t>
      </w:r>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132315788"/>
      <w:bookmarkStart w:id="499" w:name="_Toc131517437"/>
      <w:r>
        <w:rPr>
          <w:rStyle w:val="CharSectno"/>
        </w:rPr>
        <w:t>54</w:t>
      </w:r>
      <w:r>
        <w:rPr>
          <w:snapToGrid w:val="0"/>
        </w:rPr>
        <w:t>.</w:t>
      </w:r>
      <w:r>
        <w:rPr>
          <w:snapToGrid w:val="0"/>
        </w:rPr>
        <w:tab/>
        <w:t>Service of summons</w:t>
      </w:r>
      <w:bookmarkEnd w:id="498"/>
      <w:bookmarkEnd w:id="49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500" w:name="_Toc132315789"/>
      <w:bookmarkStart w:id="501" w:name="_Toc131517438"/>
      <w:r>
        <w:rPr>
          <w:rStyle w:val="CharSectno"/>
        </w:rPr>
        <w:t>55</w:t>
      </w:r>
      <w:r>
        <w:rPr>
          <w:snapToGrid w:val="0"/>
        </w:rPr>
        <w:t>.</w:t>
      </w:r>
      <w:r>
        <w:rPr>
          <w:snapToGrid w:val="0"/>
        </w:rPr>
        <w:tab/>
        <w:t>Service of restraining order</w:t>
      </w:r>
      <w:bookmarkEnd w:id="500"/>
      <w:bookmarkEnd w:id="50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502" w:name="_Toc132315790"/>
      <w:bookmarkStart w:id="503" w:name="_Toc131517439"/>
      <w:r>
        <w:rPr>
          <w:rStyle w:val="CharSectno"/>
        </w:rPr>
        <w:t>56</w:t>
      </w:r>
      <w:r>
        <w:rPr>
          <w:snapToGrid w:val="0"/>
        </w:rPr>
        <w:t>.</w:t>
      </w:r>
      <w:r>
        <w:rPr>
          <w:snapToGrid w:val="0"/>
        </w:rPr>
        <w:tab/>
        <w:t>Delivery or notification</w:t>
      </w:r>
      <w:bookmarkEnd w:id="502"/>
      <w:bookmarkEnd w:id="50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04" w:name="_Toc132315791"/>
      <w:bookmarkStart w:id="505" w:name="_Toc131517440"/>
      <w:r>
        <w:rPr>
          <w:rStyle w:val="CharSectno"/>
        </w:rPr>
        <w:t>57</w:t>
      </w:r>
      <w:r>
        <w:rPr>
          <w:snapToGrid w:val="0"/>
        </w:rPr>
        <w:t>.</w:t>
      </w:r>
      <w:r>
        <w:rPr>
          <w:snapToGrid w:val="0"/>
        </w:rPr>
        <w:tab/>
        <w:t>Copy of document sufficient for service</w:t>
      </w:r>
      <w:bookmarkEnd w:id="504"/>
      <w:bookmarkEnd w:id="50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06" w:name="_Toc132315792"/>
      <w:bookmarkStart w:id="507" w:name="_Toc131517441"/>
      <w:r>
        <w:rPr>
          <w:rStyle w:val="CharSectno"/>
        </w:rPr>
        <w:t>58</w:t>
      </w:r>
      <w:r>
        <w:rPr>
          <w:snapToGrid w:val="0"/>
        </w:rPr>
        <w:t>.</w:t>
      </w:r>
      <w:r>
        <w:rPr>
          <w:snapToGrid w:val="0"/>
        </w:rPr>
        <w:tab/>
        <w:t>Proof of service</w:t>
      </w:r>
      <w:bookmarkEnd w:id="506"/>
      <w:bookmarkEnd w:id="507"/>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508" w:name="_Toc132315793"/>
      <w:bookmarkStart w:id="509" w:name="_Toc131517442"/>
      <w:r>
        <w:rPr>
          <w:rStyle w:val="CharSectno"/>
        </w:rPr>
        <w:t>59</w:t>
      </w:r>
      <w:r>
        <w:t>.</w:t>
      </w:r>
      <w:r>
        <w:tab/>
        <w:t>Service of restraining order, certain people to be notified of</w:t>
      </w:r>
      <w:bookmarkEnd w:id="508"/>
      <w:bookmarkEnd w:id="509"/>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510" w:name="_Toc132315794"/>
      <w:bookmarkStart w:id="511" w:name="_Toc131517443"/>
      <w:r>
        <w:rPr>
          <w:rStyle w:val="CharSectno"/>
        </w:rPr>
        <w:t>60</w:t>
      </w:r>
      <w:r>
        <w:rPr>
          <w:snapToGrid w:val="0"/>
        </w:rPr>
        <w:t>.</w:t>
      </w:r>
      <w:r>
        <w:rPr>
          <w:snapToGrid w:val="0"/>
        </w:rPr>
        <w:tab/>
        <w:t>Substituted service</w:t>
      </w:r>
      <w:bookmarkEnd w:id="510"/>
      <w:bookmarkEnd w:id="511"/>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512" w:name="_Toc132199868"/>
      <w:bookmarkStart w:id="513" w:name="_Toc132200079"/>
      <w:bookmarkStart w:id="514" w:name="_Toc132315795"/>
      <w:bookmarkStart w:id="515" w:name="_Toc130562425"/>
      <w:bookmarkStart w:id="516" w:name="_Toc130562636"/>
      <w:bookmarkStart w:id="517" w:name="_Toc130565227"/>
      <w:bookmarkStart w:id="518" w:name="_Toc131497907"/>
      <w:bookmarkStart w:id="519" w:name="_Toc131498375"/>
      <w:bookmarkStart w:id="520" w:name="_Toc131517444"/>
      <w:r>
        <w:rPr>
          <w:rStyle w:val="CharDivNo"/>
        </w:rPr>
        <w:t>Division 3</w:t>
      </w:r>
      <w:r>
        <w:rPr>
          <w:snapToGrid w:val="0"/>
        </w:rPr>
        <w:t> — </w:t>
      </w:r>
      <w:r>
        <w:rPr>
          <w:rStyle w:val="CharDivText"/>
        </w:rPr>
        <w:t>Breach of restraining order or police order</w:t>
      </w:r>
      <w:bookmarkEnd w:id="512"/>
      <w:bookmarkEnd w:id="513"/>
      <w:bookmarkEnd w:id="514"/>
      <w:bookmarkEnd w:id="515"/>
      <w:bookmarkEnd w:id="516"/>
      <w:bookmarkEnd w:id="517"/>
      <w:bookmarkEnd w:id="518"/>
      <w:bookmarkEnd w:id="519"/>
      <w:bookmarkEnd w:id="520"/>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521" w:name="_Toc132315796"/>
      <w:bookmarkStart w:id="522" w:name="_Toc131517445"/>
      <w:r>
        <w:rPr>
          <w:rStyle w:val="CharSectno"/>
        </w:rPr>
        <w:t>61</w:t>
      </w:r>
      <w:r>
        <w:rPr>
          <w:snapToGrid w:val="0"/>
        </w:rPr>
        <w:t>.</w:t>
      </w:r>
      <w:r>
        <w:rPr>
          <w:snapToGrid w:val="0"/>
        </w:rPr>
        <w:tab/>
        <w:t>Breach of restraining order</w:t>
      </w:r>
      <w:bookmarkEnd w:id="521"/>
      <w:bookmarkEnd w:id="522"/>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523" w:name="_Toc132315797"/>
      <w:bookmarkStart w:id="524" w:name="_Toc131517446"/>
      <w:r>
        <w:rPr>
          <w:rStyle w:val="CharSectno"/>
        </w:rPr>
        <w:t>61A</w:t>
      </w:r>
      <w:r>
        <w:t>.</w:t>
      </w:r>
      <w:r>
        <w:tab/>
        <w:t>Penalty for repeated breach of restraining order</w:t>
      </w:r>
      <w:bookmarkEnd w:id="523"/>
      <w:bookmarkEnd w:id="524"/>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525" w:name="_Toc132315798"/>
      <w:bookmarkStart w:id="526" w:name="_Toc131517447"/>
      <w:r>
        <w:rPr>
          <w:rStyle w:val="CharSectno"/>
        </w:rPr>
        <w:t>61B</w:t>
      </w:r>
      <w:r>
        <w:t>.</w:t>
      </w:r>
      <w:r>
        <w:tab/>
        <w:t>Protected person aiding breach of restraining order or police order</w:t>
      </w:r>
      <w:bookmarkEnd w:id="525"/>
      <w:bookmarkEnd w:id="52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527" w:name="_Toc132315799"/>
      <w:bookmarkStart w:id="528" w:name="_Toc131517448"/>
      <w:r>
        <w:rPr>
          <w:rStyle w:val="CharSectno"/>
        </w:rPr>
        <w:t>61C</w:t>
      </w:r>
      <w:r>
        <w:t>.</w:t>
      </w:r>
      <w:r>
        <w:tab/>
        <w:t>Report under s. 10V to be considered in sentencing for breach of FVRO</w:t>
      </w:r>
      <w:bookmarkEnd w:id="527"/>
      <w:bookmarkEnd w:id="528"/>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529" w:name="_Toc132315800"/>
      <w:bookmarkStart w:id="530" w:name="_Toc131517449"/>
      <w:r>
        <w:rPr>
          <w:rStyle w:val="CharSectno"/>
        </w:rPr>
        <w:t>62</w:t>
      </w:r>
      <w:r>
        <w:t>.</w:t>
      </w:r>
      <w:r>
        <w:tab/>
        <w:t>Defence</w:t>
      </w:r>
      <w:bookmarkEnd w:id="529"/>
      <w:bookmarkEnd w:id="53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531" w:name="_Toc132199874"/>
      <w:bookmarkStart w:id="532" w:name="_Toc132200085"/>
      <w:bookmarkStart w:id="533" w:name="_Toc132315801"/>
      <w:bookmarkStart w:id="534" w:name="_Toc130562431"/>
      <w:bookmarkStart w:id="535" w:name="_Toc130562642"/>
      <w:bookmarkStart w:id="536" w:name="_Toc130565233"/>
      <w:bookmarkStart w:id="537" w:name="_Toc131497913"/>
      <w:bookmarkStart w:id="538" w:name="_Toc131498381"/>
      <w:bookmarkStart w:id="539" w:name="_Toc131517450"/>
      <w:r>
        <w:rPr>
          <w:rStyle w:val="CharDivNo"/>
        </w:rPr>
        <w:t>Division 3A</w:t>
      </w:r>
      <w:r>
        <w:t> — </w:t>
      </w:r>
      <w:r>
        <w:rPr>
          <w:rStyle w:val="CharDivText"/>
        </w:rPr>
        <w:t>Police functions</w:t>
      </w:r>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No. 38 of 2004 s. 43(1).]</w:t>
      </w:r>
    </w:p>
    <w:p>
      <w:pPr>
        <w:pStyle w:val="Heading5"/>
      </w:pPr>
      <w:bookmarkStart w:id="540" w:name="_Toc132315802"/>
      <w:bookmarkStart w:id="541" w:name="_Toc131517451"/>
      <w:r>
        <w:rPr>
          <w:rStyle w:val="CharSectno"/>
        </w:rPr>
        <w:t>62A</w:t>
      </w:r>
      <w:r>
        <w:t>.</w:t>
      </w:r>
      <w:r>
        <w:tab/>
        <w:t>Investigation of suspected family violence</w:t>
      </w:r>
      <w:bookmarkEnd w:id="540"/>
      <w:bookmarkEnd w:id="54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542" w:name="_Toc132315803"/>
      <w:bookmarkStart w:id="543" w:name="_Toc131517452"/>
      <w:r>
        <w:rPr>
          <w:rStyle w:val="CharSectno"/>
        </w:rPr>
        <w:t>62B</w:t>
      </w:r>
      <w:r>
        <w:t>.</w:t>
      </w:r>
      <w:r>
        <w:tab/>
        <w:t>Entry and search of premises if family violence suspected</w:t>
      </w:r>
      <w:bookmarkEnd w:id="542"/>
      <w:bookmarkEnd w:id="543"/>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544" w:name="_Toc132315804"/>
      <w:bookmarkStart w:id="545" w:name="_Toc131517453"/>
      <w:r>
        <w:rPr>
          <w:rStyle w:val="CharSectno"/>
        </w:rPr>
        <w:t>62C</w:t>
      </w:r>
      <w:r>
        <w:t>.</w:t>
      </w:r>
      <w:r>
        <w:tab/>
        <w:t>Action to be taken by police officer after investigating suspected family violence</w:t>
      </w:r>
      <w:bookmarkEnd w:id="544"/>
      <w:bookmarkEnd w:id="545"/>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546" w:name="_Toc132315805"/>
      <w:bookmarkStart w:id="547" w:name="_Toc131517454"/>
      <w:r>
        <w:rPr>
          <w:rStyle w:val="CharSectno"/>
        </w:rPr>
        <w:t>62D</w:t>
      </w:r>
      <w:r>
        <w:t>.</w:t>
      </w:r>
      <w:r>
        <w:tab/>
        <w:t>Approval of senior officer</w:t>
      </w:r>
      <w:bookmarkEnd w:id="546"/>
      <w:bookmarkEnd w:id="54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548" w:name="_Toc132315806"/>
      <w:bookmarkStart w:id="549" w:name="_Toc131517455"/>
      <w:r>
        <w:rPr>
          <w:rStyle w:val="CharSectno"/>
        </w:rPr>
        <w:t>62E</w:t>
      </w:r>
      <w:r>
        <w:t>.</w:t>
      </w:r>
      <w:r>
        <w:tab/>
      </w:r>
      <w:r>
        <w:rPr>
          <w:snapToGrid w:val="0"/>
        </w:rPr>
        <w:t>Seizure of firearm items and explosives</w:t>
      </w:r>
      <w:bookmarkEnd w:id="548"/>
      <w:bookmarkEnd w:id="549"/>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550" w:name="_Toc132315807"/>
      <w:bookmarkStart w:id="551" w:name="_Toc131517456"/>
      <w:r>
        <w:rPr>
          <w:rStyle w:val="CharSectno"/>
        </w:rPr>
        <w:t>62F</w:t>
      </w:r>
      <w:r>
        <w:t>.</w:t>
      </w:r>
      <w:r>
        <w:tab/>
        <w:t>Detention of respondent during telephone hearing or while police order is being made</w:t>
      </w:r>
      <w:bookmarkEnd w:id="550"/>
      <w:bookmarkEnd w:id="55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552" w:name="_Toc132315808"/>
      <w:bookmarkStart w:id="553" w:name="_Toc131517457"/>
      <w:r>
        <w:rPr>
          <w:rStyle w:val="CharSectno"/>
        </w:rPr>
        <w:t>62G</w:t>
      </w:r>
      <w:r>
        <w:t>.</w:t>
      </w:r>
      <w:r>
        <w:tab/>
        <w:t>Police officer may conduct hearing for applicant</w:t>
      </w:r>
      <w:bookmarkEnd w:id="552"/>
      <w:bookmarkEnd w:id="55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554" w:name="_Toc132199882"/>
      <w:bookmarkStart w:id="555" w:name="_Toc132200093"/>
      <w:bookmarkStart w:id="556" w:name="_Toc132315809"/>
      <w:bookmarkStart w:id="557" w:name="_Toc130562439"/>
      <w:bookmarkStart w:id="558" w:name="_Toc130562650"/>
      <w:bookmarkStart w:id="559" w:name="_Toc130565241"/>
      <w:bookmarkStart w:id="560" w:name="_Toc131497921"/>
      <w:bookmarkStart w:id="561" w:name="_Toc131498389"/>
      <w:bookmarkStart w:id="562" w:name="_Toc131517458"/>
      <w:r>
        <w:rPr>
          <w:rStyle w:val="CharDivNo"/>
        </w:rPr>
        <w:t>Division 4</w:t>
      </w:r>
      <w:r>
        <w:rPr>
          <w:snapToGrid w:val="0"/>
        </w:rPr>
        <w:t> — </w:t>
      </w:r>
      <w:r>
        <w:rPr>
          <w:rStyle w:val="CharDivText"/>
        </w:rPr>
        <w:t>General</w:t>
      </w:r>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132315810"/>
      <w:bookmarkStart w:id="564" w:name="_Toc131517459"/>
      <w:r>
        <w:rPr>
          <w:rStyle w:val="CharSectno"/>
        </w:rPr>
        <w:t>63</w:t>
      </w:r>
      <w:r>
        <w:rPr>
          <w:snapToGrid w:val="0"/>
        </w:rPr>
        <w:t>.</w:t>
      </w:r>
      <w:r>
        <w:rPr>
          <w:snapToGrid w:val="0"/>
        </w:rPr>
        <w:tab/>
        <w:t>Making restraining orders during other proceedings</w:t>
      </w:r>
      <w:bookmarkEnd w:id="563"/>
      <w:bookmarkEnd w:id="56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565" w:name="_Toc132315811"/>
      <w:bookmarkStart w:id="566" w:name="_Toc131517460"/>
      <w:r>
        <w:rPr>
          <w:rStyle w:val="CharSectno"/>
        </w:rPr>
        <w:t>63A</w:t>
      </w:r>
      <w:r>
        <w:t>.</w:t>
      </w:r>
      <w:r>
        <w:tab/>
        <w:t>FVRO or VRO made if certain violent personal offences committed</w:t>
      </w:r>
      <w:bookmarkEnd w:id="565"/>
      <w:bookmarkEnd w:id="566"/>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567" w:name="_Toc132315812"/>
      <w:bookmarkStart w:id="568" w:name="_Toc131517461"/>
      <w:r>
        <w:rPr>
          <w:rStyle w:val="CharSectno"/>
        </w:rPr>
        <w:t>63B</w:t>
      </w:r>
      <w:r>
        <w:t>.</w:t>
      </w:r>
      <w:r>
        <w:tab/>
        <w:t>Circumstances to be taken into account when sentencing for certain offences</w:t>
      </w:r>
      <w:bookmarkEnd w:id="567"/>
      <w:bookmarkEnd w:id="568"/>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569" w:name="_Toc132315813"/>
      <w:bookmarkStart w:id="570" w:name="_Toc131517462"/>
      <w:r>
        <w:rPr>
          <w:rStyle w:val="CharSectno"/>
        </w:rPr>
        <w:t>63C</w:t>
      </w:r>
      <w:r>
        <w:t>.</w:t>
      </w:r>
      <w:r>
        <w:tab/>
        <w:t>Criminal and civil liability not affected by restraining orders</w:t>
      </w:r>
      <w:bookmarkEnd w:id="569"/>
      <w:bookmarkEnd w:id="57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571" w:name="_Toc132315814"/>
      <w:bookmarkStart w:id="572" w:name="_Toc131517463"/>
      <w:r>
        <w:rPr>
          <w:rStyle w:val="CharSectno"/>
        </w:rPr>
        <w:t>63D</w:t>
      </w:r>
      <w:r>
        <w:t>.</w:t>
      </w:r>
      <w:r>
        <w:tab/>
        <w:t>Court to give reasons for certain decisions</w:t>
      </w:r>
      <w:bookmarkEnd w:id="571"/>
      <w:bookmarkEnd w:id="572"/>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573" w:name="_Toc132315815"/>
      <w:bookmarkStart w:id="574" w:name="_Toc131517464"/>
      <w:r>
        <w:rPr>
          <w:rStyle w:val="CharSectno"/>
        </w:rPr>
        <w:t>64</w:t>
      </w:r>
      <w:r>
        <w:rPr>
          <w:snapToGrid w:val="0"/>
        </w:rPr>
        <w:t>.</w:t>
      </w:r>
      <w:r>
        <w:rPr>
          <w:snapToGrid w:val="0"/>
        </w:rPr>
        <w:tab/>
        <w:t>Appeals</w:t>
      </w:r>
      <w:bookmarkEnd w:id="573"/>
      <w:bookmarkEnd w:id="574"/>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575" w:name="_Toc132315816"/>
      <w:bookmarkStart w:id="576" w:name="_Toc131517465"/>
      <w:r>
        <w:rPr>
          <w:rStyle w:val="CharSectno"/>
        </w:rPr>
        <w:t>65</w:t>
      </w:r>
      <w:r>
        <w:rPr>
          <w:snapToGrid w:val="0"/>
        </w:rPr>
        <w:t>.</w:t>
      </w:r>
      <w:r>
        <w:rPr>
          <w:snapToGrid w:val="0"/>
        </w:rPr>
        <w:tab/>
        <w:t>Orders not to conflict with certain family orders</w:t>
      </w:r>
      <w:bookmarkEnd w:id="575"/>
      <w:bookmarkEnd w:id="57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577" w:name="_Toc132315817"/>
      <w:bookmarkStart w:id="578" w:name="_Toc131517466"/>
      <w:r>
        <w:rPr>
          <w:rStyle w:val="CharSectno"/>
        </w:rPr>
        <w:t>66</w:t>
      </w:r>
      <w:r>
        <w:t>.</w:t>
      </w:r>
      <w:r>
        <w:tab/>
        <w:t>Information about family orders</w:t>
      </w:r>
      <w:bookmarkEnd w:id="577"/>
      <w:bookmarkEnd w:id="578"/>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579" w:name="_Toc132315818"/>
      <w:bookmarkStart w:id="580" w:name="_Toc131517467"/>
      <w:r>
        <w:rPr>
          <w:rStyle w:val="CharSectno"/>
        </w:rPr>
        <w:t>67</w:t>
      </w:r>
      <w:r>
        <w:t>.</w:t>
      </w:r>
      <w:r>
        <w:tab/>
        <w:t>Adjournments</w:t>
      </w:r>
      <w:bookmarkEnd w:id="579"/>
      <w:bookmarkEnd w:id="580"/>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581" w:name="_Toc132315819"/>
      <w:bookmarkStart w:id="582" w:name="_Toc131517468"/>
      <w:r>
        <w:rPr>
          <w:rStyle w:val="CharSectno"/>
        </w:rPr>
        <w:t>68</w:t>
      </w:r>
      <w:r>
        <w:rPr>
          <w:snapToGrid w:val="0"/>
        </w:rPr>
        <w:t>.</w:t>
      </w:r>
      <w:r>
        <w:rPr>
          <w:snapToGrid w:val="0"/>
        </w:rPr>
        <w:tab/>
        <w:t>Orders may be extended to apply to other people</w:t>
      </w:r>
      <w:bookmarkEnd w:id="581"/>
      <w:bookmarkEnd w:id="582"/>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583" w:name="_Toc132315820"/>
      <w:bookmarkStart w:id="584" w:name="_Toc131517469"/>
      <w:r>
        <w:rPr>
          <w:rStyle w:val="CharSectno"/>
        </w:rPr>
        <w:t>69</w:t>
      </w:r>
      <w:r>
        <w:rPr>
          <w:snapToGrid w:val="0"/>
        </w:rPr>
        <w:t>.</w:t>
      </w:r>
      <w:r>
        <w:rPr>
          <w:snapToGrid w:val="0"/>
        </w:rPr>
        <w:tab/>
        <w:t>Costs</w:t>
      </w:r>
      <w:bookmarkEnd w:id="583"/>
      <w:bookmarkEnd w:id="584"/>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585" w:name="_Toc132315821"/>
      <w:bookmarkStart w:id="586" w:name="_Toc131517470"/>
      <w:r>
        <w:rPr>
          <w:rStyle w:val="CharSectno"/>
        </w:rPr>
        <w:t>70</w:t>
      </w:r>
      <w:r>
        <w:t>.</w:t>
      </w:r>
      <w:r>
        <w:tab/>
        <w:t>Information on identity of certain person restricted</w:t>
      </w:r>
      <w:bookmarkEnd w:id="585"/>
      <w:bookmarkEnd w:id="586"/>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587" w:name="_Toc132315822"/>
      <w:bookmarkStart w:id="588" w:name="_Toc131517471"/>
      <w:r>
        <w:rPr>
          <w:rStyle w:val="CharSectno"/>
        </w:rPr>
        <w:t>70A</w:t>
      </w:r>
      <w:r>
        <w:t>.</w:t>
      </w:r>
      <w:r>
        <w:tab/>
        <w:t>Exchange of information</w:t>
      </w:r>
      <w:bookmarkEnd w:id="587"/>
      <w:bookmarkEnd w:id="588"/>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589" w:name="_Toc132315823"/>
      <w:bookmarkStart w:id="590" w:name="_Toc131517472"/>
      <w:r>
        <w:rPr>
          <w:rStyle w:val="CharSectno"/>
        </w:rPr>
        <w:t>71</w:t>
      </w:r>
      <w:r>
        <w:rPr>
          <w:snapToGrid w:val="0"/>
        </w:rPr>
        <w:t>.</w:t>
      </w:r>
      <w:r>
        <w:rPr>
          <w:snapToGrid w:val="0"/>
        </w:rPr>
        <w:tab/>
        <w:t>Notification when firearms order made</w:t>
      </w:r>
      <w:bookmarkEnd w:id="589"/>
      <w:bookmarkEnd w:id="59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firearms authorisation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591" w:name="_Toc132315824"/>
      <w:bookmarkStart w:id="592" w:name="_Toc131517473"/>
      <w:r>
        <w:rPr>
          <w:rStyle w:val="CharSectno"/>
        </w:rPr>
        <w:t>72</w:t>
      </w:r>
      <w:r>
        <w:rPr>
          <w:snapToGrid w:val="0"/>
        </w:rPr>
        <w:t>.</w:t>
      </w:r>
      <w:r>
        <w:rPr>
          <w:snapToGrid w:val="0"/>
        </w:rPr>
        <w:tab/>
        <w:t>Practice and procedure generally</w:t>
      </w:r>
      <w:bookmarkEnd w:id="591"/>
      <w:bookmarkEnd w:id="592"/>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tab/>
        <w:t>[(2)</w:t>
      </w:r>
      <w:r>
        <w:tab/>
        <w:t>deleted]</w:t>
      </w:r>
    </w:p>
    <w:p>
      <w:pPr>
        <w:pStyle w:val="Footnotesection"/>
      </w:pPr>
      <w:r>
        <w:tab/>
        <w:t xml:space="preserve">[Section 72 amended: No. 59 of 2004 s. 124.] </w:t>
      </w:r>
    </w:p>
    <w:p>
      <w:pPr>
        <w:pStyle w:val="Heading5"/>
      </w:pPr>
      <w:bookmarkStart w:id="593" w:name="_Toc132315825"/>
      <w:bookmarkStart w:id="594" w:name="_Toc131517474"/>
      <w:r>
        <w:rPr>
          <w:rStyle w:val="CharSectno"/>
        </w:rPr>
        <w:t>72A</w:t>
      </w:r>
      <w:r>
        <w:t>.</w:t>
      </w:r>
      <w:r>
        <w:tab/>
        <w:t>Forms</w:t>
      </w:r>
      <w:bookmarkEnd w:id="593"/>
      <w:bookmarkEnd w:id="594"/>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595" w:name="_Toc132315826"/>
      <w:bookmarkStart w:id="596" w:name="_Toc131517475"/>
      <w:r>
        <w:rPr>
          <w:rStyle w:val="CharSectno"/>
        </w:rPr>
        <w:t>73</w:t>
      </w:r>
      <w:r>
        <w:rPr>
          <w:snapToGrid w:val="0"/>
        </w:rPr>
        <w:t>.</w:t>
      </w:r>
      <w:r>
        <w:rPr>
          <w:snapToGrid w:val="0"/>
        </w:rPr>
        <w:tab/>
        <w:t>Regulation making power</w:t>
      </w:r>
      <w:bookmarkEnd w:id="595"/>
      <w:bookmarkEnd w:id="59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597" w:name="_Toc132315827"/>
      <w:bookmarkStart w:id="598" w:name="_Toc131517476"/>
      <w:r>
        <w:rPr>
          <w:rStyle w:val="CharSectno"/>
        </w:rPr>
        <w:t>73A</w:t>
      </w:r>
      <w:r>
        <w:t>.</w:t>
      </w:r>
      <w:r>
        <w:tab/>
        <w:t>Review of certain amendments relating to FVROs</w:t>
      </w:r>
      <w:bookmarkEnd w:id="597"/>
      <w:bookmarkEnd w:id="598"/>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99" w:name="_Toc132199901"/>
      <w:bookmarkStart w:id="600" w:name="_Toc132200112"/>
      <w:bookmarkStart w:id="601" w:name="_Toc132315828"/>
      <w:bookmarkStart w:id="602" w:name="_Toc130562458"/>
      <w:bookmarkStart w:id="603" w:name="_Toc130562669"/>
      <w:bookmarkStart w:id="604" w:name="_Toc130565260"/>
      <w:bookmarkStart w:id="605" w:name="_Toc131497940"/>
      <w:bookmarkStart w:id="606" w:name="_Toc131498408"/>
      <w:bookmarkStart w:id="607" w:name="_Toc131517477"/>
      <w:r>
        <w:rPr>
          <w:rStyle w:val="CharPartNo"/>
        </w:rPr>
        <w:t>Part 7</w:t>
      </w:r>
      <w:r>
        <w:rPr>
          <w:rStyle w:val="CharDivNo"/>
        </w:rPr>
        <w:t> </w:t>
      </w:r>
      <w:r>
        <w:t>—</w:t>
      </w:r>
      <w:r>
        <w:rPr>
          <w:rStyle w:val="CharDivText"/>
        </w:rPr>
        <w:t> </w:t>
      </w:r>
      <w:r>
        <w:rPr>
          <w:rStyle w:val="CharPartText"/>
        </w:rPr>
        <w:t>Interstate restraining orders</w:t>
      </w:r>
      <w:bookmarkEnd w:id="599"/>
      <w:bookmarkEnd w:id="600"/>
      <w:bookmarkEnd w:id="601"/>
      <w:bookmarkEnd w:id="602"/>
      <w:bookmarkEnd w:id="603"/>
      <w:bookmarkEnd w:id="604"/>
      <w:bookmarkEnd w:id="605"/>
      <w:bookmarkEnd w:id="606"/>
      <w:bookmarkEnd w:id="607"/>
      <w:r>
        <w:rPr>
          <w:rStyle w:val="CharPartText"/>
        </w:rPr>
        <w:t xml:space="preserve"> </w:t>
      </w:r>
    </w:p>
    <w:p>
      <w:pPr>
        <w:pStyle w:val="Heading5"/>
        <w:rPr>
          <w:snapToGrid w:val="0"/>
        </w:rPr>
      </w:pPr>
      <w:bookmarkStart w:id="608" w:name="_Toc132315829"/>
      <w:bookmarkStart w:id="609" w:name="_Toc131517478"/>
      <w:r>
        <w:rPr>
          <w:rStyle w:val="CharSectno"/>
        </w:rPr>
        <w:t>74</w:t>
      </w:r>
      <w:r>
        <w:rPr>
          <w:snapToGrid w:val="0"/>
        </w:rPr>
        <w:t>.</w:t>
      </w:r>
      <w:r>
        <w:rPr>
          <w:snapToGrid w:val="0"/>
        </w:rPr>
        <w:tab/>
        <w:t>Terms used</w:t>
      </w:r>
      <w:bookmarkEnd w:id="608"/>
      <w:bookmarkEnd w:id="6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610" w:name="_Toc132315830"/>
      <w:bookmarkStart w:id="611" w:name="_Toc131517479"/>
      <w:r>
        <w:rPr>
          <w:rStyle w:val="CharSectno"/>
        </w:rPr>
        <w:t>74A</w:t>
      </w:r>
      <w:r>
        <w:t>.</w:t>
      </w:r>
      <w:r>
        <w:tab/>
        <w:t xml:space="preserve">Interstate DVOs under </w:t>
      </w:r>
      <w:r>
        <w:rPr>
          <w:i/>
        </w:rPr>
        <w:t xml:space="preserve">Domestic Violence Orders (National Recognition) Act 2017 </w:t>
      </w:r>
      <w:r>
        <w:t>cannot be registered</w:t>
      </w:r>
      <w:bookmarkEnd w:id="610"/>
      <w:bookmarkEnd w:id="611"/>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612" w:name="_Toc132315831"/>
      <w:bookmarkStart w:id="613" w:name="_Toc131517480"/>
      <w:r>
        <w:rPr>
          <w:rStyle w:val="CharSectno"/>
        </w:rPr>
        <w:t>74B</w:t>
      </w:r>
      <w:r>
        <w:t>.</w:t>
      </w:r>
      <w:r>
        <w:tab/>
        <w:t xml:space="preserve">Interstate orders registered before commencement of </w:t>
      </w:r>
      <w:r>
        <w:rPr>
          <w:i/>
        </w:rPr>
        <w:t>Domestic Violence Orders (National Recognition) Act 2017</w:t>
      </w:r>
      <w:bookmarkEnd w:id="612"/>
      <w:bookmarkEnd w:id="613"/>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614" w:name="_Toc132315832"/>
      <w:bookmarkStart w:id="615" w:name="_Toc131517481"/>
      <w:r>
        <w:rPr>
          <w:rStyle w:val="CharSectno"/>
        </w:rPr>
        <w:t>75</w:t>
      </w:r>
      <w:r>
        <w:rPr>
          <w:snapToGrid w:val="0"/>
        </w:rPr>
        <w:t>.</w:t>
      </w:r>
      <w:r>
        <w:rPr>
          <w:snapToGrid w:val="0"/>
        </w:rPr>
        <w:tab/>
        <w:t>Application for registration of interstate order</w:t>
      </w:r>
      <w:bookmarkEnd w:id="614"/>
      <w:bookmarkEnd w:id="61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616" w:name="_Toc132315833"/>
      <w:bookmarkStart w:id="617" w:name="_Toc131517482"/>
      <w:r>
        <w:rPr>
          <w:rStyle w:val="CharSectno"/>
        </w:rPr>
        <w:t>76</w:t>
      </w:r>
      <w:r>
        <w:rPr>
          <w:snapToGrid w:val="0"/>
        </w:rPr>
        <w:t>.</w:t>
      </w:r>
      <w:r>
        <w:rPr>
          <w:snapToGrid w:val="0"/>
        </w:rPr>
        <w:tab/>
        <w:t>Registration</w:t>
      </w:r>
      <w:bookmarkEnd w:id="616"/>
      <w:bookmarkEnd w:id="61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618" w:name="_Toc132315834"/>
      <w:bookmarkStart w:id="619" w:name="_Toc131517483"/>
      <w:r>
        <w:rPr>
          <w:rStyle w:val="CharSectno"/>
        </w:rPr>
        <w:t>77</w:t>
      </w:r>
      <w:r>
        <w:rPr>
          <w:snapToGrid w:val="0"/>
        </w:rPr>
        <w:t>.</w:t>
      </w:r>
      <w:r>
        <w:rPr>
          <w:snapToGrid w:val="0"/>
        </w:rPr>
        <w:tab/>
        <w:t>Effect of registration</w:t>
      </w:r>
      <w:bookmarkEnd w:id="618"/>
      <w:bookmarkEnd w:id="619"/>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620" w:name="_Toc132315835"/>
      <w:bookmarkStart w:id="621" w:name="_Toc131517484"/>
      <w:r>
        <w:rPr>
          <w:rStyle w:val="CharSectno"/>
        </w:rPr>
        <w:t>78</w:t>
      </w:r>
      <w:r>
        <w:rPr>
          <w:snapToGrid w:val="0"/>
        </w:rPr>
        <w:t>.</w:t>
      </w:r>
      <w:r>
        <w:rPr>
          <w:snapToGrid w:val="0"/>
        </w:rPr>
        <w:tab/>
        <w:t>Variation or cancellation in another State or Territory</w:t>
      </w:r>
      <w:bookmarkEnd w:id="620"/>
      <w:bookmarkEnd w:id="62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622" w:name="_Toc132315836"/>
      <w:bookmarkStart w:id="623" w:name="_Toc131517485"/>
      <w:r>
        <w:rPr>
          <w:rStyle w:val="CharSectno"/>
        </w:rPr>
        <w:t>79</w:t>
      </w:r>
      <w:r>
        <w:t>.</w:t>
      </w:r>
      <w:r>
        <w:tab/>
        <w:t>Variation or cancellation in this State</w:t>
      </w:r>
      <w:bookmarkEnd w:id="622"/>
      <w:bookmarkEnd w:id="623"/>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24" w:name="_Toc132199910"/>
      <w:bookmarkStart w:id="625" w:name="_Toc132200121"/>
      <w:bookmarkStart w:id="626" w:name="_Toc132315837"/>
      <w:bookmarkStart w:id="627" w:name="_Toc130562467"/>
      <w:bookmarkStart w:id="628" w:name="_Toc130562678"/>
      <w:bookmarkStart w:id="629" w:name="_Toc130565269"/>
      <w:bookmarkStart w:id="630" w:name="_Toc131497949"/>
      <w:bookmarkStart w:id="631" w:name="_Toc131498417"/>
      <w:bookmarkStart w:id="632" w:name="_Toc131517486"/>
      <w:r>
        <w:rPr>
          <w:rStyle w:val="CharPartNo"/>
        </w:rPr>
        <w:t>Part 7A</w:t>
      </w:r>
      <w:r>
        <w:rPr>
          <w:rStyle w:val="CharDivNo"/>
        </w:rPr>
        <w:t xml:space="preserve"> </w:t>
      </w:r>
      <w:r>
        <w:t>—</w:t>
      </w:r>
      <w:r>
        <w:rPr>
          <w:rStyle w:val="CharDivText"/>
        </w:rPr>
        <w:t xml:space="preserve"> </w:t>
      </w:r>
      <w:r>
        <w:rPr>
          <w:rStyle w:val="CharPartText"/>
        </w:rPr>
        <w:t>Foreign restraining orders</w:t>
      </w:r>
      <w:bookmarkEnd w:id="624"/>
      <w:bookmarkEnd w:id="625"/>
      <w:bookmarkEnd w:id="626"/>
      <w:bookmarkEnd w:id="627"/>
      <w:bookmarkEnd w:id="628"/>
      <w:bookmarkEnd w:id="629"/>
      <w:bookmarkEnd w:id="630"/>
      <w:bookmarkEnd w:id="631"/>
      <w:bookmarkEnd w:id="632"/>
    </w:p>
    <w:p>
      <w:pPr>
        <w:pStyle w:val="Footnoteheading"/>
      </w:pPr>
      <w:r>
        <w:tab/>
        <w:t>[Heading inserted: No. 11 of 1999 s. 7.]</w:t>
      </w:r>
    </w:p>
    <w:p>
      <w:pPr>
        <w:pStyle w:val="Heading5"/>
        <w:spacing w:before="120"/>
      </w:pPr>
      <w:bookmarkStart w:id="633" w:name="_Toc132315838"/>
      <w:bookmarkStart w:id="634" w:name="_Toc131517487"/>
      <w:r>
        <w:rPr>
          <w:rStyle w:val="CharSectno"/>
        </w:rPr>
        <w:t>79A</w:t>
      </w:r>
      <w:r>
        <w:t>.</w:t>
      </w:r>
      <w:r>
        <w:tab/>
        <w:t>Recognition of foreign restraining orders</w:t>
      </w:r>
      <w:bookmarkEnd w:id="633"/>
      <w:bookmarkEnd w:id="634"/>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635" w:name="_Toc132315839"/>
      <w:bookmarkStart w:id="636" w:name="_Toc131517488"/>
      <w:r>
        <w:rPr>
          <w:rStyle w:val="CharSectno"/>
        </w:rPr>
        <w:t>79B</w:t>
      </w:r>
      <w:r>
        <w:t>.</w:t>
      </w:r>
      <w:r>
        <w:tab/>
        <w:t>Applying for registration of foreign restraining orders</w:t>
      </w:r>
      <w:bookmarkEnd w:id="635"/>
      <w:bookmarkEnd w:id="63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637" w:name="_Toc132315840"/>
      <w:bookmarkStart w:id="638" w:name="_Toc131517489"/>
      <w:r>
        <w:rPr>
          <w:rStyle w:val="CharSectno"/>
        </w:rPr>
        <w:t>79C</w:t>
      </w:r>
      <w:r>
        <w:t>.</w:t>
      </w:r>
      <w:r>
        <w:tab/>
        <w:t>Registration of foreign restraining orders</w:t>
      </w:r>
      <w:bookmarkEnd w:id="637"/>
      <w:bookmarkEnd w:id="63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639" w:name="_Toc132315841"/>
      <w:bookmarkStart w:id="640" w:name="_Toc131517490"/>
      <w:r>
        <w:rPr>
          <w:rStyle w:val="CharSectno"/>
        </w:rPr>
        <w:t>79D</w:t>
      </w:r>
      <w:r>
        <w:t>.</w:t>
      </w:r>
      <w:r>
        <w:tab/>
        <w:t>Effect of registration</w:t>
      </w:r>
      <w:bookmarkEnd w:id="639"/>
      <w:bookmarkEnd w:id="640"/>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641" w:name="_Toc132315842"/>
      <w:bookmarkStart w:id="642" w:name="_Toc131517491"/>
      <w:r>
        <w:rPr>
          <w:rStyle w:val="CharSectno"/>
        </w:rPr>
        <w:t>79E</w:t>
      </w:r>
      <w:r>
        <w:t>.</w:t>
      </w:r>
      <w:r>
        <w:tab/>
        <w:t>Variation or cancellation in foreign country</w:t>
      </w:r>
      <w:bookmarkEnd w:id="641"/>
      <w:bookmarkEnd w:id="64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643" w:name="_Toc132315843"/>
      <w:bookmarkStart w:id="644" w:name="_Toc131517492"/>
      <w:r>
        <w:rPr>
          <w:rStyle w:val="CharSectno"/>
        </w:rPr>
        <w:t>79F</w:t>
      </w:r>
      <w:r>
        <w:t>.</w:t>
      </w:r>
      <w:r>
        <w:tab/>
        <w:t>Variation or cancellation in this State</w:t>
      </w:r>
      <w:bookmarkEnd w:id="643"/>
      <w:bookmarkEnd w:id="64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645" w:name="_Toc132199917"/>
      <w:bookmarkStart w:id="646" w:name="_Toc132200128"/>
      <w:bookmarkStart w:id="647" w:name="_Toc132315844"/>
      <w:bookmarkStart w:id="648" w:name="_Toc130562474"/>
      <w:bookmarkStart w:id="649" w:name="_Toc130562685"/>
      <w:bookmarkStart w:id="650" w:name="_Toc130565276"/>
      <w:bookmarkStart w:id="651" w:name="_Toc131497956"/>
      <w:bookmarkStart w:id="652" w:name="_Toc131498424"/>
      <w:bookmarkStart w:id="653" w:name="_Toc131517493"/>
      <w:r>
        <w:t>Notes</w:t>
      </w:r>
      <w:bookmarkEnd w:id="645"/>
      <w:bookmarkEnd w:id="646"/>
      <w:bookmarkEnd w:id="647"/>
      <w:bookmarkEnd w:id="648"/>
      <w:bookmarkEnd w:id="649"/>
      <w:bookmarkEnd w:id="650"/>
      <w:bookmarkEnd w:id="651"/>
      <w:bookmarkEnd w:id="652"/>
      <w:bookmarkEnd w:id="653"/>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54" w:name="_Toc132315845"/>
      <w:bookmarkStart w:id="655" w:name="_Toc131517494"/>
      <w:r>
        <w:t>Compilation table</w:t>
      </w:r>
      <w:bookmarkEnd w:id="654"/>
      <w:bookmarkEnd w:id="65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right w:val="nil"/>
            </w:tcBorders>
            <w:shd w:val="clear" w:color="auto" w:fill="auto"/>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Animal Welfare and Trespass Legislation Amendment Act 2023</w:t>
            </w:r>
            <w:r>
              <w:t xml:space="preserve"> Pt. 4</w:t>
            </w:r>
          </w:p>
        </w:tc>
        <w:tc>
          <w:tcPr>
            <w:tcW w:w="1134" w:type="dxa"/>
            <w:tcBorders>
              <w:top w:val="nil"/>
              <w:bottom w:val="single" w:sz="4" w:space="0" w:color="auto"/>
            </w:tcBorders>
            <w:shd w:val="clear" w:color="auto" w:fill="auto"/>
          </w:tcPr>
          <w:p>
            <w:pPr>
              <w:pStyle w:val="nTable"/>
              <w:spacing w:after="40"/>
            </w:pPr>
            <w:r>
              <w:t>5 of 2023</w:t>
            </w:r>
          </w:p>
        </w:tc>
        <w:tc>
          <w:tcPr>
            <w:tcW w:w="1134" w:type="dxa"/>
            <w:tcBorders>
              <w:top w:val="nil"/>
              <w:bottom w:val="single" w:sz="4" w:space="0" w:color="auto"/>
            </w:tcBorders>
            <w:shd w:val="clear" w:color="auto" w:fill="auto"/>
          </w:tcPr>
          <w:p>
            <w:pPr>
              <w:pStyle w:val="nTable"/>
              <w:spacing w:after="40"/>
            </w:pPr>
            <w:r>
              <w:t>24 Mar 2023</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7 Apr 2023 (see s. 2(b))</w:t>
            </w:r>
          </w:p>
        </w:tc>
      </w:tr>
    </w:tbl>
    <w:p>
      <w:pPr>
        <w:pStyle w:val="nHeading3"/>
      </w:pPr>
      <w:bookmarkStart w:id="656" w:name="_Toc132315846"/>
      <w:bookmarkStart w:id="657" w:name="_Toc131517495"/>
      <w:r>
        <w:t>Uncommenced provisions table</w:t>
      </w:r>
      <w:bookmarkEnd w:id="656"/>
      <w:bookmarkEnd w:id="657"/>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ins w:id="658" w:author="Master Repository Process" w:date="2023-04-14T09:36:00Z"/>
        </w:trPr>
        <w:tc>
          <w:tcPr>
            <w:tcW w:w="2224" w:type="dxa"/>
            <w:tcBorders>
              <w:top w:val="nil"/>
              <w:bottom w:val="single" w:sz="4" w:space="0" w:color="auto"/>
            </w:tcBorders>
          </w:tcPr>
          <w:p>
            <w:pPr>
              <w:pStyle w:val="nTable"/>
              <w:spacing w:after="40"/>
              <w:rPr>
                <w:ins w:id="659" w:author="Master Repository Process" w:date="2023-04-14T09:36:00Z"/>
              </w:rPr>
            </w:pPr>
            <w:ins w:id="660" w:author="Master Repository Process" w:date="2023-04-14T09:36:00Z">
              <w:r>
                <w:rPr>
                  <w:i/>
                </w:rPr>
                <w:t>Criminal Law (Mental Impairment) Act 2023</w:t>
              </w:r>
              <w:r>
                <w:t xml:space="preserve"> Pt. 15 Div. 25</w:t>
              </w:r>
            </w:ins>
          </w:p>
        </w:tc>
        <w:tc>
          <w:tcPr>
            <w:tcW w:w="1109" w:type="dxa"/>
            <w:tcBorders>
              <w:top w:val="nil"/>
              <w:bottom w:val="single" w:sz="4" w:space="0" w:color="auto"/>
            </w:tcBorders>
          </w:tcPr>
          <w:p>
            <w:pPr>
              <w:pStyle w:val="nTable"/>
              <w:spacing w:after="40"/>
              <w:rPr>
                <w:ins w:id="661" w:author="Master Repository Process" w:date="2023-04-14T09:36:00Z"/>
              </w:rPr>
            </w:pPr>
            <w:ins w:id="662" w:author="Master Repository Process" w:date="2023-04-14T09:36:00Z">
              <w:r>
                <w:t>10 of 2023</w:t>
              </w:r>
            </w:ins>
          </w:p>
        </w:tc>
        <w:tc>
          <w:tcPr>
            <w:tcW w:w="1230" w:type="dxa"/>
            <w:tcBorders>
              <w:top w:val="nil"/>
              <w:bottom w:val="single" w:sz="4" w:space="0" w:color="auto"/>
            </w:tcBorders>
          </w:tcPr>
          <w:p>
            <w:pPr>
              <w:pStyle w:val="nTable"/>
              <w:spacing w:after="40"/>
              <w:rPr>
                <w:ins w:id="663" w:author="Master Repository Process" w:date="2023-04-14T09:36:00Z"/>
              </w:rPr>
            </w:pPr>
            <w:ins w:id="664" w:author="Master Repository Process" w:date="2023-04-14T09:36:00Z">
              <w:r>
                <w:t>13 Apr 2023</w:t>
              </w:r>
            </w:ins>
          </w:p>
        </w:tc>
        <w:tc>
          <w:tcPr>
            <w:tcW w:w="2534" w:type="dxa"/>
            <w:tcBorders>
              <w:top w:val="nil"/>
              <w:bottom w:val="single" w:sz="4" w:space="0" w:color="auto"/>
            </w:tcBorders>
          </w:tcPr>
          <w:p>
            <w:pPr>
              <w:pStyle w:val="nTable"/>
              <w:spacing w:after="40"/>
              <w:rPr>
                <w:ins w:id="665" w:author="Master Repository Process" w:date="2023-04-14T09:36:00Z"/>
                <w:snapToGrid w:val="0"/>
              </w:rPr>
            </w:pPr>
            <w:ins w:id="666" w:author="Master Repository Process" w:date="2023-04-14T09:36:00Z">
              <w:r>
                <w:rPr>
                  <w:snapToGrid w:val="0"/>
                </w:rPr>
                <w:t>To be proclaimed (see s. 2(b))</w:t>
              </w:r>
            </w:ins>
          </w:p>
        </w:tc>
      </w:tr>
    </w:tbl>
    <w:p>
      <w:pPr>
        <w:pStyle w:val="nHeading3"/>
      </w:pPr>
      <w:bookmarkStart w:id="667" w:name="_Toc132315847"/>
      <w:bookmarkStart w:id="668" w:name="_Toc131517496"/>
      <w:r>
        <w:t>Other notes</w:t>
      </w:r>
      <w:bookmarkEnd w:id="667"/>
      <w:bookmarkEnd w:id="668"/>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0" w:name="Coversheet"/>
    <w:bookmarkEnd w:id="6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9" w:name="Compilation"/>
    <w:bookmarkEnd w:id="6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17"/>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 w:name="WAFER_202304121339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17_GUID" w:val="a8eb1504-26ae-4380-8d07-ee9e2627e9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44A7-70D2-4A40-8BB7-499654F7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39891</Words>
  <Characters>183105</Characters>
  <Application>Microsoft Office Word</Application>
  <DocSecurity>0</DocSecurity>
  <Lines>4818</Lines>
  <Paragraphs>2753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05-n0-00 - 05-o0-00</dc:title>
  <dc:subject/>
  <dc:creator/>
  <cp:keywords/>
  <dc:description/>
  <cp:lastModifiedBy>Master Repository Process</cp:lastModifiedBy>
  <cp:revision>2</cp:revision>
  <cp:lastPrinted>2019-02-27T04:33:00Z</cp:lastPrinted>
  <dcterms:created xsi:type="dcterms:W3CDTF">2023-04-14T01:36:00Z</dcterms:created>
  <dcterms:modified xsi:type="dcterms:W3CDTF">2023-04-14T01:36:00Z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20230413</vt:lpwstr>
  </property>
  <property fmtid="{D5CDD505-2E9C-101B-9397-08002B2CF9AE}" pid="8" name="FromSuffix">
    <vt:lpwstr>05-n0-00</vt:lpwstr>
  </property>
  <property fmtid="{D5CDD505-2E9C-101B-9397-08002B2CF9AE}" pid="9" name="FromAsAtDate">
    <vt:lpwstr>07 Apr 2023</vt:lpwstr>
  </property>
  <property fmtid="{D5CDD505-2E9C-101B-9397-08002B2CF9AE}" pid="10" name="ToSuffix">
    <vt:lpwstr>05-o0-00</vt:lpwstr>
  </property>
  <property fmtid="{D5CDD505-2E9C-101B-9397-08002B2CF9AE}" pid="11" name="ToAsAtDate">
    <vt:lpwstr>13 Apr 2023</vt:lpwstr>
  </property>
</Properties>
</file>