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2023</w:t>
      </w:r>
      <w:r>
        <w:fldChar w:fldCharType="end"/>
      </w:r>
      <w:r>
        <w:t xml:space="preserve">, </w:t>
      </w:r>
      <w:r>
        <w:fldChar w:fldCharType="begin"/>
      </w:r>
      <w:r>
        <w:instrText xml:space="preserve"> DocProperty FromSuffix </w:instrText>
      </w:r>
      <w:r>
        <w:fldChar w:fldCharType="separate"/>
      </w:r>
      <w:r>
        <w:t>00-ag0-00</w:t>
      </w:r>
      <w:r>
        <w:fldChar w:fldCharType="end"/>
      </w:r>
      <w:r>
        <w:t>] and [</w:t>
      </w:r>
      <w:r>
        <w:fldChar w:fldCharType="begin"/>
      </w:r>
      <w:r>
        <w:instrText xml:space="preserve"> DocProperty ToAsAtDate</w:instrText>
      </w:r>
      <w:r>
        <w:fldChar w:fldCharType="separate"/>
      </w:r>
      <w:r>
        <w:t>03 May 2023</w:t>
      </w:r>
      <w:r>
        <w:fldChar w:fldCharType="end"/>
      </w:r>
      <w:r>
        <w:t xml:space="preserve">, </w:t>
      </w:r>
      <w:r>
        <w:fldChar w:fldCharType="begin"/>
      </w:r>
      <w:r>
        <w:instrText xml:space="preserve"> DocProperty ToSuffix</w:instrText>
      </w:r>
      <w:r>
        <w:fldChar w:fldCharType="separate"/>
      </w:r>
      <w:r>
        <w:t>00-ah0-00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133569153"/>
      <w:bookmarkStart w:id="2" w:name="_Toc133569730"/>
      <w:bookmarkStart w:id="3" w:name="_Toc133823257"/>
      <w:bookmarkStart w:id="4" w:name="_Toc126232250"/>
      <w:bookmarkStart w:id="5" w:name="_Toc126232836"/>
      <w:bookmarkStart w:id="6" w:name="_Toc126233598"/>
      <w:bookmarkStart w:id="7" w:name="_Toc12623363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33823258"/>
      <w:bookmarkStart w:id="10" w:name="_Toc126233635"/>
      <w:r>
        <w:rPr>
          <w:rStyle w:val="CharSectno"/>
        </w:rPr>
        <w:t>1</w:t>
      </w:r>
      <w:r>
        <w:t>.</w:t>
      </w:r>
      <w:r>
        <w:tab/>
        <w:t>Citation</w:t>
      </w:r>
      <w:bookmarkEnd w:id="9"/>
      <w:bookmarkEnd w:id="10"/>
    </w:p>
    <w:p>
      <w:pPr>
        <w:pStyle w:val="Subsection"/>
      </w:pPr>
      <w:r>
        <w:tab/>
      </w:r>
      <w:r>
        <w:tab/>
      </w:r>
      <w:bookmarkStart w:id="11" w:name="Start_Cursor"/>
      <w:bookmarkEnd w:id="11"/>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2" w:name="_Toc133823259"/>
      <w:bookmarkStart w:id="13" w:name="_Toc126233636"/>
      <w:r>
        <w:rPr>
          <w:rStyle w:val="CharSectno"/>
        </w:rPr>
        <w:t>2</w:t>
      </w:r>
      <w:r>
        <w:rPr>
          <w:spacing w:val="-2"/>
        </w:rPr>
        <w:t>.</w:t>
      </w:r>
      <w:r>
        <w:rPr>
          <w:spacing w:val="-2"/>
        </w:rPr>
        <w:tab/>
        <w:t>Commencement</w:t>
      </w:r>
      <w:bookmarkEnd w:id="12"/>
      <w:bookmarkEnd w:id="13"/>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4" w:name="_Toc133823260"/>
      <w:bookmarkStart w:id="15" w:name="_Toc126233637"/>
      <w:r>
        <w:rPr>
          <w:rStyle w:val="CharSectno"/>
        </w:rPr>
        <w:t>3</w:t>
      </w:r>
      <w:r>
        <w:t>.</w:t>
      </w:r>
      <w:r>
        <w:tab/>
        <w:t>Terms used</w:t>
      </w:r>
      <w:bookmarkEnd w:id="14"/>
      <w:bookmarkEnd w:id="15"/>
    </w:p>
    <w:p>
      <w:pPr>
        <w:pStyle w:val="Subsection"/>
      </w:pPr>
      <w:r>
        <w:tab/>
        <w:t>(1)</w:t>
      </w:r>
      <w:r>
        <w:tab/>
        <w:t xml:space="preserve">In this order, unless the contrary intention appears — </w:t>
      </w:r>
    </w:p>
    <w:p>
      <w:pPr>
        <w:pStyle w:val="Defstart"/>
        <w:rPr>
          <w:ins w:id="16" w:author="Master Repository Process" w:date="2023-05-01T14:26:00Z"/>
        </w:rPr>
      </w:pPr>
      <w:ins w:id="17" w:author="Master Repository Process" w:date="2023-05-01T14:26:00Z">
        <w:r>
          <w:tab/>
        </w:r>
        <w:r>
          <w:rPr>
            <w:rStyle w:val="CharDefText"/>
          </w:rPr>
          <w:t>asylum seeker</w:t>
        </w:r>
        <w:r>
          <w:t xml:space="preserve"> means a person — </w:t>
        </w:r>
      </w:ins>
    </w:p>
    <w:p>
      <w:pPr>
        <w:pStyle w:val="Defpara"/>
        <w:rPr>
          <w:ins w:id="18" w:author="Master Repository Process" w:date="2023-05-01T14:26:00Z"/>
        </w:rPr>
      </w:pPr>
      <w:ins w:id="19" w:author="Master Repository Process" w:date="2023-05-01T14:26:00Z">
        <w:r>
          <w:tab/>
          <w:t>(a)</w:t>
        </w:r>
        <w:r>
          <w:tab/>
          <w:t xml:space="preserve">who has applied for — </w:t>
        </w:r>
      </w:ins>
    </w:p>
    <w:p>
      <w:pPr>
        <w:pStyle w:val="Defsubpara"/>
        <w:rPr>
          <w:ins w:id="20" w:author="Master Repository Process" w:date="2023-05-01T14:26:00Z"/>
        </w:rPr>
      </w:pPr>
      <w:ins w:id="21" w:author="Master Repository Process" w:date="2023-05-01T14:26:00Z">
        <w:r>
          <w:tab/>
          <w:t>(i)</w:t>
        </w:r>
        <w:r>
          <w:tab/>
          <w:t xml:space="preserve">a permanent protection visa within the meaning of the </w:t>
        </w:r>
        <w:r>
          <w:rPr>
            <w:i/>
          </w:rPr>
          <w:t>Migration Act 1958</w:t>
        </w:r>
        <w:r>
          <w:t xml:space="preserve"> (Commonwealth) section 35A(2); or</w:t>
        </w:r>
      </w:ins>
    </w:p>
    <w:p>
      <w:pPr>
        <w:pStyle w:val="Defsubpara"/>
        <w:rPr>
          <w:ins w:id="22" w:author="Master Repository Process" w:date="2023-05-01T14:26:00Z"/>
        </w:rPr>
      </w:pPr>
      <w:ins w:id="23" w:author="Master Repository Process" w:date="2023-05-01T14:26:00Z">
        <w:r>
          <w:tab/>
          <w:t>(ii)</w:t>
        </w:r>
        <w:r>
          <w:tab/>
          <w:t xml:space="preserve">a temporary protection visa within the meaning of the </w:t>
        </w:r>
        <w:r>
          <w:rPr>
            <w:i/>
          </w:rPr>
          <w:t>Migration Act 1958</w:t>
        </w:r>
        <w:r>
          <w:t xml:space="preserve"> (Commonwealth) section 35A(3); or</w:t>
        </w:r>
      </w:ins>
    </w:p>
    <w:p>
      <w:pPr>
        <w:pStyle w:val="Defsubpara"/>
        <w:rPr>
          <w:ins w:id="24" w:author="Master Repository Process" w:date="2023-05-01T14:26:00Z"/>
        </w:rPr>
      </w:pPr>
      <w:ins w:id="25" w:author="Master Repository Process" w:date="2023-05-01T14:26:00Z">
        <w:r>
          <w:tab/>
          <w:t>(iii)</w:t>
        </w:r>
        <w:r>
          <w:tab/>
          <w:t xml:space="preserve">a safe haven enterprise visa within the meaning of the </w:t>
        </w:r>
        <w:r>
          <w:rPr>
            <w:i/>
          </w:rPr>
          <w:t>Migration Act 1958</w:t>
        </w:r>
        <w:r>
          <w:t xml:space="preserve"> (Commonwealth) section 35A(3A);</w:t>
        </w:r>
      </w:ins>
    </w:p>
    <w:p>
      <w:pPr>
        <w:pStyle w:val="Defpara"/>
        <w:rPr>
          <w:ins w:id="26" w:author="Master Repository Process" w:date="2023-05-01T14:26:00Z"/>
        </w:rPr>
      </w:pPr>
      <w:ins w:id="27" w:author="Master Repository Process" w:date="2023-05-01T14:26:00Z">
        <w:r>
          <w:tab/>
        </w:r>
        <w:r>
          <w:tab/>
          <w:t>and</w:t>
        </w:r>
      </w:ins>
    </w:p>
    <w:p>
      <w:pPr>
        <w:pStyle w:val="Defpara"/>
        <w:rPr>
          <w:ins w:id="28" w:author="Master Repository Process" w:date="2023-05-01T14:26:00Z"/>
        </w:rPr>
      </w:pPr>
      <w:ins w:id="29" w:author="Master Repository Process" w:date="2023-05-01T14:26:00Z">
        <w:r>
          <w:tab/>
          <w:t>(b)</w:t>
        </w:r>
        <w:r>
          <w:tab/>
          <w:t>whose visa application referred to in  paragraph (a) has not yet been decided;</w:t>
        </w:r>
      </w:ins>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rPr>
          <w:ins w:id="30" w:author="Master Repository Process" w:date="2023-05-01T14:26:00Z"/>
        </w:rPr>
      </w:pPr>
      <w:ins w:id="31" w:author="Master Repository Process" w:date="2023-05-01T14:26:00Z">
        <w:r>
          <w:tab/>
        </w:r>
        <w:r>
          <w:rPr>
            <w:rStyle w:val="CharDefText"/>
          </w:rPr>
          <w:t>compensable patient</w:t>
        </w:r>
        <w:r>
          <w:t xml:space="preserve"> means any of the following —</w:t>
        </w:r>
      </w:ins>
    </w:p>
    <w:p>
      <w:pPr>
        <w:pStyle w:val="Defpara"/>
        <w:rPr>
          <w:ins w:id="32" w:author="Master Repository Process" w:date="2023-05-01T14:26:00Z"/>
        </w:rPr>
      </w:pPr>
      <w:ins w:id="33" w:author="Master Repository Process" w:date="2023-05-01T14:26:00Z">
        <w:r>
          <w:tab/>
          <w:t>(a)</w:t>
        </w:r>
        <w:r>
          <w:tab/>
          <w:t xml:space="preserve">a compensable day patient; </w:t>
        </w:r>
      </w:ins>
    </w:p>
    <w:p>
      <w:pPr>
        <w:pStyle w:val="Defpara"/>
        <w:rPr>
          <w:ins w:id="34" w:author="Master Repository Process" w:date="2023-05-01T14:26:00Z"/>
        </w:rPr>
      </w:pPr>
      <w:ins w:id="35" w:author="Master Repository Process" w:date="2023-05-01T14:26:00Z">
        <w:r>
          <w:tab/>
          <w:t>(b)</w:t>
        </w:r>
        <w:r>
          <w:tab/>
          <w:t>a compensable in</w:t>
        </w:r>
        <w:r>
          <w:noBreakHyphen/>
          <w:t xml:space="preserve">patient; </w:t>
        </w:r>
      </w:ins>
    </w:p>
    <w:p>
      <w:pPr>
        <w:pStyle w:val="Defpara"/>
        <w:rPr>
          <w:ins w:id="36" w:author="Master Repository Process" w:date="2023-05-01T14:26:00Z"/>
        </w:rPr>
      </w:pPr>
      <w:ins w:id="37" w:author="Master Repository Process" w:date="2023-05-01T14:26:00Z">
        <w:r>
          <w:tab/>
          <w:t>(c)</w:t>
        </w:r>
        <w:r>
          <w:tab/>
          <w:t>a compensable out</w:t>
        </w:r>
        <w:r>
          <w:noBreakHyphen/>
          <w:t xml:space="preserve">patient; </w:t>
        </w:r>
      </w:ins>
    </w:p>
    <w:p>
      <w:pPr>
        <w:pStyle w:val="Defpara"/>
        <w:rPr>
          <w:ins w:id="38" w:author="Master Repository Process" w:date="2023-05-01T14:26:00Z"/>
        </w:rPr>
      </w:pPr>
      <w:ins w:id="39" w:author="Master Repository Process" w:date="2023-05-01T14:26:00Z">
        <w:r>
          <w:tab/>
          <w:t>(d)</w:t>
        </w:r>
        <w:r>
          <w:tab/>
          <w:t>a compensable same day patient;</w:t>
        </w:r>
      </w:ins>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w:t>
      </w:r>
      <w:ins w:id="40" w:author="Master Repository Process" w:date="2023-05-01T14:26:00Z">
        <w:r>
          <w:t>1)(</w:t>
        </w:r>
      </w:ins>
      <w:r>
        <w:t>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rPr>
          <w:ins w:id="41" w:author="Master Repository Process" w:date="2023-05-01T14:26:00Z"/>
        </w:rPr>
      </w:pPr>
      <w:ins w:id="42" w:author="Master Repository Process" w:date="2023-05-01T14:26:00Z">
        <w:r>
          <w:tab/>
        </w:r>
        <w:r>
          <w:rPr>
            <w:rStyle w:val="CharDefText"/>
          </w:rPr>
          <w:t>involuntary patient</w:t>
        </w:r>
        <w:r>
          <w:t xml:space="preserve"> has the meaning given in subclause (3);</w:t>
        </w:r>
      </w:ins>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rPr>
          <w:ins w:id="43" w:author="Master Repository Process" w:date="2023-05-01T14:26:00Z"/>
        </w:rPr>
      </w:pPr>
      <w:ins w:id="44" w:author="Master Repository Process" w:date="2023-05-01T14:26:00Z">
        <w:r>
          <w:tab/>
        </w:r>
        <w:r>
          <w:rPr>
            <w:rStyle w:val="CharDefText"/>
          </w:rPr>
          <w:t>Medicare ineligible asylum seeker</w:t>
        </w:r>
        <w:r>
          <w:t xml:space="preserve"> means a person who — </w:t>
        </w:r>
      </w:ins>
    </w:p>
    <w:p>
      <w:pPr>
        <w:pStyle w:val="Defpara"/>
        <w:rPr>
          <w:ins w:id="45" w:author="Master Repository Process" w:date="2023-05-01T14:26:00Z"/>
        </w:rPr>
      </w:pPr>
      <w:ins w:id="46" w:author="Master Repository Process" w:date="2023-05-01T14:26:00Z">
        <w:r>
          <w:tab/>
          <w:t>(a)</w:t>
        </w:r>
        <w:r>
          <w:tab/>
          <w:t>is an asylum seeker; and</w:t>
        </w:r>
      </w:ins>
    </w:p>
    <w:p>
      <w:pPr>
        <w:pStyle w:val="Defpara"/>
        <w:rPr>
          <w:ins w:id="47" w:author="Master Repository Process" w:date="2023-05-01T14:26:00Z"/>
        </w:rPr>
      </w:pPr>
      <w:ins w:id="48" w:author="Master Repository Process" w:date="2023-05-01T14:26:00Z">
        <w:r>
          <w:tab/>
          <w:t>(b)</w:t>
        </w:r>
        <w:r>
          <w:tab/>
          <w:t>is not an eligible person; and</w:t>
        </w:r>
      </w:ins>
    </w:p>
    <w:p>
      <w:pPr>
        <w:pStyle w:val="Defpara"/>
        <w:rPr>
          <w:ins w:id="49" w:author="Master Repository Process" w:date="2023-05-01T14:26:00Z"/>
        </w:rPr>
      </w:pPr>
      <w:ins w:id="50" w:author="Master Repository Process" w:date="2023-05-01T14:26:00Z">
        <w:r>
          <w:tab/>
          <w:t>(c)</w:t>
        </w:r>
        <w:r>
          <w:tab/>
          <w:t>is not a compensable patient;</w:t>
        </w:r>
      </w:ins>
    </w:p>
    <w:p>
      <w:pPr>
        <w:pStyle w:val="Defstart"/>
        <w:rPr>
          <w:ins w:id="51" w:author="Master Repository Process" w:date="2023-05-01T14:26:00Z"/>
        </w:rPr>
      </w:pPr>
      <w:ins w:id="52" w:author="Master Repository Process" w:date="2023-05-01T14:26:00Z">
        <w:r>
          <w:tab/>
        </w:r>
        <w:r>
          <w:rPr>
            <w:rStyle w:val="CharDefText"/>
          </w:rPr>
          <w:t>Medicare ineligible involuntary patient</w:t>
        </w:r>
        <w:r>
          <w:t xml:space="preserve"> means a person who —</w:t>
        </w:r>
      </w:ins>
    </w:p>
    <w:p>
      <w:pPr>
        <w:pStyle w:val="Defpara"/>
        <w:rPr>
          <w:ins w:id="53" w:author="Master Repository Process" w:date="2023-05-01T14:26:00Z"/>
        </w:rPr>
      </w:pPr>
      <w:ins w:id="54" w:author="Master Repository Process" w:date="2023-05-01T14:26:00Z">
        <w:r>
          <w:tab/>
          <w:t>(a)</w:t>
        </w:r>
        <w:r>
          <w:tab/>
          <w:t>is an involuntary patient; and</w:t>
        </w:r>
      </w:ins>
    </w:p>
    <w:p>
      <w:pPr>
        <w:pStyle w:val="Defpara"/>
        <w:rPr>
          <w:ins w:id="55" w:author="Master Repository Process" w:date="2023-05-01T14:26:00Z"/>
        </w:rPr>
      </w:pPr>
      <w:ins w:id="56" w:author="Master Repository Process" w:date="2023-05-01T14:26:00Z">
        <w:r>
          <w:tab/>
          <w:t>(b)</w:t>
        </w:r>
        <w:r>
          <w:tab/>
          <w:t>is not an eligible person; and</w:t>
        </w:r>
      </w:ins>
    </w:p>
    <w:p>
      <w:pPr>
        <w:pStyle w:val="Defpara"/>
        <w:rPr>
          <w:ins w:id="57" w:author="Master Repository Process" w:date="2023-05-01T14:26:00Z"/>
        </w:rPr>
      </w:pPr>
      <w:ins w:id="58" w:author="Master Repository Process" w:date="2023-05-01T14:26:00Z">
        <w:r>
          <w:tab/>
          <w:t>(c)</w:t>
        </w:r>
        <w:r>
          <w:tab/>
          <w:t>is not a compensable patient;</w:t>
        </w:r>
      </w:ins>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w:t>
      </w:r>
      <w:ins w:id="59" w:author="Master Repository Process" w:date="2023-05-01T14:26:00Z">
        <w:r>
          <w:t>1)(</w:t>
        </w:r>
      </w:ins>
      <w:r>
        <w:t>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w:t>
      </w:r>
      <w:ins w:id="60" w:author="Master Repository Process" w:date="2023-05-01T14:26:00Z">
        <w:r>
          <w:t>1)(</w:t>
        </w:r>
      </w:ins>
      <w:r>
        <w:t>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rPr>
          <w:ins w:id="61" w:author="Master Repository Process" w:date="2023-05-01T14:26:00Z"/>
        </w:rPr>
      </w:pPr>
      <w:ins w:id="62" w:author="Master Repository Process" w:date="2023-05-01T14:26:00Z">
        <w:r>
          <w:tab/>
          <w:t>(3)</w:t>
        </w:r>
        <w:r>
          <w:tab/>
          <w:t xml:space="preserve">A person is an </w:t>
        </w:r>
        <w:r>
          <w:rPr>
            <w:rStyle w:val="CharDefText"/>
          </w:rPr>
          <w:t>involuntary patient</w:t>
        </w:r>
        <w:r>
          <w:t xml:space="preserve"> if —</w:t>
        </w:r>
      </w:ins>
    </w:p>
    <w:p>
      <w:pPr>
        <w:pStyle w:val="Indenta"/>
        <w:rPr>
          <w:ins w:id="63" w:author="Master Repository Process" w:date="2023-05-01T14:26:00Z"/>
        </w:rPr>
      </w:pPr>
      <w:ins w:id="64" w:author="Master Repository Process" w:date="2023-05-01T14:26:00Z">
        <w:r>
          <w:tab/>
          <w:t>(a)</w:t>
        </w:r>
        <w:r>
          <w:tab/>
          <w:t xml:space="preserve">the person is under an inpatient treatment order as defined in the </w:t>
        </w:r>
        <w:r>
          <w:rPr>
            <w:i/>
          </w:rPr>
          <w:t>Mental Health Act 2014</w:t>
        </w:r>
        <w:r>
          <w:t xml:space="preserve"> section 4; or</w:t>
        </w:r>
      </w:ins>
    </w:p>
    <w:p>
      <w:pPr>
        <w:pStyle w:val="Indenta"/>
        <w:rPr>
          <w:ins w:id="65" w:author="Master Repository Process" w:date="2023-05-01T14:26:00Z"/>
        </w:rPr>
      </w:pPr>
      <w:ins w:id="66" w:author="Master Repository Process" w:date="2023-05-01T14:26:00Z">
        <w:r>
          <w:tab/>
          <w:t>(b)</w:t>
        </w:r>
        <w:r>
          <w:tab/>
          <w:t xml:space="preserve">the person is under a community treatment order as defined in the </w:t>
        </w:r>
        <w:r>
          <w:rPr>
            <w:i/>
          </w:rPr>
          <w:t>Mental Health Act 2014</w:t>
        </w:r>
        <w:r>
          <w:t xml:space="preserve"> section 4; or</w:t>
        </w:r>
      </w:ins>
    </w:p>
    <w:p>
      <w:pPr>
        <w:pStyle w:val="Indenta"/>
        <w:rPr>
          <w:ins w:id="67" w:author="Master Repository Process" w:date="2023-05-01T14:26:00Z"/>
        </w:rPr>
      </w:pPr>
      <w:ins w:id="68" w:author="Master Repository Process" w:date="2023-05-01T14:26:00Z">
        <w:r>
          <w:tab/>
          <w:t>(c)</w:t>
        </w:r>
        <w:r>
          <w:tab/>
          <w:t xml:space="preserve">the person is under another order under the </w:t>
        </w:r>
        <w:r>
          <w:rPr>
            <w:i/>
          </w:rPr>
          <w:t>Mental Health Act 2014</w:t>
        </w:r>
        <w:r>
          <w:t xml:space="preserve"> under which they are, or may be, detained; or</w:t>
        </w:r>
      </w:ins>
    </w:p>
    <w:p>
      <w:pPr>
        <w:pStyle w:val="Indenta"/>
        <w:rPr>
          <w:ins w:id="69" w:author="Master Repository Process" w:date="2023-05-01T14:26:00Z"/>
        </w:rPr>
      </w:pPr>
      <w:ins w:id="70" w:author="Master Repository Process" w:date="2023-05-01T14:26:00Z">
        <w:r>
          <w:tab/>
          <w:t>(d)</w:t>
        </w:r>
        <w:r>
          <w:tab/>
          <w:t xml:space="preserve">the person has been referred under the </w:t>
        </w:r>
        <w:r>
          <w:rPr>
            <w:i/>
          </w:rPr>
          <w:t>Mental Health Act 2014</w:t>
        </w:r>
        <w:r>
          <w:t xml:space="preserve"> section 26(2) or (3)(a) and —</w:t>
        </w:r>
      </w:ins>
    </w:p>
    <w:p>
      <w:pPr>
        <w:pStyle w:val="Indenti"/>
        <w:rPr>
          <w:ins w:id="71" w:author="Master Repository Process" w:date="2023-05-01T14:26:00Z"/>
        </w:rPr>
      </w:pPr>
      <w:ins w:id="72" w:author="Master Repository Process" w:date="2023-05-01T14:26:00Z">
        <w:r>
          <w:tab/>
          <w:t>(i)</w:t>
        </w:r>
        <w:r>
          <w:tab/>
          <w:t>the referral has not expired; and</w:t>
        </w:r>
      </w:ins>
    </w:p>
    <w:p>
      <w:pPr>
        <w:pStyle w:val="Indenti"/>
        <w:rPr>
          <w:ins w:id="73" w:author="Master Repository Process" w:date="2023-05-01T14:26:00Z"/>
        </w:rPr>
      </w:pPr>
      <w:ins w:id="74" w:author="Master Repository Process" w:date="2023-05-01T14:26:00Z">
        <w:r>
          <w:tab/>
          <w:t>(ii)</w:t>
        </w:r>
        <w:r>
          <w:tab/>
          <w:t xml:space="preserve">the referral has not been revoked under the </w:t>
        </w:r>
        <w:r>
          <w:rPr>
            <w:i/>
          </w:rPr>
          <w:t>Mental Health Act 2014</w:t>
        </w:r>
        <w:r>
          <w:t xml:space="preserve"> section 31; and</w:t>
        </w:r>
      </w:ins>
    </w:p>
    <w:p>
      <w:pPr>
        <w:pStyle w:val="Indenti"/>
        <w:rPr>
          <w:ins w:id="75" w:author="Master Repository Process" w:date="2023-05-01T14:26:00Z"/>
        </w:rPr>
      </w:pPr>
      <w:ins w:id="76" w:author="Master Repository Process" w:date="2023-05-01T14:26:00Z">
        <w:r>
          <w:tab/>
          <w:t>(iii)</w:t>
        </w:r>
        <w:r>
          <w:tab/>
          <w:t xml:space="preserve">the examination referred to in the </w:t>
        </w:r>
        <w:r>
          <w:rPr>
            <w:i/>
          </w:rPr>
          <w:t>Mental Health Act 2014</w:t>
        </w:r>
        <w:r>
          <w:t xml:space="preserve"> section 26(1) has not been conducted;</w:t>
        </w:r>
      </w:ins>
    </w:p>
    <w:p>
      <w:pPr>
        <w:pStyle w:val="Indenta"/>
        <w:rPr>
          <w:ins w:id="77" w:author="Master Repository Process" w:date="2023-05-01T14:26:00Z"/>
        </w:rPr>
      </w:pPr>
      <w:ins w:id="78" w:author="Master Repository Process" w:date="2023-05-01T14:26:00Z">
        <w:r>
          <w:tab/>
        </w:r>
        <w:r>
          <w:tab/>
          <w:t>or</w:t>
        </w:r>
      </w:ins>
    </w:p>
    <w:p>
      <w:pPr>
        <w:pStyle w:val="Indenta"/>
        <w:rPr>
          <w:ins w:id="79" w:author="Master Repository Process" w:date="2023-05-01T14:26:00Z"/>
        </w:rPr>
      </w:pPr>
      <w:ins w:id="80" w:author="Master Repository Process" w:date="2023-05-01T14:26:00Z">
        <w:r>
          <w:tab/>
          <w:t>(e)</w:t>
        </w:r>
        <w:r>
          <w:tab/>
          <w:t xml:space="preserve">the person has been referred under the </w:t>
        </w:r>
        <w:r>
          <w:rPr>
            <w:i/>
          </w:rPr>
          <w:t>Mental Health Act 2014</w:t>
        </w:r>
        <w:r>
          <w:t xml:space="preserve"> section 36(2) and —</w:t>
        </w:r>
      </w:ins>
    </w:p>
    <w:p>
      <w:pPr>
        <w:pStyle w:val="Indenti"/>
        <w:rPr>
          <w:ins w:id="81" w:author="Master Repository Process" w:date="2023-05-01T14:26:00Z"/>
        </w:rPr>
      </w:pPr>
      <w:ins w:id="82" w:author="Master Repository Process" w:date="2023-05-01T14:26:00Z">
        <w:r>
          <w:tab/>
          <w:t>(i)</w:t>
        </w:r>
        <w:r>
          <w:tab/>
          <w:t>the referral has not expired; and</w:t>
        </w:r>
      </w:ins>
    </w:p>
    <w:p>
      <w:pPr>
        <w:pStyle w:val="Indenti"/>
        <w:rPr>
          <w:ins w:id="83" w:author="Master Repository Process" w:date="2023-05-01T14:26:00Z"/>
        </w:rPr>
      </w:pPr>
      <w:ins w:id="84" w:author="Master Repository Process" w:date="2023-05-01T14:26:00Z">
        <w:r>
          <w:tab/>
          <w:t>(ii)</w:t>
        </w:r>
        <w:r>
          <w:tab/>
          <w:t xml:space="preserve">the referral has not been revoked under the </w:t>
        </w:r>
        <w:r>
          <w:rPr>
            <w:i/>
          </w:rPr>
          <w:t>Mental Health Act 2014</w:t>
        </w:r>
        <w:r>
          <w:t xml:space="preserve"> section 37; and</w:t>
        </w:r>
      </w:ins>
    </w:p>
    <w:p>
      <w:pPr>
        <w:pStyle w:val="Indenti"/>
        <w:keepNext/>
        <w:rPr>
          <w:ins w:id="85" w:author="Master Repository Process" w:date="2023-05-01T14:26:00Z"/>
        </w:rPr>
      </w:pPr>
      <w:ins w:id="86" w:author="Master Repository Process" w:date="2023-05-01T14:26:00Z">
        <w:r>
          <w:tab/>
          <w:t>(iii)</w:t>
        </w:r>
        <w:r>
          <w:tab/>
          <w:t xml:space="preserve">the examination referred to in the </w:t>
        </w:r>
        <w:r>
          <w:rPr>
            <w:i/>
          </w:rPr>
          <w:t>Mental Health Act 2014</w:t>
        </w:r>
        <w:r>
          <w:t xml:space="preserve"> section 36(2) has not been conducted.</w:t>
        </w:r>
      </w:ins>
    </w:p>
    <w:p>
      <w:pPr>
        <w:pStyle w:val="Footnotesection"/>
      </w:pPr>
      <w:r>
        <w:tab/>
        <w:t>[Clause 3 amended: Gazette 2 Feb 2018 p. 315; 13 Nov 2018 p. 4432</w:t>
      </w:r>
      <w:ins w:id="87" w:author="Master Repository Process" w:date="2023-05-01T14:26:00Z">
        <w:r>
          <w:t>; SL 2023/34 cl. 4</w:t>
        </w:r>
      </w:ins>
      <w:r>
        <w:t>.]</w:t>
      </w:r>
    </w:p>
    <w:p>
      <w:pPr>
        <w:pStyle w:val="Heading2"/>
      </w:pPr>
      <w:bookmarkStart w:id="88" w:name="_Toc133569157"/>
      <w:bookmarkStart w:id="89" w:name="_Toc133569734"/>
      <w:bookmarkStart w:id="90" w:name="_Toc133823261"/>
      <w:bookmarkStart w:id="91" w:name="_Toc126232254"/>
      <w:bookmarkStart w:id="92" w:name="_Toc126232840"/>
      <w:bookmarkStart w:id="93" w:name="_Toc126233602"/>
      <w:bookmarkStart w:id="94" w:name="_Toc126233638"/>
      <w:r>
        <w:rPr>
          <w:rStyle w:val="CharPartNo"/>
        </w:rPr>
        <w:t>Part 2</w:t>
      </w:r>
      <w:r>
        <w:t> — </w:t>
      </w:r>
      <w:r>
        <w:rPr>
          <w:rStyle w:val="CharPartText"/>
        </w:rPr>
        <w:t>Fees and charges</w:t>
      </w:r>
      <w:bookmarkEnd w:id="88"/>
      <w:bookmarkEnd w:id="89"/>
      <w:bookmarkEnd w:id="90"/>
      <w:bookmarkEnd w:id="91"/>
      <w:bookmarkEnd w:id="92"/>
      <w:bookmarkEnd w:id="93"/>
      <w:bookmarkEnd w:id="94"/>
    </w:p>
    <w:p>
      <w:pPr>
        <w:pStyle w:val="Footnoteheading"/>
      </w:pPr>
      <w:r>
        <w:tab/>
        <w:t>[Heading amended: SL 2020/5 cl. 4.]</w:t>
      </w:r>
    </w:p>
    <w:p>
      <w:pPr>
        <w:pStyle w:val="Heading5"/>
      </w:pPr>
      <w:bookmarkStart w:id="95" w:name="_Toc133823262"/>
      <w:bookmarkStart w:id="96" w:name="_Toc126233639"/>
      <w:r>
        <w:rPr>
          <w:rStyle w:val="CharSectno"/>
        </w:rPr>
        <w:t>4</w:t>
      </w:r>
      <w:r>
        <w:t>.</w:t>
      </w:r>
      <w:r>
        <w:tab/>
        <w:t>Scale of fees and charges</w:t>
      </w:r>
      <w:bookmarkEnd w:id="95"/>
      <w:bookmarkEnd w:id="96"/>
    </w:p>
    <w:p>
      <w:pPr>
        <w:pStyle w:val="Subsection"/>
      </w:pPr>
      <w:r>
        <w:tab/>
      </w:r>
      <w:r>
        <w:tab/>
        <w:t>The scale of fees and charges fixed under section 56 of the Act is set out in Schedule 1.</w:t>
      </w:r>
    </w:p>
    <w:p>
      <w:pPr>
        <w:pStyle w:val="Heading5"/>
      </w:pPr>
      <w:bookmarkStart w:id="97" w:name="_Toc133823263"/>
      <w:bookmarkStart w:id="98" w:name="_Toc126233640"/>
      <w:r>
        <w:rPr>
          <w:rStyle w:val="CharSectno"/>
        </w:rPr>
        <w:t>5</w:t>
      </w:r>
      <w:r>
        <w:t>.</w:t>
      </w:r>
      <w:r>
        <w:tab/>
        <w:t>General fees and charges</w:t>
      </w:r>
      <w:bookmarkEnd w:id="97"/>
      <w:bookmarkEnd w:id="9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99" w:name="_Toc133823264"/>
      <w:bookmarkStart w:id="100" w:name="_Toc126233641"/>
      <w:r>
        <w:rPr>
          <w:rStyle w:val="CharSectno"/>
        </w:rPr>
        <w:t>6</w:t>
      </w:r>
      <w:r>
        <w:t>.</w:t>
      </w:r>
      <w:r>
        <w:tab/>
        <w:t>Compensable patients</w:t>
      </w:r>
      <w:bookmarkEnd w:id="99"/>
      <w:bookmarkEnd w:id="100"/>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rPr>
          <w:ins w:id="101" w:author="Master Repository Process" w:date="2023-05-01T14:26:00Z"/>
        </w:rPr>
      </w:pPr>
      <w:bookmarkStart w:id="102" w:name="_Toc129781546"/>
      <w:bookmarkStart w:id="103" w:name="_Toc133499306"/>
      <w:bookmarkStart w:id="104" w:name="_Toc133823265"/>
      <w:ins w:id="105" w:author="Master Repository Process" w:date="2023-05-01T14:26:00Z">
        <w:r>
          <w:rPr>
            <w:rStyle w:val="CharSectno"/>
          </w:rPr>
          <w:t>6A</w:t>
        </w:r>
        <w:r>
          <w:t>.</w:t>
        </w:r>
        <w:r>
          <w:tab/>
          <w:t>Medicare ineligible patients</w:t>
        </w:r>
        <w:bookmarkEnd w:id="102"/>
        <w:bookmarkEnd w:id="103"/>
        <w:bookmarkEnd w:id="104"/>
      </w:ins>
    </w:p>
    <w:p>
      <w:pPr>
        <w:pStyle w:val="Subsection"/>
        <w:rPr>
          <w:ins w:id="106" w:author="Master Repository Process" w:date="2023-05-01T14:26:00Z"/>
        </w:rPr>
      </w:pPr>
      <w:ins w:id="107" w:author="Master Repository Process" w:date="2023-05-01T14:26:00Z">
        <w:r>
          <w:tab/>
        </w:r>
        <w:r>
          <w:tab/>
          <w:t xml:space="preserve">Despite any other provision of this Part, no fees or charges are payable in respect of a health service provided to — </w:t>
        </w:r>
      </w:ins>
    </w:p>
    <w:p>
      <w:pPr>
        <w:pStyle w:val="Indenta"/>
        <w:rPr>
          <w:ins w:id="108" w:author="Master Repository Process" w:date="2023-05-01T14:26:00Z"/>
        </w:rPr>
      </w:pPr>
      <w:ins w:id="109" w:author="Master Repository Process" w:date="2023-05-01T14:26:00Z">
        <w:r>
          <w:tab/>
          <w:t>(a)</w:t>
        </w:r>
        <w:r>
          <w:tab/>
          <w:t>a Medicare ineligible asylum seeker; or</w:t>
        </w:r>
      </w:ins>
    </w:p>
    <w:p>
      <w:pPr>
        <w:pStyle w:val="Indenta"/>
        <w:rPr>
          <w:ins w:id="110" w:author="Master Repository Process" w:date="2023-05-01T14:26:00Z"/>
        </w:rPr>
      </w:pPr>
      <w:ins w:id="111" w:author="Master Repository Process" w:date="2023-05-01T14:26:00Z">
        <w:r>
          <w:tab/>
          <w:t>(b)</w:t>
        </w:r>
        <w:r>
          <w:tab/>
          <w:t xml:space="preserve">a Medicare ineligible involuntary patient as part of their treatment under the </w:t>
        </w:r>
        <w:r>
          <w:rPr>
            <w:i/>
          </w:rPr>
          <w:t>Mental Health Act 2014</w:t>
        </w:r>
        <w:r>
          <w:t xml:space="preserve">. </w:t>
        </w:r>
      </w:ins>
    </w:p>
    <w:p>
      <w:pPr>
        <w:pStyle w:val="Footnotesection"/>
        <w:rPr>
          <w:ins w:id="112" w:author="Master Repository Process" w:date="2023-05-01T14:26:00Z"/>
        </w:rPr>
      </w:pPr>
      <w:ins w:id="113" w:author="Master Repository Process" w:date="2023-05-01T14:26:00Z">
        <w:r>
          <w:tab/>
          <w:t>[Clause 6A inserted: SL 2023/34 cl. 5.]</w:t>
        </w:r>
      </w:ins>
    </w:p>
    <w:p>
      <w:pPr>
        <w:pStyle w:val="Heading5"/>
      </w:pPr>
      <w:bookmarkStart w:id="114" w:name="_Toc133823266"/>
      <w:bookmarkStart w:id="115" w:name="_Toc126233642"/>
      <w:r>
        <w:rPr>
          <w:rStyle w:val="CharSectno"/>
        </w:rPr>
        <w:t>7</w:t>
      </w:r>
      <w:r>
        <w:t>.</w:t>
      </w:r>
      <w:r>
        <w:tab/>
        <w:t>Magnetic resonance imaging services</w:t>
      </w:r>
      <w:bookmarkEnd w:id="114"/>
      <w:bookmarkEnd w:id="115"/>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116" w:name="_Toc133823267"/>
      <w:bookmarkStart w:id="117" w:name="_Toc126233643"/>
      <w:r>
        <w:rPr>
          <w:rStyle w:val="CharSectno"/>
        </w:rPr>
        <w:t>8</w:t>
      </w:r>
      <w:r>
        <w:t>.</w:t>
      </w:r>
      <w:r>
        <w:tab/>
        <w:t>Pathology services</w:t>
      </w:r>
      <w:bookmarkEnd w:id="116"/>
      <w:bookmarkEnd w:id="117"/>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118" w:name="_Toc133823268"/>
      <w:bookmarkStart w:id="119" w:name="_Toc126233644"/>
      <w:r>
        <w:rPr>
          <w:rStyle w:val="CharSectno"/>
        </w:rPr>
        <w:t>9</w:t>
      </w:r>
      <w:r>
        <w:t>.</w:t>
      </w:r>
      <w:r>
        <w:tab/>
        <w:t>Specialised orthoses</w:t>
      </w:r>
      <w:bookmarkEnd w:id="118"/>
      <w:bookmarkEnd w:id="119"/>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120" w:name="_Toc133823269"/>
      <w:bookmarkStart w:id="121" w:name="_Toc126233645"/>
      <w:r>
        <w:rPr>
          <w:rStyle w:val="CharSectno"/>
        </w:rPr>
        <w:t>10</w:t>
      </w:r>
      <w:r>
        <w:t>.</w:t>
      </w:r>
      <w:r>
        <w:tab/>
        <w:t>Surgically implanted prostheses</w:t>
      </w:r>
      <w:bookmarkEnd w:id="120"/>
      <w:bookmarkEnd w:id="121"/>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122" w:name="_Toc133823270"/>
      <w:bookmarkStart w:id="123" w:name="_Toc126233646"/>
      <w:r>
        <w:rPr>
          <w:rStyle w:val="CharSectno"/>
        </w:rPr>
        <w:t>10A</w:t>
      </w:r>
      <w:r>
        <w:t>.</w:t>
      </w:r>
      <w:r>
        <w:tab/>
        <w:t>Provision of medicines</w:t>
      </w:r>
      <w:bookmarkEnd w:id="122"/>
      <w:bookmarkEnd w:id="123"/>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124" w:name="_Toc133569166"/>
      <w:bookmarkStart w:id="125" w:name="_Toc133569744"/>
      <w:bookmarkStart w:id="126" w:name="_Toc133823271"/>
      <w:bookmarkStart w:id="127" w:name="_Toc126232263"/>
      <w:bookmarkStart w:id="128" w:name="_Toc126232849"/>
      <w:bookmarkStart w:id="129" w:name="_Toc126233611"/>
      <w:bookmarkStart w:id="130" w:name="_Toc126233647"/>
      <w:r>
        <w:rPr>
          <w:rStyle w:val="CharPartNo"/>
        </w:rPr>
        <w:t>Part 3</w:t>
      </w:r>
      <w:r>
        <w:rPr>
          <w:rStyle w:val="CharDivNo"/>
        </w:rPr>
        <w:t> </w:t>
      </w:r>
      <w:r>
        <w:t>—</w:t>
      </w:r>
      <w:r>
        <w:rPr>
          <w:rStyle w:val="CharDivText"/>
        </w:rPr>
        <w:t> </w:t>
      </w:r>
      <w:r>
        <w:rPr>
          <w:rStyle w:val="CharPartText"/>
        </w:rPr>
        <w:t>Classes of patients</w:t>
      </w:r>
      <w:bookmarkEnd w:id="124"/>
      <w:bookmarkEnd w:id="125"/>
      <w:bookmarkEnd w:id="126"/>
      <w:bookmarkEnd w:id="127"/>
      <w:bookmarkEnd w:id="128"/>
      <w:bookmarkEnd w:id="129"/>
      <w:bookmarkEnd w:id="130"/>
    </w:p>
    <w:p>
      <w:pPr>
        <w:pStyle w:val="Heading5"/>
      </w:pPr>
      <w:bookmarkStart w:id="131" w:name="_Toc133823272"/>
      <w:bookmarkStart w:id="132" w:name="_Toc126233648"/>
      <w:r>
        <w:rPr>
          <w:rStyle w:val="CharSectno"/>
        </w:rPr>
        <w:t>11</w:t>
      </w:r>
      <w:r>
        <w:t>.</w:t>
      </w:r>
      <w:r>
        <w:tab/>
        <w:t>Classes of patients</w:t>
      </w:r>
      <w:bookmarkEnd w:id="131"/>
      <w:bookmarkEnd w:id="132"/>
    </w:p>
    <w:p>
      <w:pPr>
        <w:pStyle w:val="Subsection"/>
      </w:pPr>
      <w:del w:id="133" w:author="Master Repository Process" w:date="2023-05-01T14:26:00Z">
        <w:r>
          <w:tab/>
        </w:r>
        <w:r>
          <w:tab/>
          <w:delText>For</w:delText>
        </w:r>
      </w:del>
      <w:ins w:id="134" w:author="Master Repository Process" w:date="2023-05-01T14:26:00Z">
        <w:r>
          <w:tab/>
          <w:t>(1)</w:t>
        </w:r>
        <w:r>
          <w:tab/>
          <w:t>Subject to subclause (2), for</w:t>
        </w:r>
      </w:ins>
      <w:r>
        <w:t xml:space="preserve">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rPr>
          <w:ins w:id="135" w:author="Master Repository Process" w:date="2023-05-01T14:26:00Z"/>
        </w:rPr>
      </w:pPr>
      <w:ins w:id="136" w:author="Master Repository Process" w:date="2023-05-01T14:26:00Z">
        <w:r>
          <w:tab/>
          <w:t>(2)</w:t>
        </w:r>
        <w:r>
          <w:tab/>
          <w:t xml:space="preserve">For the purpose of a service provided in respect of a patient by, in or at a hospital, the patient does not need to be classified under subclause (1) if the patient is — </w:t>
        </w:r>
      </w:ins>
    </w:p>
    <w:p>
      <w:pPr>
        <w:pStyle w:val="Indenta"/>
        <w:rPr>
          <w:ins w:id="137" w:author="Master Repository Process" w:date="2023-05-01T14:26:00Z"/>
        </w:rPr>
      </w:pPr>
      <w:ins w:id="138" w:author="Master Repository Process" w:date="2023-05-01T14:26:00Z">
        <w:r>
          <w:tab/>
          <w:t>(a)</w:t>
        </w:r>
        <w:r>
          <w:tab/>
          <w:t>a Medicare ineligible asylum seeker; or</w:t>
        </w:r>
      </w:ins>
    </w:p>
    <w:p>
      <w:pPr>
        <w:pStyle w:val="Indenta"/>
        <w:rPr>
          <w:ins w:id="139" w:author="Master Repository Process" w:date="2023-05-01T14:26:00Z"/>
        </w:rPr>
      </w:pPr>
      <w:ins w:id="140" w:author="Master Repository Process" w:date="2023-05-01T14:26:00Z">
        <w:r>
          <w:tab/>
          <w:t>(b)</w:t>
        </w:r>
        <w:r>
          <w:tab/>
          <w:t xml:space="preserve">a Medicare ineligible involuntary patient and the service is provided as part of their treatment under the </w:t>
        </w:r>
        <w:r>
          <w:rPr>
            <w:i/>
          </w:rPr>
          <w:t>Mental Health Act 2014</w:t>
        </w:r>
        <w:r>
          <w:t>.</w:t>
        </w:r>
      </w:ins>
    </w:p>
    <w:p>
      <w:pPr>
        <w:pStyle w:val="Footnotesection"/>
        <w:rPr>
          <w:ins w:id="141" w:author="Master Repository Process" w:date="2023-05-01T14:26:00Z"/>
        </w:rPr>
      </w:pPr>
      <w:ins w:id="142" w:author="Master Repository Process" w:date="2023-05-01T14:26:00Z">
        <w:r>
          <w:tab/>
          <w:t>[Clause 11 amended: SL 2023/34 cl. 6.]</w:t>
        </w:r>
      </w:ins>
    </w:p>
    <w:p>
      <w:pPr>
        <w:pStyle w:val="Heading5"/>
      </w:pPr>
      <w:bookmarkStart w:id="143" w:name="_Toc133823273"/>
      <w:bookmarkStart w:id="144" w:name="_Toc126233649"/>
      <w:r>
        <w:rPr>
          <w:rStyle w:val="CharSectno"/>
        </w:rPr>
        <w:t>12</w:t>
      </w:r>
      <w:r>
        <w:t>.</w:t>
      </w:r>
      <w:r>
        <w:tab/>
        <w:t>Classes of in</w:t>
      </w:r>
      <w:r>
        <w:noBreakHyphen/>
        <w:t>patients</w:t>
      </w:r>
      <w:bookmarkEnd w:id="143"/>
      <w:bookmarkEnd w:id="144"/>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145" w:name="_Toc133823274"/>
      <w:bookmarkStart w:id="146" w:name="_Toc126233650"/>
      <w:r>
        <w:rPr>
          <w:rStyle w:val="CharSectno"/>
        </w:rPr>
        <w:t>13</w:t>
      </w:r>
      <w:r>
        <w:t>.</w:t>
      </w:r>
      <w:r>
        <w:tab/>
        <w:t>Classes of day patients</w:t>
      </w:r>
      <w:bookmarkEnd w:id="145"/>
      <w:bookmarkEnd w:id="146"/>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147" w:name="_Toc133823275"/>
      <w:bookmarkStart w:id="148" w:name="_Toc126233651"/>
      <w:r>
        <w:rPr>
          <w:rStyle w:val="CharSectno"/>
        </w:rPr>
        <w:t>14</w:t>
      </w:r>
      <w:r>
        <w:t>.</w:t>
      </w:r>
      <w:r>
        <w:tab/>
        <w:t>Classes of out</w:t>
      </w:r>
      <w:r>
        <w:noBreakHyphen/>
        <w:t>patients</w:t>
      </w:r>
      <w:bookmarkEnd w:id="147"/>
      <w:bookmarkEnd w:id="148"/>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149" w:name="_Toc133823276"/>
      <w:bookmarkStart w:id="150" w:name="_Toc126233652"/>
      <w:r>
        <w:rPr>
          <w:rStyle w:val="CharSectno"/>
        </w:rPr>
        <w:t>15</w:t>
      </w:r>
      <w:r>
        <w:t>.</w:t>
      </w:r>
      <w:r>
        <w:tab/>
        <w:t>Classes of same day patients</w:t>
      </w:r>
      <w:bookmarkEnd w:id="149"/>
      <w:bookmarkEnd w:id="150"/>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w:t>
      </w:r>
      <w:del w:id="151" w:author="Master Repository Process" w:date="2023-05-01T14:26:00Z">
        <w:r>
          <w:delText xml:space="preserve"> who is not an eligible person.</w:delText>
        </w:r>
      </w:del>
      <w:ins w:id="152" w:author="Master Repository Process" w:date="2023-05-01T14:26:00Z">
        <w:r>
          <w:t> —</w:t>
        </w:r>
      </w:ins>
    </w:p>
    <w:p>
      <w:pPr>
        <w:pStyle w:val="Indenti"/>
        <w:rPr>
          <w:ins w:id="153" w:author="Master Repository Process" w:date="2023-05-01T14:26:00Z"/>
        </w:rPr>
      </w:pPr>
      <w:ins w:id="154" w:author="Master Repository Process" w:date="2023-05-01T14:26:00Z">
        <w:r>
          <w:tab/>
          <w:t>(i)</w:t>
        </w:r>
        <w:r>
          <w:tab/>
          <w:t>who is not an eligible person; and</w:t>
        </w:r>
      </w:ins>
    </w:p>
    <w:p>
      <w:pPr>
        <w:pStyle w:val="Indenti"/>
        <w:rPr>
          <w:ins w:id="155" w:author="Master Repository Process" w:date="2023-05-01T14:26:00Z"/>
        </w:rPr>
      </w:pPr>
      <w:ins w:id="156" w:author="Master Repository Process" w:date="2023-05-01T14:26:00Z">
        <w:r>
          <w:tab/>
          <w:t>(ii)</w:t>
        </w:r>
        <w:r>
          <w:tab/>
          <w:t>who is not a compensable same day patient.</w:t>
        </w:r>
      </w:ins>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ins w:id="157" w:author="Master Repository Process" w:date="2023-05-01T14:26:00Z">
        <w:r>
          <w:t>; SL 2023/34 cl. 7</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8" w:name="_Toc133569172"/>
      <w:bookmarkStart w:id="159" w:name="_Toc133569750"/>
      <w:bookmarkStart w:id="160" w:name="_Toc133823277"/>
      <w:bookmarkStart w:id="161" w:name="_Toc126232269"/>
      <w:bookmarkStart w:id="162" w:name="_Toc126232855"/>
      <w:bookmarkStart w:id="163" w:name="_Toc126233617"/>
      <w:bookmarkStart w:id="164" w:name="_Toc126233653"/>
      <w:r>
        <w:rPr>
          <w:rStyle w:val="CharSchNo"/>
        </w:rPr>
        <w:t>Schedule 1</w:t>
      </w:r>
      <w:r>
        <w:t> — </w:t>
      </w:r>
      <w:r>
        <w:rPr>
          <w:rStyle w:val="CharSchText"/>
        </w:rPr>
        <w:t>Scale of fees and charges</w:t>
      </w:r>
      <w:bookmarkEnd w:id="158"/>
      <w:bookmarkEnd w:id="159"/>
      <w:bookmarkEnd w:id="160"/>
      <w:bookmarkEnd w:id="161"/>
      <w:bookmarkEnd w:id="162"/>
      <w:bookmarkEnd w:id="163"/>
      <w:bookmarkEnd w:id="164"/>
    </w:p>
    <w:p>
      <w:pPr>
        <w:pStyle w:val="yShoulderClause"/>
      </w:pPr>
      <w:r>
        <w:t>[cl. 4]</w:t>
      </w:r>
    </w:p>
    <w:p>
      <w:pPr>
        <w:pStyle w:val="yHeading3"/>
      </w:pPr>
      <w:bookmarkStart w:id="165" w:name="_Toc133569173"/>
      <w:bookmarkStart w:id="166" w:name="_Toc133569751"/>
      <w:bookmarkStart w:id="167" w:name="_Toc133823278"/>
      <w:bookmarkStart w:id="168" w:name="_Toc126232270"/>
      <w:bookmarkStart w:id="169" w:name="_Toc126232856"/>
      <w:bookmarkStart w:id="170" w:name="_Toc126233618"/>
      <w:bookmarkStart w:id="171" w:name="_Toc126233654"/>
      <w:r>
        <w:rPr>
          <w:rStyle w:val="CharSDivNo"/>
        </w:rPr>
        <w:t>Division 1</w:t>
      </w:r>
      <w:r>
        <w:t> — </w:t>
      </w:r>
      <w:r>
        <w:rPr>
          <w:rStyle w:val="CharSDivText"/>
        </w:rPr>
        <w:t>General</w:t>
      </w:r>
      <w:bookmarkEnd w:id="165"/>
      <w:bookmarkEnd w:id="166"/>
      <w:bookmarkEnd w:id="167"/>
      <w:bookmarkEnd w:id="168"/>
      <w:bookmarkEnd w:id="169"/>
      <w:bookmarkEnd w:id="170"/>
      <w:bookmarkEnd w:id="171"/>
    </w:p>
    <w:p>
      <w:pPr>
        <w:pStyle w:val="yFootnoteheading"/>
      </w:pPr>
      <w:r>
        <w:tab/>
        <w:t>[Heading inserted: SL 2021/134 cl. 4.]</w:t>
      </w:r>
    </w:p>
    <w:p>
      <w:pPr>
        <w:pStyle w:val="yHeading4"/>
      </w:pPr>
      <w:bookmarkStart w:id="172" w:name="_Toc133569174"/>
      <w:bookmarkStart w:id="173" w:name="_Toc133569752"/>
      <w:bookmarkStart w:id="174" w:name="_Toc133823279"/>
      <w:bookmarkStart w:id="175" w:name="_Toc126232271"/>
      <w:bookmarkStart w:id="176" w:name="_Toc126232857"/>
      <w:bookmarkStart w:id="177" w:name="_Toc126233619"/>
      <w:bookmarkStart w:id="178" w:name="_Toc126233655"/>
      <w:r>
        <w:t>Subdivision 1 — In</w:t>
      </w:r>
      <w:r>
        <w:noBreakHyphen/>
        <w:t>patients</w:t>
      </w:r>
      <w:bookmarkEnd w:id="172"/>
      <w:bookmarkEnd w:id="173"/>
      <w:bookmarkEnd w:id="174"/>
      <w:bookmarkEnd w:id="175"/>
      <w:bookmarkEnd w:id="176"/>
      <w:bookmarkEnd w:id="177"/>
      <w:bookmarkEnd w:id="178"/>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$68.05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$210.30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179" w:name="_Toc133569175"/>
      <w:bookmarkStart w:id="180" w:name="_Toc133569753"/>
      <w:bookmarkStart w:id="181" w:name="_Toc133823280"/>
      <w:bookmarkStart w:id="182" w:name="_Toc126232272"/>
      <w:bookmarkStart w:id="183" w:name="_Toc126232858"/>
      <w:bookmarkStart w:id="184" w:name="_Toc126233620"/>
      <w:bookmarkStart w:id="185" w:name="_Toc126233656"/>
      <w:r>
        <w:t>Subdivision 2 — Day patients</w:t>
      </w:r>
      <w:bookmarkEnd w:id="179"/>
      <w:bookmarkEnd w:id="180"/>
      <w:bookmarkEnd w:id="181"/>
      <w:bookmarkEnd w:id="182"/>
      <w:bookmarkEnd w:id="183"/>
      <w:bookmarkEnd w:id="184"/>
      <w:bookmarkEnd w:id="185"/>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186" w:name="_Toc133569176"/>
      <w:bookmarkStart w:id="187" w:name="_Toc133569754"/>
      <w:bookmarkStart w:id="188" w:name="_Toc133823281"/>
      <w:bookmarkStart w:id="189" w:name="_Toc126232273"/>
      <w:bookmarkStart w:id="190" w:name="_Toc126232859"/>
      <w:bookmarkStart w:id="191" w:name="_Toc126233621"/>
      <w:bookmarkStart w:id="192" w:name="_Toc126233657"/>
      <w:r>
        <w:t>Subdivision 3 — Out</w:t>
      </w:r>
      <w:r>
        <w:noBreakHyphen/>
        <w:t>patients</w:t>
      </w:r>
      <w:bookmarkEnd w:id="186"/>
      <w:bookmarkEnd w:id="187"/>
      <w:bookmarkEnd w:id="188"/>
      <w:bookmarkEnd w:id="189"/>
      <w:bookmarkEnd w:id="190"/>
      <w:bookmarkEnd w:id="191"/>
      <w:bookmarkEnd w:id="192"/>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$24</w:t>
            </w:r>
          </w:p>
        </w:tc>
      </w:tr>
    </w:tbl>
    <w:p>
      <w:pPr>
        <w:pStyle w:val="yHeading4"/>
      </w:pPr>
      <w:bookmarkStart w:id="193" w:name="_Toc133569177"/>
      <w:bookmarkStart w:id="194" w:name="_Toc133569755"/>
      <w:bookmarkStart w:id="195" w:name="_Toc133823282"/>
      <w:bookmarkStart w:id="196" w:name="_Toc126232274"/>
      <w:bookmarkStart w:id="197" w:name="_Toc126232860"/>
      <w:bookmarkStart w:id="198" w:name="_Toc126233622"/>
      <w:bookmarkStart w:id="199" w:name="_Toc126233658"/>
      <w:r>
        <w:t>Subdivision 4 — Same day patients</w:t>
      </w:r>
      <w:bookmarkEnd w:id="193"/>
      <w:bookmarkEnd w:id="194"/>
      <w:bookmarkEnd w:id="195"/>
      <w:bookmarkEnd w:id="196"/>
      <w:bookmarkEnd w:id="197"/>
      <w:bookmarkEnd w:id="198"/>
      <w:bookmarkEnd w:id="199"/>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200" w:name="_Toc133569178"/>
      <w:bookmarkStart w:id="201" w:name="_Toc133569756"/>
      <w:bookmarkStart w:id="202" w:name="_Toc133823283"/>
      <w:bookmarkStart w:id="203" w:name="_Toc126232275"/>
      <w:bookmarkStart w:id="204" w:name="_Toc126232861"/>
      <w:bookmarkStart w:id="205" w:name="_Toc126233623"/>
      <w:bookmarkStart w:id="206" w:name="_Toc126233659"/>
      <w:r>
        <w:t>Subdivision 5 — Other services</w:t>
      </w:r>
      <w:bookmarkEnd w:id="200"/>
      <w:bookmarkEnd w:id="201"/>
      <w:bookmarkEnd w:id="202"/>
      <w:bookmarkEnd w:id="203"/>
      <w:bookmarkEnd w:id="204"/>
      <w:bookmarkEnd w:id="205"/>
      <w:bookmarkEnd w:id="206"/>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 SL 2022/166 cl. 4; SL 2023/6 cl. 4.]</w:t>
      </w:r>
    </w:p>
    <w:p>
      <w:pPr>
        <w:pStyle w:val="yHeading3"/>
      </w:pPr>
      <w:bookmarkStart w:id="207" w:name="_Toc133569179"/>
      <w:bookmarkStart w:id="208" w:name="_Toc133569757"/>
      <w:bookmarkStart w:id="209" w:name="_Toc133823284"/>
      <w:bookmarkStart w:id="210" w:name="_Toc126232276"/>
      <w:bookmarkStart w:id="211" w:name="_Toc126232862"/>
      <w:bookmarkStart w:id="212" w:name="_Toc126233624"/>
      <w:bookmarkStart w:id="213" w:name="_Toc126233660"/>
      <w:r>
        <w:rPr>
          <w:rStyle w:val="CharSDivNo"/>
        </w:rPr>
        <w:t>Division 2</w:t>
      </w:r>
      <w:r>
        <w:t> — </w:t>
      </w:r>
      <w:r>
        <w:rPr>
          <w:rStyle w:val="CharSDivText"/>
        </w:rPr>
        <w:t>Compensable patients</w:t>
      </w:r>
      <w:bookmarkEnd w:id="207"/>
      <w:bookmarkEnd w:id="208"/>
      <w:bookmarkEnd w:id="209"/>
      <w:bookmarkEnd w:id="210"/>
      <w:bookmarkEnd w:id="211"/>
      <w:bookmarkEnd w:id="212"/>
      <w:bookmarkEnd w:id="213"/>
    </w:p>
    <w:p>
      <w:pPr>
        <w:pStyle w:val="yFootnoteheading"/>
      </w:pPr>
      <w:r>
        <w:tab/>
        <w:t>[Heading inserted: SL 2021/134 cl. 4.]</w:t>
      </w:r>
    </w:p>
    <w:p>
      <w:pPr>
        <w:pStyle w:val="yHeading4"/>
      </w:pPr>
      <w:bookmarkStart w:id="214" w:name="_Toc133569180"/>
      <w:bookmarkStart w:id="215" w:name="_Toc133569758"/>
      <w:bookmarkStart w:id="216" w:name="_Toc133823285"/>
      <w:bookmarkStart w:id="217" w:name="_Toc126232277"/>
      <w:bookmarkStart w:id="218" w:name="_Toc126232863"/>
      <w:bookmarkStart w:id="219" w:name="_Toc126233625"/>
      <w:bookmarkStart w:id="220" w:name="_Toc126233661"/>
      <w:r>
        <w:t>Subdivision 1 — Compensable in</w:t>
      </w:r>
      <w:r>
        <w:noBreakHyphen/>
        <w:t>patients</w:t>
      </w:r>
      <w:bookmarkEnd w:id="214"/>
      <w:bookmarkEnd w:id="215"/>
      <w:bookmarkEnd w:id="216"/>
      <w:bookmarkEnd w:id="217"/>
      <w:bookmarkEnd w:id="218"/>
      <w:bookmarkEnd w:id="219"/>
      <w:bookmarkEnd w:id="220"/>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221" w:name="_Toc133569181"/>
      <w:bookmarkStart w:id="222" w:name="_Toc133569759"/>
      <w:bookmarkStart w:id="223" w:name="_Toc133823286"/>
      <w:bookmarkStart w:id="224" w:name="_Toc126232278"/>
      <w:bookmarkStart w:id="225" w:name="_Toc126232864"/>
      <w:bookmarkStart w:id="226" w:name="_Toc126233626"/>
      <w:bookmarkStart w:id="227" w:name="_Toc126233662"/>
      <w:r>
        <w:t>Subdivision 2 — Compensable out</w:t>
      </w:r>
      <w:r>
        <w:noBreakHyphen/>
        <w:t>patients</w:t>
      </w:r>
      <w:bookmarkEnd w:id="221"/>
      <w:bookmarkEnd w:id="222"/>
      <w:bookmarkEnd w:id="223"/>
      <w:bookmarkEnd w:id="224"/>
      <w:bookmarkEnd w:id="225"/>
      <w:bookmarkEnd w:id="226"/>
      <w:bookmarkEnd w:id="227"/>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$351</w:t>
            </w:r>
          </w:p>
        </w:tc>
      </w:tr>
    </w:tbl>
    <w:p>
      <w:pPr>
        <w:pStyle w:val="yHeading4"/>
      </w:pPr>
      <w:bookmarkStart w:id="228" w:name="_Toc133569182"/>
      <w:bookmarkStart w:id="229" w:name="_Toc133569760"/>
      <w:bookmarkStart w:id="230" w:name="_Toc133823287"/>
      <w:bookmarkStart w:id="231" w:name="_Toc126232279"/>
      <w:bookmarkStart w:id="232" w:name="_Toc126232865"/>
      <w:bookmarkStart w:id="233" w:name="_Toc126233627"/>
      <w:bookmarkStart w:id="234" w:name="_Toc126233663"/>
      <w:r>
        <w:t>Subdivision 3 — Compensable same day patients</w:t>
      </w:r>
      <w:bookmarkEnd w:id="228"/>
      <w:bookmarkEnd w:id="229"/>
      <w:bookmarkEnd w:id="230"/>
      <w:bookmarkEnd w:id="231"/>
      <w:bookmarkEnd w:id="232"/>
      <w:bookmarkEnd w:id="233"/>
      <w:bookmarkEnd w:id="234"/>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 SL 2022/166 cl. 4; SL 2023/6 cl. 4.]</w:t>
      </w:r>
    </w:p>
    <w:p>
      <w:pPr>
        <w:pStyle w:val="yHeading3"/>
        <w:rPr>
          <w:rStyle w:val="CharSDivNo"/>
          <w:b w:val="0"/>
        </w:rPr>
      </w:pPr>
      <w:bookmarkStart w:id="235" w:name="_Toc133569183"/>
      <w:bookmarkStart w:id="236" w:name="_Toc133569761"/>
      <w:bookmarkStart w:id="237" w:name="_Toc133823288"/>
      <w:bookmarkStart w:id="238" w:name="_Toc126232280"/>
      <w:bookmarkStart w:id="239" w:name="_Toc126232866"/>
      <w:bookmarkStart w:id="240" w:name="_Toc126233628"/>
      <w:bookmarkStart w:id="241" w:name="_Toc126233664"/>
      <w:r>
        <w:rPr>
          <w:rStyle w:val="CharSDivNo"/>
        </w:rPr>
        <w:t>Division 3</w:t>
      </w:r>
      <w:r>
        <w:t> — </w:t>
      </w:r>
      <w:r>
        <w:rPr>
          <w:rStyle w:val="CharSDivText"/>
        </w:rPr>
        <w:t>Magnetic resonance imaging</w:t>
      </w:r>
      <w:bookmarkEnd w:id="235"/>
      <w:bookmarkEnd w:id="236"/>
      <w:bookmarkEnd w:id="237"/>
      <w:bookmarkEnd w:id="238"/>
      <w:bookmarkEnd w:id="239"/>
      <w:bookmarkEnd w:id="240"/>
      <w:bookmarkEnd w:id="241"/>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242" w:name="_Toc133569184"/>
      <w:bookmarkStart w:id="243" w:name="_Toc133569762"/>
      <w:bookmarkStart w:id="244" w:name="_Toc133823289"/>
      <w:bookmarkStart w:id="245" w:name="_Toc126232281"/>
      <w:bookmarkStart w:id="246" w:name="_Toc126232867"/>
      <w:bookmarkStart w:id="247" w:name="_Toc126233629"/>
      <w:bookmarkStart w:id="248" w:name="_Toc126233665"/>
      <w:r>
        <w:rPr>
          <w:rStyle w:val="CharSDivNo"/>
        </w:rPr>
        <w:t>Division 4</w:t>
      </w:r>
      <w:r>
        <w:rPr>
          <w:szCs w:val="24"/>
        </w:rPr>
        <w:t> — </w:t>
      </w:r>
      <w:r>
        <w:rPr>
          <w:rStyle w:val="CharSDivText"/>
        </w:rPr>
        <w:t>Pathology services</w:t>
      </w:r>
      <w:bookmarkEnd w:id="242"/>
      <w:bookmarkEnd w:id="243"/>
      <w:bookmarkEnd w:id="244"/>
      <w:bookmarkEnd w:id="245"/>
      <w:bookmarkEnd w:id="246"/>
      <w:bookmarkEnd w:id="247"/>
      <w:bookmarkEnd w:id="248"/>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249" w:name="_Toc133569185"/>
      <w:bookmarkStart w:id="250" w:name="_Toc133569763"/>
      <w:bookmarkStart w:id="251" w:name="_Toc133823290"/>
      <w:bookmarkStart w:id="252" w:name="_Toc126232282"/>
      <w:bookmarkStart w:id="253" w:name="_Toc126232868"/>
      <w:bookmarkStart w:id="254" w:name="_Toc126233630"/>
      <w:bookmarkStart w:id="255" w:name="_Toc126233666"/>
      <w:r>
        <w:rPr>
          <w:rStyle w:val="CharSDivNo"/>
        </w:rPr>
        <w:t>Division 6</w:t>
      </w:r>
      <w:r>
        <w:t> — </w:t>
      </w:r>
      <w:r>
        <w:rPr>
          <w:rStyle w:val="CharSDivText"/>
        </w:rPr>
        <w:t>Surgically implanted prostheses</w:t>
      </w:r>
      <w:bookmarkEnd w:id="249"/>
      <w:bookmarkEnd w:id="250"/>
      <w:bookmarkEnd w:id="251"/>
      <w:bookmarkEnd w:id="252"/>
      <w:bookmarkEnd w:id="253"/>
      <w:bookmarkEnd w:id="254"/>
      <w:bookmarkEnd w:id="255"/>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57" w:name="_Toc133569186"/>
      <w:bookmarkStart w:id="258" w:name="_Toc133569764"/>
      <w:bookmarkStart w:id="259" w:name="_Toc133823291"/>
      <w:bookmarkStart w:id="260" w:name="_Toc126232283"/>
      <w:bookmarkStart w:id="261" w:name="_Toc126232869"/>
      <w:bookmarkStart w:id="262" w:name="_Toc126233631"/>
      <w:bookmarkStart w:id="263" w:name="_Toc126233667"/>
      <w:r>
        <w:t>Notes</w:t>
      </w:r>
      <w:bookmarkEnd w:id="257"/>
      <w:bookmarkEnd w:id="258"/>
      <w:bookmarkEnd w:id="259"/>
      <w:bookmarkEnd w:id="260"/>
      <w:bookmarkEnd w:id="261"/>
      <w:bookmarkEnd w:id="262"/>
      <w:bookmarkEnd w:id="263"/>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264" w:name="_Toc133823292"/>
      <w:bookmarkStart w:id="265" w:name="_Toc126233668"/>
      <w:r>
        <w:t>Compilation table</w:t>
      </w:r>
      <w:bookmarkEnd w:id="264"/>
      <w:bookmarkEnd w:id="2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rPr>
          <w:ins w:id="266" w:author="Master Repository Process" w:date="2023-05-01T14:26:00Z"/>
        </w:trPr>
        <w:tc>
          <w:tcPr>
            <w:tcW w:w="3118" w:type="dxa"/>
            <w:tcBorders>
              <w:top w:val="nil"/>
              <w:bottom w:val="single" w:sz="4" w:space="0" w:color="auto"/>
            </w:tcBorders>
          </w:tcPr>
          <w:p>
            <w:pPr>
              <w:pStyle w:val="nTable"/>
              <w:spacing w:after="40"/>
              <w:rPr>
                <w:ins w:id="267" w:author="Master Repository Process" w:date="2023-05-01T14:26:00Z"/>
                <w:i/>
              </w:rPr>
            </w:pPr>
            <w:ins w:id="268" w:author="Master Repository Process" w:date="2023-05-01T14:26:00Z">
              <w:r>
                <w:rPr>
                  <w:i/>
                </w:rPr>
                <w:t>Health Services (Fees and Charges) Amendment Order (No. 2) 2023</w:t>
              </w:r>
            </w:ins>
          </w:p>
        </w:tc>
        <w:tc>
          <w:tcPr>
            <w:tcW w:w="1276" w:type="dxa"/>
            <w:tcBorders>
              <w:top w:val="nil"/>
              <w:bottom w:val="single" w:sz="4" w:space="0" w:color="auto"/>
            </w:tcBorders>
          </w:tcPr>
          <w:p>
            <w:pPr>
              <w:pStyle w:val="nTable"/>
              <w:spacing w:after="40"/>
              <w:rPr>
                <w:ins w:id="269" w:author="Master Repository Process" w:date="2023-05-01T14:26:00Z"/>
              </w:rPr>
            </w:pPr>
            <w:ins w:id="270" w:author="Master Repository Process" w:date="2023-05-01T14:26:00Z">
              <w:r>
                <w:t>SL 2023/34 2 May 2023</w:t>
              </w:r>
            </w:ins>
          </w:p>
        </w:tc>
        <w:tc>
          <w:tcPr>
            <w:tcW w:w="2693" w:type="dxa"/>
            <w:tcBorders>
              <w:top w:val="nil"/>
              <w:bottom w:val="single" w:sz="4" w:space="0" w:color="auto"/>
            </w:tcBorders>
          </w:tcPr>
          <w:p>
            <w:pPr>
              <w:pStyle w:val="nTable"/>
              <w:spacing w:after="40"/>
              <w:rPr>
                <w:ins w:id="271" w:author="Master Repository Process" w:date="2023-05-01T14:26:00Z"/>
              </w:rPr>
            </w:pPr>
            <w:ins w:id="272" w:author="Master Repository Process" w:date="2023-05-01T14:26:00Z">
              <w:r>
                <w:t>cl. 1 and 2: 2 May 2023 (see cl. 2(a));</w:t>
              </w:r>
              <w:r>
                <w:br/>
                <w:t>Order other than cl. 1 and 2: 3 May 2023 (see cl.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 w:name="Coversheet"/>
    <w:bookmarkEnd w:id="2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81010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5FBA-90BF-4AA9-9DAB-47F0F5CE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7146</Words>
  <Characters>34019</Characters>
  <Application>Microsoft Office Word</Application>
  <DocSecurity>0</DocSecurity>
  <Lines>1214</Lines>
  <Paragraphs>735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00-ag0-00 - 00-ah0-00</dc:title>
  <dc:subject/>
  <dc:creator/>
  <cp:keywords/>
  <dc:description/>
  <cp:lastModifiedBy>Master Repository Process</cp:lastModifiedBy>
  <cp:revision>2</cp:revision>
  <cp:lastPrinted>2020-02-06T02:07:00Z</cp:lastPrinted>
  <dcterms:created xsi:type="dcterms:W3CDTF">2023-05-01T06:26:00Z</dcterms:created>
  <dcterms:modified xsi:type="dcterms:W3CDTF">2023-05-01T06:26:00Z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20230503</vt:lpwstr>
  </property>
  <property fmtid="{D5CDD505-2E9C-101B-9397-08002B2CF9AE}" pid="6" name="FromSuffix">
    <vt:lpwstr>00-ag0-00</vt:lpwstr>
  </property>
  <property fmtid="{D5CDD505-2E9C-101B-9397-08002B2CF9AE}" pid="7" name="FromAsAtDate">
    <vt:lpwstr>04 Feb 2023</vt:lpwstr>
  </property>
  <property fmtid="{D5CDD505-2E9C-101B-9397-08002B2CF9AE}" pid="8" name="ToSuffix">
    <vt:lpwstr>00-ah0-00</vt:lpwstr>
  </property>
  <property fmtid="{D5CDD505-2E9C-101B-9397-08002B2CF9AE}" pid="9" name="ToAsAtDate">
    <vt:lpwstr>03 May 2023</vt:lpwstr>
  </property>
</Properties>
</file>