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(Bungardi Restricted Area)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May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21 Jun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Liquor Control Act 1988</w:t>
      </w:r>
    </w:p>
    <w:p>
      <w:pPr>
        <w:pStyle w:val="NameofActReg"/>
      </w:pPr>
      <w:r>
        <w:t>Liquor Control (Bungardi Restricted Area) Regulations 2017</w:t>
      </w:r>
    </w:p>
    <w:p>
      <w:pPr>
        <w:pStyle w:val="Heading5"/>
      </w:pPr>
      <w:bookmarkStart w:id="1" w:name="_Toc138154616"/>
      <w:bookmarkStart w:id="2" w:name="_Toc41047063"/>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t xml:space="preserve">These </w:t>
      </w:r>
      <w:r>
        <w:rPr>
          <w:spacing w:val="-2"/>
        </w:rPr>
        <w:t>regulations</w:t>
      </w:r>
      <w:r>
        <w:t xml:space="preserve"> are the </w:t>
      </w:r>
      <w:r>
        <w:rPr>
          <w:i/>
        </w:rPr>
        <w:t>Liquor Control (Bungardi Restricted Area) Regulations 2017</w:t>
      </w:r>
      <w:r>
        <w:t>.</w:t>
      </w:r>
    </w:p>
    <w:p>
      <w:pPr>
        <w:pStyle w:val="Heading5"/>
        <w:rPr>
          <w:spacing w:val="-2"/>
        </w:rPr>
      </w:pPr>
      <w:bookmarkStart w:id="5" w:name="_Toc138154617"/>
      <w:bookmarkStart w:id="6" w:name="_Toc4104706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7" w:name="_Toc138154618"/>
      <w:bookmarkStart w:id="8" w:name="_Toc41047065"/>
      <w:r>
        <w:rPr>
          <w:rStyle w:val="CharSectno"/>
        </w:rPr>
        <w:t>3</w:t>
      </w:r>
      <w:r>
        <w:rPr>
          <w:snapToGrid w:val="0"/>
        </w:rPr>
        <w:t>.</w:t>
      </w:r>
      <w:r>
        <w:rPr>
          <w:snapToGrid w:val="0"/>
        </w:rPr>
        <w:tab/>
        <w:t>Term used</w:t>
      </w:r>
      <w:r>
        <w:t>: Bungardi Aboriginal Community</w:t>
      </w:r>
      <w:bookmarkEnd w:id="7"/>
      <w:bookmarkEnd w:id="8"/>
    </w:p>
    <w:p>
      <w:pPr>
        <w:pStyle w:val="Subsection"/>
      </w:pPr>
      <w:r>
        <w:tab/>
      </w:r>
      <w:r>
        <w:tab/>
        <w:t xml:space="preserve">In these regulations — </w:t>
      </w:r>
    </w:p>
    <w:p>
      <w:pPr>
        <w:pStyle w:val="Defstart"/>
      </w:pPr>
      <w:r>
        <w:tab/>
      </w:r>
      <w:r>
        <w:rPr>
          <w:rStyle w:val="CharDefText"/>
        </w:rPr>
        <w:t>Bungardi Aboriginal Community</w:t>
      </w:r>
      <w:r>
        <w:t xml:space="preserve"> means the area of land — </w:t>
      </w:r>
    </w:p>
    <w:p>
      <w:pPr>
        <w:pStyle w:val="Defpara"/>
      </w:pPr>
      <w:r>
        <w:tab/>
        <w:t>(a)</w:t>
      </w:r>
      <w:r>
        <w:tab/>
        <w:t>bounded by —</w:t>
      </w:r>
    </w:p>
    <w:p>
      <w:pPr>
        <w:pStyle w:val="Defsubpara"/>
      </w:pPr>
      <w:r>
        <w:tab/>
        <w:t>(i)</w:t>
      </w:r>
      <w:r>
        <w:tab/>
        <w:t>the east side of Marrala Creek; and</w:t>
      </w:r>
    </w:p>
    <w:p>
      <w:pPr>
        <w:pStyle w:val="Defsubpara"/>
      </w:pPr>
      <w:r>
        <w:tab/>
        <w:t>(ii)</w:t>
      </w:r>
      <w:r>
        <w:tab/>
        <w:t>the south side of Geikie Gorge Road; and</w:t>
      </w:r>
    </w:p>
    <w:p>
      <w:pPr>
        <w:pStyle w:val="Defsubpara"/>
      </w:pPr>
      <w:r>
        <w:tab/>
        <w:t>(iii)</w:t>
      </w:r>
      <w:r>
        <w:tab/>
        <w:t>the east side of Bungardi Road; and</w:t>
      </w:r>
    </w:p>
    <w:p>
      <w:pPr>
        <w:pStyle w:val="Defsubpara"/>
      </w:pPr>
      <w:r>
        <w:tab/>
        <w:t>(iv)</w:t>
      </w:r>
      <w:r>
        <w:tab/>
        <w:t>the north side of Fitzroy River;</w:t>
      </w:r>
    </w:p>
    <w:p>
      <w:pPr>
        <w:pStyle w:val="Defpara"/>
      </w:pPr>
      <w:r>
        <w:tab/>
      </w:r>
      <w:r>
        <w:tab/>
        <w:t>and</w:t>
      </w:r>
    </w:p>
    <w:p>
      <w:pPr>
        <w:pStyle w:val="Defpara"/>
      </w:pPr>
      <w:r>
        <w:tab/>
        <w:t>(b)</w:t>
      </w:r>
      <w:r>
        <w:tab/>
        <w:t>being part of Lot 289 Crown Reserve 45608, part of Lot 277 Crown Reserve 45046 and part of Lot 290 Crown Reserve 45609.</w:t>
      </w:r>
    </w:p>
    <w:p>
      <w:pPr>
        <w:pStyle w:val="Ednotesection"/>
      </w:pPr>
      <w:r>
        <w:t>[</w:t>
      </w:r>
      <w:r>
        <w:rPr>
          <w:b/>
        </w:rPr>
        <w:t>4.</w:t>
      </w:r>
      <w:r>
        <w:tab/>
        <w:t>Deleted: SL 2020/62 r. 4.]</w:t>
      </w:r>
    </w:p>
    <w:p>
      <w:pPr>
        <w:pStyle w:val="Heading5"/>
      </w:pPr>
      <w:bookmarkStart w:id="9" w:name="_Toc138154619"/>
      <w:bookmarkStart w:id="10" w:name="_Toc41047066"/>
      <w:r>
        <w:rPr>
          <w:rStyle w:val="CharSectno"/>
        </w:rPr>
        <w:t>5</w:t>
      </w:r>
      <w:r>
        <w:t>.</w:t>
      </w:r>
      <w:r>
        <w:tab/>
        <w:t>Declaration of restricted area</w:t>
      </w:r>
      <w:bookmarkEnd w:id="9"/>
      <w:bookmarkEnd w:id="10"/>
    </w:p>
    <w:p>
      <w:pPr>
        <w:pStyle w:val="Subsection"/>
      </w:pPr>
      <w:r>
        <w:tab/>
      </w:r>
      <w:r>
        <w:tab/>
        <w:t>The Bungardi Aboriginal Community is declared to be a restricted area for the purposes of section 175(1a) of the Act.</w:t>
      </w:r>
    </w:p>
    <w:p>
      <w:pPr>
        <w:pStyle w:val="Heading5"/>
      </w:pPr>
      <w:bookmarkStart w:id="11" w:name="_Toc138154620"/>
      <w:bookmarkStart w:id="12" w:name="_Toc41047067"/>
      <w:r>
        <w:rPr>
          <w:rStyle w:val="CharSectno"/>
        </w:rPr>
        <w:t>6</w:t>
      </w:r>
      <w:r>
        <w:t>.</w:t>
      </w:r>
      <w:r>
        <w:tab/>
        <w:t>Notice of restricted area</w:t>
      </w:r>
      <w:bookmarkEnd w:id="11"/>
      <w:bookmarkEnd w:id="12"/>
    </w:p>
    <w:p>
      <w:pPr>
        <w:pStyle w:val="Subsection"/>
      </w:pPr>
      <w:r>
        <w:tab/>
        <w:t>(1)</w:t>
      </w:r>
      <w:r>
        <w:tab/>
        <w:t>The Director of Liquor Licensing must take all reasonable steps to cause to be posted, and while the Bungardi Aboriginal Community continues to be a restricted area by operation of regulation 5 to be kept posted, at each place where a customary access route enters the Bungardi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3" w:name="_Toc138154621"/>
      <w:bookmarkStart w:id="14" w:name="_Toc41047068"/>
      <w:r>
        <w:rPr>
          <w:rStyle w:val="CharSectno"/>
        </w:rPr>
        <w:t>7</w:t>
      </w:r>
      <w:r>
        <w:t>.</w:t>
      </w:r>
      <w:r>
        <w:tab/>
        <w:t>Prohibitions as to liquor in the Bungardi Aboriginal Community</w:t>
      </w:r>
      <w:bookmarkEnd w:id="13"/>
      <w:bookmarkEnd w:id="14"/>
    </w:p>
    <w:p>
      <w:pPr>
        <w:pStyle w:val="Subsection"/>
      </w:pPr>
      <w:r>
        <w:tab/>
        <w:t>(1)</w:t>
      </w:r>
      <w:r>
        <w:tab/>
        <w:t>A person commits an offence if the person —</w:t>
      </w:r>
    </w:p>
    <w:p>
      <w:pPr>
        <w:pStyle w:val="Indenta"/>
      </w:pPr>
      <w:r>
        <w:tab/>
        <w:t>(a)</w:t>
      </w:r>
      <w:r>
        <w:tab/>
        <w:t>brings liquor into, or causes liquor to be brought into, the Bungardi Aboriginal Community; or</w:t>
      </w:r>
    </w:p>
    <w:p>
      <w:pPr>
        <w:pStyle w:val="Indenta"/>
      </w:pPr>
      <w:r>
        <w:tab/>
        <w:t>(b)</w:t>
      </w:r>
      <w:r>
        <w:tab/>
        <w:t>has liquor in their possession in the Bungardi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5" w:name="_Toc138154622"/>
      <w:bookmarkStart w:id="16" w:name="_Toc41047069"/>
      <w:r>
        <w:rPr>
          <w:rStyle w:val="CharSectno"/>
        </w:rPr>
        <w:t>8</w:t>
      </w:r>
      <w:r>
        <w:t>.</w:t>
      </w:r>
      <w:r>
        <w:tab/>
        <w:t>Seizure and disposal of containers of liquor</w:t>
      </w:r>
      <w:bookmarkEnd w:id="15"/>
      <w:bookmarkEnd w:id="1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7" w:name="_Toc138154623"/>
      <w:bookmarkStart w:id="18" w:name="_Toc41047070"/>
      <w:r>
        <w:rPr>
          <w:rStyle w:val="CharSectno"/>
        </w:rPr>
        <w:t>9</w:t>
      </w:r>
      <w:r>
        <w:t>.</w:t>
      </w:r>
      <w:r>
        <w:tab/>
        <w:t>Period during which these regulations have effect</w:t>
      </w:r>
      <w:bookmarkEnd w:id="17"/>
      <w:bookmarkEnd w:id="18"/>
    </w:p>
    <w:p>
      <w:pPr>
        <w:pStyle w:val="Subsection"/>
      </w:pPr>
      <w:r>
        <w:tab/>
      </w:r>
      <w:r>
        <w:tab/>
        <w:t>Unless sooner repealed, these regulations have effect for the period that ends at the close of 19 August </w:t>
      </w:r>
      <w:del w:id="19" w:author="Master Repository Process" w:date="2023-06-20T12:23:00Z">
        <w:r>
          <w:delText>2023</w:delText>
        </w:r>
      </w:del>
      <w:ins w:id="20" w:author="Master Repository Process" w:date="2023-06-20T12:23:00Z">
        <w:r>
          <w:t>2024</w:t>
        </w:r>
      </w:ins>
      <w:r>
        <w:t>.</w:t>
      </w:r>
    </w:p>
    <w:p>
      <w:pPr>
        <w:pStyle w:val="Footnotesection"/>
      </w:pPr>
      <w:r>
        <w:tab/>
        <w:t>[Regulation 9 inserted: SL 2020/62 r. </w:t>
      </w:r>
      <w:del w:id="21" w:author="Master Repository Process" w:date="2023-06-20T12:23:00Z">
        <w:r>
          <w:delText>5</w:delText>
        </w:r>
      </w:del>
      <w:ins w:id="22" w:author="Master Repository Process" w:date="2023-06-20T12:23:00Z">
        <w:r>
          <w:t>5; amended: SL 2023/78 r. 4</w:t>
        </w:r>
      </w:ins>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23" w:name="_Toc138062467"/>
      <w:bookmarkStart w:id="24" w:name="_Toc138062780"/>
      <w:bookmarkStart w:id="25" w:name="_Toc138154624"/>
      <w:bookmarkStart w:id="26" w:name="_Toc41036649"/>
      <w:bookmarkStart w:id="27" w:name="_Toc41046068"/>
      <w:bookmarkStart w:id="28" w:name="_Toc41047071"/>
      <w:bookmarkStart w:id="29" w:name="_Toc41035031"/>
      <w:r>
        <w:t>Notes</w:t>
      </w:r>
      <w:bookmarkEnd w:id="23"/>
      <w:bookmarkEnd w:id="24"/>
      <w:bookmarkEnd w:id="25"/>
      <w:bookmarkEnd w:id="26"/>
      <w:bookmarkEnd w:id="27"/>
      <w:bookmarkEnd w:id="28"/>
    </w:p>
    <w:p>
      <w:pPr>
        <w:pStyle w:val="nStatement"/>
      </w:pPr>
      <w:r>
        <w:t xml:space="preserve">This is a compilation of the </w:t>
      </w:r>
      <w:r>
        <w:rPr>
          <w:i/>
          <w:noProof/>
        </w:rPr>
        <w:t>Liquor Control (Bungardi Restricted Area) Regulations</w:t>
      </w:r>
      <w:del w:id="30" w:author="Master Repository Process" w:date="2023-06-20T12:23:00Z">
        <w:r>
          <w:rPr>
            <w:i/>
            <w:noProof/>
          </w:rPr>
          <w:delText xml:space="preserve"> </w:delText>
        </w:r>
      </w:del>
      <w:ins w:id="31" w:author="Master Repository Process" w:date="2023-06-20T12:23:00Z">
        <w:r>
          <w:rPr>
            <w:i/>
            <w:noProof/>
          </w:rPr>
          <w:t> </w:t>
        </w:r>
      </w:ins>
      <w:r>
        <w:rPr>
          <w:i/>
          <w:noProof/>
        </w:rPr>
        <w:t>2017</w:t>
      </w:r>
      <w:r>
        <w:t xml:space="preserve"> and includes amendments made by other written laws</w:t>
      </w:r>
      <w:del w:id="32" w:author="Master Repository Process" w:date="2023-06-20T12:23:00Z">
        <w:r>
          <w:rPr>
            <w:vertAlign w:val="superscript"/>
          </w:rPr>
          <w:delText> 1</w:delText>
        </w:r>
      </w:del>
      <w:r>
        <w:t>. For provisions that have come into operation see the compilation table.</w:t>
      </w:r>
    </w:p>
    <w:p>
      <w:pPr>
        <w:pStyle w:val="nHeading3"/>
      </w:pPr>
      <w:bookmarkStart w:id="33" w:name="_Toc138154625"/>
      <w:bookmarkStart w:id="34" w:name="_Toc41047072"/>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(Bungardi Restricted Area) Regulations 2017</w:t>
            </w:r>
            <w:ins w:id="35" w:author="Master Repository Process" w:date="2023-06-20T12:23:00Z">
              <w:r>
                <w:rPr>
                  <w:vertAlign w:val="superscript"/>
                </w:rPr>
                <w:t> 1</w:t>
              </w:r>
            </w:ins>
          </w:p>
        </w:tc>
        <w:tc>
          <w:tcPr>
            <w:tcW w:w="1276" w:type="dxa"/>
            <w:tcBorders>
              <w:bottom w:val="nil"/>
            </w:tcBorders>
          </w:tcPr>
          <w:p>
            <w:pPr>
              <w:pStyle w:val="nTable"/>
              <w:spacing w:after="40"/>
            </w:pPr>
            <w:r>
              <w:t>18 Aug 2017 p. 4448</w:t>
            </w:r>
            <w:r>
              <w:noBreakHyphen/>
              <w:t>50</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nil"/>
            </w:tcBorders>
          </w:tcPr>
          <w:p>
            <w:pPr>
              <w:pStyle w:val="nTable"/>
              <w:spacing w:after="40"/>
            </w:pPr>
            <w:r>
              <w:rPr>
                <w:i/>
              </w:rPr>
              <w:t>Racing and Gaming Regulations Amendment (Liquor Control) Regulations 2020</w:t>
            </w:r>
            <w:r>
              <w:t xml:space="preserve"> Pt. 2</w:t>
            </w:r>
          </w:p>
        </w:tc>
        <w:tc>
          <w:tcPr>
            <w:tcW w:w="1276" w:type="dxa"/>
            <w:tcBorders>
              <w:top w:val="nil"/>
              <w:bottom w:val="nil"/>
            </w:tcBorders>
          </w:tcPr>
          <w:p>
            <w:pPr>
              <w:pStyle w:val="nTable"/>
              <w:spacing w:after="40"/>
            </w:pPr>
            <w:r>
              <w:t>SL 2020/62 22 May 2020</w:t>
            </w:r>
          </w:p>
        </w:tc>
        <w:tc>
          <w:tcPr>
            <w:tcW w:w="2693" w:type="dxa"/>
            <w:tcBorders>
              <w:top w:val="nil"/>
              <w:bottom w:val="nil"/>
            </w:tcBorders>
          </w:tcPr>
          <w:p>
            <w:pPr>
              <w:pStyle w:val="nTable"/>
              <w:spacing w:after="40"/>
            </w:pPr>
            <w:r>
              <w:t>23 May 2020 (see r. 2(b))</w:t>
            </w:r>
          </w:p>
        </w:tc>
      </w:tr>
      <w:tr>
        <w:trPr>
          <w:ins w:id="36" w:author="Master Repository Process" w:date="2023-06-20T12:23:00Z"/>
        </w:trPr>
        <w:tc>
          <w:tcPr>
            <w:tcW w:w="3118" w:type="dxa"/>
            <w:tcBorders>
              <w:top w:val="nil"/>
              <w:bottom w:val="single" w:sz="4" w:space="0" w:color="auto"/>
            </w:tcBorders>
          </w:tcPr>
          <w:p>
            <w:pPr>
              <w:pStyle w:val="nTable"/>
              <w:spacing w:after="40"/>
              <w:rPr>
                <w:ins w:id="37" w:author="Master Repository Process" w:date="2023-06-20T12:23:00Z"/>
                <w:i/>
              </w:rPr>
            </w:pPr>
            <w:ins w:id="38" w:author="Master Repository Process" w:date="2023-06-20T12:23:00Z">
              <w:r>
                <w:rPr>
                  <w:i/>
                </w:rPr>
                <w:t>Racing and Gaming Regulations Amendment (Liquor Control) Regulations (No. 3) 2023</w:t>
              </w:r>
              <w:r>
                <w:t xml:space="preserve"> Pt. 2</w:t>
              </w:r>
            </w:ins>
          </w:p>
        </w:tc>
        <w:tc>
          <w:tcPr>
            <w:tcW w:w="1276" w:type="dxa"/>
            <w:tcBorders>
              <w:top w:val="nil"/>
              <w:bottom w:val="single" w:sz="4" w:space="0" w:color="auto"/>
            </w:tcBorders>
          </w:tcPr>
          <w:p>
            <w:pPr>
              <w:pStyle w:val="nTable"/>
              <w:spacing w:after="40"/>
              <w:rPr>
                <w:ins w:id="39" w:author="Master Repository Process" w:date="2023-06-20T12:23:00Z"/>
              </w:rPr>
            </w:pPr>
            <w:ins w:id="40" w:author="Master Repository Process" w:date="2023-06-20T12:23:00Z">
              <w:r>
                <w:t>SL 2023/78 20 Jun 2023</w:t>
              </w:r>
            </w:ins>
          </w:p>
        </w:tc>
        <w:tc>
          <w:tcPr>
            <w:tcW w:w="2693" w:type="dxa"/>
            <w:tcBorders>
              <w:top w:val="nil"/>
              <w:bottom w:val="single" w:sz="4" w:space="0" w:color="auto"/>
            </w:tcBorders>
          </w:tcPr>
          <w:p>
            <w:pPr>
              <w:pStyle w:val="nTable"/>
              <w:spacing w:after="40"/>
              <w:rPr>
                <w:ins w:id="41" w:author="Master Repository Process" w:date="2023-06-20T12:23:00Z"/>
              </w:rPr>
            </w:pPr>
            <w:ins w:id="42" w:author="Master Repository Process" w:date="2023-06-20T12:23:00Z">
              <w:r>
                <w:t>21 Jun 2023 (see r. 2(b))</w:t>
              </w:r>
            </w:ins>
          </w:p>
        </w:tc>
      </w:tr>
    </w:tbl>
    <w:p>
      <w:pPr>
        <w:pStyle w:val="nHeading3"/>
      </w:pPr>
      <w:bookmarkStart w:id="43" w:name="_Toc138154626"/>
      <w:bookmarkStart w:id="44" w:name="_Toc41047073"/>
      <w:r>
        <w:t>Other notes</w:t>
      </w:r>
      <w:bookmarkEnd w:id="43"/>
      <w:bookmarkEnd w:id="44"/>
    </w:p>
    <w:p>
      <w:pPr>
        <w:pStyle w:val="nNote"/>
      </w:pPr>
      <w:r>
        <w:rPr>
          <w:vertAlign w:val="superscript"/>
        </w:rPr>
        <w:t>1</w:t>
      </w:r>
      <w:r>
        <w:tab/>
        <w:t>These regulations expire at the close of 19 August </w:t>
      </w:r>
      <w:del w:id="45" w:author="Master Repository Process" w:date="2023-06-20T12:23:00Z">
        <w:r>
          <w:delText>2023</w:delText>
        </w:r>
      </w:del>
      <w:ins w:id="46" w:author="Master Repository Process" w:date="2023-06-20T12:23:00Z">
        <w:r>
          <w:t>2024</w:t>
        </w:r>
      </w:ins>
      <w:r>
        <w:t xml:space="preserve"> (see r. 9).</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bookmarkEnd w:id="29"/>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 w:name="Coversheet"/>
    <w:bookmarkEnd w:id="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91016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7093847" w:val="RemoveTocBookmarks,RemoveUnusedBookmarks,RemoveLanguageTags,UsedStyles,ResetPageSize"/>
    <w:docVar w:name="WAFER_20170407093847_GUID" w:val="a7895d7f-ad55-47fc-81ec-81bcb09a79a6"/>
    <w:docVar w:name="WAFER_20170407094901" w:val="RemoveTocBookmarks,RemoveUnusedBookmarks,RemoveLanguageTags,UsedStyles,ResetPageSize"/>
    <w:docVar w:name="WAFER_20170407094901_GUID" w:val="3215acea-9754-4571-8fb5-7fbdef91104c"/>
    <w:docVar w:name="WAFER_20170608095727" w:val="RemoveTocBookmarks,RemoveUnusedBookmarks,RemoveLanguageTags,UsedStyles,ResetPageSize"/>
    <w:docVar w:name="WAFER_20170608095727_GUID" w:val="3d1a2687-0ffb-490c-b172-72c781cc1dc8"/>
    <w:docVar w:name="WAFER_20170609095534" w:val="RemoveTocBookmarks,RemoveUnusedBookmarks,RemoveLanguageTags,UpdateStyles,UsedStyles,ResetPageSize"/>
    <w:docVar w:name="WAFER_20170609095534_GUID" w:val="b2cff505-aac6-4d57-bce1-23c2e6b61a79"/>
    <w:docVar w:name="WAFER_20200522101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2101218_GUID" w:val="9f554e8f-2d90-458c-be3a-aba23031c668"/>
    <w:docVar w:name="WAFER_202306191016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19101646_GUID" w:val="041015c0-8b30-4f56-b05f-4c373e475e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211185-8F60-46B1-9B7C-6245E71C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BC74-1CD8-4C18-9023-76E5172D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3193</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(Bungardi Restricted Area) Regulations 2017 00-b0-01 - 00-c0-00</dc:title>
  <dc:subject/>
  <dc:creator/>
  <cp:keywords/>
  <dc:description/>
  <cp:lastModifiedBy>Master Repository Process</cp:lastModifiedBy>
  <cp:revision>2</cp:revision>
  <cp:lastPrinted>2017-08-17T07:26:00Z</cp:lastPrinted>
  <dcterms:created xsi:type="dcterms:W3CDTF">2023-06-20T04:23:00Z</dcterms:created>
  <dcterms:modified xsi:type="dcterms:W3CDTF">2023-06-20T04:23:00Z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(Bungardi Restricted Area) Regulations 2017</vt:lpwstr>
  </property>
  <property fmtid="{D5CDD505-2E9C-101B-9397-08002B2CF9AE}" pid="3" name="Citation">
    <vt:lpwstr>Liquor Control (Bungardi Restricted Area) Regulations 2017</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CommencementDate">
    <vt:lpwstr>20230621</vt:lpwstr>
  </property>
  <property fmtid="{D5CDD505-2E9C-101B-9397-08002B2CF9AE}" pid="8" name="FromSuffix">
    <vt:lpwstr>00-b0-01</vt:lpwstr>
  </property>
  <property fmtid="{D5CDD505-2E9C-101B-9397-08002B2CF9AE}" pid="9" name="FromAsAtDate">
    <vt:lpwstr>23 May 2020</vt:lpwstr>
  </property>
  <property fmtid="{D5CDD505-2E9C-101B-9397-08002B2CF9AE}" pid="10" name="ToSuffix">
    <vt:lpwstr>00-c0-00</vt:lpwstr>
  </property>
  <property fmtid="{D5CDD505-2E9C-101B-9397-08002B2CF9AE}" pid="11" name="ToAsAtDate">
    <vt:lpwstr>21 Jun 2023</vt:lpwstr>
  </property>
</Properties>
</file>