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1" w:name="_Toc154748700"/>
      <w:bookmarkStart w:id="2" w:name="_Toc107216624"/>
      <w:bookmarkStart w:id="3" w:name="_Toc107216782"/>
      <w:bookmarkStart w:id="4" w:name="_Toc107219400"/>
      <w:bookmarkStart w:id="5" w:name="_Toc10732341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54748701"/>
      <w:bookmarkStart w:id="8" w:name="_Toc107323411"/>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9" w:name="_Toc154748702"/>
      <w:bookmarkStart w:id="10" w:name="_Toc107323412"/>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Heading5"/>
      </w:pPr>
      <w:bookmarkStart w:id="11" w:name="_Toc154748703"/>
      <w:bookmarkStart w:id="12" w:name="_Toc107323413"/>
      <w:r>
        <w:rPr>
          <w:rStyle w:val="CharSectno"/>
        </w:rPr>
        <w:t>3</w:t>
      </w:r>
      <w:r>
        <w:t>.</w:t>
      </w:r>
      <w:r>
        <w:tab/>
        <w:t>Terms used</w:t>
      </w:r>
      <w:bookmarkEnd w:id="11"/>
      <w:bookmarkEnd w:id="12"/>
    </w:p>
    <w:p>
      <w:pPr>
        <w:pStyle w:val="Subsection"/>
      </w:pPr>
      <w:r>
        <w:tab/>
      </w:r>
      <w:r>
        <w:tab/>
        <w:t xml:space="preserve">In these regulations — </w:t>
      </w:r>
    </w:p>
    <w:p>
      <w:pPr>
        <w:pStyle w:val="Defstart"/>
      </w:pPr>
      <w:r>
        <w:rPr>
          <w:b/>
        </w:rPr>
        <w:tab/>
      </w:r>
      <w:r>
        <w:rPr>
          <w:rStyle w:val="CharDefText"/>
        </w:rPr>
        <w:t>audit</w:t>
      </w:r>
      <w:r>
        <w:t xml:space="preserve">, in relation to a site, means to carry out a review of the investigation or remediation of a site to determine one or more of the following — </w:t>
      </w:r>
    </w:p>
    <w:p>
      <w:pPr>
        <w:pStyle w:val="Defpara"/>
      </w:pPr>
      <w:r>
        <w:tab/>
        <w:t>(a)</w:t>
      </w:r>
      <w:r>
        <w:tab/>
        <w:t>the nature and extent of any contamination of the site;</w:t>
      </w:r>
    </w:p>
    <w:p>
      <w:pPr>
        <w:pStyle w:val="Defpara"/>
      </w:pPr>
      <w:r>
        <w:tab/>
        <w:t>(b)</w:t>
      </w:r>
      <w:r>
        <w:tab/>
        <w:t>the nature and extent of the investigation or remediation of the site;</w:t>
      </w:r>
    </w:p>
    <w:p>
      <w:pPr>
        <w:pStyle w:val="Defpara"/>
      </w:pPr>
      <w:r>
        <w:tab/>
        <w:t>(c)</w:t>
      </w:r>
      <w:r>
        <w:tab/>
        <w:t>whether any restrictions on the use of the site are required;</w:t>
      </w:r>
    </w:p>
    <w:p>
      <w:pPr>
        <w:pStyle w:val="Defpara"/>
      </w:pPr>
      <w:r>
        <w:tab/>
        <w:t>(d)</w:t>
      </w:r>
      <w:r>
        <w:tab/>
        <w:t>the suitability of the land for a specific use, or a specific range of uses;</w:t>
      </w:r>
    </w:p>
    <w:p>
      <w:pPr>
        <w:pStyle w:val="Defpara"/>
      </w:pPr>
      <w:r>
        <w:tab/>
        <w:t>(e)</w:t>
      </w:r>
      <w:r>
        <w:tab/>
        <w:t>whether any further investigation of the site is required, recommended or necessary;</w:t>
      </w:r>
    </w:p>
    <w:p>
      <w:pPr>
        <w:pStyle w:val="Defpara"/>
      </w:pPr>
      <w:r>
        <w:tab/>
        <w:t>(f)</w:t>
      </w:r>
      <w:r>
        <w:tab/>
        <w:t>whether any further remediation of the site is required, recommended or necessary so that the site is suitable for all uses, or for a specific use, or a specific range of uses;</w:t>
      </w:r>
    </w:p>
    <w:p>
      <w:pPr>
        <w:pStyle w:val="Defpara"/>
      </w:pPr>
      <w:r>
        <w:tab/>
        <w:t>(g)</w:t>
      </w:r>
      <w:r>
        <w:tab/>
        <w:t>the suitability or appropriateness of a management plan;</w:t>
      </w:r>
    </w:p>
    <w:p>
      <w:pPr>
        <w:pStyle w:val="Defstart"/>
      </w:pPr>
      <w:r>
        <w:tab/>
      </w:r>
      <w:r>
        <w:rPr>
          <w:rStyle w:val="CharDefText"/>
        </w:rPr>
        <w:t>auditor insurance</w:t>
      </w:r>
      <w:r>
        <w:t xml:space="preserve"> means insurance referred to in regulation 59A;</w:t>
      </w:r>
    </w:p>
    <w:p>
      <w:pPr>
        <w:pStyle w:val="Defstart"/>
      </w:pPr>
      <w:r>
        <w:rPr>
          <w:b/>
        </w:rPr>
        <w:tab/>
      </w:r>
      <w:r>
        <w:rPr>
          <w:rStyle w:val="CharDefText"/>
        </w:rPr>
        <w:t>basic summary of records</w:t>
      </w:r>
      <w:r>
        <w:t xml:space="preserve"> means a summary of the information and documents from the records referred to in regulation 9;</w:t>
      </w:r>
    </w:p>
    <w:p>
      <w:pPr>
        <w:pStyle w:val="Defstart"/>
      </w:pPr>
      <w:r>
        <w:rPr>
          <w:b/>
        </w:rPr>
        <w:tab/>
      </w:r>
      <w:r>
        <w:rPr>
          <w:rStyle w:val="CharDefText"/>
        </w:rPr>
        <w:t>detailed summary of records</w:t>
      </w:r>
      <w:r>
        <w:t xml:space="preserve"> means a summary, or copies, of the information and documents from the records referred to in regulation 10;</w:t>
      </w:r>
    </w:p>
    <w:p>
      <w:pPr>
        <w:pStyle w:val="Defstart"/>
      </w:pPr>
      <w:r>
        <w:rPr>
          <w:b/>
        </w:rPr>
        <w:tab/>
      </w:r>
      <w:r>
        <w:rPr>
          <w:rStyle w:val="CharDefText"/>
        </w:rPr>
        <w:t>Form</w:t>
      </w:r>
      <w:r>
        <w:t>, followed by a number, means the form so numbered in Schedule 1;</w:t>
      </w:r>
    </w:p>
    <w:p>
      <w:pPr>
        <w:pStyle w:val="Defstart"/>
      </w:pPr>
      <w:r>
        <w:rPr>
          <w:b/>
        </w:rPr>
        <w:tab/>
      </w:r>
      <w:r>
        <w:rPr>
          <w:rStyle w:val="CharDefText"/>
        </w:rPr>
        <w:t>panel of names</w:t>
      </w:r>
      <w:r>
        <w:t xml:space="preserve"> means a panel of names referred to in regulation 13(2)(a);</w:t>
      </w:r>
    </w:p>
    <w:p>
      <w:pPr>
        <w:pStyle w:val="Defstart"/>
      </w:pPr>
      <w:r>
        <w:rPr>
          <w:b/>
        </w:rPr>
        <w:tab/>
      </w:r>
      <w:r>
        <w:rPr>
          <w:rStyle w:val="CharDefText"/>
        </w:rPr>
        <w:t>summary of records</w:t>
      </w:r>
      <w:r>
        <w:t xml:space="preserve"> means a basic summary of records or a detailed summary of records;</w:t>
      </w:r>
    </w:p>
    <w:p>
      <w:pPr>
        <w:pStyle w:val="Defstart"/>
      </w:pPr>
      <w:r>
        <w:tab/>
      </w:r>
      <w:r>
        <w:rPr>
          <w:rStyle w:val="CharDefText"/>
        </w:rPr>
        <w:t>supporting expert</w:t>
      </w:r>
      <w:r>
        <w:t xml:space="preserve"> means a person with theoretical and practical knowledge and skills that enable the person to assist an auditor to carry out the functions of an auditor;</w:t>
      </w:r>
    </w:p>
    <w:p>
      <w:pPr>
        <w:pStyle w:val="Defstart"/>
      </w:pPr>
      <w:r>
        <w:tab/>
      </w:r>
      <w:r>
        <w:rPr>
          <w:rStyle w:val="CharDefText"/>
        </w:rPr>
        <w:t>supporting expert insurance</w:t>
      </w:r>
      <w:r>
        <w:t xml:space="preserve"> means insurance referred to in in regulation 59B.</w:t>
      </w:r>
    </w:p>
    <w:p>
      <w:pPr>
        <w:pStyle w:val="Footnotesection"/>
      </w:pPr>
      <w:r>
        <w:tab/>
        <w:t>[Regulation 3 amended: SL 2022/99 r. 4.]</w:t>
      </w:r>
    </w:p>
    <w:p>
      <w:pPr>
        <w:pStyle w:val="Heading5"/>
      </w:pPr>
      <w:bookmarkStart w:id="13" w:name="_Toc154748704"/>
      <w:bookmarkStart w:id="14" w:name="_Toc107323414"/>
      <w:r>
        <w:rPr>
          <w:rStyle w:val="CharSectno"/>
        </w:rPr>
        <w:t>4</w:t>
      </w:r>
      <w:r>
        <w:t>.</w:t>
      </w:r>
      <w:r>
        <w:tab/>
        <w:t>Fees</w:t>
      </w:r>
      <w:bookmarkEnd w:id="13"/>
      <w:bookmarkEnd w:id="14"/>
    </w:p>
    <w:p>
      <w:pPr>
        <w:pStyle w:val="Subsection"/>
      </w:pPr>
      <w:r>
        <w:tab/>
      </w:r>
      <w:r>
        <w:tab/>
        <w:t>In these regulations fee amounts are expressed in units or fractions of a unit, one unit being equivalent to $</w:t>
      </w:r>
      <w:del w:id="15" w:author="Master Repository Process" w:date="2023-12-29T13:25:00Z">
        <w:r>
          <w:delText>15</w:delText>
        </w:r>
      </w:del>
      <w:ins w:id="16" w:author="Master Repository Process" w:date="2023-12-29T13:25:00Z">
        <w:r>
          <w:t>22</w:t>
        </w:r>
      </w:ins>
      <w:r>
        <w:t>.</w:t>
      </w:r>
    </w:p>
    <w:p>
      <w:pPr>
        <w:pStyle w:val="Footnotesection"/>
        <w:rPr>
          <w:ins w:id="17" w:author="Master Repository Process" w:date="2023-12-29T13:25:00Z"/>
        </w:rPr>
      </w:pPr>
      <w:ins w:id="18" w:author="Master Repository Process" w:date="2023-12-29T13:25:00Z">
        <w:r>
          <w:tab/>
          <w:t>[Regulation 4 amended: SL 2023/95 r. 4.]</w:t>
        </w:r>
      </w:ins>
    </w:p>
    <w:p>
      <w:pPr>
        <w:pStyle w:val="Heading5"/>
      </w:pPr>
      <w:bookmarkStart w:id="19" w:name="_Toc154748705"/>
      <w:bookmarkStart w:id="20" w:name="_Toc107323415"/>
      <w:r>
        <w:rPr>
          <w:rStyle w:val="CharSectno"/>
        </w:rPr>
        <w:t>5</w:t>
      </w:r>
      <w:r>
        <w:t>.</w:t>
      </w:r>
      <w:r>
        <w:tab/>
        <w:t>Land, water and sites that are not contaminated — section 4(2)</w:t>
      </w:r>
      <w:bookmarkEnd w:id="19"/>
      <w:bookmarkEnd w:id="20"/>
    </w:p>
    <w:p>
      <w:pPr>
        <w:pStyle w:val="Subsection"/>
      </w:pPr>
      <w:r>
        <w:tab/>
        <w:t>(1)</w:t>
      </w:r>
      <w:r>
        <w:tab/>
        <w:t>Surface water that is affected by eutrophication is not contaminated only because of the eutrophication.</w:t>
      </w:r>
    </w:p>
    <w:p>
      <w:pPr>
        <w:pStyle w:val="Subsection"/>
      </w:pPr>
      <w:r>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Indenta"/>
      </w:pPr>
      <w:r>
        <w:tab/>
        <w:t>(a)</w:t>
      </w:r>
      <w:r>
        <w:tab/>
        <w:t>part of a building or other structure; or</w:t>
      </w:r>
    </w:p>
    <w:p>
      <w:pPr>
        <w:pStyle w:val="Indenta"/>
      </w:pPr>
      <w:r>
        <w:tab/>
        <w:t>(b)</w:t>
      </w:r>
      <w:r>
        <w:tab/>
        <w:t>wholly contained within a building; or</w:t>
      </w:r>
    </w:p>
    <w:p>
      <w:pPr>
        <w:pStyle w:val="Indenta"/>
      </w:pPr>
      <w:r>
        <w:tab/>
        <w:t>(c)</w:t>
      </w:r>
      <w:r>
        <w:tab/>
        <w:t xml:space="preserve">sewage, effluent or liquid waste that is being treated, or has been treated, by a domestic sewage apparatus operated in compliance with regulations 15 to 19 of the </w:t>
      </w:r>
      <w:r>
        <w:rPr>
          <w:i/>
        </w:rPr>
        <w:t>Health (Treatment of Sewage and Disposal of Effluent and Liquid Waste) Regulations 1974</w:t>
      </w:r>
      <w:r>
        <w:t>; or</w:t>
      </w:r>
    </w:p>
    <w:p>
      <w:pPr>
        <w:pStyle w:val="Indenta"/>
      </w:pPr>
      <w:r>
        <w:tab/>
        <w:t>(d)</w:t>
      </w:r>
      <w:r>
        <w:tab/>
        <w:t>total soluble salts, present in a diffuse manner, as a result of salinisation, whether natural, anthropogenic or both; or</w:t>
      </w:r>
    </w:p>
    <w:p>
      <w:pPr>
        <w:pStyle w:val="Indenta"/>
      </w:pPr>
      <w:r>
        <w:tab/>
        <w:t>(e)</w:t>
      </w:r>
      <w:r>
        <w:tab/>
        <w:t>an explosive substance contained within an unexploded ordnance; or</w:t>
      </w:r>
    </w:p>
    <w:p>
      <w:pPr>
        <w:pStyle w:val="Indenta"/>
      </w:pPr>
      <w:r>
        <w:tab/>
        <w:t>(f)</w:t>
      </w:r>
      <w:r>
        <w:tab/>
        <w:t>a substance that is present as a direct result of the correct application of a fertiliser, herbicide or pesticide to land, subject to subregulation (3).</w:t>
      </w:r>
    </w:p>
    <w:p>
      <w:pPr>
        <w:pStyle w:val="Subsection"/>
      </w:pPr>
      <w:r>
        <w:tab/>
        <w:t>(3)</w:t>
      </w:r>
      <w:r>
        <w:tab/>
        <w:t>Subregulation (2)(f) does not apply in respect of land, water or a site if there has been a change to the use to which the land is put since the application of the fertiliser, herbicide or pesticide.</w:t>
      </w:r>
    </w:p>
    <w:p>
      <w:pPr>
        <w:pStyle w:val="Subsection"/>
      </w:pPr>
      <w:r>
        <w:tab/>
        <w:t>(4)</w:t>
      </w:r>
      <w:r>
        <w:tab/>
        <w:t xml:space="preserve">In this regulation — </w:t>
      </w:r>
    </w:p>
    <w:p>
      <w:pPr>
        <w:pStyle w:val="Defstart"/>
      </w:pPr>
      <w:r>
        <w:rPr>
          <w:b/>
        </w:rPr>
        <w:tab/>
      </w:r>
      <w:r>
        <w:rPr>
          <w:rStyle w:val="CharDefText"/>
        </w:rPr>
        <w:t>correct application</w:t>
      </w:r>
      <w:r>
        <w:t>,</w:t>
      </w:r>
      <w:r>
        <w:rPr>
          <w:b/>
        </w:rPr>
        <w:t xml:space="preserve"> </w:t>
      </w:r>
      <w:r>
        <w:t xml:space="preserve">in relation to a fertiliser, herbicide or pesticide means application in accordance with — </w:t>
      </w:r>
    </w:p>
    <w:p>
      <w:pPr>
        <w:pStyle w:val="Defpara"/>
      </w:pPr>
      <w:r>
        <w:tab/>
        <w:t>(a)</w:t>
      </w:r>
      <w:r>
        <w:tab/>
        <w:t>any written law regarding the application of the fertiliser, herbicide or pesticide which was in force at the time of the application; or</w:t>
      </w:r>
    </w:p>
    <w:p>
      <w:pPr>
        <w:pStyle w:val="Defpara"/>
      </w:pPr>
      <w:r>
        <w:tab/>
        <w:t>(b)</w:t>
      </w:r>
      <w:r>
        <w:tab/>
        <w:t>if no such written law was in force at that time, any relevant recommendation of the manufacturer or distributor of the fertiliser, herbicide or pesticide;</w:t>
      </w:r>
    </w:p>
    <w:p>
      <w:pPr>
        <w:pStyle w:val="Defstart"/>
      </w:pPr>
      <w:r>
        <w:rPr>
          <w:b/>
        </w:rPr>
        <w:tab/>
      </w:r>
      <w:r>
        <w:rPr>
          <w:rStyle w:val="CharDefText"/>
        </w:rPr>
        <w:t>domestic sewage apparatus</w:t>
      </w:r>
      <w:r>
        <w:t xml:space="preserve"> means an apparatus for the treatment of sewage (within the meaning of the </w:t>
      </w:r>
      <w:r>
        <w:rPr>
          <w:i/>
        </w:rPr>
        <w:t xml:space="preserve">Health (Miscellaneous Provisions) Act 1911 </w:t>
      </w:r>
      <w:r>
        <w:t>section 3) that treats less than 540 litres of sewage per day.</w:t>
      </w:r>
    </w:p>
    <w:p>
      <w:pPr>
        <w:pStyle w:val="Footnotesection"/>
      </w:pPr>
      <w:r>
        <w:tab/>
        <w:t>[Regulation 5 amended: Gazette 10 Jan 2017 p. 193.]</w:t>
      </w:r>
    </w:p>
    <w:p>
      <w:pPr>
        <w:pStyle w:val="Heading2"/>
      </w:pPr>
      <w:bookmarkStart w:id="21" w:name="_Toc154748706"/>
      <w:bookmarkStart w:id="22" w:name="_Toc107216630"/>
      <w:bookmarkStart w:id="23" w:name="_Toc107216788"/>
      <w:bookmarkStart w:id="24" w:name="_Toc107219406"/>
      <w:bookmarkStart w:id="25" w:name="_Toc107323416"/>
      <w:r>
        <w:rPr>
          <w:rStyle w:val="CharPartNo"/>
        </w:rPr>
        <w:t>Part 2</w:t>
      </w:r>
      <w:r>
        <w:rPr>
          <w:rStyle w:val="CharDivNo"/>
        </w:rPr>
        <w:t> </w:t>
      </w:r>
      <w:r>
        <w:t>—</w:t>
      </w:r>
      <w:r>
        <w:rPr>
          <w:rStyle w:val="CharDivText"/>
        </w:rPr>
        <w:t> </w:t>
      </w:r>
      <w:r>
        <w:rPr>
          <w:rStyle w:val="CharPartText"/>
        </w:rPr>
        <w:t>Reporting of known, or suspected, contaminated sites</w:t>
      </w:r>
      <w:bookmarkEnd w:id="21"/>
      <w:bookmarkEnd w:id="22"/>
      <w:bookmarkEnd w:id="23"/>
      <w:bookmarkEnd w:id="24"/>
      <w:bookmarkEnd w:id="25"/>
    </w:p>
    <w:p>
      <w:pPr>
        <w:pStyle w:val="Heading5"/>
      </w:pPr>
      <w:bookmarkStart w:id="26" w:name="_Toc154748707"/>
      <w:bookmarkStart w:id="27" w:name="_Toc107323417"/>
      <w:r>
        <w:rPr>
          <w:rStyle w:val="CharSectno"/>
        </w:rPr>
        <w:t>6</w:t>
      </w:r>
      <w:r>
        <w:t>.</w:t>
      </w:r>
      <w:r>
        <w:tab/>
        <w:t>Report of known, or suspected, contaminated site — Form 1</w:t>
      </w:r>
      <w:bookmarkEnd w:id="26"/>
      <w:bookmarkEnd w:id="27"/>
    </w:p>
    <w:p>
      <w:pPr>
        <w:pStyle w:val="Subsection"/>
      </w:pPr>
      <w:r>
        <w:tab/>
      </w:r>
      <w:r>
        <w:tab/>
        <w:t>A report, under the Act section 11, of a site that a person knows, or suspects, is contaminated is to be made in the form of Form</w:t>
      </w:r>
      <w:del w:id="28" w:author="Master Repository Process" w:date="2023-12-29T13:25:00Z">
        <w:r>
          <w:delText xml:space="preserve"> </w:delText>
        </w:r>
      </w:del>
      <w:ins w:id="29" w:author="Master Repository Process" w:date="2023-12-29T13:25:00Z">
        <w:r>
          <w:t> </w:t>
        </w:r>
      </w:ins>
      <w:r>
        <w:t>1.</w:t>
      </w:r>
    </w:p>
    <w:p>
      <w:pPr>
        <w:pStyle w:val="Heading2"/>
      </w:pPr>
      <w:bookmarkStart w:id="30" w:name="_Toc154748708"/>
      <w:bookmarkStart w:id="31" w:name="_Toc107216632"/>
      <w:bookmarkStart w:id="32" w:name="_Toc107216790"/>
      <w:bookmarkStart w:id="33" w:name="_Toc107219408"/>
      <w:bookmarkStart w:id="34" w:name="_Toc107323418"/>
      <w:r>
        <w:rPr>
          <w:rStyle w:val="CharPartNo"/>
        </w:rPr>
        <w:t>Part 3</w:t>
      </w:r>
      <w:r>
        <w:rPr>
          <w:rStyle w:val="CharDivNo"/>
        </w:rPr>
        <w:t> </w:t>
      </w:r>
      <w:r>
        <w:t>—</w:t>
      </w:r>
      <w:r>
        <w:rPr>
          <w:rStyle w:val="CharDivText"/>
        </w:rPr>
        <w:t> </w:t>
      </w:r>
      <w:r>
        <w:rPr>
          <w:rStyle w:val="CharPartText"/>
        </w:rPr>
        <w:t>Public access to information and documents</w:t>
      </w:r>
      <w:bookmarkEnd w:id="30"/>
      <w:bookmarkEnd w:id="31"/>
      <w:bookmarkEnd w:id="32"/>
      <w:bookmarkEnd w:id="33"/>
      <w:bookmarkEnd w:id="34"/>
    </w:p>
    <w:p>
      <w:pPr>
        <w:pStyle w:val="Heading5"/>
      </w:pPr>
      <w:bookmarkStart w:id="35" w:name="_Toc154748709"/>
      <w:bookmarkStart w:id="36" w:name="_Toc107323419"/>
      <w:r>
        <w:rPr>
          <w:rStyle w:val="CharSectno"/>
        </w:rPr>
        <w:t>7</w:t>
      </w:r>
      <w:r>
        <w:t>.</w:t>
      </w:r>
      <w:r>
        <w:tab/>
        <w:t>Interpretation</w:t>
      </w:r>
      <w:bookmarkEnd w:id="35"/>
      <w:bookmarkEnd w:id="36"/>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5"/>
      </w:pPr>
      <w:bookmarkStart w:id="37" w:name="_Toc154748710"/>
      <w:bookmarkStart w:id="38" w:name="_Toc107323420"/>
      <w:r>
        <w:rPr>
          <w:rStyle w:val="CharSectno"/>
        </w:rPr>
        <w:t>8</w:t>
      </w:r>
      <w:r>
        <w:t>.</w:t>
      </w:r>
      <w:r>
        <w:tab/>
        <w:t>Request for access to a summary of records — Form 2</w:t>
      </w:r>
      <w:bookmarkEnd w:id="37"/>
      <w:bookmarkEnd w:id="38"/>
    </w:p>
    <w:p>
      <w:pPr>
        <w:pStyle w:val="Subsection"/>
      </w:pPr>
      <w:r>
        <w:tab/>
        <w:t>(1)</w:t>
      </w:r>
      <w:r>
        <w:tab/>
        <w:t xml:space="preserve">For the purposes of the Act section 21(1), a request for access to a summary of records is to — </w:t>
      </w:r>
    </w:p>
    <w:p>
      <w:pPr>
        <w:pStyle w:val="Indenta"/>
      </w:pPr>
      <w:r>
        <w:tab/>
        <w:t>(a)</w:t>
      </w:r>
      <w:r>
        <w:tab/>
        <w:t>be made to the CEO in the form of Form 2; and</w:t>
      </w:r>
    </w:p>
    <w:p>
      <w:pPr>
        <w:pStyle w:val="Indenta"/>
      </w:pPr>
      <w:r>
        <w:tab/>
        <w:t>(b)</w:t>
      </w:r>
      <w:r>
        <w:tab/>
        <w:t>specify whether a basic or a detailed summary of records is requested; and</w:t>
      </w:r>
    </w:p>
    <w:p>
      <w:pPr>
        <w:pStyle w:val="Indenta"/>
      </w:pPr>
      <w:r>
        <w:tab/>
        <w:t>(c)</w:t>
      </w:r>
      <w:r>
        <w:tab/>
        <w:t xml:space="preserve">be accompanied by — </w:t>
      </w:r>
    </w:p>
    <w:p>
      <w:pPr>
        <w:pStyle w:val="Indenti"/>
      </w:pPr>
      <w:r>
        <w:tab/>
        <w:t>(i)</w:t>
      </w:r>
      <w:r>
        <w:tab/>
        <w:t>if the request is for a basic summary of records, the fee set out in Schedule 2 item 1; and</w:t>
      </w:r>
    </w:p>
    <w:p>
      <w:pPr>
        <w:pStyle w:val="Indenti"/>
      </w:pPr>
      <w:r>
        <w:tab/>
        <w:t>(ii)</w:t>
      </w:r>
      <w:r>
        <w:tab/>
        <w:t>if the request is for a detailed summary of records, the fee set out in Schedule 2 item 2.</w:t>
      </w:r>
    </w:p>
    <w:p>
      <w:pPr>
        <w:pStyle w:val="Subsection"/>
      </w:pPr>
      <w:r>
        <w:tab/>
        <w:t>(2)</w:t>
      </w:r>
      <w:r>
        <w:tab/>
        <w:t>The CEO may reduce, waive or refund, in whole or in part, the fee referred to in subregulation (1)(c)(ii) if it considers it appropriate to do so in the circumstances of the case.</w:t>
      </w:r>
    </w:p>
    <w:p>
      <w:pPr>
        <w:pStyle w:val="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Heading5"/>
      </w:pPr>
      <w:bookmarkStart w:id="39" w:name="_Toc154748711"/>
      <w:bookmarkStart w:id="40" w:name="_Toc107323421"/>
      <w:r>
        <w:rPr>
          <w:rStyle w:val="CharSectno"/>
        </w:rPr>
        <w:t>9</w:t>
      </w:r>
      <w:r>
        <w:t>.</w:t>
      </w:r>
      <w:r>
        <w:tab/>
        <w:t>Basic summary of records</w:t>
      </w:r>
      <w:bookmarkEnd w:id="39"/>
      <w:bookmarkEnd w:id="40"/>
    </w:p>
    <w:p>
      <w:pPr>
        <w:pStyle w:val="Subsection"/>
      </w:pPr>
      <w:r>
        <w:tab/>
        <w:t>(1)</w:t>
      </w:r>
      <w:r>
        <w:tab/>
        <w:t xml:space="preserve">For the purposes of the Act section 21(2), a basic summary of records in respect of the land specified in a request for access to a summary of records is a summary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any notice given under the Act Part 4 that applies in respect of the land.</w:t>
      </w:r>
    </w:p>
    <w:p>
      <w:pPr>
        <w:pStyle w:val="Subsection"/>
      </w:pPr>
      <w:r>
        <w:tab/>
        <w:t>(2)</w:t>
      </w:r>
      <w:r>
        <w:tab/>
        <w:t xml:space="preserve">A basic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41" w:name="_Toc154748712"/>
      <w:bookmarkStart w:id="42" w:name="_Toc107323422"/>
      <w:r>
        <w:rPr>
          <w:rStyle w:val="CharSectno"/>
        </w:rPr>
        <w:t>10</w:t>
      </w:r>
      <w:r>
        <w:t>.</w:t>
      </w:r>
      <w:r>
        <w:tab/>
        <w:t>Detailed summary of records</w:t>
      </w:r>
      <w:bookmarkEnd w:id="41"/>
      <w:bookmarkEnd w:id="42"/>
    </w:p>
    <w:p>
      <w:pPr>
        <w:pStyle w:val="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 xml:space="preserve">any notice given under the Act Part 4 that applies in respect of the land; </w:t>
      </w:r>
    </w:p>
    <w:p>
      <w:pPr>
        <w:pStyle w:val="Indenta"/>
      </w:pPr>
      <w:r>
        <w:tab/>
        <w:t>(c)</w:t>
      </w:r>
      <w:r>
        <w:tab/>
        <w:t>any certificate of contamination audit given in respect of the land;</w:t>
      </w:r>
    </w:p>
    <w:p>
      <w:pPr>
        <w:pStyle w:val="Indenta"/>
      </w:pPr>
      <w:r>
        <w:tab/>
        <w:t>(d)</w:t>
      </w:r>
      <w:r>
        <w:tab/>
        <w:t xml:space="preserve">the author, date and title of the following records, if any, about the land — </w:t>
      </w:r>
    </w:p>
    <w:p>
      <w:pPr>
        <w:pStyle w:val="Indenti"/>
      </w:pPr>
      <w:r>
        <w:tab/>
        <w:t>(i)</w:t>
      </w:r>
      <w:r>
        <w:tab/>
        <w:t>management plans submitted to the CEO;</w:t>
      </w:r>
    </w:p>
    <w:p>
      <w:pPr>
        <w:pStyle w:val="Indenti"/>
      </w:pPr>
      <w:r>
        <w:tab/>
        <w:t>(ii)</w:t>
      </w:r>
      <w:r>
        <w:tab/>
        <w:t>sampling and analysis programmes given to the CEO under the Act section 49(4)(d);</w:t>
      </w:r>
    </w:p>
    <w:p>
      <w:pPr>
        <w:pStyle w:val="Indenta"/>
      </w:pPr>
      <w:r>
        <w:tab/>
        <w:t>(e)</w:t>
      </w:r>
      <w:r>
        <w:tab/>
        <w:t>any other information or documents from the records that the CEO considers appropriate.</w:t>
      </w:r>
    </w:p>
    <w:p>
      <w:pPr>
        <w:pStyle w:val="Subsection"/>
      </w:pPr>
      <w:r>
        <w:tab/>
        <w:t>(2)</w:t>
      </w:r>
      <w:r>
        <w:tab/>
        <w:t xml:space="preserve">A detailed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43" w:name="_Toc154748713"/>
      <w:bookmarkStart w:id="44" w:name="_Toc107323423"/>
      <w:r>
        <w:rPr>
          <w:rStyle w:val="CharSectno"/>
        </w:rPr>
        <w:t>11</w:t>
      </w:r>
      <w:r>
        <w:t>.</w:t>
      </w:r>
      <w:r>
        <w:tab/>
        <w:t>Inspection of records referred to in detailed summary of records</w:t>
      </w:r>
      <w:bookmarkEnd w:id="43"/>
      <w:bookmarkEnd w:id="44"/>
    </w:p>
    <w:p>
      <w:pPr>
        <w:pStyle w:val="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Heading5"/>
      </w:pPr>
      <w:bookmarkStart w:id="45" w:name="_Toc154748714"/>
      <w:bookmarkStart w:id="46" w:name="_Toc107323424"/>
      <w:r>
        <w:rPr>
          <w:rStyle w:val="CharSectno"/>
        </w:rPr>
        <w:t>12</w:t>
      </w:r>
      <w:r>
        <w:t>.</w:t>
      </w:r>
      <w:r>
        <w:tab/>
        <w:t>Land not part of classified site</w:t>
      </w:r>
      <w:bookmarkEnd w:id="45"/>
      <w:bookmarkEnd w:id="46"/>
    </w:p>
    <w:p>
      <w:pPr>
        <w:pStyle w:val="Subsection"/>
      </w:pPr>
      <w:r>
        <w:tab/>
      </w:r>
      <w:r>
        <w:tab/>
        <w:t>If a person requests a summary of records in respect of land that does not comprise all, or part, of a site that is classified then the person is to be advised of that fact in writing.</w:t>
      </w:r>
    </w:p>
    <w:p>
      <w:pPr>
        <w:pStyle w:val="Heading2"/>
      </w:pPr>
      <w:bookmarkStart w:id="47" w:name="_Toc154748715"/>
      <w:bookmarkStart w:id="48" w:name="_Toc107216639"/>
      <w:bookmarkStart w:id="49" w:name="_Toc107216797"/>
      <w:bookmarkStart w:id="50" w:name="_Toc107219415"/>
      <w:bookmarkStart w:id="51" w:name="_Toc107323425"/>
      <w:r>
        <w:rPr>
          <w:rStyle w:val="CharPartNo"/>
        </w:rPr>
        <w:t>Part 4</w:t>
      </w:r>
      <w:r>
        <w:rPr>
          <w:rStyle w:val="CharDivNo"/>
        </w:rPr>
        <w:t> </w:t>
      </w:r>
      <w:r>
        <w:t>—</w:t>
      </w:r>
      <w:r>
        <w:rPr>
          <w:rStyle w:val="CharDivText"/>
        </w:rPr>
        <w:t> </w:t>
      </w:r>
      <w:r>
        <w:rPr>
          <w:rStyle w:val="CharPartText"/>
        </w:rPr>
        <w:t>Contaminated Sites Committee</w:t>
      </w:r>
      <w:bookmarkEnd w:id="47"/>
      <w:bookmarkEnd w:id="48"/>
      <w:bookmarkEnd w:id="49"/>
      <w:bookmarkEnd w:id="50"/>
      <w:bookmarkEnd w:id="51"/>
    </w:p>
    <w:p>
      <w:pPr>
        <w:pStyle w:val="Heading5"/>
      </w:pPr>
      <w:bookmarkStart w:id="52" w:name="_Toc154748716"/>
      <w:bookmarkStart w:id="53" w:name="_Toc107323426"/>
      <w:r>
        <w:rPr>
          <w:rStyle w:val="CharSectno"/>
        </w:rPr>
        <w:t>13</w:t>
      </w:r>
      <w:r>
        <w:t>.</w:t>
      </w:r>
      <w:r>
        <w:tab/>
        <w:t>Establishment of committee or replacement of member</w:t>
      </w:r>
      <w:bookmarkEnd w:id="52"/>
      <w:bookmarkEnd w:id="53"/>
    </w:p>
    <w:p>
      <w:pPr>
        <w:pStyle w:val="Subsection"/>
      </w:pPr>
      <w:r>
        <w:tab/>
        <w:t>(1)</w:t>
      </w:r>
      <w:r>
        <w:tab/>
        <w:t xml:space="preserve">The Minister, when — </w:t>
      </w:r>
    </w:p>
    <w:p>
      <w:pPr>
        <w:pStyle w:val="Indenta"/>
      </w:pPr>
      <w:r>
        <w:tab/>
        <w:t>(a)</w:t>
      </w:r>
      <w:r>
        <w:tab/>
        <w:t>establishing a committee under the Act section 33(1); or</w:t>
      </w:r>
    </w:p>
    <w:p>
      <w:pPr>
        <w:pStyle w:val="Indenta"/>
      </w:pPr>
      <w:r>
        <w:tab/>
        <w:t>(b)</w:t>
      </w:r>
      <w:r>
        <w:tab/>
        <w:t xml:space="preserve">wishing to appoint a member to the committee to fill a vacancy arising due to — </w:t>
      </w:r>
    </w:p>
    <w:p>
      <w:pPr>
        <w:pStyle w:val="Indenti"/>
      </w:pPr>
      <w:r>
        <w:tab/>
        <w:t>(i)</w:t>
      </w:r>
      <w:r>
        <w:tab/>
        <w:t xml:space="preserve">the death, resignation or removal of a member of the committee; or </w:t>
      </w:r>
    </w:p>
    <w:p>
      <w:pPr>
        <w:pStyle w:val="Indenti"/>
      </w:pPr>
      <w:r>
        <w:tab/>
        <w:t>(ii)</w:t>
      </w:r>
      <w:r>
        <w:tab/>
        <w:t>any other reason,</w:t>
      </w:r>
    </w:p>
    <w:p>
      <w:pPr>
        <w:pStyle w:val="Subsection"/>
      </w:pPr>
      <w:r>
        <w:tab/>
      </w:r>
      <w:r>
        <w:tab/>
        <w:t>is to request the CEO to submit to the Minister a panel of names.</w:t>
      </w:r>
    </w:p>
    <w:p>
      <w:pPr>
        <w:pStyle w:val="Subsection"/>
      </w:pPr>
      <w:r>
        <w:tab/>
        <w:t>(2)</w:t>
      </w:r>
      <w:r>
        <w:tab/>
        <w:t xml:space="preserve">As soon as is practicable after being requested to do so by the Minister, the CEO is to submit to the Minister in writing — </w:t>
      </w:r>
    </w:p>
    <w:p>
      <w:pPr>
        <w:pStyle w:val="Indenta"/>
      </w:pPr>
      <w:r>
        <w:tab/>
        <w:t>(a)</w:t>
      </w:r>
      <w:r>
        <w:tab/>
        <w:t>a panel of names, chosen in accordance with regulation 16, from which the committee may be selected, or from which a member may be appointed to the committee, as is relevant; and</w:t>
      </w:r>
    </w:p>
    <w:p>
      <w:pPr>
        <w:pStyle w:val="Indenta"/>
      </w:pPr>
      <w:r>
        <w:tab/>
        <w:t>(b)</w:t>
      </w:r>
      <w:r>
        <w:tab/>
        <w:t>any recommendation the CEO has as to membership of the committee or appointment of a member.</w:t>
      </w:r>
    </w:p>
    <w:p>
      <w:pPr>
        <w:pStyle w:val="Heading5"/>
      </w:pPr>
      <w:bookmarkStart w:id="54" w:name="_Toc154748717"/>
      <w:bookmarkStart w:id="55" w:name="_Toc107323427"/>
      <w:r>
        <w:rPr>
          <w:rStyle w:val="CharSectno"/>
        </w:rPr>
        <w:t>14</w:t>
      </w:r>
      <w:r>
        <w:t>.</w:t>
      </w:r>
      <w:r>
        <w:tab/>
        <w:t>Term of office of members of the committee</w:t>
      </w:r>
      <w:bookmarkEnd w:id="54"/>
      <w:bookmarkEnd w:id="55"/>
    </w:p>
    <w:p>
      <w:pPr>
        <w:pStyle w:val="Subsection"/>
      </w:pPr>
      <w:r>
        <w:tab/>
        <w:t>(1)</w:t>
      </w:r>
      <w:r>
        <w:tab/>
        <w:t>A member of the committee holds office for such period, not exceeding 3 years, as is specified in the instrument of his or her appointment.</w:t>
      </w:r>
    </w:p>
    <w:p>
      <w:pPr>
        <w:pStyle w:val="Subsection"/>
      </w:pPr>
      <w:r>
        <w:tab/>
        <w:t>(2)</w:t>
      </w:r>
      <w:r>
        <w:tab/>
        <w:t>A member of the committee is eligible for re</w:t>
      </w:r>
      <w:r>
        <w:noBreakHyphen/>
        <w:t>appointment.</w:t>
      </w:r>
    </w:p>
    <w:p>
      <w:pPr>
        <w:pStyle w:val="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Ednotesection"/>
      </w:pPr>
      <w:r>
        <w:t>[</w:t>
      </w:r>
      <w:r>
        <w:rPr>
          <w:b/>
          <w:bCs/>
        </w:rPr>
        <w:t>15.</w:t>
      </w:r>
      <w:r>
        <w:tab/>
        <w:t>Deleted: SL 2022/37 r. 4.]</w:t>
      </w:r>
    </w:p>
    <w:p>
      <w:pPr>
        <w:pStyle w:val="Heading5"/>
      </w:pPr>
      <w:bookmarkStart w:id="56" w:name="_Toc154748718"/>
      <w:bookmarkStart w:id="57" w:name="_Toc107323428"/>
      <w:r>
        <w:rPr>
          <w:rStyle w:val="CharSectno"/>
        </w:rPr>
        <w:t>16</w:t>
      </w:r>
      <w:r>
        <w:t>.</w:t>
      </w:r>
      <w:r>
        <w:tab/>
        <w:t>Panel of names — section 33(3)</w:t>
      </w:r>
      <w:bookmarkEnd w:id="56"/>
      <w:bookmarkEnd w:id="57"/>
    </w:p>
    <w:p>
      <w:pPr>
        <w:pStyle w:val="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Subsection"/>
      </w:pPr>
      <w:r>
        <w:tab/>
        <w:t>(3)</w:t>
      </w:r>
      <w:r>
        <w:tab/>
        <w:t xml:space="preserve">A panel of names is to include the names of at least 10 people of whom — </w:t>
      </w:r>
    </w:p>
    <w:p>
      <w:pPr>
        <w:pStyle w:val="Indenta"/>
      </w:pPr>
      <w:r>
        <w:tab/>
        <w:t>(a)</w:t>
      </w:r>
      <w:r>
        <w:tab/>
        <w:t>at least 6 have expertise in contaminated site management or environmental management; and</w:t>
      </w:r>
    </w:p>
    <w:p>
      <w:pPr>
        <w:pStyle w:val="Indenta"/>
      </w:pPr>
      <w:r>
        <w:tab/>
        <w:t>(b)</w:t>
      </w:r>
      <w:r>
        <w:tab/>
        <w:t>at least 2 are legal practitioners.</w:t>
      </w:r>
    </w:p>
    <w:p>
      <w:pPr>
        <w:pStyle w:val="Heading5"/>
      </w:pPr>
      <w:bookmarkStart w:id="58" w:name="_Toc154748719"/>
      <w:bookmarkStart w:id="59" w:name="_Toc107323429"/>
      <w:r>
        <w:rPr>
          <w:rStyle w:val="CharSectno"/>
        </w:rPr>
        <w:t>17</w:t>
      </w:r>
      <w:r>
        <w:t>.</w:t>
      </w:r>
      <w:r>
        <w:tab/>
        <w:t>Provisions about panel of names</w:t>
      </w:r>
      <w:bookmarkEnd w:id="58"/>
      <w:bookmarkEnd w:id="59"/>
    </w:p>
    <w:p>
      <w:pPr>
        <w:pStyle w:val="Subsection"/>
      </w:pPr>
      <w:r>
        <w:tab/>
        <w:t>(1)</w:t>
      </w:r>
      <w:r>
        <w:tab/>
        <w:t>A person’s name is to be removed from a panel of names after a period of 3 years, but may, in accordance with regulation 16, be re</w:t>
      </w:r>
      <w:r>
        <w:noBreakHyphen/>
        <w:t>included on a panel immediately.</w:t>
      </w:r>
    </w:p>
    <w:p>
      <w:pPr>
        <w:pStyle w:val="Subsection"/>
      </w:pPr>
      <w:r>
        <w:tab/>
        <w:t>(2)</w:t>
      </w:r>
      <w:r>
        <w:tab/>
        <w:t xml:space="preserve">A person’s name is to be removed from a panel of names if the person — </w:t>
      </w:r>
    </w:p>
    <w:p>
      <w:pPr>
        <w:pStyle w:val="Indenta"/>
      </w:pPr>
      <w:r>
        <w:tab/>
        <w:t>(a)</w:t>
      </w:r>
      <w:r>
        <w:tab/>
        <w:t>makes a written request to that effect to the CEO; or</w:t>
      </w:r>
    </w:p>
    <w:p>
      <w:pPr>
        <w:pStyle w:val="Indenta"/>
      </w:pPr>
      <w:r>
        <w:tab/>
        <w:t>(b)</w:t>
      </w:r>
      <w:r>
        <w:tab/>
        <w:t>is not eligible to be appointed to the committee in accordance with regulation 19.</w:t>
      </w:r>
    </w:p>
    <w:p>
      <w:pPr>
        <w:pStyle w:val="Subsection"/>
      </w:pPr>
      <w:r>
        <w:tab/>
        <w:t>(3)</w:t>
      </w:r>
      <w:r>
        <w:tab/>
        <w:t>If a person’s name is removed from the panel of names the CEO is to ensure that the person is informed in writing of that removal as soon as is practicable.</w:t>
      </w:r>
    </w:p>
    <w:p>
      <w:pPr>
        <w:pStyle w:val="Heading5"/>
      </w:pPr>
      <w:bookmarkStart w:id="60" w:name="_Toc154748720"/>
      <w:bookmarkStart w:id="61" w:name="_Toc107323430"/>
      <w:r>
        <w:rPr>
          <w:rStyle w:val="CharSectno"/>
        </w:rPr>
        <w:t>18</w:t>
      </w:r>
      <w:r>
        <w:t>.</w:t>
      </w:r>
      <w:r>
        <w:tab/>
        <w:t>Chairperson of committee</w:t>
      </w:r>
      <w:bookmarkEnd w:id="60"/>
      <w:bookmarkEnd w:id="61"/>
    </w:p>
    <w:p>
      <w:pPr>
        <w:pStyle w:val="Subsection"/>
      </w:pPr>
      <w:r>
        <w:tab/>
      </w:r>
      <w:r>
        <w:tab/>
        <w:t>The Minister is to appoint one of the members of the committee to be the chairperson of the committee.</w:t>
      </w:r>
    </w:p>
    <w:p>
      <w:pPr>
        <w:pStyle w:val="Heading5"/>
      </w:pPr>
      <w:bookmarkStart w:id="62" w:name="_Toc154748721"/>
      <w:bookmarkStart w:id="63" w:name="_Toc107323431"/>
      <w:r>
        <w:rPr>
          <w:rStyle w:val="CharSectno"/>
        </w:rPr>
        <w:t>19</w:t>
      </w:r>
      <w:r>
        <w:t>.</w:t>
      </w:r>
      <w:r>
        <w:tab/>
        <w:t>Persons not eligible to be appointed to committee</w:t>
      </w:r>
      <w:bookmarkEnd w:id="62"/>
      <w:bookmarkEnd w:id="63"/>
    </w:p>
    <w:p>
      <w:pPr>
        <w:pStyle w:val="Subsection"/>
      </w:pPr>
      <w:r>
        <w:tab/>
      </w:r>
      <w:r>
        <w:tab/>
        <w:t xml:space="preserve">A person is not eligible to be appointed to the committee if the person — </w:t>
      </w:r>
    </w:p>
    <w:p>
      <w:pPr>
        <w:pStyle w:val="Indenta"/>
      </w:pPr>
      <w:r>
        <w:tab/>
        <w:t>(a)</w:t>
      </w:r>
      <w:r>
        <w:tab/>
        <w:t xml:space="preserve">is an insolvent under administration within the meaning of that term in the </w:t>
      </w:r>
      <w:r>
        <w:rPr>
          <w:i/>
        </w:rPr>
        <w:t>Corporations Act 2001</w:t>
      </w:r>
      <w:r>
        <w:t xml:space="preserve"> of the Commonwealth; or</w:t>
      </w:r>
    </w:p>
    <w:p>
      <w:pPr>
        <w:pStyle w:val="Indenta"/>
      </w:pPr>
      <w:r>
        <w:tab/>
        <w:t>(b)</w:t>
      </w:r>
      <w:r>
        <w:tab/>
        <w:t>has been convicted of an offence under this Act or the EP Act.</w:t>
      </w:r>
    </w:p>
    <w:p>
      <w:pPr>
        <w:pStyle w:val="Heading5"/>
      </w:pPr>
      <w:bookmarkStart w:id="64" w:name="_Toc154748722"/>
      <w:bookmarkStart w:id="65" w:name="_Toc107323432"/>
      <w:r>
        <w:rPr>
          <w:rStyle w:val="CharSectno"/>
        </w:rPr>
        <w:t>20</w:t>
      </w:r>
      <w:r>
        <w:t>.</w:t>
      </w:r>
      <w:r>
        <w:tab/>
        <w:t>Removal or resignation of member from committee</w:t>
      </w:r>
      <w:bookmarkEnd w:id="64"/>
      <w:bookmarkEnd w:id="65"/>
    </w:p>
    <w:p>
      <w:pPr>
        <w:pStyle w:val="Subsection"/>
      </w:pPr>
      <w:r>
        <w:tab/>
        <w:t>(1)</w:t>
      </w:r>
      <w:r>
        <w:tab/>
        <w:t>A member of the committee may resign by written notice.</w:t>
      </w:r>
    </w:p>
    <w:p>
      <w:pPr>
        <w:pStyle w:val="Subsection"/>
      </w:pPr>
      <w:r>
        <w:tab/>
        <w:t>(2)</w:t>
      </w:r>
      <w:r>
        <w:tab/>
        <w:t>The Minister may remove from office a member of the committee if —</w:t>
      </w:r>
    </w:p>
    <w:p>
      <w:pPr>
        <w:pStyle w:val="Indenta"/>
      </w:pPr>
      <w:r>
        <w:tab/>
        <w:t>(a)</w:t>
      </w:r>
      <w:r>
        <w:tab/>
        <w:t>the Minister is satisfied that regulation 19 paragraph (a) or (b) applies in relation to the member; or</w:t>
      </w:r>
    </w:p>
    <w:p>
      <w:pPr>
        <w:pStyle w:val="Indenta"/>
      </w:pPr>
      <w:r>
        <w:tab/>
        <w:t>(b)</w:t>
      </w:r>
      <w:r>
        <w:tab/>
        <w:t>the member is persistently absent without leave or reasonable excuse from committee meetings of which the member has had notice; or</w:t>
      </w:r>
    </w:p>
    <w:p>
      <w:pPr>
        <w:pStyle w:val="Indenta"/>
      </w:pPr>
      <w:r>
        <w:tab/>
        <w:t>(c)</w:t>
      </w:r>
      <w:r>
        <w:tab/>
        <w:t>the member ceases to hold the office or qualifications by virtue of which the member was appointed to the committee; or</w:t>
      </w:r>
    </w:p>
    <w:p>
      <w:pPr>
        <w:pStyle w:val="Indenta"/>
      </w:pPr>
      <w:r>
        <w:tab/>
        <w:t>(d)</w:t>
      </w:r>
      <w:r>
        <w:tab/>
        <w:t>the member is suffering from a permanent physical or mental incapacity that impairs the performance of the member’s functions; or</w:t>
      </w:r>
    </w:p>
    <w:p>
      <w:pPr>
        <w:pStyle w:val="Indenta"/>
      </w:pPr>
      <w:r>
        <w:tab/>
        <w:t>(e)</w:t>
      </w:r>
      <w:r>
        <w:tab/>
        <w:t>the Minister is satisfied that extraordinary circumstances render inappropriate the continuation of the person’s membership of the committee.</w:t>
      </w:r>
    </w:p>
    <w:p>
      <w:pPr>
        <w:pStyle w:val="Heading5"/>
      </w:pPr>
      <w:bookmarkStart w:id="66" w:name="_Toc154748723"/>
      <w:bookmarkStart w:id="67" w:name="_Toc107323433"/>
      <w:r>
        <w:rPr>
          <w:rStyle w:val="CharSectno"/>
        </w:rPr>
        <w:t>21</w:t>
      </w:r>
      <w:r>
        <w:t>.</w:t>
      </w:r>
      <w:r>
        <w:tab/>
        <w:t>Conflict of interest</w:t>
      </w:r>
      <w:bookmarkEnd w:id="66"/>
      <w:bookmarkEnd w:id="67"/>
    </w:p>
    <w:p>
      <w:pPr>
        <w:pStyle w:val="Subsection"/>
      </w:pPr>
      <w:r>
        <w:tab/>
        <w:t>(1)</w:t>
      </w:r>
      <w:r>
        <w:tab/>
        <w:t xml:space="preserve">A member of the committee who has or acquires a conflict of interest in relation to a matter in respect of which the committee is to make a decision under the Act is to — </w:t>
      </w:r>
    </w:p>
    <w:p>
      <w:pPr>
        <w:pStyle w:val="Indenta"/>
      </w:pPr>
      <w:r>
        <w:tab/>
        <w:t>(a)</w:t>
      </w:r>
      <w:r>
        <w:tab/>
        <w:t>resolve the conflict of interest in relation to the matter; or</w:t>
      </w:r>
    </w:p>
    <w:p>
      <w:pPr>
        <w:pStyle w:val="Indenta"/>
      </w:pPr>
      <w:r>
        <w:tab/>
        <w:t>(b)</w:t>
      </w:r>
      <w:r>
        <w:tab/>
        <w:t>disqualify himself or herself from taking any further part in the proceedings of the committee in relation to the matter.</w:t>
      </w:r>
    </w:p>
    <w:p>
      <w:pPr>
        <w:pStyle w:val="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Heading2"/>
      </w:pPr>
      <w:bookmarkStart w:id="68" w:name="_Toc154748724"/>
      <w:bookmarkStart w:id="69" w:name="_Toc107216648"/>
      <w:bookmarkStart w:id="70" w:name="_Toc107216806"/>
      <w:bookmarkStart w:id="71" w:name="_Toc107219424"/>
      <w:bookmarkStart w:id="72" w:name="_Toc107323434"/>
      <w:r>
        <w:rPr>
          <w:rStyle w:val="CharPartNo"/>
        </w:rPr>
        <w:t>Part 5</w:t>
      </w:r>
      <w:r>
        <w:rPr>
          <w:rStyle w:val="CharDivNo"/>
        </w:rPr>
        <w:t> </w:t>
      </w:r>
      <w:r>
        <w:t>—</w:t>
      </w:r>
      <w:r>
        <w:rPr>
          <w:rStyle w:val="CharDivText"/>
        </w:rPr>
        <w:t> </w:t>
      </w:r>
      <w:r>
        <w:rPr>
          <w:rStyle w:val="CharPartText"/>
        </w:rPr>
        <w:t>Decisions as to responsibility for remediation</w:t>
      </w:r>
      <w:bookmarkEnd w:id="68"/>
      <w:bookmarkEnd w:id="69"/>
      <w:bookmarkEnd w:id="70"/>
      <w:bookmarkEnd w:id="71"/>
      <w:bookmarkEnd w:id="72"/>
    </w:p>
    <w:p>
      <w:pPr>
        <w:pStyle w:val="Heading5"/>
      </w:pPr>
      <w:bookmarkStart w:id="73" w:name="_Toc154748725"/>
      <w:bookmarkStart w:id="74" w:name="_Toc107323435"/>
      <w:r>
        <w:rPr>
          <w:rStyle w:val="CharSectno"/>
        </w:rPr>
        <w:t>22</w:t>
      </w:r>
      <w:r>
        <w:t>.</w:t>
      </w:r>
      <w:r>
        <w:tab/>
        <w:t>Interpretation</w:t>
      </w:r>
      <w:bookmarkEnd w:id="73"/>
      <w:bookmarkEnd w:id="74"/>
    </w:p>
    <w:p>
      <w:pPr>
        <w:pStyle w:val="Subsection"/>
      </w:pPr>
      <w:r>
        <w:tab/>
      </w:r>
      <w:r>
        <w:tab/>
        <w:t xml:space="preserve">In this Part — </w:t>
      </w:r>
    </w:p>
    <w:p>
      <w:pPr>
        <w:pStyle w:val="Defstart"/>
      </w:pPr>
      <w:r>
        <w:rPr>
          <w:b/>
        </w:rPr>
        <w:tab/>
      </w:r>
      <w:r>
        <w:rPr>
          <w:rStyle w:val="CharDefText"/>
        </w:rPr>
        <w:t>applicant</w:t>
      </w:r>
      <w:r>
        <w:t xml:space="preserve"> means a person making a request referred to in regulation 24.</w:t>
      </w:r>
    </w:p>
    <w:p>
      <w:pPr>
        <w:pStyle w:val="Heading5"/>
      </w:pPr>
      <w:bookmarkStart w:id="75" w:name="_Toc154748726"/>
      <w:bookmarkStart w:id="76" w:name="_Toc107323436"/>
      <w:r>
        <w:rPr>
          <w:rStyle w:val="CharSectno"/>
        </w:rPr>
        <w:t>23</w:t>
      </w:r>
      <w:r>
        <w:t>.</w:t>
      </w:r>
      <w:r>
        <w:tab/>
        <w:t>Interested person — section 36(3)</w:t>
      </w:r>
      <w:bookmarkEnd w:id="75"/>
      <w:bookmarkEnd w:id="76"/>
    </w:p>
    <w:p>
      <w:pPr>
        <w:pStyle w:val="Subsection"/>
      </w:pPr>
      <w:r>
        <w:tab/>
      </w:r>
      <w:r>
        <w:tab/>
        <w:t xml:space="preserve">For the purposes of the Act section 36(3) the following are prescribed as interested persons in relation to a site — </w:t>
      </w:r>
    </w:p>
    <w:p>
      <w:pPr>
        <w:pStyle w:val="Indenta"/>
      </w:pPr>
      <w:r>
        <w:tab/>
        <w:t>(a)</w:t>
      </w:r>
      <w:r>
        <w:tab/>
        <w:t>a person who is an owner or occupier of land that comprises all, or part, of the site;</w:t>
      </w:r>
    </w:p>
    <w:p>
      <w:pPr>
        <w:pStyle w:val="Indenta"/>
      </w:pPr>
      <w:r>
        <w:tab/>
        <w:t>(aa)</w:t>
      </w:r>
      <w:r>
        <w:tab/>
        <w:t>if the site is a source site — a person who is, or was, an owner or occupier of land that comprises all, or part, of a site that is an affected site in relation to the source site;</w:t>
      </w:r>
    </w:p>
    <w:p>
      <w:pPr>
        <w:pStyle w:val="Indenta"/>
      </w:pPr>
      <w:r>
        <w:tab/>
        <w:t>(ab)</w:t>
      </w:r>
      <w:r>
        <w:tab/>
        <w:t>if the site is an affected site — a person who is, or was, an owner or occupier of land that comprises all, or part, of a site that is a source site in relation to the affected site;</w:t>
      </w:r>
    </w:p>
    <w:p>
      <w:pPr>
        <w:pStyle w:val="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Indenta"/>
      </w:pPr>
      <w:r>
        <w:tab/>
        <w:t>(d)</w:t>
      </w:r>
      <w:r>
        <w:tab/>
        <w:t>a person who is a mortgagee of land that comprises all, or part, of the site;</w:t>
      </w:r>
    </w:p>
    <w:p>
      <w:pPr>
        <w:pStyle w:val="Indenta"/>
      </w:pPr>
      <w:r>
        <w:tab/>
        <w:t>(da)</w:t>
      </w:r>
      <w:r>
        <w:tab/>
        <w:t>if the site is a source site — a person who is a mortgagee of land that comprises all, or part, of a site that is an affected site in relation to the source site;</w:t>
      </w:r>
    </w:p>
    <w:p>
      <w:pPr>
        <w:pStyle w:val="Indenta"/>
      </w:pPr>
      <w:r>
        <w:tab/>
        <w:t>(db)</w:t>
      </w:r>
      <w:r>
        <w:tab/>
        <w:t>if the site is an affected site — a person who is a mortgagee of land that comprises all, or part, of a site that is a source site in relation to the affected site;</w:t>
      </w:r>
    </w:p>
    <w:p>
      <w:pPr>
        <w:pStyle w:val="Indenta"/>
      </w:pPr>
      <w:r>
        <w:tab/>
        <w:t>(e)</w:t>
      </w:r>
      <w:r>
        <w:tab/>
        <w:t>a person given a notice under the Act section 42(1) in relation to the site;</w:t>
      </w:r>
    </w:p>
    <w:p>
      <w:pPr>
        <w:pStyle w:val="Indenta"/>
      </w:pPr>
      <w:r>
        <w:tab/>
        <w:t>(f)</w:t>
      </w:r>
      <w:r>
        <w:tab/>
        <w:t>the CEO.</w:t>
      </w:r>
    </w:p>
    <w:p>
      <w:pPr>
        <w:pStyle w:val="Ednotepara"/>
      </w:pPr>
      <w:r>
        <w:tab/>
        <w:t>[(g)</w:t>
      </w:r>
      <w:r>
        <w:tab/>
        <w:t>deleted]</w:t>
      </w:r>
    </w:p>
    <w:p>
      <w:pPr>
        <w:pStyle w:val="Footnotesection"/>
      </w:pPr>
      <w:r>
        <w:tab/>
        <w:t>[Regulation 23 amended: SL 2022/37 r. 5.]</w:t>
      </w:r>
    </w:p>
    <w:p>
      <w:pPr>
        <w:pStyle w:val="Heading5"/>
      </w:pPr>
      <w:bookmarkStart w:id="77" w:name="_Toc154748727"/>
      <w:bookmarkStart w:id="78" w:name="_Toc107323437"/>
      <w:r>
        <w:rPr>
          <w:rStyle w:val="CharSectno"/>
        </w:rPr>
        <w:t>24</w:t>
      </w:r>
      <w:r>
        <w:t>.</w:t>
      </w:r>
      <w:r>
        <w:tab/>
        <w:t>Request for decision as to responsibility for remediation</w:t>
      </w:r>
      <w:bookmarkEnd w:id="77"/>
      <w:bookmarkEnd w:id="78"/>
    </w:p>
    <w:p>
      <w:pPr>
        <w:pStyle w:val="Subsection"/>
      </w:pPr>
      <w:r>
        <w:tab/>
        <w:t>(1)</w:t>
      </w:r>
      <w:r>
        <w:tab/>
        <w:t>A request to the committee to make a decision as to responsibility for remediation of a site under the Act section 36(2)(a) is to be made in writing in a form approved by the committee.</w:t>
      </w:r>
    </w:p>
    <w:p>
      <w:pPr>
        <w:pStyle w:val="Subsection"/>
      </w:pPr>
      <w:r>
        <w:tab/>
        <w:t>(2)</w:t>
      </w:r>
      <w:r>
        <w:tab/>
        <w:t xml:space="preserve">A request referred to in subregulation (1) is to set out — </w:t>
      </w:r>
    </w:p>
    <w:p>
      <w:pPr>
        <w:pStyle w:val="Indenta"/>
      </w:pPr>
      <w:r>
        <w:tab/>
        <w:t>(a)</w:t>
      </w:r>
      <w:r>
        <w:tab/>
        <w:t>the name and address of the applicant; and</w:t>
      </w:r>
    </w:p>
    <w:p>
      <w:pPr>
        <w:pStyle w:val="Indenta"/>
      </w:pPr>
      <w:r>
        <w:tab/>
        <w:t>(b)</w:t>
      </w:r>
      <w:r>
        <w:tab/>
        <w:t>a description of the location and extent of the site sufficient to identify it; and</w:t>
      </w:r>
    </w:p>
    <w:p>
      <w:pPr>
        <w:pStyle w:val="Indenta"/>
      </w:pPr>
      <w:r>
        <w:tab/>
        <w:t>(c)</w:t>
      </w:r>
      <w:r>
        <w:tab/>
        <w:t>a description of the applicant’s interest in the site; and</w:t>
      </w:r>
    </w:p>
    <w:p>
      <w:pPr>
        <w:pStyle w:val="Indenta"/>
      </w:pPr>
      <w:r>
        <w:tab/>
        <w:t>(d)</w:t>
      </w:r>
      <w:r>
        <w:tab/>
        <w:t xml:space="preserve">reasons why the applicant is of the opinion that he or she — </w:t>
      </w:r>
    </w:p>
    <w:p>
      <w:pPr>
        <w:pStyle w:val="Indenti"/>
      </w:pPr>
      <w:r>
        <w:tab/>
        <w:t>(i)</w:t>
      </w:r>
      <w:r>
        <w:tab/>
        <w:t>is, or may be; or</w:t>
      </w:r>
    </w:p>
    <w:p>
      <w:pPr>
        <w:pStyle w:val="Indenti"/>
      </w:pPr>
      <w:r>
        <w:tab/>
        <w:t>(ii)</w:t>
      </w:r>
      <w:r>
        <w:tab/>
        <w:t>is not, or may not be,</w:t>
      </w:r>
    </w:p>
    <w:p>
      <w:pPr>
        <w:pStyle w:val="Indenta"/>
      </w:pPr>
      <w:r>
        <w:tab/>
      </w:r>
      <w:r>
        <w:tab/>
        <w:t>responsible for remediation of the site; and</w:t>
      </w:r>
    </w:p>
    <w:p>
      <w:pPr>
        <w:pStyle w:val="Indenta"/>
      </w:pPr>
      <w:r>
        <w:tab/>
        <w:t>(e)</w:t>
      </w:r>
      <w:r>
        <w:tab/>
        <w:t>any other information that the person believes may be relevant to responsibility for remediation of the site, or any part of the site, in the possession of, or available to, the applicant.</w:t>
      </w:r>
    </w:p>
    <w:p>
      <w:pPr>
        <w:pStyle w:val="Subsection"/>
        <w:keepNext/>
      </w:pPr>
      <w:r>
        <w:tab/>
        <w:t>(3)</w:t>
      </w:r>
      <w:r>
        <w:tab/>
        <w:t xml:space="preserve">A request referred to in subregulation (1) is to be accompanied by — </w:t>
      </w:r>
    </w:p>
    <w:p>
      <w:pPr>
        <w:pStyle w:val="Indenta"/>
      </w:pPr>
      <w:r>
        <w:tab/>
        <w:t>(a)</w:t>
      </w:r>
      <w:r>
        <w:tab/>
        <w:t>a certified copy of, the certificate, or certificates, of title for all of the land that comprises all, or part, of the site; and</w:t>
      </w:r>
    </w:p>
    <w:p>
      <w:pPr>
        <w:pStyle w:val="Indenta"/>
      </w:pPr>
      <w:r>
        <w:tab/>
        <w:t>(b)</w:t>
      </w:r>
      <w:r>
        <w:tab/>
        <w:t>any documents or other information relevant to the information the applicant has provided in the request.</w:t>
      </w:r>
    </w:p>
    <w:p>
      <w:pPr>
        <w:pStyle w:val="Heading5"/>
      </w:pPr>
      <w:bookmarkStart w:id="79" w:name="_Toc154748728"/>
      <w:bookmarkStart w:id="80" w:name="_Toc107323438"/>
      <w:r>
        <w:rPr>
          <w:rStyle w:val="CharSectno"/>
        </w:rPr>
        <w:t>25</w:t>
      </w:r>
      <w:r>
        <w:t>.</w:t>
      </w:r>
      <w:r>
        <w:tab/>
        <w:t>Requirement to provide information to committee</w:t>
      </w:r>
      <w:bookmarkEnd w:id="79"/>
      <w:bookmarkEnd w:id="80"/>
    </w:p>
    <w:p>
      <w:pPr>
        <w:pStyle w:val="Subsection"/>
      </w:pPr>
      <w:r>
        <w:tab/>
        <w:t>(1)</w:t>
      </w:r>
      <w:r>
        <w:tab/>
        <w:t>The committee may require an applicant to provide further information to the committee relevant to the decision as to responsibility for remediation of the site to which the application relates.</w:t>
      </w:r>
    </w:p>
    <w:p>
      <w:pPr>
        <w:pStyle w:val="Subsection"/>
      </w:pPr>
      <w:r>
        <w:tab/>
        <w:t>(2)</w:t>
      </w:r>
      <w:r>
        <w:tab/>
        <w:t xml:space="preserve">The committee may require a person who, in the opinion of the committee may — </w:t>
      </w:r>
    </w:p>
    <w:p>
      <w:pPr>
        <w:pStyle w:val="Indenta"/>
      </w:pPr>
      <w:r>
        <w:tab/>
        <w:t>(a)</w:t>
      </w:r>
      <w:r>
        <w:tab/>
        <w:t>be responsible for remediation of a site; or</w:t>
      </w:r>
    </w:p>
    <w:p>
      <w:pPr>
        <w:pStyle w:val="Indenta"/>
      </w:pPr>
      <w:r>
        <w:tab/>
        <w:t>(b)</w:t>
      </w:r>
      <w:r>
        <w:tab/>
        <w:t xml:space="preserve">have access to information relevant to the decision as to responsibility for remediation of a site, </w:t>
      </w:r>
    </w:p>
    <w:p>
      <w:pPr>
        <w:pStyle w:val="Subsection"/>
      </w:pPr>
      <w:r>
        <w:tab/>
      </w:r>
      <w:r>
        <w:tab/>
        <w:t>to provide further information to the committee relevant to the decision as to responsibility for remediation of the site.</w:t>
      </w:r>
    </w:p>
    <w:p>
      <w:pPr>
        <w:pStyle w:val="Subsection"/>
      </w:pPr>
      <w:r>
        <w:tab/>
        <w:t>(3)</w:t>
      </w:r>
      <w:r>
        <w:tab/>
        <w:t xml:space="preserve">A requirement under this regulation is to be in writing and is to specify — </w:t>
      </w:r>
    </w:p>
    <w:p>
      <w:pPr>
        <w:pStyle w:val="Indenta"/>
      </w:pPr>
      <w:r>
        <w:tab/>
        <w:t>(a)</w:t>
      </w:r>
      <w:r>
        <w:tab/>
        <w:t>the person to whom the requirement applies; and</w:t>
      </w:r>
    </w:p>
    <w:p>
      <w:pPr>
        <w:pStyle w:val="Indenta"/>
      </w:pPr>
      <w:r>
        <w:tab/>
        <w:t>(b)</w:t>
      </w:r>
      <w:r>
        <w:tab/>
        <w:t>the information to be provided by that person; and</w:t>
      </w:r>
    </w:p>
    <w:p>
      <w:pPr>
        <w:pStyle w:val="Indenta"/>
      </w:pPr>
      <w:r>
        <w:tab/>
        <w:t>(c)</w:t>
      </w:r>
      <w:r>
        <w:tab/>
        <w:t>the period within which the person is to provide the information.</w:t>
      </w:r>
    </w:p>
    <w:p>
      <w:pPr>
        <w:pStyle w:val="Subsection"/>
      </w:pPr>
      <w:r>
        <w:tab/>
        <w:t>(4)</w:t>
      </w:r>
      <w:r>
        <w:tab/>
        <w:t>A requirement made under this regulation is to be given to the person to whom the requirement applies.</w:t>
      </w:r>
    </w:p>
    <w:p>
      <w:pPr>
        <w:pStyle w:val="Subsection"/>
      </w:pPr>
      <w:r>
        <w:tab/>
        <w:t>(5)</w:t>
      </w:r>
      <w:r>
        <w:tab/>
        <w:t>The period specified in a requirement under subregulation (3)(c) is not to be less than 14 days from the day the requirement was given to the person to whom it applies.</w:t>
      </w:r>
    </w:p>
    <w:p>
      <w:pPr>
        <w:pStyle w:val="Subsection"/>
      </w:pPr>
      <w:r>
        <w:tab/>
        <w:t>(6)</w:t>
      </w:r>
      <w:r>
        <w:tab/>
        <w:t>The person who provides information as a result of a requirement under this regulation is to bear the cost of doing so, whether the committee decides that the person is responsible for remediation or not.</w:t>
      </w:r>
    </w:p>
    <w:p>
      <w:pPr>
        <w:pStyle w:val="Subsection"/>
      </w:pPr>
      <w:r>
        <w:tab/>
        <w:t>(7)</w:t>
      </w:r>
      <w:r>
        <w:tab/>
        <w:t>A person who, without reasonable excuse, refuses or fails to comply with a requirement made under this regulation commits an offence.</w:t>
      </w:r>
    </w:p>
    <w:p>
      <w:pPr>
        <w:pStyle w:val="Penstart"/>
      </w:pPr>
      <w:r>
        <w:tab/>
        <w:t>Penalty: a fine of $1 000.</w:t>
      </w:r>
    </w:p>
    <w:p>
      <w:pPr>
        <w:pStyle w:val="Heading5"/>
      </w:pPr>
      <w:bookmarkStart w:id="81" w:name="_Toc154748729"/>
      <w:bookmarkStart w:id="82" w:name="_Toc107323439"/>
      <w:r>
        <w:rPr>
          <w:rStyle w:val="CharSectno"/>
        </w:rPr>
        <w:t>26</w:t>
      </w:r>
      <w:r>
        <w:t>.</w:t>
      </w:r>
      <w:r>
        <w:tab/>
        <w:t>Facts and circumstances to be taken into account by the committee in making a decision as to responsibility for remediation</w:t>
      </w:r>
      <w:bookmarkEnd w:id="81"/>
      <w:bookmarkEnd w:id="82"/>
    </w:p>
    <w:p>
      <w:pPr>
        <w:pStyle w:val="Subsection"/>
      </w:pPr>
      <w:r>
        <w:tab/>
      </w:r>
      <w:r>
        <w:tab/>
        <w:t xml:space="preserve">The following facts and circumstances are, where relevant, to be taken into account by the committee in making a decision as to responsibility for remediation — </w:t>
      </w:r>
    </w:p>
    <w:p>
      <w:pPr>
        <w:pStyle w:val="Indenta"/>
      </w:pPr>
      <w:r>
        <w:tab/>
        <w:t>(a)</w:t>
      </w:r>
      <w:r>
        <w:tab/>
        <w:t>all available information on the nature and extent of known contamination of the site, currently and historically;</w:t>
      </w:r>
    </w:p>
    <w:p>
      <w:pPr>
        <w:pStyle w:val="Indenta"/>
      </w:pPr>
      <w:r>
        <w:tab/>
        <w:t>(b)</w:t>
      </w:r>
      <w:r>
        <w:tab/>
        <w:t>the use to which the site has been, and is being, put and the activities which have been carried out at the site which may have caused or contributed to the contamination;</w:t>
      </w:r>
    </w:p>
    <w:p>
      <w:pPr>
        <w:pStyle w:val="Indenta"/>
      </w:pPr>
      <w:r>
        <w:tab/>
        <w:t>(c)</w:t>
      </w:r>
      <w:r>
        <w:tab/>
        <w:t>information provided under regulation 24 or 25;</w:t>
      </w:r>
    </w:p>
    <w:p>
      <w:pPr>
        <w:pStyle w:val="Indenta"/>
      </w:pPr>
      <w:r>
        <w:tab/>
        <w:t>(d)</w:t>
      </w:r>
      <w:r>
        <w:tab/>
        <w:t>any previous decision made by the committee as to responsibility for remediation of the site, or any part of the site or any other site, or a part of any other site;</w:t>
      </w:r>
    </w:p>
    <w:p>
      <w:pPr>
        <w:pStyle w:val="Indenta"/>
      </w:pPr>
      <w:r>
        <w:tab/>
        <w:t>(e)</w:t>
      </w:r>
      <w:r>
        <w:tab/>
        <w:t>other facts and circumstances relevant to responsibility for remediation provided to the committee by an inspector, authorised person or analyst appointed under the EP Act for the purposes of the Act.</w:t>
      </w:r>
    </w:p>
    <w:p>
      <w:pPr>
        <w:pStyle w:val="Heading5"/>
      </w:pPr>
      <w:bookmarkStart w:id="83" w:name="_Toc154748730"/>
      <w:bookmarkStart w:id="84" w:name="_Toc107323440"/>
      <w:r>
        <w:rPr>
          <w:rStyle w:val="CharSectno"/>
        </w:rPr>
        <w:t>27</w:t>
      </w:r>
      <w:r>
        <w:t>.</w:t>
      </w:r>
      <w:r>
        <w:tab/>
        <w:t>Time within which decision to be made</w:t>
      </w:r>
      <w:bookmarkEnd w:id="83"/>
      <w:bookmarkEnd w:id="84"/>
    </w:p>
    <w:p>
      <w:pPr>
        <w:pStyle w:val="Subsection"/>
      </w:pPr>
      <w:r>
        <w:tab/>
      </w:r>
      <w:r>
        <w:tab/>
        <w:t xml:space="preserve">The committee is to make a decision as to responsibility for remediation of a site when requested to do so under the Act section 36(2)(a) — </w:t>
      </w:r>
    </w:p>
    <w:p>
      <w:pPr>
        <w:pStyle w:val="Indenta"/>
      </w:pPr>
      <w:r>
        <w:tab/>
        <w:t>(a)</w:t>
      </w:r>
      <w:r>
        <w:tab/>
        <w:t>within 6 months after the day on which the request is made; or</w:t>
      </w:r>
    </w:p>
    <w:p>
      <w:pPr>
        <w:pStyle w:val="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Heading5"/>
      </w:pPr>
      <w:bookmarkStart w:id="85" w:name="_Toc154748731"/>
      <w:bookmarkStart w:id="86" w:name="_Toc107323441"/>
      <w:r>
        <w:rPr>
          <w:rStyle w:val="CharSectno"/>
        </w:rPr>
        <w:t>28</w:t>
      </w:r>
      <w:r>
        <w:t>.</w:t>
      </w:r>
      <w:r>
        <w:tab/>
        <w:t>Land owner’s responsibility for remediation — section 27(3)</w:t>
      </w:r>
      <w:bookmarkEnd w:id="85"/>
      <w:bookmarkEnd w:id="86"/>
    </w:p>
    <w:p>
      <w:pPr>
        <w:pStyle w:val="Subsection"/>
      </w:pPr>
      <w:r>
        <w:tab/>
        <w:t>(1)</w:t>
      </w:r>
      <w:r>
        <w:tab/>
        <w:t xml:space="preserve">In making a decision under the Act section 27(3) the committee is to take into account the following matters — </w:t>
      </w:r>
    </w:p>
    <w:p>
      <w:pPr>
        <w:pStyle w:val="Indenta"/>
      </w:pPr>
      <w:r>
        <w:tab/>
        <w:t>(a)</w:t>
      </w:r>
      <w:r>
        <w:tab/>
        <w:t>whether or not the contamination was caused, or contributed to, by an action of the owner;</w:t>
      </w:r>
    </w:p>
    <w:p>
      <w:pPr>
        <w:pStyle w:val="Indenta"/>
      </w:pPr>
      <w:r>
        <w:tab/>
        <w:t>(b)</w:t>
      </w:r>
      <w:r>
        <w:tab/>
        <w:t xml:space="preserve">whether or not the owner failed to prevent the contamination of the land, as far as it was reasonably within the owner’s control to prevent that contamination; </w:t>
      </w:r>
    </w:p>
    <w:p>
      <w:pPr>
        <w:pStyle w:val="Indenta"/>
      </w:pPr>
      <w:r>
        <w:tab/>
        <w:t>(c)</w:t>
      </w:r>
      <w:r>
        <w:tab/>
        <w:t>whether or not the owner has derived a benefit or advantage from any act that caused, or contributed to, the contamination.</w:t>
      </w:r>
    </w:p>
    <w:p>
      <w:pPr>
        <w:pStyle w:val="Subsection"/>
      </w:pPr>
      <w:r>
        <w:tab/>
        <w:t>(2)</w:t>
      </w:r>
      <w:r>
        <w:tab/>
        <w:t xml:space="preserve">In this regulation — </w:t>
      </w:r>
    </w:p>
    <w:p>
      <w:pPr>
        <w:pStyle w:val="Defstart"/>
      </w:pPr>
      <w:r>
        <w:rPr>
          <w:b/>
        </w:rPr>
        <w:tab/>
      </w:r>
      <w:r>
        <w:rPr>
          <w:rStyle w:val="CharDefText"/>
        </w:rPr>
        <w:t>owner</w:t>
      </w:r>
      <w:r>
        <w:t xml:space="preserve"> means an owner within the meaning of the Act section 5(1)(b)(i) or (ii).</w:t>
      </w:r>
    </w:p>
    <w:p>
      <w:pPr>
        <w:pStyle w:val="Heading2"/>
      </w:pPr>
      <w:bookmarkStart w:id="87" w:name="_Toc154748732"/>
      <w:bookmarkStart w:id="88" w:name="_Toc107216656"/>
      <w:bookmarkStart w:id="89" w:name="_Toc107216814"/>
      <w:bookmarkStart w:id="90" w:name="_Toc107219432"/>
      <w:bookmarkStart w:id="91" w:name="_Toc107323442"/>
      <w:r>
        <w:rPr>
          <w:rStyle w:val="CharPartNo"/>
        </w:rPr>
        <w:t>Part 6</w:t>
      </w:r>
      <w:r>
        <w:rPr>
          <w:rStyle w:val="CharDivNo"/>
        </w:rPr>
        <w:t> </w:t>
      </w:r>
      <w:r>
        <w:t>—</w:t>
      </w:r>
      <w:r>
        <w:rPr>
          <w:rStyle w:val="CharDivText"/>
        </w:rPr>
        <w:t> </w:t>
      </w:r>
      <w:r>
        <w:rPr>
          <w:rStyle w:val="CharPartText"/>
        </w:rPr>
        <w:t>Certificates of contamination audit</w:t>
      </w:r>
      <w:bookmarkEnd w:id="87"/>
      <w:bookmarkEnd w:id="88"/>
      <w:bookmarkEnd w:id="89"/>
      <w:bookmarkEnd w:id="90"/>
      <w:bookmarkEnd w:id="91"/>
    </w:p>
    <w:p>
      <w:pPr>
        <w:pStyle w:val="Heading5"/>
      </w:pPr>
      <w:bookmarkStart w:id="92" w:name="_Toc154748733"/>
      <w:bookmarkStart w:id="93" w:name="_Toc107323443"/>
      <w:r>
        <w:rPr>
          <w:rStyle w:val="CharSectno"/>
        </w:rPr>
        <w:t>29</w:t>
      </w:r>
      <w:r>
        <w:t>.</w:t>
      </w:r>
      <w:r>
        <w:tab/>
        <w:t>Request for certificate of contamination audit — Form 3</w:t>
      </w:r>
      <w:bookmarkEnd w:id="92"/>
      <w:bookmarkEnd w:id="93"/>
    </w:p>
    <w:p>
      <w:pPr>
        <w:pStyle w:val="Subsection"/>
      </w:pPr>
      <w:r>
        <w:tab/>
        <w:t>(1)</w:t>
      </w:r>
      <w:r>
        <w:tab/>
        <w:t>For the purposes of the Act section 62(1), a request for a certificate of contamination audit is to be made in the form of Form 3.</w:t>
      </w:r>
    </w:p>
    <w:p>
      <w:pPr>
        <w:pStyle w:val="Subsection"/>
      </w:pPr>
      <w:r>
        <w:tab/>
        <w:t>(2)</w:t>
      </w:r>
      <w:r>
        <w:tab/>
        <w:t xml:space="preserve">For the purposes of the Act section 62(3), a request for a certificate of contamination audit in respect of land is to be accompanied by — </w:t>
      </w:r>
    </w:p>
    <w:p>
      <w:pPr>
        <w:pStyle w:val="Indenta"/>
      </w:pPr>
      <w:r>
        <w:tab/>
        <w:t>(a)</w:t>
      </w:r>
      <w:r>
        <w:tab/>
        <w:t>a certified copy of the certificate, or certificates, of title for the land; and</w:t>
      </w:r>
    </w:p>
    <w:p>
      <w:pPr>
        <w:pStyle w:val="Indenta"/>
      </w:pPr>
      <w:r>
        <w:tab/>
        <w:t>(b)</w:t>
      </w:r>
      <w:r>
        <w:tab/>
        <w:t>any reports or other documents on investigations or assessments regarding the nature or extent of any contamination of the land in the possession of, or available to, the person who made the request; and</w:t>
      </w:r>
    </w:p>
    <w:p>
      <w:pPr>
        <w:pStyle w:val="Indenta"/>
      </w:pPr>
      <w:r>
        <w:tab/>
        <w:t>(c)</w:t>
      </w:r>
      <w:r>
        <w:tab/>
        <w:t>details of any remediation of the land, including any reports or documents on that remediation in the possession of, or available to, the person who made the request; and</w:t>
      </w:r>
    </w:p>
    <w:p>
      <w:pPr>
        <w:pStyle w:val="Indenta"/>
      </w:pPr>
      <w:r>
        <w:tab/>
        <w:t>(d)</w:t>
      </w:r>
      <w:r>
        <w:tab/>
        <w:t>a mandatory auditor’s report on the land; and</w:t>
      </w:r>
    </w:p>
    <w:p>
      <w:pPr>
        <w:pStyle w:val="Indenta"/>
      </w:pPr>
      <w:r>
        <w:tab/>
        <w:t>(e)</w:t>
      </w:r>
      <w:r>
        <w:tab/>
        <w:t>any reports or findings as to the effectiveness of any remediation of the land in the possession of, or available to, the person who made the request; and</w:t>
      </w:r>
    </w:p>
    <w:p>
      <w:pPr>
        <w:pStyle w:val="Indenta"/>
      </w:pPr>
      <w:r>
        <w:tab/>
        <w:t>(f)</w:t>
      </w:r>
      <w:r>
        <w:tab/>
        <w:t>the fee set out in Schedule 2 item 3.</w:t>
      </w:r>
    </w:p>
    <w:p>
      <w:pPr>
        <w:pStyle w:val="Heading5"/>
      </w:pPr>
      <w:bookmarkStart w:id="94" w:name="_Toc154748734"/>
      <w:bookmarkStart w:id="95" w:name="_Toc107323444"/>
      <w:r>
        <w:rPr>
          <w:rStyle w:val="CharSectno"/>
        </w:rPr>
        <w:t>30</w:t>
      </w:r>
      <w:r>
        <w:t>.</w:t>
      </w:r>
      <w:r>
        <w:tab/>
        <w:t>Certificate of contamination audit — Form 4</w:t>
      </w:r>
      <w:bookmarkEnd w:id="94"/>
      <w:bookmarkEnd w:id="95"/>
    </w:p>
    <w:p>
      <w:pPr>
        <w:pStyle w:val="Subsection"/>
      </w:pPr>
      <w:r>
        <w:tab/>
      </w:r>
      <w:r>
        <w:tab/>
        <w:t>For the purposes of the Act section 63, a certificate of contamination audit is to be in the form of Form 4.</w:t>
      </w:r>
    </w:p>
    <w:p>
      <w:pPr>
        <w:pStyle w:val="Heading2"/>
      </w:pPr>
      <w:bookmarkStart w:id="96" w:name="_Toc154748735"/>
      <w:bookmarkStart w:id="97" w:name="_Toc107216659"/>
      <w:bookmarkStart w:id="98" w:name="_Toc107216817"/>
      <w:bookmarkStart w:id="99" w:name="_Toc107219435"/>
      <w:bookmarkStart w:id="100" w:name="_Toc107323445"/>
      <w:r>
        <w:rPr>
          <w:rStyle w:val="CharPartNo"/>
        </w:rPr>
        <w:t>Part 7</w:t>
      </w:r>
      <w:r>
        <w:rPr>
          <w:rStyle w:val="CharDivNo"/>
        </w:rPr>
        <w:t> </w:t>
      </w:r>
      <w:r>
        <w:t>—</w:t>
      </w:r>
      <w:r>
        <w:rPr>
          <w:rStyle w:val="CharDivText"/>
        </w:rPr>
        <w:t> </w:t>
      </w:r>
      <w:r>
        <w:rPr>
          <w:rStyle w:val="CharPartText"/>
        </w:rPr>
        <w:t>Mandatory auditor’s reports</w:t>
      </w:r>
      <w:bookmarkEnd w:id="96"/>
      <w:bookmarkEnd w:id="97"/>
      <w:bookmarkEnd w:id="98"/>
      <w:bookmarkEnd w:id="99"/>
      <w:bookmarkEnd w:id="100"/>
    </w:p>
    <w:p>
      <w:pPr>
        <w:pStyle w:val="Heading5"/>
      </w:pPr>
      <w:bookmarkStart w:id="101" w:name="_Toc154748736"/>
      <w:bookmarkStart w:id="102" w:name="_Toc107323446"/>
      <w:r>
        <w:rPr>
          <w:rStyle w:val="CharSectno"/>
        </w:rPr>
        <w:t>31</w:t>
      </w:r>
      <w:r>
        <w:t>.</w:t>
      </w:r>
      <w:r>
        <w:tab/>
        <w:t>When mandatory auditor’s reports are required</w:t>
      </w:r>
      <w:bookmarkEnd w:id="101"/>
      <w:bookmarkEnd w:id="102"/>
    </w:p>
    <w:p>
      <w:pPr>
        <w:pStyle w:val="Subsection"/>
      </w:pPr>
      <w:r>
        <w:tab/>
        <w:t>(1)</w:t>
      </w:r>
      <w:r>
        <w:tab/>
        <w:t xml:space="preserve">A mandatory auditor’s report is to be provided to the CEO — </w:t>
      </w:r>
    </w:p>
    <w:p>
      <w:pPr>
        <w:pStyle w:val="Indenta"/>
      </w:pPr>
      <w:r>
        <w:tab/>
        <w:t>(a)</w:t>
      </w:r>
      <w:r>
        <w:tab/>
        <w:t>in accordance with regulation 29(2)(d), when a request for a certificate of contamination audit is made in respect of land; or</w:t>
      </w:r>
    </w:p>
    <w:p>
      <w:pPr>
        <w:pStyle w:val="Indenta"/>
      </w:pPr>
      <w:r>
        <w:tab/>
        <w:t>(b)</w:t>
      </w:r>
      <w:r>
        <w:tab/>
        <w:t>with every report provided to the CEO containing information as to, or which will be relevant to, the investigation, assessment, monitoring or remediation of a source site; or</w:t>
      </w:r>
    </w:p>
    <w:p>
      <w:pPr>
        <w:pStyle w:val="Indenta"/>
      </w:pPr>
      <w:r>
        <w:tab/>
        <w:t>(c)</w:t>
      </w:r>
      <w:r>
        <w:tab/>
        <w:t xml:space="preserve">with every report containing information as to, or which will be relevant to, the investigation, assessment, monitoring or remediation of a site provided to the CEO for the purpose of — </w:t>
      </w:r>
    </w:p>
    <w:p>
      <w:pPr>
        <w:pStyle w:val="Indenti"/>
      </w:pPr>
      <w:r>
        <w:tab/>
        <w:t>(i)</w:t>
      </w:r>
      <w:r>
        <w:tab/>
        <w:t>complying, or attempting to comply, with another written law; or</w:t>
      </w:r>
    </w:p>
    <w:p>
      <w:pPr>
        <w:pStyle w:val="Indenti"/>
      </w:pPr>
      <w:r>
        <w:tab/>
        <w:t>(ii)</w:t>
      </w:r>
      <w:r>
        <w:tab/>
        <w:t>a requirement or condition (by whatever name called) imposed under another written law,</w:t>
      </w:r>
    </w:p>
    <w:p>
      <w:pPr>
        <w:pStyle w:val="Indenta"/>
      </w:pPr>
      <w:r>
        <w:tab/>
      </w:r>
      <w:r>
        <w:tab/>
        <w:t>or taking a necessary step towards doing so; or</w:t>
      </w:r>
    </w:p>
    <w:p>
      <w:pPr>
        <w:pStyle w:val="Indenta"/>
      </w:pPr>
      <w:r>
        <w:tab/>
        <w:t>(d)</w:t>
      </w:r>
      <w:r>
        <w:tab/>
        <w:t xml:space="preserve">at the written request of the CEO, in respect of a site — </w:t>
      </w:r>
    </w:p>
    <w:p>
      <w:pPr>
        <w:pStyle w:val="Indenti"/>
      </w:pPr>
      <w:r>
        <w:tab/>
        <w:t>(i)</w:t>
      </w:r>
      <w:r>
        <w:tab/>
        <w:t>which, in the opinion of the CEO, presents particularly complex technical issues; or</w:t>
      </w:r>
    </w:p>
    <w:p>
      <w:pPr>
        <w:pStyle w:val="Indenti"/>
      </w:pPr>
      <w:r>
        <w:tab/>
        <w:t>(ii)</w:t>
      </w:r>
      <w:r>
        <w:tab/>
        <w:t>in respect of which, in the opinion of the CEO, inadequate information or reports have been provided; or</w:t>
      </w:r>
    </w:p>
    <w:p>
      <w:pPr>
        <w:pStyle w:val="Indenti"/>
      </w:pPr>
      <w:r>
        <w:tab/>
        <w:t>(iii)</w:t>
      </w:r>
      <w:r>
        <w:tab/>
        <w:t>in respect of which, in the opinion of the CEO, a mandatory auditor’s report is required to enable the site to be properly dealt with for the purposes of the Act.</w:t>
      </w:r>
    </w:p>
    <w:p>
      <w:pPr>
        <w:pStyle w:val="Subsection"/>
      </w:pPr>
      <w:r>
        <w:tab/>
        <w:t>(2)</w:t>
      </w:r>
      <w:r>
        <w:tab/>
        <w:t xml:space="preserve">Despite subregulation (1), the CEO may waive a requirement to provide a mandatory auditor’s report (other than under subregulation (1)(a)) during the period of 6 months after the commencement of the Act in respect of — </w:t>
      </w:r>
    </w:p>
    <w:p>
      <w:pPr>
        <w:pStyle w:val="Indenta"/>
      </w:pPr>
      <w:r>
        <w:tab/>
        <w:t>(a)</w:t>
      </w:r>
      <w:r>
        <w:tab/>
        <w:t>a particular report; or</w:t>
      </w:r>
    </w:p>
    <w:p>
      <w:pPr>
        <w:pStyle w:val="Indenta"/>
      </w:pPr>
      <w:r>
        <w:tab/>
        <w:t>(b)</w:t>
      </w:r>
      <w:r>
        <w:tab/>
        <w:t>reports of a particular class or type; or</w:t>
      </w:r>
    </w:p>
    <w:p>
      <w:pPr>
        <w:pStyle w:val="Indenta"/>
      </w:pPr>
      <w:r>
        <w:tab/>
        <w:t>(c)</w:t>
      </w:r>
      <w:r>
        <w:tab/>
        <w:t>reports regarding sites of a particular class or type.</w:t>
      </w:r>
    </w:p>
    <w:p>
      <w:pPr>
        <w:pStyle w:val="Heading5"/>
      </w:pPr>
      <w:bookmarkStart w:id="103" w:name="_Toc154748737"/>
      <w:bookmarkStart w:id="104" w:name="_Toc107323447"/>
      <w:r>
        <w:rPr>
          <w:rStyle w:val="CharSectno"/>
        </w:rPr>
        <w:t>32</w:t>
      </w:r>
      <w:r>
        <w:t>.</w:t>
      </w:r>
      <w:r>
        <w:tab/>
        <w:t>Mandatory auditor’s report — section 73</w:t>
      </w:r>
      <w:bookmarkEnd w:id="103"/>
      <w:bookmarkEnd w:id="104"/>
    </w:p>
    <w:p>
      <w:pPr>
        <w:pStyle w:val="Subsection"/>
      </w:pPr>
      <w:r>
        <w:tab/>
        <w:t>(1)</w:t>
      </w:r>
      <w:r>
        <w:tab/>
        <w:t xml:space="preserve">A mandatory auditor’s report is to — </w:t>
      </w:r>
    </w:p>
    <w:p>
      <w:pPr>
        <w:pStyle w:val="Indenta"/>
      </w:pPr>
      <w:r>
        <w:tab/>
        <w:t>(a)</w:t>
      </w:r>
      <w:r>
        <w:tab/>
        <w:t>report on the audit of a site undertaken by the auditor; and</w:t>
      </w:r>
    </w:p>
    <w:p>
      <w:pPr>
        <w:pStyle w:val="Indenta"/>
      </w:pPr>
      <w:r>
        <w:tab/>
        <w:t>(b)</w:t>
      </w:r>
      <w:r>
        <w:tab/>
        <w:t>report the findings of the auditor’s critical review of the site investigation, remediation, management or monitoring, as is relevant; and</w:t>
      </w:r>
    </w:p>
    <w:p>
      <w:pPr>
        <w:pStyle w:val="Indenta"/>
      </w:pPr>
      <w:r>
        <w:tab/>
        <w:t>(c)</w:t>
      </w:r>
      <w:r>
        <w:tab/>
        <w:t>state the conclusions made by the auditor and give reasons for the conclusions; and</w:t>
      </w:r>
    </w:p>
    <w:p>
      <w:pPr>
        <w:pStyle w:val="Indenta"/>
      </w:pPr>
      <w:r>
        <w:tab/>
        <w:t>(d)</w:t>
      </w:r>
      <w:r>
        <w:tab/>
        <w:t xml:space="preserve">where relevant, make — </w:t>
      </w:r>
    </w:p>
    <w:p>
      <w:pPr>
        <w:pStyle w:val="Indenti"/>
      </w:pPr>
      <w:r>
        <w:tab/>
        <w:t>(i)</w:t>
      </w:r>
      <w:r>
        <w:tab/>
        <w:t>a recommendation as to the classification of the site; and</w:t>
      </w:r>
    </w:p>
    <w:p>
      <w:pPr>
        <w:pStyle w:val="Indenti"/>
      </w:pPr>
      <w:r>
        <w:tab/>
        <w:t>(ii)</w:t>
      </w:r>
      <w:r>
        <w:tab/>
        <w:t xml:space="preserve">where the classification recommended is </w:t>
      </w:r>
      <w:r>
        <w:rPr>
          <w:i/>
        </w:rPr>
        <w:t>contaminated — restricted use</w:t>
      </w:r>
      <w:r>
        <w:t>,</w:t>
      </w:r>
      <w:r>
        <w:rPr>
          <w:i/>
        </w:rPr>
        <w:t xml:space="preserve"> remediated for restricted use</w:t>
      </w:r>
      <w:r>
        <w:t xml:space="preserve"> or </w:t>
      </w:r>
      <w:r>
        <w:rPr>
          <w:i/>
        </w:rPr>
        <w:t>contaminated — remediation required</w:t>
      </w:r>
      <w:r>
        <w:t>, make a recommendation as to the restrictions on the use of the site;</w:t>
      </w:r>
    </w:p>
    <w:p>
      <w:pPr>
        <w:pStyle w:val="Indenta"/>
        <w:ind w:firstLine="0"/>
      </w:pPr>
      <w:r>
        <w:t>and</w:t>
      </w:r>
    </w:p>
    <w:p>
      <w:pPr>
        <w:pStyle w:val="Indenta"/>
      </w:pPr>
      <w:r>
        <w:tab/>
        <w:t>(e)</w:t>
      </w:r>
      <w:r>
        <w:tab/>
        <w:t>contain any other information that the auditor considers relevant, taking into account any relevant guidelines.</w:t>
      </w:r>
    </w:p>
    <w:p>
      <w:pPr>
        <w:pStyle w:val="Subsection"/>
        <w:keepNext/>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person to the effect that that part of the report is accurate and that the person — </w:t>
      </w:r>
    </w:p>
    <w:p>
      <w:pPr>
        <w:pStyle w:val="Indenta"/>
      </w:pPr>
      <w:r>
        <w:tab/>
        <w:t>(a)</w:t>
      </w:r>
      <w:r>
        <w:tab/>
        <w:t>has not provided information in that part of the report that the person knows is false or misleading in a material particular; and</w:t>
      </w:r>
    </w:p>
    <w:p>
      <w:pPr>
        <w:pStyle w:val="Indenta"/>
      </w:pPr>
      <w:r>
        <w:tab/>
        <w:t>(b)</w:t>
      </w:r>
      <w:r>
        <w:tab/>
        <w:t>has not provided information in that part of the report with reckless disregard as to whether or not the information is false or misleading in a material particular; and</w:t>
      </w:r>
    </w:p>
    <w:p>
      <w:pPr>
        <w:pStyle w:val="Indenta"/>
      </w:pPr>
      <w:r>
        <w:tab/>
        <w:t>(c)</w:t>
      </w:r>
      <w:r>
        <w:tab/>
        <w:t>has disclosed in that part of the report all information that the person knows is materially relevant to that part of the report.</w:t>
      </w:r>
    </w:p>
    <w:p>
      <w:pPr>
        <w:pStyle w:val="Heading5"/>
      </w:pPr>
      <w:bookmarkStart w:id="105" w:name="_Toc154748738"/>
      <w:bookmarkStart w:id="106" w:name="_Toc104561734"/>
      <w:bookmarkStart w:id="107" w:name="_Toc106107461"/>
      <w:bookmarkStart w:id="108" w:name="_Toc107323448"/>
      <w:bookmarkStart w:id="109" w:name="_Toc107216662"/>
      <w:bookmarkStart w:id="110" w:name="_Toc107216820"/>
      <w:r>
        <w:rPr>
          <w:rStyle w:val="CharSectno"/>
        </w:rPr>
        <w:t>32A</w:t>
      </w:r>
      <w:r>
        <w:t>.</w:t>
      </w:r>
      <w:r>
        <w:tab/>
        <w:t>Auditor must give supplementary information</w:t>
      </w:r>
      <w:bookmarkEnd w:id="105"/>
      <w:bookmarkEnd w:id="106"/>
      <w:bookmarkEnd w:id="107"/>
      <w:bookmarkEnd w:id="108"/>
    </w:p>
    <w:p>
      <w:pPr>
        <w:pStyle w:val="Subsection"/>
      </w:pPr>
      <w:r>
        <w:tab/>
        <w:t>(1)</w:t>
      </w:r>
      <w:r>
        <w:tab/>
        <w:t>If the CEO is given a mandatory auditor’s report under the Act in respect of a site, the CEO may, by written notice, require the auditor who prepared the report to give any other information to the CEO that, in the opinion of the CEO, is relevant to the audit of the site.</w:t>
      </w:r>
    </w:p>
    <w:p>
      <w:pPr>
        <w:pStyle w:val="Subsection"/>
      </w:pPr>
      <w:r>
        <w:tab/>
        <w:t>(2)</w:t>
      </w:r>
      <w:r>
        <w:tab/>
        <w:t xml:space="preserve">The written notice must state — </w:t>
      </w:r>
    </w:p>
    <w:p>
      <w:pPr>
        <w:pStyle w:val="Indenta"/>
      </w:pPr>
      <w:r>
        <w:tab/>
        <w:t>(a)</w:t>
      </w:r>
      <w:r>
        <w:tab/>
        <w:t>the required information; and</w:t>
      </w:r>
    </w:p>
    <w:p>
      <w:pPr>
        <w:pStyle w:val="Indenta"/>
      </w:pPr>
      <w:r>
        <w:tab/>
        <w:t>(b)</w:t>
      </w:r>
      <w:r>
        <w:tab/>
        <w:t xml:space="preserve">that the required information must be given — </w:t>
      </w:r>
    </w:p>
    <w:p>
      <w:pPr>
        <w:pStyle w:val="Indenti"/>
      </w:pPr>
      <w:r>
        <w:tab/>
        <w:t>(i)</w:t>
      </w:r>
      <w:r>
        <w:tab/>
        <w:t xml:space="preserve">by the day (the </w:t>
      </w:r>
      <w:r>
        <w:rPr>
          <w:rStyle w:val="CharDefText"/>
        </w:rPr>
        <w:t>due date</w:t>
      </w:r>
      <w:r>
        <w:t>) specified in the notice, which must not be less than 14 days after the day on which the notice is given to the auditor; or</w:t>
      </w:r>
    </w:p>
    <w:p>
      <w:pPr>
        <w:pStyle w:val="Indenti"/>
      </w:pPr>
      <w:r>
        <w:tab/>
        <w:t>(ii)</w:t>
      </w:r>
      <w:r>
        <w:tab/>
        <w:t>if a later day is set by the CEO on request under subregulation (3) — by the later day;</w:t>
      </w:r>
    </w:p>
    <w:p>
      <w:pPr>
        <w:pStyle w:val="Indenta"/>
      </w:pPr>
      <w:r>
        <w:tab/>
      </w:r>
      <w:r>
        <w:tab/>
        <w:t>and</w:t>
      </w:r>
    </w:p>
    <w:p>
      <w:pPr>
        <w:pStyle w:val="Indenta"/>
      </w:pPr>
      <w:r>
        <w:tab/>
        <w:t>(c)</w:t>
      </w:r>
      <w:r>
        <w:tab/>
        <w:t>that a failure to comply with the notice may constitute an offence.</w:t>
      </w:r>
    </w:p>
    <w:p>
      <w:pPr>
        <w:pStyle w:val="Subsection"/>
      </w:pPr>
      <w:r>
        <w:tab/>
        <w:t>(3)</w:t>
      </w:r>
      <w:r>
        <w:tab/>
        <w:t>The CEO may, on request, set by written notice a day after the due date as the day by which the required information must be given.</w:t>
      </w:r>
    </w:p>
    <w:p>
      <w:pPr>
        <w:pStyle w:val="Subsection"/>
        <w:keepNext/>
      </w:pPr>
      <w:r>
        <w:tab/>
        <w:t>(4)</w:t>
      </w:r>
      <w:r>
        <w:tab/>
        <w:t xml:space="preserve">The auditor must give the required information to the CEO — </w:t>
      </w:r>
    </w:p>
    <w:p>
      <w:pPr>
        <w:pStyle w:val="Indenta"/>
      </w:pPr>
      <w:r>
        <w:tab/>
        <w:t>(a)</w:t>
      </w:r>
      <w:r>
        <w:tab/>
        <w:t>by the due date; or</w:t>
      </w:r>
    </w:p>
    <w:p>
      <w:pPr>
        <w:pStyle w:val="Indenta"/>
      </w:pPr>
      <w:r>
        <w:tab/>
        <w:t>(b)</w:t>
      </w:r>
      <w:r>
        <w:tab/>
        <w:t>if a later day is set under subregulation (3) — by the later day.</w:t>
      </w:r>
    </w:p>
    <w:p>
      <w:pPr>
        <w:pStyle w:val="Penstart"/>
      </w:pPr>
      <w:r>
        <w:tab/>
        <w:t>Penalty for this subregulation: a fine of $1 000.</w:t>
      </w:r>
    </w:p>
    <w:p>
      <w:pPr>
        <w:pStyle w:val="Footnotesection"/>
      </w:pPr>
      <w:r>
        <w:tab/>
        <w:t>[Regulation 32A inserted: SL 2022/99 r. 5.]</w:t>
      </w:r>
    </w:p>
    <w:p>
      <w:pPr>
        <w:pStyle w:val="Heading2"/>
      </w:pPr>
      <w:bookmarkStart w:id="111" w:name="_Toc154748739"/>
      <w:bookmarkStart w:id="112" w:name="_Toc107219439"/>
      <w:bookmarkStart w:id="113" w:name="_Toc107323449"/>
      <w:r>
        <w:rPr>
          <w:rStyle w:val="CharPartNo"/>
        </w:rPr>
        <w:t>Part 8</w:t>
      </w:r>
      <w:r>
        <w:rPr>
          <w:rStyle w:val="CharDivNo"/>
        </w:rPr>
        <w:t> </w:t>
      </w:r>
      <w:r>
        <w:t>—</w:t>
      </w:r>
      <w:r>
        <w:rPr>
          <w:rStyle w:val="CharDivText"/>
        </w:rPr>
        <w:t> </w:t>
      </w:r>
      <w:r>
        <w:rPr>
          <w:rStyle w:val="CharPartText"/>
        </w:rPr>
        <w:t>Disclosure statements</w:t>
      </w:r>
      <w:bookmarkEnd w:id="111"/>
      <w:bookmarkEnd w:id="109"/>
      <w:bookmarkEnd w:id="110"/>
      <w:bookmarkEnd w:id="112"/>
      <w:bookmarkEnd w:id="113"/>
    </w:p>
    <w:p>
      <w:pPr>
        <w:pStyle w:val="Heading5"/>
      </w:pPr>
      <w:bookmarkStart w:id="114" w:name="_Toc154748740"/>
      <w:bookmarkStart w:id="115" w:name="_Toc107323450"/>
      <w:r>
        <w:rPr>
          <w:rStyle w:val="CharSectno"/>
        </w:rPr>
        <w:t>33</w:t>
      </w:r>
      <w:r>
        <w:t>.</w:t>
      </w:r>
      <w:r>
        <w:tab/>
        <w:t>Disclosure statement under section 64 — Form 5</w:t>
      </w:r>
      <w:bookmarkEnd w:id="114"/>
      <w:bookmarkEnd w:id="115"/>
    </w:p>
    <w:p>
      <w:pPr>
        <w:pStyle w:val="Subsection"/>
      </w:pPr>
      <w:r>
        <w:tab/>
        <w:t>(1)</w:t>
      </w:r>
      <w:r>
        <w:tab/>
        <w:t>For the purposes of the Act section 64, a disclosure statement is to be in the form of Form 5.</w:t>
      </w:r>
    </w:p>
    <w:p>
      <w:pPr>
        <w:pStyle w:val="Subsection"/>
      </w:pPr>
      <w:r>
        <w:tab/>
        <w:t>(2)</w:t>
      </w:r>
      <w:r>
        <w:tab/>
        <w:t xml:space="preserve">A disclosure statement is to be accompanied by — </w:t>
      </w:r>
    </w:p>
    <w:p>
      <w:pPr>
        <w:pStyle w:val="Indenta"/>
      </w:pPr>
      <w:r>
        <w:tab/>
        <w:t>(a)</w:t>
      </w:r>
      <w:r>
        <w:tab/>
        <w:t>a certified copy of the certificate, or certificates, of title for the owner’s land; and</w:t>
      </w:r>
    </w:p>
    <w:p>
      <w:pPr>
        <w:pStyle w:val="Indenta"/>
      </w:pPr>
      <w:r>
        <w:tab/>
        <w:t>(b)</w:t>
      </w:r>
      <w:r>
        <w:tab/>
        <w:t>a report, prepared in accordance with the relevant guidelines, regarding the nature and extent of contamination of the owner’s land; and</w:t>
      </w:r>
    </w:p>
    <w:p>
      <w:pPr>
        <w:pStyle w:val="Indenta"/>
      </w:pPr>
      <w:r>
        <w:tab/>
        <w:t>(c)</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the owner’s land, currently and historically; or</w:t>
      </w:r>
    </w:p>
    <w:p>
      <w:pPr>
        <w:pStyle w:val="Indenti"/>
      </w:pPr>
      <w:r>
        <w:tab/>
        <w:t>(ii)</w:t>
      </w:r>
      <w:r>
        <w:tab/>
        <w:t>the use to which the owner’s land has been, and is being, put and the activities which have been carried out on that land which may have caused or contributed to the contamination;</w:t>
      </w:r>
    </w:p>
    <w:p>
      <w:pPr>
        <w:pStyle w:val="Indenta"/>
      </w:pPr>
      <w:r>
        <w:tab/>
      </w:r>
      <w:r>
        <w:tab/>
        <w:t>and</w:t>
      </w:r>
    </w:p>
    <w:p>
      <w:pPr>
        <w:pStyle w:val="Indenta"/>
      </w:pPr>
      <w:r>
        <w:tab/>
        <w:t>(d)</w:t>
      </w:r>
      <w:r>
        <w:tab/>
        <w:t>relevant details of the transaction, or transactions, which resulted in the owner of the land becoming an owner of the owner’s land, including the reason why the person became an owner of the land; and</w:t>
      </w:r>
    </w:p>
    <w:p>
      <w:pPr>
        <w:pStyle w:val="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(3)</w:t>
      </w:r>
      <w:r>
        <w:tab/>
        <w:t xml:space="preserve">If the disclosure statement is also made in respect of the contamination of land that comprises all, or part of an affected site on which contamination is caused, or contributed to — </w:t>
      </w:r>
    </w:p>
    <w:p>
      <w:pPr>
        <w:pStyle w:val="Indenta"/>
      </w:pPr>
      <w:r>
        <w:tab/>
        <w:t>(a)</w:t>
      </w:r>
      <w:r>
        <w:tab/>
        <w:t>by contamination; or</w:t>
      </w:r>
    </w:p>
    <w:p>
      <w:pPr>
        <w:pStyle w:val="Indenta"/>
      </w:pPr>
      <w:r>
        <w:tab/>
        <w:t>(b)</w:t>
      </w:r>
      <w:r>
        <w:tab/>
        <w:t>by a substance,</w:t>
      </w:r>
    </w:p>
    <w:p>
      <w:pPr>
        <w:pStyle w:val="Subsection"/>
      </w:pPr>
      <w:r>
        <w:tab/>
      </w:r>
      <w:r>
        <w:tab/>
        <w:t xml:space="preserve">which has migrated to that land from the owner’s land (as referred to in the Act section 64(5)) then the disclosure statement is also to be accompanied by — </w:t>
      </w:r>
    </w:p>
    <w:p>
      <w:pPr>
        <w:pStyle w:val="Indenta"/>
      </w:pPr>
      <w:r>
        <w:tab/>
        <w:t>(c)</w:t>
      </w:r>
      <w:r>
        <w:tab/>
        <w:t>a certified copy of the certificate, or certificates, of title for the land; and</w:t>
      </w:r>
    </w:p>
    <w:p>
      <w:pPr>
        <w:pStyle w:val="Indenta"/>
      </w:pPr>
      <w:r>
        <w:tab/>
        <w:t>(d)</w:t>
      </w:r>
      <w:r>
        <w:tab/>
        <w:t>a report, prepared in accordance with the relevant guidelines, regarding the nature and extent of contamination of the land; and</w:t>
      </w:r>
    </w:p>
    <w:p>
      <w:pPr>
        <w:pStyle w:val="Indenta"/>
      </w:pPr>
      <w:r>
        <w:tab/>
        <w:t>(e)</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that land, currently and historically; or</w:t>
      </w:r>
    </w:p>
    <w:p>
      <w:pPr>
        <w:pStyle w:val="Indenti"/>
      </w:pPr>
      <w:r>
        <w:tab/>
        <w:t>(ii)</w:t>
      </w:r>
      <w:r>
        <w:tab/>
        <w:t>the use to which that land has been, and is being, put and the activities which have been carried out on that land which may have caused or contributed to the contamination;</w:t>
      </w:r>
    </w:p>
    <w:p>
      <w:pPr>
        <w:pStyle w:val="Indenta"/>
      </w:pPr>
      <w:r>
        <w:tab/>
      </w:r>
      <w:r>
        <w:tab/>
        <w:t>and</w:t>
      </w:r>
    </w:p>
    <w:p>
      <w:pPr>
        <w:pStyle w:val="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Subsection"/>
        <w:keepNext/>
      </w:pPr>
      <w:r>
        <w:tab/>
        <w:t>(5)</w:t>
      </w:r>
      <w:r>
        <w:tab/>
        <w:t xml:space="preserve">In this regulation — </w:t>
      </w:r>
    </w:p>
    <w:p>
      <w:pPr>
        <w:pStyle w:val="Defstart"/>
      </w:pPr>
      <w:r>
        <w:rPr>
          <w:b/>
        </w:rPr>
        <w:tab/>
      </w:r>
      <w:r>
        <w:rPr>
          <w:rStyle w:val="CharDefText"/>
        </w:rPr>
        <w:t>owner’s land</w:t>
      </w:r>
      <w:r>
        <w:t>, in respect of a disclosure statement, means the land described in the disclosure statement under the heading “The Owner’s Land”.</w:t>
      </w:r>
    </w:p>
    <w:p>
      <w:pPr>
        <w:pStyle w:val="Heading5"/>
      </w:pPr>
      <w:bookmarkStart w:id="116" w:name="_Toc154748741"/>
      <w:bookmarkStart w:id="117" w:name="_Toc107323451"/>
      <w:r>
        <w:rPr>
          <w:rStyle w:val="CharSectno"/>
        </w:rPr>
        <w:t>34</w:t>
      </w:r>
      <w:r>
        <w:t>.</w:t>
      </w:r>
      <w:r>
        <w:tab/>
        <w:t>Disclosure to potential owners — Form 6</w:t>
      </w:r>
      <w:bookmarkEnd w:id="116"/>
      <w:bookmarkEnd w:id="117"/>
    </w:p>
    <w:p>
      <w:pPr>
        <w:pStyle w:val="Subsection"/>
      </w:pPr>
      <w:r>
        <w:tab/>
      </w:r>
      <w:r>
        <w:tab/>
        <w:t>For the purposes of the Act section 68, a written disclosure is to be in the form of Form 6.</w:t>
      </w:r>
    </w:p>
    <w:p>
      <w:pPr>
        <w:pStyle w:val="Heading2"/>
      </w:pPr>
      <w:bookmarkStart w:id="118" w:name="_Toc154748742"/>
      <w:bookmarkStart w:id="119" w:name="_Toc107216665"/>
      <w:bookmarkStart w:id="120" w:name="_Toc107216823"/>
      <w:bookmarkStart w:id="121" w:name="_Toc107219442"/>
      <w:bookmarkStart w:id="122" w:name="_Toc107323452"/>
      <w:r>
        <w:rPr>
          <w:rStyle w:val="CharPartNo"/>
        </w:rPr>
        <w:t>Part 9</w:t>
      </w:r>
      <w:r>
        <w:t> — </w:t>
      </w:r>
      <w:r>
        <w:rPr>
          <w:rStyle w:val="CharPartText"/>
        </w:rPr>
        <w:t>Auditors</w:t>
      </w:r>
      <w:bookmarkEnd w:id="118"/>
      <w:bookmarkEnd w:id="119"/>
      <w:bookmarkEnd w:id="120"/>
      <w:bookmarkEnd w:id="121"/>
      <w:bookmarkEnd w:id="122"/>
    </w:p>
    <w:p>
      <w:pPr>
        <w:pStyle w:val="Heading3"/>
      </w:pPr>
      <w:bookmarkStart w:id="123" w:name="_Toc154748743"/>
      <w:bookmarkStart w:id="124" w:name="_Toc107216666"/>
      <w:bookmarkStart w:id="125" w:name="_Toc107216824"/>
      <w:bookmarkStart w:id="126" w:name="_Toc107219443"/>
      <w:bookmarkStart w:id="127" w:name="_Toc107323453"/>
      <w:r>
        <w:rPr>
          <w:rStyle w:val="CharDivNo"/>
        </w:rPr>
        <w:t>Division 1</w:t>
      </w:r>
      <w:r>
        <w:t> — </w:t>
      </w:r>
      <w:r>
        <w:rPr>
          <w:rStyle w:val="CharDivText"/>
        </w:rPr>
        <w:t>Accreditation of auditors</w:t>
      </w:r>
      <w:bookmarkEnd w:id="123"/>
      <w:bookmarkEnd w:id="124"/>
      <w:bookmarkEnd w:id="125"/>
      <w:bookmarkEnd w:id="126"/>
      <w:bookmarkEnd w:id="127"/>
    </w:p>
    <w:p>
      <w:pPr>
        <w:pStyle w:val="Heading5"/>
      </w:pPr>
      <w:bookmarkStart w:id="128" w:name="_Toc154748744"/>
      <w:bookmarkStart w:id="129" w:name="_Toc107323454"/>
      <w:r>
        <w:rPr>
          <w:rStyle w:val="CharSectno"/>
        </w:rPr>
        <w:t>35</w:t>
      </w:r>
      <w:r>
        <w:t>.</w:t>
      </w:r>
      <w:r>
        <w:tab/>
        <w:t>Call for applications</w:t>
      </w:r>
      <w:bookmarkEnd w:id="128"/>
      <w:bookmarkEnd w:id="129"/>
    </w:p>
    <w:p>
      <w:pPr>
        <w:pStyle w:val="Subsection"/>
      </w:pPr>
      <w:r>
        <w:tab/>
        <w:t>(1)</w:t>
      </w:r>
      <w:r>
        <w:tab/>
        <w:t>The CEO may call for applications from persons seeking accreditation as contaminated sites auditors.</w:t>
      </w:r>
    </w:p>
    <w:p>
      <w:pPr>
        <w:pStyle w:val="Subsection"/>
      </w:pPr>
      <w:r>
        <w:tab/>
        <w:t>(2)</w:t>
      </w:r>
      <w:r>
        <w:tab/>
        <w:t>The CEO must call for applications by advertising in such manner as the CEO considers appropriate.</w:t>
      </w:r>
    </w:p>
    <w:p>
      <w:pPr>
        <w:pStyle w:val="Subsection"/>
      </w:pPr>
      <w:r>
        <w:tab/>
        <w:t>(3)</w:t>
      </w:r>
      <w:r>
        <w:tab/>
        <w:t>The CEO must specify in the call for applications the period during which an application must be made.</w:t>
      </w:r>
    </w:p>
    <w:p>
      <w:pPr>
        <w:pStyle w:val="Footnotesection"/>
      </w:pPr>
      <w:r>
        <w:tab/>
        <w:t>[Regulation 35 amended: SL 2022/99 r. 6.]</w:t>
      </w:r>
    </w:p>
    <w:p>
      <w:pPr>
        <w:pStyle w:val="Heading5"/>
      </w:pPr>
      <w:bookmarkStart w:id="130" w:name="_Toc154748745"/>
      <w:bookmarkStart w:id="131" w:name="_Toc107323455"/>
      <w:r>
        <w:rPr>
          <w:rStyle w:val="CharSectno"/>
        </w:rPr>
        <w:t>36</w:t>
      </w:r>
      <w:r>
        <w:t>.</w:t>
      </w:r>
      <w:r>
        <w:tab/>
        <w:t>Application for accreditation as contaminated sites auditor</w:t>
      </w:r>
      <w:bookmarkEnd w:id="130"/>
      <w:bookmarkEnd w:id="131"/>
    </w:p>
    <w:p>
      <w:pPr>
        <w:pStyle w:val="Subsection"/>
        <w:keepNext/>
      </w:pPr>
      <w:r>
        <w:tab/>
        <w:t>(1A)</w:t>
      </w:r>
      <w:r>
        <w:tab/>
        <w:t xml:space="preserve">In this regulation — </w:t>
      </w:r>
    </w:p>
    <w:p>
      <w:pPr>
        <w:pStyle w:val="Defstart"/>
        <w:keepNext/>
      </w:pPr>
      <w:r>
        <w:tab/>
      </w:r>
      <w:r>
        <w:rPr>
          <w:rStyle w:val="CharDefText"/>
        </w:rPr>
        <w:t>former auditor</w:t>
      </w:r>
      <w:r>
        <w:t xml:space="preserve"> — </w:t>
      </w:r>
    </w:p>
    <w:p>
      <w:pPr>
        <w:pStyle w:val="Defpara"/>
      </w:pPr>
      <w:r>
        <w:tab/>
        <w:t>(a)</w:t>
      </w:r>
      <w:r>
        <w:tab/>
        <w:t>means a person whose accreditation under section 69 of the Act has ceased; but</w:t>
      </w:r>
    </w:p>
    <w:p>
      <w:pPr>
        <w:pStyle w:val="Defpara"/>
        <w:keepNext/>
      </w:pPr>
      <w:r>
        <w:tab/>
        <w:t>(b)</w:t>
      </w:r>
      <w:r>
        <w:tab/>
        <w:t xml:space="preserve">does not include a person — </w:t>
      </w:r>
    </w:p>
    <w:p>
      <w:pPr>
        <w:pStyle w:val="Defsubpara"/>
      </w:pPr>
      <w:r>
        <w:tab/>
        <w:t>(i)</w:t>
      </w:r>
      <w:r>
        <w:tab/>
        <w:t>whose application for renewal of accreditation as an auditor is refused under regulation 45(2)(a), (b) or (c); or</w:t>
      </w:r>
    </w:p>
    <w:p>
      <w:pPr>
        <w:pStyle w:val="Defsubpara"/>
      </w:pPr>
      <w:r>
        <w:tab/>
        <w:t>(ii)</w:t>
      </w:r>
      <w:r>
        <w:tab/>
        <w:t>whose accreditation as an auditor is cancelled.</w:t>
      </w:r>
    </w:p>
    <w:p>
      <w:pPr>
        <w:pStyle w:val="Subsection"/>
        <w:keepNext/>
      </w:pPr>
      <w:r>
        <w:tab/>
        <w:t>(1)</w:t>
      </w:r>
      <w:r>
        <w:tab/>
        <w:t xml:space="preserve">An application for accreditation as an auditor must — </w:t>
      </w:r>
    </w:p>
    <w:p>
      <w:pPr>
        <w:pStyle w:val="Indenta"/>
      </w:pPr>
      <w:r>
        <w:tab/>
        <w:t>(aa)</w:t>
      </w:r>
      <w:r>
        <w:tab/>
        <w:t>if the applicant is not a former auditor — be made during a period specified under regulation 35(3); and</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be accompanied by the application fee set out in Schedule 2 item 4.</w:t>
      </w:r>
    </w:p>
    <w:p>
      <w:pPr>
        <w:pStyle w:val="Subsection"/>
      </w:pPr>
      <w:r>
        <w:tab/>
        <w:t>(2)</w:t>
      </w:r>
      <w:r>
        <w:tab/>
        <w:t>An applicant must provide the CEO with any further information the CEO requests, by written notice given to the applicant, to properly consider the application.</w:t>
      </w:r>
    </w:p>
    <w:p>
      <w:pPr>
        <w:pStyle w:val="Subsection"/>
        <w:keepNext/>
      </w:pPr>
      <w:r>
        <w:tab/>
        <w:t>(3)</w:t>
      </w:r>
      <w:r>
        <w:tab/>
        <w:t>An application fee is not refundable regardless of whether the application is successful or unsuccessful.</w:t>
      </w:r>
    </w:p>
    <w:p>
      <w:pPr>
        <w:pStyle w:val="Footnotesection"/>
      </w:pPr>
      <w:r>
        <w:tab/>
        <w:t>[Regulation 36 amended: SL 2022/99 r. 7.]</w:t>
      </w:r>
    </w:p>
    <w:p>
      <w:pPr>
        <w:pStyle w:val="Ednotesection"/>
      </w:pPr>
      <w:r>
        <w:t>[</w:t>
      </w:r>
      <w:r>
        <w:rPr>
          <w:b/>
        </w:rPr>
        <w:t>37.</w:t>
      </w:r>
      <w:r>
        <w:tab/>
        <w:t>Deleted: SL 2022/99 r. 8.]</w:t>
      </w:r>
    </w:p>
    <w:p>
      <w:pPr>
        <w:pStyle w:val="Heading5"/>
      </w:pPr>
      <w:bookmarkStart w:id="132" w:name="_Toc154748746"/>
      <w:bookmarkStart w:id="133" w:name="_Toc107323456"/>
      <w:r>
        <w:rPr>
          <w:rStyle w:val="CharSectno"/>
        </w:rPr>
        <w:t>38</w:t>
      </w:r>
      <w:r>
        <w:t>.</w:t>
      </w:r>
      <w:r>
        <w:tab/>
        <w:t>Auditors to be individuals</w:t>
      </w:r>
      <w:bookmarkEnd w:id="132"/>
      <w:bookmarkEnd w:id="133"/>
    </w:p>
    <w:p>
      <w:pPr>
        <w:pStyle w:val="Subsection"/>
      </w:pPr>
      <w:r>
        <w:tab/>
      </w:r>
      <w:r>
        <w:tab/>
        <w:t>A person cannot be accredited as an auditor unless the person is an individual.</w:t>
      </w:r>
    </w:p>
    <w:p>
      <w:pPr>
        <w:pStyle w:val="Heading5"/>
      </w:pPr>
      <w:bookmarkStart w:id="134" w:name="_Toc154748747"/>
      <w:bookmarkStart w:id="135" w:name="_Toc107323457"/>
      <w:r>
        <w:rPr>
          <w:rStyle w:val="CharSectno"/>
        </w:rPr>
        <w:t>39</w:t>
      </w:r>
      <w:r>
        <w:t>.</w:t>
      </w:r>
      <w:r>
        <w:tab/>
        <w:t>Accreditation</w:t>
      </w:r>
      <w:bookmarkEnd w:id="134"/>
      <w:bookmarkEnd w:id="135"/>
    </w:p>
    <w:p>
      <w:pPr>
        <w:pStyle w:val="Subsection"/>
        <w:keepNext/>
        <w:tabs>
          <w:tab w:val="clear" w:pos="879"/>
          <w:tab w:val="left" w:pos="1985"/>
        </w:tabs>
      </w:pPr>
      <w:r>
        <w:tab/>
        <w:t>(1)</w:t>
      </w:r>
      <w:r>
        <w:tab/>
        <w:t>The CEO may accredit a person as an auditor if satisfied that the person —</w:t>
      </w:r>
    </w:p>
    <w:p>
      <w:pPr>
        <w:pStyle w:val="Indenta"/>
      </w:pPr>
      <w:r>
        <w:tab/>
        <w:t>(a)</w:t>
      </w:r>
      <w:r>
        <w:tab/>
        <w:t>has adequate theoretical and practical knowledge and adequate skills, to carry out the functions of an auditor; and</w:t>
      </w:r>
    </w:p>
    <w:p>
      <w:pPr>
        <w:pStyle w:val="Indenta"/>
      </w:pPr>
      <w:r>
        <w:tab/>
        <w:t>(b)</w:t>
      </w:r>
      <w:r>
        <w:tab/>
        <w:t>has access to supporting experts whose assistance would be necessary for the person to competently carry out the functions of an auditor; and</w:t>
      </w:r>
    </w:p>
    <w:p>
      <w:pPr>
        <w:pStyle w:val="Indenta"/>
        <w:keepNext/>
      </w:pPr>
      <w:r>
        <w:tab/>
        <w:t>(c)</w:t>
      </w:r>
      <w:r>
        <w:tab/>
        <w:t xml:space="preserve">has an adequate knowledge and understanding of relevant laws and currently accepted industrial standards including — </w:t>
      </w:r>
    </w:p>
    <w:p>
      <w:pPr>
        <w:pStyle w:val="Indenti"/>
      </w:pPr>
      <w:r>
        <w:tab/>
        <w:t>(i)</w:t>
      </w:r>
      <w:r>
        <w:tab/>
        <w:t>the Act; and</w:t>
      </w:r>
    </w:p>
    <w:p>
      <w:pPr>
        <w:pStyle w:val="Indenti"/>
      </w:pPr>
      <w:r>
        <w:tab/>
        <w:t>(ii)</w:t>
      </w:r>
      <w:r>
        <w:tab/>
        <w:t>these regulations; and</w:t>
      </w:r>
    </w:p>
    <w:p>
      <w:pPr>
        <w:pStyle w:val="Indenti"/>
      </w:pPr>
      <w:r>
        <w:tab/>
        <w:t>(iii)</w:t>
      </w:r>
      <w:r>
        <w:tab/>
        <w:t>the guidelines; and</w:t>
      </w:r>
    </w:p>
    <w:p>
      <w:pPr>
        <w:pStyle w:val="Indenti"/>
      </w:pPr>
      <w:r>
        <w:tab/>
        <w:t>(iv)</w:t>
      </w:r>
      <w:r>
        <w:tab/>
        <w:t>any relevant national policies or guidelines approved in writing by the CEO for the purpose of this subparagraph; and</w:t>
      </w:r>
    </w:p>
    <w:p>
      <w:pPr>
        <w:pStyle w:val="Indenti"/>
        <w:keepNext/>
      </w:pPr>
      <w:r>
        <w:tab/>
        <w:t>(v)</w:t>
      </w:r>
      <w:r>
        <w:tab/>
        <w:t xml:space="preserve">the EP Act and any relevant regulations under that Act; </w:t>
      </w:r>
    </w:p>
    <w:p>
      <w:pPr>
        <w:pStyle w:val="Indenta"/>
      </w:pPr>
      <w:r>
        <w:tab/>
      </w:r>
      <w:r>
        <w:tab/>
        <w:t>and</w:t>
      </w:r>
    </w:p>
    <w:p>
      <w:pPr>
        <w:pStyle w:val="Indenta"/>
      </w:pPr>
      <w:r>
        <w:tab/>
        <w:t>(d)</w:t>
      </w:r>
      <w:r>
        <w:tab/>
        <w:t>is covered by auditor insurance; and</w:t>
      </w:r>
    </w:p>
    <w:p>
      <w:pPr>
        <w:pStyle w:val="Indenta"/>
      </w:pPr>
      <w:r>
        <w:tab/>
        <w:t>(e)</w:t>
      </w:r>
      <w:r>
        <w:tab/>
        <w:t>is otherwise a fit and proper person to carry out the functions of an auditor; and</w:t>
      </w:r>
    </w:p>
    <w:p>
      <w:pPr>
        <w:pStyle w:val="Indenta"/>
      </w:pPr>
      <w:r>
        <w:tab/>
        <w:t>(f)</w:t>
      </w:r>
      <w:r>
        <w:tab/>
        <w:t>has paid to the CEO the fee set out in Schedule 2 item 5 for the term of the accreditation.</w:t>
      </w:r>
    </w:p>
    <w:p>
      <w:pPr>
        <w:pStyle w:val="Subsection"/>
      </w:pPr>
      <w:r>
        <w:tab/>
        <w:t>(2)</w:t>
      </w:r>
      <w:r>
        <w:tab/>
        <w:t>If the CEO accredits a person as an auditor, the CEO must set the term of the accreditation, which must not be longer than 5 years.</w:t>
      </w:r>
    </w:p>
    <w:p>
      <w:pPr>
        <w:pStyle w:val="Subsection"/>
        <w:keepNext/>
      </w:pPr>
      <w:r>
        <w:tab/>
        <w:t>(3)</w:t>
      </w:r>
      <w:r>
        <w:tab/>
        <w:t>The CEO must give to the auditor written notice specifying the term set by the CEO.</w:t>
      </w:r>
    </w:p>
    <w:p>
      <w:pPr>
        <w:pStyle w:val="Footnotesection"/>
      </w:pPr>
      <w:r>
        <w:tab/>
        <w:t>[Regulation 39 amended: SL 2022/99 r. 9.]</w:t>
      </w:r>
    </w:p>
    <w:p>
      <w:pPr>
        <w:pStyle w:val="Heading5"/>
      </w:pPr>
      <w:bookmarkStart w:id="136" w:name="_Toc154748748"/>
      <w:bookmarkStart w:id="137" w:name="_Toc104561740"/>
      <w:bookmarkStart w:id="138" w:name="_Toc106107467"/>
      <w:bookmarkStart w:id="139" w:name="_Toc107323458"/>
      <w:r>
        <w:rPr>
          <w:rStyle w:val="CharSectno"/>
        </w:rPr>
        <w:t>40</w:t>
      </w:r>
      <w:r>
        <w:t>.</w:t>
      </w:r>
      <w:r>
        <w:tab/>
        <w:t xml:space="preserve">Accreditation fee for persons accredited under </w:t>
      </w:r>
      <w:r>
        <w:rPr>
          <w:i/>
        </w:rPr>
        <w:t>Mutual Recognition Act 1992</w:t>
      </w:r>
      <w:r>
        <w:t xml:space="preserve"> (Commonwealth) Part 3</w:t>
      </w:r>
      <w:bookmarkEnd w:id="136"/>
      <w:bookmarkEnd w:id="137"/>
      <w:bookmarkEnd w:id="138"/>
      <w:bookmarkEnd w:id="139"/>
    </w:p>
    <w:p>
      <w:pPr>
        <w:pStyle w:val="Subsection"/>
      </w:pPr>
      <w:r>
        <w:tab/>
        <w:t>(1)</w:t>
      </w:r>
      <w:r>
        <w:tab/>
        <w:t xml:space="preserve">A person accredited under the </w:t>
      </w:r>
      <w:r>
        <w:rPr>
          <w:i/>
        </w:rPr>
        <w:t>Mutual Recognition Act 1992</w:t>
      </w:r>
      <w:r>
        <w:t xml:space="preserve"> (Commonwealth) Part 3 as an auditor must not carry out a function as an auditor unless the person has paid to the CEO the fee set out in Schedule 2 item 5 for the term of the accreditation.</w:t>
      </w:r>
    </w:p>
    <w:p>
      <w:pPr>
        <w:pStyle w:val="Subsection"/>
        <w:keepNext/>
      </w:pPr>
      <w:r>
        <w:tab/>
        <w:t>(2)</w:t>
      </w:r>
      <w:r>
        <w:tab/>
        <w:t xml:space="preserve">If the person withdraws the notice given under the </w:t>
      </w:r>
      <w:r>
        <w:rPr>
          <w:i/>
        </w:rPr>
        <w:t>Mutual Recognition Act 1992</w:t>
      </w:r>
      <w:r>
        <w:t xml:space="preserve"> (Commonwealth) section 19 or is refused accreditation under section 23(1) of that Act, the CEO may refund to the person all or part of a fee paid under subregulation (1).</w:t>
      </w:r>
    </w:p>
    <w:p>
      <w:pPr>
        <w:pStyle w:val="Footnotesection"/>
      </w:pPr>
      <w:r>
        <w:tab/>
        <w:t>[Regulation 30 inserted: SL 2022/99 r. 10.]</w:t>
      </w:r>
    </w:p>
    <w:p>
      <w:pPr>
        <w:pStyle w:val="Heading5"/>
      </w:pPr>
      <w:bookmarkStart w:id="140" w:name="_Toc154748749"/>
      <w:bookmarkStart w:id="141" w:name="_Toc107323459"/>
      <w:r>
        <w:rPr>
          <w:rStyle w:val="CharSectno"/>
        </w:rPr>
        <w:t>41</w:t>
      </w:r>
      <w:r>
        <w:t>.</w:t>
      </w:r>
      <w:r>
        <w:tab/>
        <w:t>Selection panel</w:t>
      </w:r>
      <w:bookmarkEnd w:id="140"/>
      <w:bookmarkEnd w:id="141"/>
    </w:p>
    <w:p>
      <w:pPr>
        <w:pStyle w:val="Subsection"/>
      </w:pPr>
      <w:r>
        <w:tab/>
        <w:t>(1)</w:t>
      </w:r>
      <w:r>
        <w:tab/>
        <w:t>To assist in the assessment of persons who have applied for accreditation as an auditor, the CEO may establish a selection panel comprising of at least 2 persons chosen by the CEO.</w:t>
      </w:r>
    </w:p>
    <w:p>
      <w:pPr>
        <w:pStyle w:val="Subsection"/>
      </w:pPr>
      <w:r>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Heading5"/>
      </w:pPr>
      <w:bookmarkStart w:id="142" w:name="_Toc154748750"/>
      <w:bookmarkStart w:id="143" w:name="_Toc107323460"/>
      <w:r>
        <w:rPr>
          <w:rStyle w:val="CharSectno"/>
        </w:rPr>
        <w:t>42</w:t>
      </w:r>
      <w:r>
        <w:t>.</w:t>
      </w:r>
      <w:r>
        <w:tab/>
        <w:t>Conditions on accreditation</w:t>
      </w:r>
      <w:bookmarkEnd w:id="142"/>
      <w:bookmarkEnd w:id="143"/>
    </w:p>
    <w:p>
      <w:pPr>
        <w:pStyle w:val="Subsection"/>
      </w:pPr>
      <w:r>
        <w:tab/>
      </w:r>
      <w:r>
        <w:tab/>
        <w:t>The CEO may, by notice in writing given to an auditor from time to time, vary the specifications in the authority given to the auditor under the Act section 70(1).</w:t>
      </w:r>
    </w:p>
    <w:p>
      <w:pPr>
        <w:pStyle w:val="Ednotesection"/>
      </w:pPr>
      <w:r>
        <w:t>[</w:t>
      </w:r>
      <w:r>
        <w:rPr>
          <w:b/>
        </w:rPr>
        <w:t>43.</w:t>
      </w:r>
      <w:r>
        <w:tab/>
        <w:t>Deleted: SL 2022/99 r. 11.]</w:t>
      </w:r>
    </w:p>
    <w:p>
      <w:pPr>
        <w:pStyle w:val="Heading5"/>
      </w:pPr>
      <w:bookmarkStart w:id="144" w:name="_Toc154748751"/>
      <w:bookmarkStart w:id="145" w:name="_Toc107323461"/>
      <w:r>
        <w:rPr>
          <w:rStyle w:val="CharSectno"/>
        </w:rPr>
        <w:t>44</w:t>
      </w:r>
      <w:r>
        <w:t>.</w:t>
      </w:r>
      <w:r>
        <w:tab/>
        <w:t>Application for renewal of accreditation</w:t>
      </w:r>
      <w:bookmarkEnd w:id="144"/>
      <w:bookmarkEnd w:id="145"/>
    </w:p>
    <w:p>
      <w:pPr>
        <w:pStyle w:val="Subsection"/>
        <w:keepNext/>
      </w:pPr>
      <w:r>
        <w:tab/>
        <w:t>(1)</w:t>
      </w:r>
      <w:r>
        <w:tab/>
        <w:t xml:space="preserve">In this regulation — </w:t>
      </w:r>
    </w:p>
    <w:p>
      <w:pPr>
        <w:pStyle w:val="Defstart"/>
      </w:pPr>
      <w:r>
        <w:tab/>
      </w:r>
      <w:r>
        <w:rPr>
          <w:rStyle w:val="CharDefText"/>
        </w:rPr>
        <w:t>expiry day</w:t>
      </w:r>
      <w:r>
        <w:t>, in relation to an auditor, means the day on which the auditor’s term of accreditation expires;</w:t>
      </w:r>
    </w:p>
    <w:p>
      <w:pPr>
        <w:pStyle w:val="Defstart"/>
      </w:pPr>
      <w:r>
        <w:tab/>
      </w:r>
      <w:r>
        <w:rPr>
          <w:rStyle w:val="CharDefText"/>
        </w:rPr>
        <w:t>renewal period</w:t>
      </w:r>
      <w:r>
        <w:t>, in relation to an auditor, means the period of 70 days ending on expiry day.</w:t>
      </w:r>
    </w:p>
    <w:p>
      <w:pPr>
        <w:pStyle w:val="Subsection"/>
      </w:pPr>
      <w:r>
        <w:tab/>
        <w:t>(1A)</w:t>
      </w:r>
      <w:r>
        <w:tab/>
        <w:t>An auditor may apply to the CEO for renewal of accreditation during the renewal period.</w:t>
      </w:r>
    </w:p>
    <w:p>
      <w:pPr>
        <w:pStyle w:val="Subsection"/>
        <w:keepNext/>
      </w:pPr>
      <w:r>
        <w:tab/>
        <w:t>(2)</w:t>
      </w:r>
      <w:r>
        <w:tab/>
        <w:t xml:space="preserve">An application for renewal of accreditation must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specify the term of renewal sought, which must not be longer than 5 years; and</w:t>
      </w:r>
    </w:p>
    <w:p>
      <w:pPr>
        <w:pStyle w:val="Indenta"/>
      </w:pPr>
      <w:r>
        <w:tab/>
        <w:t>(d)</w:t>
      </w:r>
      <w:r>
        <w:tab/>
        <w:t>if the application for renewal is made less than 35 days before expiry day — be accompanied by the late renewal application fee set out in Schedule 2 item 5A.</w:t>
      </w:r>
    </w:p>
    <w:p>
      <w:pPr>
        <w:pStyle w:val="Subsection"/>
      </w:pPr>
      <w:r>
        <w:tab/>
        <w:t>(3)</w:t>
      </w:r>
      <w:r>
        <w:tab/>
        <w:t>An applicant for renewal must provide the CEO with any further information the CEO requests, by written notice given to the applicant, to properly consider the application.</w:t>
      </w:r>
    </w:p>
    <w:p>
      <w:pPr>
        <w:pStyle w:val="Subsection"/>
      </w:pPr>
      <w:r>
        <w:tab/>
        <w:t>(4)</w:t>
      </w:r>
      <w:r>
        <w:tab/>
        <w:t>If an auditor applies under subregulation (1A) before expiry day but the CEO does not give the auditor notice of the CEO’s decision on the application on or before expiry day, the term of the auditor’s accreditation continues from expiry day until the day on which the application is resolved.</w:t>
      </w:r>
    </w:p>
    <w:p>
      <w:pPr>
        <w:pStyle w:val="Subsection"/>
        <w:keepNext/>
      </w:pPr>
      <w:r>
        <w:tab/>
        <w:t>(5)</w:t>
      </w:r>
      <w:r>
        <w:tab/>
        <w:t>A fee paid under subregulation (2)(d) is not refundable regardless of whether the application is successful or unsuccessful.</w:t>
      </w:r>
    </w:p>
    <w:p>
      <w:pPr>
        <w:pStyle w:val="Footnotesection"/>
      </w:pPr>
      <w:r>
        <w:tab/>
        <w:t>[Regulation 44 amended: SL 2022/99 r. 12.]</w:t>
      </w:r>
    </w:p>
    <w:p>
      <w:pPr>
        <w:pStyle w:val="Heading5"/>
      </w:pPr>
      <w:bookmarkStart w:id="146" w:name="_Toc154748752"/>
      <w:bookmarkStart w:id="147" w:name="_Toc104561744"/>
      <w:bookmarkStart w:id="148" w:name="_Toc106107471"/>
      <w:bookmarkStart w:id="149" w:name="_Toc107323462"/>
      <w:r>
        <w:rPr>
          <w:rStyle w:val="CharSectno"/>
        </w:rPr>
        <w:t>45</w:t>
      </w:r>
      <w:r>
        <w:t>.</w:t>
      </w:r>
      <w:r>
        <w:tab/>
        <w:t>Renewal of accreditation</w:t>
      </w:r>
      <w:bookmarkEnd w:id="146"/>
      <w:bookmarkEnd w:id="147"/>
      <w:bookmarkEnd w:id="148"/>
      <w:bookmarkEnd w:id="149"/>
    </w:p>
    <w:p>
      <w:pPr>
        <w:pStyle w:val="Subsection"/>
        <w:keepNext/>
      </w:pPr>
      <w:r>
        <w:tab/>
        <w:t>(1)</w:t>
      </w:r>
      <w:r>
        <w:tab/>
        <w:t xml:space="preserve">In this regulation — </w:t>
      </w:r>
    </w:p>
    <w:p>
      <w:pPr>
        <w:pStyle w:val="Defstart"/>
      </w:pPr>
      <w:r>
        <w:tab/>
      </w:r>
      <w:r>
        <w:rPr>
          <w:rStyle w:val="CharDefText"/>
        </w:rPr>
        <w:t>corresponding person</w:t>
      </w:r>
      <w:r>
        <w:t xml:space="preserve"> means a person under the law of another Australian jurisdiction with functions that correspond or substantially correspond to the CEO’s functions under the Act;</w:t>
      </w:r>
    </w:p>
    <w:p>
      <w:pPr>
        <w:pStyle w:val="Defstart"/>
      </w:pPr>
      <w:r>
        <w:tab/>
      </w:r>
      <w:r>
        <w:rPr>
          <w:rStyle w:val="CharDefText"/>
        </w:rPr>
        <w:t>corresponding report</w:t>
      </w:r>
      <w:r>
        <w:t xml:space="preserve"> means a report prepared under the law of another Australian jurisdiction that corresponds or substantially corresponds to a mandatory auditor’s report.</w:t>
      </w:r>
    </w:p>
    <w:p>
      <w:pPr>
        <w:pStyle w:val="Subsection"/>
        <w:keepNext/>
      </w:pPr>
      <w:r>
        <w:tab/>
        <w:t>(2)</w:t>
      </w:r>
      <w:r>
        <w:tab/>
        <w:t>If an auditor applies for renewal of accreditation under regulation 44, the CEO must renew the accreditation if —</w:t>
      </w:r>
    </w:p>
    <w:p>
      <w:pPr>
        <w:pStyle w:val="Indenta"/>
      </w:pPr>
      <w:r>
        <w:tab/>
        <w:t>(a)</w:t>
      </w:r>
      <w:r>
        <w:tab/>
        <w:t>the CEO is satisfied that the auditor complies with the requirements set out in regulation 39(1)(a) to (e); and</w:t>
      </w:r>
    </w:p>
    <w:p>
      <w:pPr>
        <w:pStyle w:val="Indenta"/>
      </w:pPr>
      <w:r>
        <w:tab/>
        <w:t>(b)</w:t>
      </w:r>
      <w:r>
        <w:tab/>
        <w:t>the auditor has not been convicted of an offence under section 11(3), 70(3), 71 or 74(2) of the Act; and</w:t>
      </w:r>
    </w:p>
    <w:p>
      <w:pPr>
        <w:pStyle w:val="Indenta"/>
        <w:keepLines/>
      </w:pPr>
      <w:r>
        <w:tab/>
        <w:t>(c)</w:t>
      </w:r>
      <w:r>
        <w:tab/>
        <w:t xml:space="preserve">the CEO does not consider it appropriate to refuse to renew the accreditation because — </w:t>
      </w:r>
    </w:p>
    <w:p>
      <w:pPr>
        <w:pStyle w:val="Indenti"/>
      </w:pPr>
      <w:r>
        <w:tab/>
        <w:t>(i)</w:t>
      </w:r>
      <w:r>
        <w:tab/>
        <w:t>a ground set out in regulation 48(2)(a) to (da) is made out in respect of the auditor; or</w:t>
      </w:r>
    </w:p>
    <w:p>
      <w:pPr>
        <w:pStyle w:val="Indenti"/>
        <w:keepLines/>
      </w:pPr>
      <w:r>
        <w:tab/>
        <w:t>(ii)</w:t>
      </w:r>
      <w:r>
        <w:tab/>
        <w:t>the auditor has not provided a mandatory auditor’s report to the CEO, or a corresponding report to a corresponding person, during the auditor’s most recent term of accreditation;</w:t>
      </w:r>
    </w:p>
    <w:p>
      <w:pPr>
        <w:pStyle w:val="Indenta"/>
      </w:pPr>
      <w:r>
        <w:tab/>
      </w:r>
      <w:r>
        <w:tab/>
        <w:t>and</w:t>
      </w:r>
    </w:p>
    <w:p>
      <w:pPr>
        <w:pStyle w:val="Indenta"/>
      </w:pPr>
      <w:r>
        <w:tab/>
        <w:t>(d)</w:t>
      </w:r>
      <w:r>
        <w:tab/>
        <w:t>the auditor has paid to the CEO the fee set out in Schedule 2 item 5 for the term of the accreditation.</w:t>
      </w:r>
    </w:p>
    <w:p>
      <w:pPr>
        <w:pStyle w:val="Subsection"/>
      </w:pPr>
      <w:r>
        <w:tab/>
        <w:t>(3)</w:t>
      </w:r>
      <w:r>
        <w:tab/>
        <w:t>If the CEO renews the accreditation of an auditor under subregulation (2), the CEO must set a new term of accreditation, which must not be longer than 5 years.</w:t>
      </w:r>
    </w:p>
    <w:p>
      <w:pPr>
        <w:pStyle w:val="Subsection"/>
      </w:pPr>
      <w:r>
        <w:tab/>
        <w:t>(4)</w:t>
      </w:r>
      <w:r>
        <w:tab/>
        <w:t>The term set by the CEO begins on the day after the day on which the auditor’s most recent term of accreditation expires.</w:t>
      </w:r>
    </w:p>
    <w:p>
      <w:pPr>
        <w:pStyle w:val="Subsection"/>
        <w:keepLines/>
      </w:pPr>
      <w:r>
        <w:tab/>
        <w:t>(5)</w:t>
      </w:r>
      <w:r>
        <w:tab/>
        <w:t>The CEO must give to the auditor written notice specifying the term set by the CEO.</w:t>
      </w:r>
    </w:p>
    <w:p>
      <w:pPr>
        <w:pStyle w:val="Footnotesection"/>
      </w:pPr>
      <w:bookmarkStart w:id="150" w:name="_Toc104561745"/>
      <w:bookmarkStart w:id="151" w:name="_Toc106107472"/>
      <w:r>
        <w:tab/>
        <w:t>[Regulation 45 inserted: SL 2022/99 r. 13.]</w:t>
      </w:r>
    </w:p>
    <w:p>
      <w:pPr>
        <w:pStyle w:val="Heading5"/>
      </w:pPr>
      <w:bookmarkStart w:id="152" w:name="_Toc154748753"/>
      <w:bookmarkStart w:id="153" w:name="_Toc107323463"/>
      <w:r>
        <w:rPr>
          <w:rStyle w:val="CharSectno"/>
        </w:rPr>
        <w:t>46</w:t>
      </w:r>
      <w:r>
        <w:t>.</w:t>
      </w:r>
      <w:r>
        <w:tab/>
        <w:t>Identity card must be returned if person ceases to be accredited</w:t>
      </w:r>
      <w:bookmarkEnd w:id="152"/>
      <w:bookmarkEnd w:id="150"/>
      <w:bookmarkEnd w:id="151"/>
      <w:bookmarkEnd w:id="153"/>
    </w:p>
    <w:p>
      <w:pPr>
        <w:pStyle w:val="Subsection"/>
        <w:keepNext/>
      </w:pPr>
      <w:r>
        <w:tab/>
        <w:t>(1)</w:t>
      </w:r>
      <w:r>
        <w:tab/>
        <w:t>A person who ceases to be accredited as an auditor must return to the CEO the written authority given under section 70(1) of the Act.</w:t>
      </w:r>
    </w:p>
    <w:p>
      <w:pPr>
        <w:pStyle w:val="Penstart"/>
      </w:pPr>
      <w:r>
        <w:tab/>
        <w:t>Penalty for this subregulation: a fine of $1 000.</w:t>
      </w:r>
    </w:p>
    <w:p>
      <w:pPr>
        <w:pStyle w:val="Subsection"/>
        <w:keepNext/>
      </w:pPr>
      <w:r>
        <w:tab/>
        <w:t>(2)</w:t>
      </w:r>
      <w:r>
        <w:tab/>
        <w:t>However, subregulation (1) does not apply to a person who is taken not to be accredited as an auditor under regulation 51(1).</w:t>
      </w:r>
    </w:p>
    <w:p>
      <w:pPr>
        <w:pStyle w:val="Footnotesection"/>
      </w:pPr>
      <w:r>
        <w:tab/>
        <w:t>[Regulation 46 inserted: SL 2022/99 r. 13.]</w:t>
      </w:r>
    </w:p>
    <w:p>
      <w:pPr>
        <w:pStyle w:val="Heading3"/>
      </w:pPr>
      <w:bookmarkStart w:id="154" w:name="_Toc154748754"/>
      <w:bookmarkStart w:id="155" w:name="_Toc104559310"/>
      <w:bookmarkStart w:id="156" w:name="_Toc104560318"/>
      <w:bookmarkStart w:id="157" w:name="_Toc104561747"/>
      <w:bookmarkStart w:id="158" w:name="_Toc106107474"/>
      <w:bookmarkStart w:id="159" w:name="_Toc107219454"/>
      <w:bookmarkStart w:id="160" w:name="_Toc107323464"/>
      <w:r>
        <w:rPr>
          <w:rStyle w:val="CharDivNo"/>
        </w:rPr>
        <w:t>Division 1A</w:t>
      </w:r>
      <w:r>
        <w:t> — </w:t>
      </w:r>
      <w:r>
        <w:rPr>
          <w:rStyle w:val="CharDivText"/>
        </w:rPr>
        <w:t>Disciplinary matters</w:t>
      </w:r>
      <w:bookmarkEnd w:id="154"/>
      <w:bookmarkEnd w:id="155"/>
      <w:bookmarkEnd w:id="156"/>
      <w:bookmarkEnd w:id="157"/>
      <w:bookmarkEnd w:id="158"/>
      <w:bookmarkEnd w:id="159"/>
      <w:bookmarkEnd w:id="160"/>
    </w:p>
    <w:p>
      <w:pPr>
        <w:pStyle w:val="Footnoteheading"/>
        <w:keepNext/>
      </w:pPr>
      <w:r>
        <w:tab/>
        <w:t>[Heading inserted: SL 2022/99 r. 14.]</w:t>
      </w:r>
    </w:p>
    <w:p>
      <w:pPr>
        <w:pStyle w:val="Heading5"/>
      </w:pPr>
      <w:bookmarkStart w:id="161" w:name="_Toc154748755"/>
      <w:bookmarkStart w:id="162" w:name="_Toc107323465"/>
      <w:r>
        <w:rPr>
          <w:rStyle w:val="CharSectno"/>
        </w:rPr>
        <w:t>47</w:t>
      </w:r>
      <w:r>
        <w:t>.</w:t>
      </w:r>
      <w:r>
        <w:tab/>
        <w:t>Cancellation of accreditation on conviction for offence</w:t>
      </w:r>
      <w:bookmarkEnd w:id="161"/>
      <w:bookmarkEnd w:id="162"/>
    </w:p>
    <w:p>
      <w:pPr>
        <w:pStyle w:val="Subsection"/>
      </w:pPr>
      <w:r>
        <w:tab/>
        <w:t>(1)</w:t>
      </w:r>
      <w:r>
        <w:tab/>
        <w:t>The CEO must cancel the accreditation of an auditor if the auditor has been convicted of an offence under the Act section 11(3), 70(3), 71 or 74(2).</w:t>
      </w:r>
    </w:p>
    <w:p>
      <w:pPr>
        <w:pStyle w:val="Ednotesubsection"/>
        <w:keepNext/>
      </w:pPr>
      <w:r>
        <w:tab/>
        <w:t>[(2)</w:t>
      </w:r>
      <w:r>
        <w:noBreakHyphen/>
        <w:t>(4)</w:t>
      </w:r>
      <w:r>
        <w:tab/>
        <w:t>deleted]</w:t>
      </w:r>
    </w:p>
    <w:p>
      <w:pPr>
        <w:pStyle w:val="Footnotesection"/>
      </w:pPr>
      <w:r>
        <w:tab/>
        <w:t>[Regulation 47 amended: SL 2022/99 r. 15.]</w:t>
      </w:r>
    </w:p>
    <w:p>
      <w:pPr>
        <w:pStyle w:val="Heading5"/>
      </w:pPr>
      <w:bookmarkStart w:id="163" w:name="_Toc154748756"/>
      <w:bookmarkStart w:id="164" w:name="_Toc107323466"/>
      <w:r>
        <w:rPr>
          <w:rStyle w:val="CharSectno"/>
        </w:rPr>
        <w:t>48</w:t>
      </w:r>
      <w:r>
        <w:t>.</w:t>
      </w:r>
      <w:r>
        <w:tab/>
        <w:t>Accreditation may be cancelled or suspended in other circumstances</w:t>
      </w:r>
      <w:bookmarkEnd w:id="163"/>
      <w:bookmarkEnd w:id="164"/>
    </w:p>
    <w:p>
      <w:pPr>
        <w:pStyle w:val="Subsection"/>
        <w:keepNext/>
      </w:pPr>
      <w:r>
        <w:tab/>
        <w:t>(1)</w:t>
      </w:r>
      <w:r>
        <w:tab/>
        <w:t xml:space="preserve">The CEO may by written notice, on a ground set out in subregulation (2) — </w:t>
      </w:r>
    </w:p>
    <w:p>
      <w:pPr>
        <w:pStyle w:val="Indenta"/>
      </w:pPr>
      <w:r>
        <w:tab/>
        <w:t>(a)</w:t>
      </w:r>
      <w:r>
        <w:tab/>
        <w:t>suspend the accreditation of an auditor for a fixed period specified in the notice; or</w:t>
      </w:r>
    </w:p>
    <w:p>
      <w:pPr>
        <w:pStyle w:val="Indenta"/>
      </w:pPr>
      <w:r>
        <w:tab/>
        <w:t>(b)</w:t>
      </w:r>
      <w:r>
        <w:tab/>
        <w:t>cancel the accreditation of an auditor.</w:t>
      </w:r>
    </w:p>
    <w:p>
      <w:pPr>
        <w:pStyle w:val="Subsection"/>
        <w:keepNext/>
      </w:pPr>
      <w:r>
        <w:tab/>
        <w:t>(2)</w:t>
      </w:r>
      <w:r>
        <w:tab/>
        <w:t xml:space="preserve">The grounds referred to in subregulation (1) are as follows — </w:t>
      </w:r>
    </w:p>
    <w:p>
      <w:pPr>
        <w:pStyle w:val="Indenta"/>
      </w:pPr>
      <w:r>
        <w:tab/>
        <w:t>(a)</w:t>
      </w:r>
      <w:r>
        <w:tab/>
        <w:t>the auditor has contravened the Act or these regulations, including regulation 32A(4), 57, 59A or 59B;</w:t>
      </w:r>
    </w:p>
    <w:p>
      <w:pPr>
        <w:pStyle w:val="Indenta"/>
      </w:pPr>
      <w:r>
        <w:tab/>
        <w:t>(b)</w:t>
      </w:r>
      <w:r>
        <w:tab/>
        <w:t>the auditor has contravened a condition, or failed to act in accordance with a limitation, specified in the authority given to the auditor under the Act section 70(1);</w:t>
      </w:r>
    </w:p>
    <w:p>
      <w:pPr>
        <w:pStyle w:val="Indenta"/>
      </w:pPr>
      <w:r>
        <w:tab/>
        <w:t>(c)</w:t>
      </w:r>
      <w:r>
        <w:tab/>
        <w:t>the auditor has contravened the EP Act or any regulations made under that Act;</w:t>
      </w:r>
    </w:p>
    <w:p>
      <w:pPr>
        <w:pStyle w:val="Indenta"/>
      </w:pPr>
      <w:r>
        <w:tab/>
        <w:t>(d)</w:t>
      </w:r>
      <w:r>
        <w:tab/>
        <w:t>the auditor has failed to take into account any relevant guideline;</w:t>
      </w:r>
    </w:p>
    <w:p>
      <w:pPr>
        <w:pStyle w:val="Indenta"/>
      </w:pPr>
      <w:r>
        <w:tab/>
        <w:t>(da)</w:t>
      </w:r>
      <w:r>
        <w:tab/>
        <w:t>the auditor has failed to competently carry out their functions as an auditor, including by failing to obtain assistance from a supporting expert in circumstances in which obtaining the assistance was necessary;</w:t>
      </w:r>
    </w:p>
    <w:p>
      <w:pPr>
        <w:pStyle w:val="Indenta"/>
      </w:pPr>
      <w:r>
        <w:tab/>
        <w:t>(db)</w:t>
      </w:r>
      <w:r>
        <w:tab/>
        <w:t>the auditor is not covered by auditor insurance;</w:t>
      </w:r>
    </w:p>
    <w:p>
      <w:pPr>
        <w:pStyle w:val="Indenta"/>
      </w:pPr>
      <w:r>
        <w:tab/>
        <w:t>(e)</w:t>
      </w:r>
      <w:r>
        <w:tab/>
        <w:t>the CEO is no longer satisfied that the auditor complies with the requirements set out in regulation 39(1).</w:t>
      </w:r>
    </w:p>
    <w:p>
      <w:pPr>
        <w:pStyle w:val="Ednotesubsection"/>
        <w:keepNext/>
      </w:pPr>
      <w:r>
        <w:tab/>
        <w:t>[(3), (4)</w:t>
      </w:r>
      <w:r>
        <w:tab/>
        <w:t>deleted]</w:t>
      </w:r>
    </w:p>
    <w:p>
      <w:pPr>
        <w:pStyle w:val="Footnotesection"/>
      </w:pPr>
      <w:r>
        <w:tab/>
        <w:t>[Regulation 48 amended: SL 2022/99 r. 16.]</w:t>
      </w:r>
    </w:p>
    <w:p>
      <w:pPr>
        <w:pStyle w:val="Heading5"/>
      </w:pPr>
      <w:bookmarkStart w:id="165" w:name="_Toc154748757"/>
      <w:bookmarkStart w:id="166" w:name="_Toc107323467"/>
      <w:r>
        <w:rPr>
          <w:rStyle w:val="CharSectno"/>
        </w:rPr>
        <w:t>49</w:t>
      </w:r>
      <w:r>
        <w:t>.</w:t>
      </w:r>
      <w:r>
        <w:tab/>
        <w:t>Notice of proposed cancellation, suspension or refusal to renew accreditation</w:t>
      </w:r>
      <w:bookmarkEnd w:id="165"/>
      <w:bookmarkEnd w:id="166"/>
    </w:p>
    <w:p>
      <w:pPr>
        <w:pStyle w:val="Subsection"/>
      </w:pPr>
      <w:r>
        <w:tab/>
        <w:t>(1)</w:t>
      </w:r>
      <w:r>
        <w:tab/>
        <w:t>Before the CEO cancels, suspends or refuses to renew the accreditation of an auditor under regulation 45(2)(a), (b) or (c), 47 or 48, the CEO must give the auditor written notice informing the auditor of the proposed action.</w:t>
      </w:r>
    </w:p>
    <w:p>
      <w:pPr>
        <w:pStyle w:val="Subsection"/>
        <w:keepNext/>
      </w:pPr>
      <w:r>
        <w:tab/>
        <w:t>(2)</w:t>
      </w:r>
      <w:r>
        <w:tab/>
        <w:t xml:space="preserve">Notice under subregulation (1) must — </w:t>
      </w:r>
    </w:p>
    <w:p>
      <w:pPr>
        <w:pStyle w:val="Indenta"/>
      </w:pPr>
      <w:r>
        <w:tab/>
        <w:t>(a)</w:t>
      </w:r>
      <w:r>
        <w:tab/>
        <w:t>specify the ground, or grounds, for the proposed action; and</w:t>
      </w:r>
    </w:p>
    <w:p>
      <w:pPr>
        <w:pStyle w:val="Indenta"/>
      </w:pPr>
      <w:r>
        <w:tab/>
        <w:t>(b)</w:t>
      </w:r>
      <w:r>
        <w:tab/>
        <w:t>invite the auditor to make submissions in relation to the proposed action; and</w:t>
      </w:r>
    </w:p>
    <w:p>
      <w:pPr>
        <w:pStyle w:val="Indenta"/>
      </w:pPr>
      <w:r>
        <w:tab/>
        <w:t>(c)</w:t>
      </w:r>
      <w:r>
        <w:tab/>
        <w:t>specify that representation concerning the proposed action may be made in writing to the CEO within 14 days after the notice is given; and</w:t>
      </w:r>
    </w:p>
    <w:p>
      <w:pPr>
        <w:pStyle w:val="Indenta"/>
      </w:pPr>
      <w:r>
        <w:tab/>
        <w:t>(d)</w:t>
      </w:r>
      <w:r>
        <w:tab/>
        <w:t>specify the address where submissions are to be lodged.</w:t>
      </w:r>
    </w:p>
    <w:p>
      <w:pPr>
        <w:pStyle w:val="Subsection"/>
      </w:pPr>
      <w:r>
        <w:tab/>
        <w:t>(3)</w:t>
      </w:r>
      <w:r>
        <w:tab/>
        <w:t>The CEO must not cancel, suspend or refuse to renew the accreditation of an auditor under regulation 45(2)(a), (b) or (c), 47 or 48 without considering any representations received within the period referred to in subregulation (2)(c).</w:t>
      </w:r>
    </w:p>
    <w:p>
      <w:pPr>
        <w:pStyle w:val="Subsection"/>
      </w:pPr>
      <w:r>
        <w:tab/>
        <w:t>(4)</w:t>
      </w:r>
      <w:r>
        <w:tab/>
        <w:t>If the CEO cancels, suspends or refuses to renew the accreditation of an auditor the CEO must give notice in writing of that decision to the auditor.</w:t>
      </w:r>
    </w:p>
    <w:p>
      <w:pPr>
        <w:pStyle w:val="Ednotesubsection"/>
        <w:keepNext/>
      </w:pPr>
      <w:r>
        <w:tab/>
        <w:t>[(5)</w:t>
      </w:r>
      <w:r>
        <w:tab/>
        <w:t>deleted]</w:t>
      </w:r>
    </w:p>
    <w:p>
      <w:pPr>
        <w:pStyle w:val="Footnotesection"/>
      </w:pPr>
      <w:r>
        <w:tab/>
        <w:t>[Regulation 49 amended: SL 2022/99 r. 17.]</w:t>
      </w:r>
    </w:p>
    <w:p>
      <w:pPr>
        <w:pStyle w:val="Heading5"/>
      </w:pPr>
      <w:bookmarkStart w:id="167" w:name="_Toc154748758"/>
      <w:bookmarkStart w:id="168" w:name="_Toc107323468"/>
      <w:r>
        <w:rPr>
          <w:rStyle w:val="CharSectno"/>
        </w:rPr>
        <w:t>50</w:t>
      </w:r>
      <w:r>
        <w:t>.</w:t>
      </w:r>
      <w:r>
        <w:tab/>
        <w:t>Suspension of accreditation while decision is made</w:t>
      </w:r>
      <w:bookmarkEnd w:id="167"/>
      <w:bookmarkEnd w:id="168"/>
    </w:p>
    <w:p>
      <w:pPr>
        <w:pStyle w:val="Subsection"/>
      </w:pPr>
      <w:r>
        <w:tab/>
        <w:t>(1)</w:t>
      </w:r>
      <w:r>
        <w:tab/>
        <w:t>When giving notice to an auditor under regulation 49(1)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Subsection"/>
        <w:keepNext/>
      </w:pPr>
      <w:r>
        <w:tab/>
        <w:t>(2)</w:t>
      </w:r>
      <w:r>
        <w:tab/>
        <w:t xml:space="preserve">Accreditation may be suspended under subregulation (1) only if — </w:t>
      </w:r>
    </w:p>
    <w:p>
      <w:pPr>
        <w:pStyle w:val="Indenta"/>
      </w:pPr>
      <w:r>
        <w:tab/>
        <w:t>(a)</w:t>
      </w:r>
      <w:r>
        <w:tab/>
        <w:t>the auditor has been convicted of an offence under the Act section 11(3), 70(3), 71 or 74(2); or</w:t>
      </w:r>
    </w:p>
    <w:p>
      <w:pPr>
        <w:pStyle w:val="Ednotepara"/>
      </w:pPr>
      <w:r>
        <w:tab/>
        <w:t>[(b), (c)</w:t>
      </w:r>
      <w:r>
        <w:tab/>
        <w:t>deleted]</w:t>
      </w:r>
    </w:p>
    <w:p>
      <w:pPr>
        <w:pStyle w:val="Indenta"/>
        <w:keepNext/>
      </w:pPr>
      <w:r>
        <w:tab/>
        <w:t>(d)</w:t>
      </w:r>
      <w:r>
        <w:tab/>
        <w:t>the CEO is of the opinion that the reason for the cancellation or the refusal to renew the accreditation is of such a serious nature that immediate suspension of the accreditation is necessary.</w:t>
      </w:r>
    </w:p>
    <w:p>
      <w:pPr>
        <w:pStyle w:val="Footnotesection"/>
      </w:pPr>
      <w:r>
        <w:tab/>
        <w:t>[Regulation 50 amended: SL 2022/99 r. 18.]</w:t>
      </w:r>
    </w:p>
    <w:p>
      <w:pPr>
        <w:pStyle w:val="Heading5"/>
      </w:pPr>
      <w:bookmarkStart w:id="169" w:name="_Toc154748759"/>
      <w:bookmarkStart w:id="170" w:name="_Toc107323469"/>
      <w:r>
        <w:rPr>
          <w:rStyle w:val="CharSectno"/>
        </w:rPr>
        <w:t>51</w:t>
      </w:r>
      <w:r>
        <w:t>.</w:t>
      </w:r>
      <w:r>
        <w:tab/>
        <w:t>Effect of suspension</w:t>
      </w:r>
      <w:bookmarkEnd w:id="169"/>
      <w:bookmarkEnd w:id="170"/>
    </w:p>
    <w:p>
      <w:pPr>
        <w:pStyle w:val="Subsection"/>
      </w:pPr>
      <w:r>
        <w:tab/>
        <w:t>(1)</w:t>
      </w:r>
      <w:r>
        <w:tab/>
        <w:t>A person whose accreditation is suspended is to be taken not to be accredited as an auditor during the period of the suspension.</w:t>
      </w:r>
    </w:p>
    <w:p>
      <w:pPr>
        <w:pStyle w:val="Subsection"/>
      </w:pPr>
      <w:r>
        <w:tab/>
        <w:t>(2)</w:t>
      </w:r>
      <w:r>
        <w:tab/>
        <w:t>If the CEO is satisfied that the grounds for the suspension do not or no longer exist, the CEO must lift the suspension immediately by giving written notice to the auditor.</w:t>
      </w:r>
    </w:p>
    <w:p>
      <w:pPr>
        <w:pStyle w:val="Heading5"/>
      </w:pPr>
      <w:bookmarkStart w:id="171" w:name="_Toc154748760"/>
      <w:bookmarkStart w:id="172" w:name="_Toc104561753"/>
      <w:bookmarkStart w:id="173" w:name="_Toc106107480"/>
      <w:bookmarkStart w:id="174" w:name="_Toc107323470"/>
      <w:r>
        <w:rPr>
          <w:rStyle w:val="CharSectno"/>
        </w:rPr>
        <w:t>52</w:t>
      </w:r>
      <w:r>
        <w:t>.</w:t>
      </w:r>
      <w:r>
        <w:tab/>
        <w:t>No application for re</w:t>
      </w:r>
      <w:r>
        <w:noBreakHyphen/>
        <w:t>accreditation for 3 years following refusal to renew or cancellation</w:t>
      </w:r>
      <w:bookmarkEnd w:id="171"/>
      <w:bookmarkEnd w:id="172"/>
      <w:bookmarkEnd w:id="173"/>
      <w:bookmarkEnd w:id="174"/>
    </w:p>
    <w:p>
      <w:pPr>
        <w:pStyle w:val="Subsection"/>
        <w:keepNext/>
      </w:pPr>
      <w:r>
        <w:tab/>
      </w:r>
      <w:r>
        <w:tab/>
        <w:t>A person who is refused renewal of accreditation as an auditor under regulation 45(2)(b) or whose accreditation is cancelled under regulation 47(1) cannot apply for accreditation for 3 years after the refusal or cancellation.</w:t>
      </w:r>
    </w:p>
    <w:p>
      <w:pPr>
        <w:pStyle w:val="Footnotesection"/>
      </w:pPr>
      <w:r>
        <w:tab/>
        <w:t>[Regulation 52 inserted: SL 2022/99 r. 19.]</w:t>
      </w:r>
    </w:p>
    <w:p>
      <w:pPr>
        <w:pStyle w:val="Ednotesection"/>
      </w:pPr>
      <w:r>
        <w:t>[</w:t>
      </w:r>
      <w:r>
        <w:rPr>
          <w:b/>
        </w:rPr>
        <w:t>53.</w:t>
      </w:r>
      <w:r>
        <w:tab/>
        <w:t>Deleted: SL 2022/99 r. 19.]</w:t>
      </w:r>
    </w:p>
    <w:p>
      <w:pPr>
        <w:pStyle w:val="Heading5"/>
      </w:pPr>
      <w:bookmarkStart w:id="175" w:name="_Toc154748761"/>
      <w:bookmarkStart w:id="176" w:name="_Toc107323471"/>
      <w:r>
        <w:rPr>
          <w:rStyle w:val="CharSectno"/>
        </w:rPr>
        <w:t>54</w:t>
      </w:r>
      <w:r>
        <w:t>.</w:t>
      </w:r>
      <w:r>
        <w:tab/>
        <w:t>No refund of accreditation fee on cancellation or suspension</w:t>
      </w:r>
      <w:bookmarkEnd w:id="175"/>
      <w:bookmarkEnd w:id="176"/>
    </w:p>
    <w:p>
      <w:pPr>
        <w:pStyle w:val="Subsection"/>
      </w:pPr>
      <w:r>
        <w:tab/>
      </w:r>
      <w:r>
        <w:tab/>
        <w:t>An accreditation fee, referred to in Schedule 2 item 5, is not refundable if the accreditation is cancelled or suspended.</w:t>
      </w:r>
    </w:p>
    <w:p>
      <w:pPr>
        <w:pStyle w:val="Heading3"/>
      </w:pPr>
      <w:bookmarkStart w:id="177" w:name="_Toc154748762"/>
      <w:bookmarkStart w:id="178" w:name="_Toc104559318"/>
      <w:bookmarkStart w:id="179" w:name="_Toc104560326"/>
      <w:bookmarkStart w:id="180" w:name="_Toc104561755"/>
      <w:bookmarkStart w:id="181" w:name="_Toc106107482"/>
      <w:bookmarkStart w:id="182" w:name="_Toc107219462"/>
      <w:bookmarkStart w:id="183" w:name="_Toc107323472"/>
      <w:r>
        <w:rPr>
          <w:rStyle w:val="CharDivNo"/>
        </w:rPr>
        <w:t>Division 1B</w:t>
      </w:r>
      <w:r>
        <w:t> — </w:t>
      </w:r>
      <w:r>
        <w:rPr>
          <w:rStyle w:val="CharDivText"/>
        </w:rPr>
        <w:t>Notification requirements</w:t>
      </w:r>
      <w:bookmarkEnd w:id="177"/>
      <w:bookmarkEnd w:id="178"/>
      <w:bookmarkEnd w:id="179"/>
      <w:bookmarkEnd w:id="180"/>
      <w:bookmarkEnd w:id="181"/>
      <w:bookmarkEnd w:id="182"/>
      <w:bookmarkEnd w:id="183"/>
    </w:p>
    <w:p>
      <w:pPr>
        <w:pStyle w:val="Footnoteheading"/>
        <w:keepNext/>
      </w:pPr>
      <w:r>
        <w:tab/>
        <w:t>[Heading inserted: SL 2022/99 r. 20.]</w:t>
      </w:r>
    </w:p>
    <w:p>
      <w:pPr>
        <w:pStyle w:val="Heading5"/>
      </w:pPr>
      <w:bookmarkStart w:id="184" w:name="_Toc154748763"/>
      <w:bookmarkStart w:id="185" w:name="_Toc107323473"/>
      <w:r>
        <w:rPr>
          <w:rStyle w:val="CharSectno"/>
        </w:rPr>
        <w:t>55</w:t>
      </w:r>
      <w:r>
        <w:t>.</w:t>
      </w:r>
      <w:r>
        <w:tab/>
        <w:t>Auditor must notify CEO in certain circumstances</w:t>
      </w:r>
      <w:bookmarkEnd w:id="184"/>
      <w:bookmarkEnd w:id="185"/>
    </w:p>
    <w:p>
      <w:pPr>
        <w:pStyle w:val="Subsection"/>
        <w:keepNext/>
      </w:pPr>
      <w:r>
        <w:tab/>
        <w:t>(1)</w:t>
      </w:r>
      <w:r>
        <w:tab/>
        <w:t xml:space="preserve">An auditor must notify the CEO in writing within 7 days — </w:t>
      </w:r>
    </w:p>
    <w:p>
      <w:pPr>
        <w:pStyle w:val="Indenta"/>
      </w:pPr>
      <w:r>
        <w:tab/>
        <w:t>(a)</w:t>
      </w:r>
      <w:r>
        <w:tab/>
        <w:t>of any change in circumstance which may affect the auditor’s eligibility for accreditation as set out in regulation 39(1); or</w:t>
      </w:r>
    </w:p>
    <w:p>
      <w:pPr>
        <w:pStyle w:val="Indenta"/>
      </w:pPr>
      <w:r>
        <w:tab/>
        <w:t>(b)</w:t>
      </w:r>
      <w:r>
        <w:tab/>
        <w:t>if any substantially similar accreditation held by the auditor under a written law of another State or Territory about the contamination of land is cancelled, suspended or not renewed; or</w:t>
      </w:r>
    </w:p>
    <w:p>
      <w:pPr>
        <w:pStyle w:val="Indenta"/>
        <w:keepNext/>
      </w:pPr>
      <w:r>
        <w:tab/>
        <w:t>(c)</w:t>
      </w:r>
      <w:r>
        <w:tab/>
        <w:t xml:space="preserve">if the auditor becomes — </w:t>
      </w:r>
    </w:p>
    <w:p>
      <w:pPr>
        <w:pStyle w:val="Indenti"/>
      </w:pPr>
      <w:r>
        <w:tab/>
        <w:t>(i)</w:t>
      </w:r>
      <w:r>
        <w:tab/>
        <w:t>unemployed; or</w:t>
      </w:r>
    </w:p>
    <w:p>
      <w:pPr>
        <w:pStyle w:val="Indenti"/>
      </w:pPr>
      <w:r>
        <w:tab/>
        <w:t>(ii)</w:t>
      </w:r>
      <w:r>
        <w:tab/>
        <w:t>self</w:t>
      </w:r>
      <w:r>
        <w:noBreakHyphen/>
        <w:t>employed; or</w:t>
      </w:r>
    </w:p>
    <w:p>
      <w:pPr>
        <w:pStyle w:val="Indenti"/>
        <w:keepNext/>
      </w:pPr>
      <w:r>
        <w:tab/>
        <w:t>(iii)</w:t>
      </w:r>
      <w:r>
        <w:tab/>
        <w:t>employed by an employer other than the employer that the auditor was employed by when the auditor became accredited;</w:t>
      </w:r>
    </w:p>
    <w:p>
      <w:pPr>
        <w:pStyle w:val="Indenta"/>
      </w:pPr>
      <w:r>
        <w:tab/>
      </w:r>
      <w:r>
        <w:tab/>
        <w:t>or</w:t>
      </w:r>
    </w:p>
    <w:p>
      <w:pPr>
        <w:pStyle w:val="Indenta"/>
        <w:keepNext/>
      </w:pPr>
      <w:r>
        <w:tab/>
        <w:t>(d)</w:t>
      </w:r>
      <w:r>
        <w:tab/>
        <w:t>in the case of an auditor who satisfies the CEO that the auditor has access to a supporting expert — if the auditor no longer has access to the expert.</w:t>
      </w:r>
    </w:p>
    <w:p>
      <w:pPr>
        <w:pStyle w:val="Penstart"/>
      </w:pPr>
      <w:r>
        <w:tab/>
        <w:t>Penalty for this subregulation: a fine of $1 000.</w:t>
      </w:r>
    </w:p>
    <w:p>
      <w:pPr>
        <w:pStyle w:val="Subsection"/>
        <w:keepNext/>
      </w:pPr>
      <w:r>
        <w:tab/>
        <w:t>(2)</w:t>
      </w:r>
      <w:r>
        <w:tab/>
        <w:t>An auditor must notify the CEO if the auditor becomes aware of any information that is materially relevant to the person’s accreditation as an auditor that the person has not disclosed to the CEO, within 7 days after the day on which the auditor became so aware.</w:t>
      </w:r>
    </w:p>
    <w:p>
      <w:pPr>
        <w:pStyle w:val="Penstart"/>
      </w:pPr>
      <w:r>
        <w:tab/>
        <w:t>Penalty for this subregulation: a fine of $1 000.</w:t>
      </w:r>
    </w:p>
    <w:p>
      <w:pPr>
        <w:pStyle w:val="Subsection"/>
        <w:keepNext/>
      </w:pPr>
      <w:r>
        <w:tab/>
        <w:t>(3)</w:t>
      </w:r>
      <w:r>
        <w:tab/>
        <w:t>An auditor must, within 7 days after the day on which the auditor is engaged to provide a mandatory auditor’s report, give to the CEO a written notice —</w:t>
      </w:r>
    </w:p>
    <w:p>
      <w:pPr>
        <w:pStyle w:val="Indenta"/>
      </w:pPr>
      <w:r>
        <w:tab/>
        <w:t>(a)</w:t>
      </w:r>
      <w:r>
        <w:tab/>
        <w:t>stating that the auditor has been engaged to provide a report; and</w:t>
      </w:r>
    </w:p>
    <w:p>
      <w:pPr>
        <w:pStyle w:val="Indenta"/>
      </w:pPr>
      <w:r>
        <w:tab/>
        <w:t>(b)</w:t>
      </w:r>
      <w:r>
        <w:tab/>
        <w:t>containing a description of the location and extent of the site in respect of which the auditor has been engaged to provide the report, sufficient to identify it; and</w:t>
      </w:r>
    </w:p>
    <w:p>
      <w:pPr>
        <w:pStyle w:val="Indenta"/>
        <w:keepNext/>
      </w:pPr>
      <w:r>
        <w:tab/>
        <w:t>(c)</w:t>
      </w:r>
      <w:r>
        <w:tab/>
        <w:t>containing the name of the person who engaged the auditor to provide the report.</w:t>
      </w:r>
    </w:p>
    <w:p>
      <w:pPr>
        <w:pStyle w:val="Penstart"/>
        <w:keepNext/>
      </w:pPr>
      <w:r>
        <w:tab/>
        <w:t>Penalty for this subregulation: a fine of $1 000.</w:t>
      </w:r>
    </w:p>
    <w:p>
      <w:pPr>
        <w:pStyle w:val="Ednotesubsection"/>
      </w:pPr>
      <w:r>
        <w:tab/>
        <w:t>[(4)</w:t>
      </w:r>
      <w:r>
        <w:tab/>
        <w:t>deleted]</w:t>
      </w:r>
    </w:p>
    <w:p>
      <w:pPr>
        <w:pStyle w:val="Footnotesection"/>
      </w:pPr>
      <w:r>
        <w:tab/>
        <w:t>[Regulation 55 amended: SL 2022/99 r. 21.]</w:t>
      </w:r>
    </w:p>
    <w:p>
      <w:pPr>
        <w:pStyle w:val="Heading5"/>
      </w:pPr>
      <w:bookmarkStart w:id="186" w:name="_Toc154748764"/>
      <w:bookmarkStart w:id="187" w:name="_Toc104561758"/>
      <w:bookmarkStart w:id="188" w:name="_Toc106107485"/>
      <w:bookmarkStart w:id="189" w:name="_Toc107323474"/>
      <w:r>
        <w:t>56.</w:t>
      </w:r>
      <w:r>
        <w:tab/>
        <w:t>Auditor must notify CEO if insurance not maintained</w:t>
      </w:r>
      <w:bookmarkEnd w:id="186"/>
      <w:bookmarkEnd w:id="187"/>
      <w:bookmarkEnd w:id="188"/>
      <w:bookmarkEnd w:id="189"/>
    </w:p>
    <w:p>
      <w:pPr>
        <w:pStyle w:val="Subsection"/>
        <w:keepNext/>
      </w:pPr>
      <w:r>
        <w:tab/>
        <w:t>(1)</w:t>
      </w:r>
      <w:r>
        <w:tab/>
        <w:t xml:space="preserve">If an auditor ceases to be covered by auditor insurance, the auditor must, as soon as possible after the auditor becomes aware that they have ceased to be covered by the insurance, give written notice to the CEO stating — </w:t>
      </w:r>
    </w:p>
    <w:p>
      <w:pPr>
        <w:pStyle w:val="Indenta"/>
      </w:pPr>
      <w:r>
        <w:tab/>
        <w:t>(a)</w:t>
      </w:r>
      <w:r>
        <w:tab/>
        <w:t>that the auditor is no longer covered by the insurance; and</w:t>
      </w:r>
    </w:p>
    <w:p>
      <w:pPr>
        <w:pStyle w:val="Indenta"/>
        <w:keepNext/>
      </w:pPr>
      <w:r>
        <w:tab/>
        <w:t>(b)</w:t>
      </w:r>
      <w:r>
        <w:tab/>
        <w:t>the day on which the auditor ceased to be covered by the insurance.</w:t>
      </w:r>
    </w:p>
    <w:p>
      <w:pPr>
        <w:pStyle w:val="Penstart"/>
      </w:pPr>
      <w:r>
        <w:tab/>
        <w:t>Penalty for this subregulation: a fine of $1 000.</w:t>
      </w:r>
    </w:p>
    <w:p>
      <w:pPr>
        <w:pStyle w:val="Subsection"/>
        <w:keepNext/>
      </w:pPr>
      <w:r>
        <w:tab/>
        <w:t>(2)</w:t>
      </w:r>
      <w:r>
        <w:tab/>
        <w:t>If an auditor carries out a function as an auditor in reliance on assistance provided by a supporting expert and the auditor becomes aware that the expert is not covered by supporting expert insurance, the auditor must give written notice to the CEO as soon as possible.</w:t>
      </w:r>
    </w:p>
    <w:p>
      <w:pPr>
        <w:pStyle w:val="Penstart"/>
        <w:keepNext/>
      </w:pPr>
      <w:r>
        <w:tab/>
        <w:t>Penalty for this subregulation: a fine of $1 000.</w:t>
      </w:r>
    </w:p>
    <w:p>
      <w:pPr>
        <w:pStyle w:val="Footnotesection"/>
      </w:pPr>
      <w:r>
        <w:tab/>
        <w:t>[Regulation 56 inserted: SL 2022/99 r. 22.]</w:t>
      </w:r>
    </w:p>
    <w:p>
      <w:pPr>
        <w:pStyle w:val="Heading3"/>
      </w:pPr>
      <w:bookmarkStart w:id="190" w:name="_Toc154748765"/>
      <w:bookmarkStart w:id="191" w:name="_Toc107216689"/>
      <w:bookmarkStart w:id="192" w:name="_Toc107216847"/>
      <w:bookmarkStart w:id="193" w:name="_Toc107219465"/>
      <w:bookmarkStart w:id="194" w:name="_Toc107323475"/>
      <w:r>
        <w:rPr>
          <w:rStyle w:val="CharDivNo"/>
        </w:rPr>
        <w:t>Division 2</w:t>
      </w:r>
      <w:r>
        <w:t> — </w:t>
      </w:r>
      <w:r>
        <w:rPr>
          <w:rStyle w:val="CharDivText"/>
        </w:rPr>
        <w:t>Functions of auditors</w:t>
      </w:r>
      <w:bookmarkEnd w:id="190"/>
      <w:bookmarkEnd w:id="191"/>
      <w:bookmarkEnd w:id="192"/>
      <w:bookmarkEnd w:id="193"/>
      <w:bookmarkEnd w:id="194"/>
    </w:p>
    <w:p>
      <w:pPr>
        <w:pStyle w:val="Heading5"/>
      </w:pPr>
      <w:bookmarkStart w:id="195" w:name="_Toc154748766"/>
      <w:bookmarkStart w:id="196" w:name="_Toc107323476"/>
      <w:r>
        <w:rPr>
          <w:rStyle w:val="CharSectno"/>
        </w:rPr>
        <w:t>57</w:t>
      </w:r>
      <w:r>
        <w:t>.</w:t>
      </w:r>
      <w:r>
        <w:tab/>
        <w:t>Mandatory auditor’s reports to be provided to CEO</w:t>
      </w:r>
      <w:bookmarkEnd w:id="195"/>
      <w:bookmarkEnd w:id="196"/>
    </w:p>
    <w:p>
      <w:pPr>
        <w:pStyle w:val="Subsection"/>
        <w:keepNext/>
      </w:pPr>
      <w:r>
        <w:tab/>
      </w:r>
      <w:r>
        <w:tab/>
        <w:t>An auditor is to give a copy of each mandatory auditor’s report produced by the auditor to the CEO not later than 7 days after the auditor gives the report to the person who engaged the auditor to produce the report.</w:t>
      </w:r>
    </w:p>
    <w:p>
      <w:pPr>
        <w:pStyle w:val="Penstart"/>
      </w:pPr>
      <w:r>
        <w:tab/>
        <w:t>Penalty: a fine of $1 000.</w:t>
      </w:r>
    </w:p>
    <w:p>
      <w:pPr>
        <w:pStyle w:val="Heading5"/>
      </w:pPr>
      <w:bookmarkStart w:id="197" w:name="_Toc154748767"/>
      <w:bookmarkStart w:id="198" w:name="_Toc107323477"/>
      <w:r>
        <w:rPr>
          <w:rStyle w:val="CharSectno"/>
        </w:rPr>
        <w:t>58</w:t>
      </w:r>
      <w:r>
        <w:t>.</w:t>
      </w:r>
      <w:r>
        <w:tab/>
        <w:t>Functions of auditors</w:t>
      </w:r>
      <w:bookmarkEnd w:id="197"/>
      <w:bookmarkEnd w:id="198"/>
    </w:p>
    <w:p>
      <w:pPr>
        <w:pStyle w:val="Subsection"/>
        <w:keepNext/>
      </w:pPr>
      <w:r>
        <w:tab/>
      </w:r>
      <w:r>
        <w:tab/>
        <w:t xml:space="preserve">The functions of an auditor are to produce — </w:t>
      </w:r>
    </w:p>
    <w:p>
      <w:pPr>
        <w:pStyle w:val="Indenta"/>
      </w:pPr>
      <w:r>
        <w:tab/>
        <w:t>(a)</w:t>
      </w:r>
      <w:r>
        <w:tab/>
        <w:t>mandatory auditor’s reports; or</w:t>
      </w:r>
    </w:p>
    <w:p>
      <w:pPr>
        <w:pStyle w:val="Indenta"/>
        <w:keepNext/>
      </w:pPr>
      <w:r>
        <w:tab/>
        <w:t>(b)</w:t>
      </w:r>
      <w:r>
        <w:tab/>
        <w:t>other reports on audits of sites,</w:t>
      </w:r>
    </w:p>
    <w:p>
      <w:pPr>
        <w:pStyle w:val="Subsection"/>
      </w:pPr>
      <w:r>
        <w:tab/>
      </w:r>
      <w:r>
        <w:tab/>
        <w:t>and carrying out, or coordinating, any work for, or related to, those reports.</w:t>
      </w:r>
    </w:p>
    <w:p>
      <w:pPr>
        <w:pStyle w:val="Heading5"/>
      </w:pPr>
      <w:bookmarkStart w:id="199" w:name="_Toc154748768"/>
      <w:bookmarkStart w:id="200" w:name="_Toc107323478"/>
      <w:r>
        <w:rPr>
          <w:rStyle w:val="CharSectno"/>
        </w:rPr>
        <w:t>59</w:t>
      </w:r>
      <w:r>
        <w:t>.</w:t>
      </w:r>
      <w:r>
        <w:tab/>
        <w:t>Title of auditor must be used only when carrying out functions of auditor</w:t>
      </w:r>
      <w:bookmarkEnd w:id="199"/>
      <w:bookmarkEnd w:id="200"/>
    </w:p>
    <w:p>
      <w:pPr>
        <w:pStyle w:val="Subsection"/>
        <w:keepNext/>
      </w:pPr>
      <w:r>
        <w:tab/>
      </w:r>
      <w:r>
        <w:tab/>
        <w:t xml:space="preserve">An auditor must not use — </w:t>
      </w:r>
    </w:p>
    <w:p>
      <w:pPr>
        <w:pStyle w:val="Indenta"/>
      </w:pPr>
      <w:r>
        <w:tab/>
        <w:t>(a)</w:t>
      </w:r>
      <w:r>
        <w:tab/>
        <w:t>the title “contaminated sites auditor”; or</w:t>
      </w:r>
    </w:p>
    <w:p>
      <w:pPr>
        <w:pStyle w:val="Indenta"/>
      </w:pPr>
      <w:r>
        <w:tab/>
        <w:t>(b)</w:t>
      </w:r>
      <w:r>
        <w:tab/>
        <w:t>the title “accredited contaminated sites auditor”; or</w:t>
      </w:r>
    </w:p>
    <w:p>
      <w:pPr>
        <w:pStyle w:val="Indenta"/>
        <w:keepNext/>
      </w:pPr>
      <w:r>
        <w:tab/>
        <w:t>(c)</w:t>
      </w:r>
      <w:r>
        <w:tab/>
        <w:t>any other phrase tending to import the meaning that the person is accredited as an auditor under the Act,</w:t>
      </w:r>
    </w:p>
    <w:p>
      <w:pPr>
        <w:pStyle w:val="Subsection"/>
        <w:keepNext/>
      </w:pPr>
      <w:r>
        <w:tab/>
      </w:r>
      <w:r>
        <w:tab/>
        <w:t>other than in relation to carrying out a function of an auditor.</w:t>
      </w:r>
    </w:p>
    <w:p>
      <w:pPr>
        <w:pStyle w:val="Penstart"/>
        <w:keepNext/>
      </w:pPr>
      <w:r>
        <w:tab/>
        <w:t>Penalty: a fine of $1 000.</w:t>
      </w:r>
    </w:p>
    <w:p>
      <w:pPr>
        <w:pStyle w:val="Footnotesection"/>
      </w:pPr>
      <w:r>
        <w:tab/>
        <w:t>[Regulation 59 amended: SL 2022/99 r. 23.]</w:t>
      </w:r>
    </w:p>
    <w:p>
      <w:pPr>
        <w:pStyle w:val="Heading5"/>
      </w:pPr>
      <w:bookmarkStart w:id="201" w:name="_Toc154748769"/>
      <w:bookmarkStart w:id="202" w:name="_Toc104561761"/>
      <w:bookmarkStart w:id="203" w:name="_Toc106107488"/>
      <w:bookmarkStart w:id="204" w:name="_Toc107323479"/>
      <w:r>
        <w:rPr>
          <w:rStyle w:val="CharSectno"/>
        </w:rPr>
        <w:t>59A</w:t>
      </w:r>
      <w:r>
        <w:t>.</w:t>
      </w:r>
      <w:r>
        <w:tab/>
        <w:t>Auditor must have insurance</w:t>
      </w:r>
      <w:bookmarkEnd w:id="201"/>
      <w:bookmarkEnd w:id="202"/>
      <w:bookmarkEnd w:id="203"/>
      <w:bookmarkEnd w:id="204"/>
    </w:p>
    <w:p>
      <w:pPr>
        <w:pStyle w:val="Subsection"/>
        <w:keepNext/>
      </w:pPr>
      <w:r>
        <w:tab/>
      </w:r>
      <w:r>
        <w:tab/>
        <w:t xml:space="preserve">An auditor must not carry out a function as an auditor unless the auditor is covered by insurance — </w:t>
      </w:r>
    </w:p>
    <w:p>
      <w:pPr>
        <w:pStyle w:val="Indenta"/>
      </w:pPr>
      <w:r>
        <w:tab/>
        <w:t>(a)</w:t>
      </w:r>
      <w:r>
        <w:tab/>
        <w:t xml:space="preserve">for the auditor’s civil liability for anything done </w:t>
      </w:r>
      <w:r>
        <w:rPr>
          <w:snapToGrid w:val="0"/>
        </w:rPr>
        <w:t xml:space="preserve">or omitted </w:t>
      </w:r>
      <w:r>
        <w:t>in relation to carrying out the function; and</w:t>
      </w:r>
    </w:p>
    <w:p>
      <w:pPr>
        <w:pStyle w:val="Indenta"/>
        <w:keepNext/>
      </w:pPr>
      <w:r>
        <w:tab/>
        <w:t>(b)</w:t>
      </w:r>
      <w:r>
        <w:tab/>
        <w:t xml:space="preserve">against which a claim is able to be made — </w:t>
      </w:r>
    </w:p>
    <w:p>
      <w:pPr>
        <w:pStyle w:val="Indenti"/>
      </w:pPr>
      <w:r>
        <w:tab/>
        <w:t>(i)</w:t>
      </w:r>
      <w:r>
        <w:tab/>
        <w:t>while the person is an auditor; and</w:t>
      </w:r>
    </w:p>
    <w:p>
      <w:pPr>
        <w:pStyle w:val="Indenti"/>
        <w:keepNext/>
      </w:pPr>
      <w:r>
        <w:tab/>
        <w:t>(ii)</w:t>
      </w:r>
      <w:r>
        <w:tab/>
        <w:t>for at least 7 years after the person ceases to be an auditor;</w:t>
      </w:r>
    </w:p>
    <w:p>
      <w:pPr>
        <w:pStyle w:val="Indenta"/>
      </w:pPr>
      <w:r>
        <w:tab/>
      </w:r>
      <w:r>
        <w:tab/>
        <w:t>and</w:t>
      </w:r>
    </w:p>
    <w:p>
      <w:pPr>
        <w:pStyle w:val="Indenta"/>
        <w:keepNext/>
      </w:pPr>
      <w:r>
        <w:tab/>
        <w:t>(c)</w:t>
      </w:r>
      <w:r>
        <w:tab/>
        <w:t>that provides cover of not less than $5 000 000 for a claim.</w:t>
      </w:r>
    </w:p>
    <w:p>
      <w:pPr>
        <w:pStyle w:val="Penstart"/>
        <w:keepNext/>
      </w:pPr>
      <w:r>
        <w:tab/>
        <w:t>Penalty: a fine of $1 000.</w:t>
      </w:r>
    </w:p>
    <w:p>
      <w:pPr>
        <w:pStyle w:val="Footnotesection"/>
      </w:pPr>
      <w:r>
        <w:tab/>
        <w:t>[Regulation 59A inserted: SL 2022/99 r. 24.]</w:t>
      </w:r>
    </w:p>
    <w:p>
      <w:pPr>
        <w:pStyle w:val="Heading5"/>
      </w:pPr>
      <w:bookmarkStart w:id="205" w:name="_Toc154748770"/>
      <w:bookmarkStart w:id="206" w:name="_Toc104561762"/>
      <w:bookmarkStart w:id="207" w:name="_Toc106107489"/>
      <w:bookmarkStart w:id="208" w:name="_Toc107323480"/>
      <w:r>
        <w:rPr>
          <w:rStyle w:val="CharSectno"/>
        </w:rPr>
        <w:t>59B</w:t>
      </w:r>
      <w:r>
        <w:t>.</w:t>
      </w:r>
      <w:r>
        <w:tab/>
        <w:t>Supporting expert must have insurance</w:t>
      </w:r>
      <w:bookmarkEnd w:id="205"/>
      <w:bookmarkEnd w:id="206"/>
      <w:bookmarkEnd w:id="207"/>
      <w:bookmarkEnd w:id="208"/>
    </w:p>
    <w:p>
      <w:pPr>
        <w:pStyle w:val="Subsection"/>
        <w:keepNext/>
      </w:pPr>
      <w:r>
        <w:tab/>
      </w:r>
      <w:r>
        <w:tab/>
        <w:t xml:space="preserve">An auditor must not carry out a function as an auditor in reliance on assistance from a supporting expert unless the supporting expert is covered by insurance — </w:t>
      </w:r>
    </w:p>
    <w:p>
      <w:pPr>
        <w:pStyle w:val="Indenta"/>
      </w:pPr>
      <w:r>
        <w:tab/>
        <w:t>(a)</w:t>
      </w:r>
      <w:r>
        <w:tab/>
        <w:t>that is in effect in respect of the expert’s civil liability for anything done or omitted in relation to providing the assistance; and</w:t>
      </w:r>
    </w:p>
    <w:p>
      <w:pPr>
        <w:pStyle w:val="Indenta"/>
        <w:keepNext/>
      </w:pPr>
      <w:r>
        <w:tab/>
        <w:t>(b)</w:t>
      </w:r>
      <w:r>
        <w:tab/>
        <w:t>that provides cover of not less than $5 000 000 for a claim.</w:t>
      </w:r>
    </w:p>
    <w:p>
      <w:pPr>
        <w:pStyle w:val="Penstart"/>
        <w:keepNext/>
      </w:pPr>
      <w:r>
        <w:tab/>
        <w:t>Penalty: a fine of $1 000.</w:t>
      </w:r>
    </w:p>
    <w:p>
      <w:pPr>
        <w:pStyle w:val="Footnotesection"/>
      </w:pPr>
      <w:bookmarkStart w:id="209" w:name="_Toc104561763"/>
      <w:bookmarkStart w:id="210" w:name="_Toc106107490"/>
      <w:r>
        <w:tab/>
        <w:t>[Regulation 59B inserted: SL 2022/99 r. 24.]</w:t>
      </w:r>
    </w:p>
    <w:p>
      <w:pPr>
        <w:pStyle w:val="Heading5"/>
      </w:pPr>
      <w:bookmarkStart w:id="211" w:name="_Toc154748771"/>
      <w:bookmarkStart w:id="212" w:name="_Toc107323481"/>
      <w:r>
        <w:rPr>
          <w:rStyle w:val="CharSectno"/>
        </w:rPr>
        <w:t>59C</w:t>
      </w:r>
      <w:r>
        <w:t>.</w:t>
      </w:r>
      <w:r>
        <w:tab/>
        <w:t>Auditor must submit annual reports</w:t>
      </w:r>
      <w:bookmarkEnd w:id="211"/>
      <w:bookmarkEnd w:id="209"/>
      <w:bookmarkEnd w:id="210"/>
      <w:bookmarkEnd w:id="212"/>
    </w:p>
    <w:p>
      <w:pPr>
        <w:pStyle w:val="Subsection"/>
        <w:keepNext/>
      </w:pPr>
      <w:r>
        <w:tab/>
        <w:t>(1)</w:t>
      </w:r>
      <w:r>
        <w:tab/>
        <w:t xml:space="preserve">Before the end of February each year, an auditor must submit a written report in a form approved by the CEO setting out the following information in relation to the previous calendar year — </w:t>
      </w:r>
    </w:p>
    <w:p>
      <w:pPr>
        <w:pStyle w:val="Indenta"/>
      </w:pPr>
      <w:r>
        <w:tab/>
        <w:t>(a)</w:t>
      </w:r>
      <w:r>
        <w:tab/>
        <w:t>details of each audit carried out by the auditor, regardless of whether the audit was completed;</w:t>
      </w:r>
    </w:p>
    <w:p>
      <w:pPr>
        <w:pStyle w:val="Indenta"/>
      </w:pPr>
      <w:r>
        <w:tab/>
        <w:t>(b)</w:t>
      </w:r>
      <w:r>
        <w:tab/>
        <w:t>details of each supporting expert that provided assistance to the auditor and the assistance provided;</w:t>
      </w:r>
    </w:p>
    <w:p>
      <w:pPr>
        <w:pStyle w:val="Indenta"/>
      </w:pPr>
      <w:r>
        <w:tab/>
        <w:t>(c)</w:t>
      </w:r>
      <w:r>
        <w:tab/>
        <w:t>details of the auditor’s auditor insurance;</w:t>
      </w:r>
    </w:p>
    <w:p>
      <w:pPr>
        <w:pStyle w:val="Indenta"/>
        <w:keepNext/>
      </w:pPr>
      <w:r>
        <w:tab/>
        <w:t>(d)</w:t>
      </w:r>
      <w:r>
        <w:tab/>
        <w:t>any other information relevant to establishing the risk to public health and the environment from the functions carried out by the auditor.</w:t>
      </w:r>
    </w:p>
    <w:p>
      <w:pPr>
        <w:pStyle w:val="Penstart"/>
      </w:pPr>
      <w:r>
        <w:tab/>
        <w:t>Penalty for this subregulation: a fine of $1 000.</w:t>
      </w:r>
    </w:p>
    <w:p>
      <w:pPr>
        <w:pStyle w:val="Subsection"/>
        <w:keepNext/>
      </w:pPr>
      <w:r>
        <w:tab/>
        <w:t>(2)</w:t>
      </w:r>
      <w:r>
        <w:tab/>
        <w:t>The report must be accompanied by a certificate of currency for the auditor’s auditor insurance.</w:t>
      </w:r>
    </w:p>
    <w:p>
      <w:pPr>
        <w:pStyle w:val="Penstart"/>
        <w:keepNext/>
      </w:pPr>
      <w:r>
        <w:tab/>
        <w:t>Penalty for this subregulation: a fine of $1 000.</w:t>
      </w:r>
    </w:p>
    <w:p>
      <w:pPr>
        <w:pStyle w:val="Footnotesection"/>
      </w:pPr>
      <w:r>
        <w:tab/>
        <w:t>[Regulation 59C inserted: SL 2022/99 r. 24.]</w:t>
      </w:r>
    </w:p>
    <w:p>
      <w:pPr>
        <w:pStyle w:val="Heading5"/>
      </w:pPr>
      <w:bookmarkStart w:id="213" w:name="_Toc154748772"/>
      <w:bookmarkStart w:id="214" w:name="_Toc107323482"/>
      <w:r>
        <w:rPr>
          <w:rStyle w:val="CharSectno"/>
        </w:rPr>
        <w:t>60</w:t>
      </w:r>
      <w:r>
        <w:t>.</w:t>
      </w:r>
      <w:r>
        <w:tab/>
        <w:t>Auditors to take guidelines into account</w:t>
      </w:r>
      <w:bookmarkEnd w:id="213"/>
      <w:bookmarkEnd w:id="214"/>
    </w:p>
    <w:p>
      <w:pPr>
        <w:pStyle w:val="Subsection"/>
      </w:pPr>
      <w:r>
        <w:tab/>
      </w:r>
      <w:r>
        <w:tab/>
        <w:t>An auditor is to take into account the guidelines when carrying out any function of an auditor.</w:t>
      </w:r>
    </w:p>
    <w:p>
      <w:pPr>
        <w:pStyle w:val="Heading5"/>
      </w:pPr>
      <w:bookmarkStart w:id="215" w:name="_Toc154748773"/>
      <w:bookmarkStart w:id="216" w:name="_Toc107323483"/>
      <w:r>
        <w:rPr>
          <w:rStyle w:val="CharSectno"/>
        </w:rPr>
        <w:t>61</w:t>
      </w:r>
      <w:r>
        <w:t>.</w:t>
      </w:r>
      <w:r>
        <w:tab/>
        <w:t>Code of conduct — Schedule 3</w:t>
      </w:r>
      <w:bookmarkEnd w:id="215"/>
      <w:bookmarkEnd w:id="216"/>
    </w:p>
    <w:p>
      <w:pPr>
        <w:pStyle w:val="Subsection"/>
      </w:pPr>
      <w:r>
        <w:tab/>
      </w:r>
      <w:r>
        <w:tab/>
        <w:t>When carrying out any function as an auditor, an auditor is to comply with the code of conduct set out in Schedule 3.</w:t>
      </w:r>
    </w:p>
    <w:p>
      <w:pPr>
        <w:pStyle w:val="Heading5"/>
      </w:pPr>
      <w:bookmarkStart w:id="217" w:name="_Toc154748774"/>
      <w:bookmarkStart w:id="218" w:name="_Toc107323484"/>
      <w:r>
        <w:rPr>
          <w:rStyle w:val="CharSectno"/>
        </w:rPr>
        <w:t>62</w:t>
      </w:r>
      <w:r>
        <w:t>.</w:t>
      </w:r>
      <w:r>
        <w:tab/>
        <w:t>Conflict of interest</w:t>
      </w:r>
      <w:bookmarkEnd w:id="217"/>
      <w:bookmarkEnd w:id="218"/>
    </w:p>
    <w:p>
      <w:pPr>
        <w:pStyle w:val="Subsection"/>
        <w:keepNext/>
      </w:pPr>
      <w:r>
        <w:tab/>
        <w:t>(1)</w:t>
      </w:r>
      <w:r>
        <w:tab/>
        <w:t>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is practicable after the conflict, or potential conflict, comes to the auditor’s knowledge.</w:t>
      </w:r>
    </w:p>
    <w:p>
      <w:pPr>
        <w:pStyle w:val="Penstart"/>
      </w:pPr>
      <w:r>
        <w:tab/>
        <w:t>Penalty: a fine of $1 000.</w:t>
      </w:r>
    </w:p>
    <w:p>
      <w:pPr>
        <w:pStyle w:val="Subsection"/>
      </w:pPr>
      <w:r>
        <w:tab/>
        <w:t>(2)</w:t>
      </w:r>
      <w:r>
        <w:tab/>
        <w:t>In assessing if a conflict of interest has arisen, 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Heading2"/>
      </w:pPr>
      <w:bookmarkStart w:id="219" w:name="_Toc154748775"/>
      <w:bookmarkStart w:id="220" w:name="_Toc107216696"/>
      <w:bookmarkStart w:id="221" w:name="_Toc107216854"/>
      <w:bookmarkStart w:id="222" w:name="_Toc107219475"/>
      <w:bookmarkStart w:id="223" w:name="_Toc107323485"/>
      <w:r>
        <w:rPr>
          <w:rStyle w:val="CharPartNo"/>
        </w:rPr>
        <w:t>Part 10</w:t>
      </w:r>
      <w:r>
        <w:rPr>
          <w:rStyle w:val="CharDivNo"/>
        </w:rPr>
        <w:t> </w:t>
      </w:r>
      <w:r>
        <w:t>—</w:t>
      </w:r>
      <w:r>
        <w:rPr>
          <w:rStyle w:val="CharDivText"/>
        </w:rPr>
        <w:t> </w:t>
      </w:r>
      <w:r>
        <w:rPr>
          <w:rStyle w:val="CharPartText"/>
        </w:rPr>
        <w:t>Miscellaneous</w:t>
      </w:r>
      <w:bookmarkEnd w:id="219"/>
      <w:bookmarkEnd w:id="220"/>
      <w:bookmarkEnd w:id="221"/>
      <w:bookmarkEnd w:id="222"/>
      <w:bookmarkEnd w:id="223"/>
    </w:p>
    <w:p>
      <w:pPr>
        <w:pStyle w:val="Heading5"/>
      </w:pPr>
      <w:bookmarkStart w:id="224" w:name="_Toc154748776"/>
      <w:bookmarkStart w:id="225" w:name="_Toc104561765"/>
      <w:bookmarkStart w:id="226" w:name="_Toc106107492"/>
      <w:bookmarkStart w:id="227" w:name="_Toc107323486"/>
      <w:r>
        <w:rPr>
          <w:rStyle w:val="CharSectno"/>
        </w:rPr>
        <w:t>62A</w:t>
      </w:r>
      <w:r>
        <w:t>.</w:t>
      </w:r>
      <w:r>
        <w:tab/>
        <w:t>Approved forms must be published on website</w:t>
      </w:r>
      <w:bookmarkEnd w:id="224"/>
      <w:bookmarkEnd w:id="225"/>
      <w:bookmarkEnd w:id="226"/>
      <w:bookmarkEnd w:id="227"/>
    </w:p>
    <w:p>
      <w:pPr>
        <w:pStyle w:val="Subsection"/>
      </w:pPr>
      <w:r>
        <w:tab/>
      </w:r>
      <w:r>
        <w:tab/>
        <w:t xml:space="preserve">The CEO must ensure that — </w:t>
      </w:r>
    </w:p>
    <w:p>
      <w:pPr>
        <w:pStyle w:val="Indenta"/>
      </w:pPr>
      <w:r>
        <w:tab/>
        <w:t>(a)</w:t>
      </w:r>
      <w:r>
        <w:tab/>
        <w:t>a form approved by the CEO under regulation 36(1)(a), 44(2)(a) or 59C(1) is published on a website maintained by or on behalf of the Department; and</w:t>
      </w:r>
    </w:p>
    <w:p>
      <w:pPr>
        <w:pStyle w:val="Indenta"/>
      </w:pPr>
      <w:r>
        <w:tab/>
        <w:t>(b)</w:t>
      </w:r>
      <w:r>
        <w:tab/>
        <w:t>a form approved by the committee under regulation 24(1) is published on a website maintained by or on behalf of the committee.</w:t>
      </w:r>
    </w:p>
    <w:p>
      <w:pPr>
        <w:pStyle w:val="Footnotesection"/>
      </w:pPr>
      <w:r>
        <w:tab/>
        <w:t>[Regulation 62A inserted: SL 2022/99 r. 25.]</w:t>
      </w:r>
    </w:p>
    <w:p>
      <w:pPr>
        <w:pStyle w:val="Heading5"/>
      </w:pPr>
      <w:bookmarkStart w:id="228" w:name="_Toc154748777"/>
      <w:bookmarkStart w:id="229" w:name="_Toc107323487"/>
      <w:r>
        <w:rPr>
          <w:rStyle w:val="CharSectno"/>
        </w:rPr>
        <w:t>63</w:t>
      </w:r>
      <w:r>
        <w:t>.</w:t>
      </w:r>
      <w:r>
        <w:tab/>
        <w:t>Transfer of responsibility for remediation to the State — section 30(1)(b)</w:t>
      </w:r>
      <w:bookmarkEnd w:id="228"/>
      <w:bookmarkEnd w:id="229"/>
    </w:p>
    <w:p>
      <w:pPr>
        <w:pStyle w:val="Subsection"/>
        <w:keepNext/>
      </w:pPr>
      <w:r>
        <w:tab/>
      </w:r>
      <w:r>
        <w:tab/>
        <w:t xml:space="preserve">For the purposes of the Act section 30(1)(b), the circumstances prescribed under which a person responsible for remediation of a site may transfer responsibility for remediation to the State are that — </w:t>
      </w:r>
    </w:p>
    <w:p>
      <w:pPr>
        <w:pStyle w:val="Indenta"/>
      </w:pPr>
      <w:r>
        <w:tab/>
        <w:t>(a)</w:t>
      </w:r>
      <w:r>
        <w:tab/>
        <w:t>land comprising all, or part, of the relevant site is to be transferred to the State, or a public authority nominated by the Minister; and</w:t>
      </w:r>
    </w:p>
    <w:p>
      <w:pPr>
        <w:pStyle w:val="Indenta"/>
      </w:pPr>
      <w:r>
        <w:tab/>
        <w:t>(b)</w:t>
      </w:r>
      <w:r>
        <w:tab/>
        <w:t>the person who is responsible for remediation is the owner of the land that is to be transferred under paragraph (a).</w:t>
      </w:r>
    </w:p>
    <w:p>
      <w:pPr>
        <w:pStyle w:val="Heading5"/>
      </w:pPr>
      <w:bookmarkStart w:id="230" w:name="_Toc154748778"/>
      <w:bookmarkStart w:id="231" w:name="_Toc107323488"/>
      <w:r>
        <w:rPr>
          <w:rStyle w:val="CharSectno"/>
        </w:rPr>
        <w:t>64</w:t>
      </w:r>
      <w:r>
        <w:t>.</w:t>
      </w:r>
      <w:r>
        <w:tab/>
        <w:t>Prescribed rates of interest — sections 54(3), 55(1) and (2) and 56(1)</w:t>
      </w:r>
      <w:bookmarkEnd w:id="230"/>
      <w:bookmarkEnd w:id="231"/>
    </w:p>
    <w:p>
      <w:pPr>
        <w:pStyle w:val="Subsection"/>
        <w:keepNext/>
      </w:pPr>
      <w:r>
        <w:tab/>
      </w:r>
      <w:r>
        <w:tab/>
        <w:t xml:space="preserve">The rate of interest for the purposes of the Act sections 54(3), 55(1) and (2) and 56(1) is — </w:t>
      </w:r>
    </w:p>
    <w:p>
      <w:pPr>
        <w:pStyle w:val="Indenta"/>
      </w:pPr>
      <w:r>
        <w:tab/>
        <w:t>(a)</w:t>
      </w:r>
      <w:r>
        <w:tab/>
        <w:t xml:space="preserve">the rate of interest prescribed under the </w:t>
      </w:r>
      <w:r>
        <w:rPr>
          <w:i/>
        </w:rPr>
        <w:t>Civil Judgments Enforcement Act 2004</w:t>
      </w:r>
      <w:r>
        <w:t xml:space="preserve"> section 8(1)(a); or</w:t>
      </w:r>
    </w:p>
    <w:p>
      <w:pPr>
        <w:pStyle w:val="Indenta"/>
        <w:keepNext/>
      </w:pPr>
      <w:r>
        <w:tab/>
        <w:t>(b)</w:t>
      </w:r>
      <w:r>
        <w:tab/>
        <w:t>6% per annum,</w:t>
      </w:r>
    </w:p>
    <w:p>
      <w:pPr>
        <w:pStyle w:val="Subsection"/>
      </w:pPr>
      <w:r>
        <w:tab/>
      </w:r>
      <w:r>
        <w:tab/>
        <w:t>whichever is the higher rate.</w:t>
      </w:r>
    </w:p>
    <w:p>
      <w:pPr>
        <w:pStyle w:val="Heading5"/>
      </w:pPr>
      <w:bookmarkStart w:id="232" w:name="_Toc154748779"/>
      <w:bookmarkStart w:id="233" w:name="_Toc107323489"/>
      <w:r>
        <w:rPr>
          <w:rStyle w:val="CharSectno"/>
        </w:rPr>
        <w:t>65</w:t>
      </w:r>
      <w:r>
        <w:t>.</w:t>
      </w:r>
      <w:r>
        <w:tab/>
        <w:t>Appeal to the committee referred to in section 79(1)</w:t>
      </w:r>
      <w:bookmarkEnd w:id="232"/>
      <w:bookmarkEnd w:id="233"/>
    </w:p>
    <w:p>
      <w:pPr>
        <w:pStyle w:val="Subsection"/>
      </w:pPr>
      <w:r>
        <w:tab/>
        <w:t>(1)</w:t>
      </w:r>
      <w:r>
        <w:tab/>
        <w:t>A person lodging written notice of an appeal referred to in the Act section 79(1) is to pay to the committee the fee set out in Schedule 2 item 6.</w:t>
      </w:r>
    </w:p>
    <w:p>
      <w:pPr>
        <w:pStyle w:val="Subsection"/>
      </w:pPr>
      <w:r>
        <w:tab/>
        <w:t>(2)</w:t>
      </w:r>
      <w:r>
        <w:tab/>
        <w:t>The committee may reduce, waive or refund, in whole or in part, the fee referred to in subregulation (1) if it considers it appropriate to do so in the circumstances of the case.</w:t>
      </w:r>
    </w:p>
    <w:p>
      <w:pPr>
        <w:pStyle w:val="Subsection"/>
      </w:pPr>
      <w:r>
        <w:tab/>
        <w:t>(3)</w:t>
      </w:r>
      <w:r>
        <w:tab/>
        <w:t>A person who has lodged an appeal referred to in the Act section 79(1) may withdraw the appeal by giving written notice to that effect to the committee.</w:t>
      </w:r>
    </w:p>
    <w:p>
      <w:pPr>
        <w:pStyle w:val="Heading5"/>
      </w:pPr>
      <w:bookmarkStart w:id="234" w:name="_Toc154748780"/>
      <w:bookmarkStart w:id="235" w:name="_Toc107323490"/>
      <w:r>
        <w:rPr>
          <w:rStyle w:val="CharSectno"/>
        </w:rPr>
        <w:t>66</w:t>
      </w:r>
      <w:r>
        <w:t>.</w:t>
      </w:r>
      <w:r>
        <w:tab/>
        <w:t>Publication of decision of appeal under the Act Part 8 — section 83(2)</w:t>
      </w:r>
      <w:bookmarkEnd w:id="234"/>
      <w:bookmarkEnd w:id="235"/>
    </w:p>
    <w:p>
      <w:pPr>
        <w:pStyle w:val="Subsection"/>
        <w:keepNext/>
      </w:pPr>
      <w:r>
        <w:tab/>
      </w:r>
      <w:r>
        <w:tab/>
        <w:t>For the purposes of the Act section 83(2), details of a decision by the committee under the Act Part 8 must be published on a website maintained by or on behalf of the committee.</w:t>
      </w:r>
    </w:p>
    <w:p>
      <w:pPr>
        <w:pStyle w:val="Footnotesection"/>
      </w:pPr>
      <w:r>
        <w:tab/>
        <w:t>[Regulation 66 inserted: SL 2022/37 r. 6.]</w:t>
      </w:r>
    </w:p>
    <w:p>
      <w:pPr>
        <w:pStyle w:val="Ednotesection"/>
      </w:pPr>
      <w:r>
        <w:t>[</w:t>
      </w:r>
      <w:r>
        <w:rPr>
          <w:b/>
          <w:bCs/>
        </w:rPr>
        <w:t>67.</w:t>
      </w:r>
      <w:r>
        <w:tab/>
        <w:t>Deleted: SL 2022/37 r. 6.]</w:t>
      </w:r>
    </w:p>
    <w:p>
      <w:pPr>
        <w:pStyle w:val="Sub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36" w:name="_Toc154748781"/>
      <w:bookmarkStart w:id="237" w:name="_Toc107216701"/>
      <w:bookmarkStart w:id="238" w:name="_Toc107216859"/>
      <w:bookmarkStart w:id="239" w:name="_Toc107219481"/>
      <w:bookmarkStart w:id="240" w:name="_Toc107323491"/>
      <w:r>
        <w:rPr>
          <w:rStyle w:val="CharSchNo"/>
        </w:rPr>
        <w:t>Schedule 1</w:t>
      </w:r>
      <w:r>
        <w:rPr>
          <w:rStyle w:val="CharSDivNo"/>
        </w:rPr>
        <w:t> </w:t>
      </w:r>
      <w:r>
        <w:t>—</w:t>
      </w:r>
      <w:r>
        <w:rPr>
          <w:rStyle w:val="CharSDivText"/>
        </w:rPr>
        <w:t> </w:t>
      </w:r>
      <w:r>
        <w:rPr>
          <w:rStyle w:val="CharSchText"/>
        </w:rPr>
        <w:t>Forms</w:t>
      </w:r>
      <w:bookmarkEnd w:id="236"/>
      <w:bookmarkEnd w:id="237"/>
      <w:bookmarkEnd w:id="238"/>
      <w:bookmarkEnd w:id="239"/>
      <w:bookmarkEnd w:id="240"/>
    </w:p>
    <w:p>
      <w:pPr>
        <w:pStyle w:val="yMiscellaneousHeading"/>
        <w:spacing w:before="360"/>
        <w:rPr>
          <w:b/>
          <w:sz w:val="24"/>
        </w:rPr>
      </w:pPr>
      <w:r>
        <w:rPr>
          <w:b/>
          <w:sz w:val="24"/>
        </w:rPr>
        <w:t>Form 1</w:t>
      </w:r>
    </w:p>
    <w:p>
      <w:pPr>
        <w:pStyle w:val="yShoulderClause"/>
        <w:rPr>
          <w:sz w:val="20"/>
        </w:rPr>
      </w:pPr>
      <w:r>
        <w:rPr>
          <w:sz w:val="20"/>
        </w:rPr>
        <w:t>[r. 6]</w:t>
      </w:r>
    </w:p>
    <w:p>
      <w:pPr>
        <w:pStyle w:val="yMiscellaneousHeading"/>
        <w:rPr>
          <w:b/>
          <w:i/>
        </w:rPr>
      </w:pPr>
      <w:r>
        <w:rPr>
          <w:b/>
          <w:i/>
        </w:rPr>
        <w:t>Contaminated Sites Act 2003</w:t>
      </w:r>
      <w:r>
        <w:rPr>
          <w:b/>
        </w:rPr>
        <w:t>, section 11</w:t>
      </w:r>
    </w:p>
    <w:p>
      <w:pPr>
        <w:pStyle w:val="yMiscellaneousHeading"/>
        <w:keepNext w:val="0"/>
        <w:jc w:val="left"/>
        <w:rPr>
          <w:b/>
        </w:rPr>
      </w:pPr>
      <w:r>
        <w:rPr>
          <w:b/>
        </w:rPr>
        <w:t>REPORT OF A KNOWN OR SUSPECTED CONTAMINATED SITE</w:t>
      </w:r>
    </w:p>
    <w:p>
      <w:pPr>
        <w:pStyle w:val="yMiscellaneousHeading"/>
        <w:keepNext w:val="0"/>
        <w:jc w:val="left"/>
        <w:rPr>
          <w:b/>
          <w:sz w:val="20"/>
        </w:rPr>
      </w:pPr>
      <w:r>
        <w:rPr>
          <w:b/>
          <w:sz w:val="20"/>
        </w:rPr>
        <w:t>PERSON REPORTING THE SITE</w:t>
      </w:r>
    </w:p>
    <w:p>
      <w:pPr>
        <w:pStyle w:val="ySubsection"/>
        <w:spacing w:before="80"/>
        <w:rPr>
          <w:sz w:val="20"/>
        </w:rPr>
      </w:pPr>
      <w:r>
        <w:rPr>
          <w:sz w:val="20"/>
        </w:rPr>
        <w:t>Name .............................................................................................................................</w:t>
      </w:r>
    </w:p>
    <w:p>
      <w:pPr>
        <w:pStyle w:val="ySubsection"/>
        <w:spacing w:before="80"/>
        <w:rPr>
          <w:sz w:val="20"/>
        </w:rPr>
      </w:pPr>
      <w:r>
        <w:rPr>
          <w:sz w:val="20"/>
        </w:rPr>
        <w:t>Address ..............................................................................  Postcode ..........................</w:t>
      </w:r>
    </w:p>
    <w:p>
      <w:pPr>
        <w:pStyle w:val="ySubsection"/>
        <w:tabs>
          <w:tab w:val="left" w:pos="3686"/>
        </w:tabs>
        <w:spacing w:before="80"/>
        <w:rPr>
          <w:sz w:val="20"/>
        </w:rPr>
      </w:pPr>
      <w:r>
        <w:rPr>
          <w:sz w:val="20"/>
        </w:rPr>
        <w:t xml:space="preserve">Phone .........................................  </w:t>
      </w:r>
      <w:r>
        <w:rPr>
          <w:sz w:val="20"/>
        </w:rPr>
        <w:tab/>
        <w:t>Fax .......................................................</w:t>
      </w:r>
    </w:p>
    <w:p>
      <w:pPr>
        <w:pStyle w:val="ySubsection"/>
        <w:tabs>
          <w:tab w:val="clear" w:pos="879"/>
          <w:tab w:val="left" w:pos="0"/>
        </w:tabs>
        <w:spacing w:before="80"/>
        <w:ind w:left="0" w:firstLine="0"/>
        <w:rPr>
          <w:sz w:val="20"/>
        </w:rPr>
      </w:pPr>
      <w:r>
        <w:rPr>
          <w:sz w:val="20"/>
        </w:rPr>
        <w:t xml:space="preserve">Are you* — </w:t>
      </w:r>
    </w:p>
    <w:p>
      <w:pPr>
        <w:pStyle w:val="yIndenta"/>
        <w:rPr>
          <w:sz w:val="20"/>
        </w:rPr>
      </w:pPr>
      <w:r>
        <w:rPr>
          <w:sz w:val="20"/>
        </w:rPr>
        <w:tab/>
        <w:t>(a)</w:t>
      </w:r>
      <w:r>
        <w:rPr>
          <w:sz w:val="20"/>
        </w:rPr>
        <w:tab/>
        <w:t>an owner of the site;</w:t>
      </w:r>
    </w:p>
    <w:p>
      <w:pPr>
        <w:pStyle w:val="yIndenta"/>
        <w:rPr>
          <w:sz w:val="20"/>
        </w:rPr>
      </w:pPr>
      <w:r>
        <w:rPr>
          <w:sz w:val="20"/>
        </w:rPr>
        <w:tab/>
        <w:t>(b)</w:t>
      </w:r>
      <w:r>
        <w:rPr>
          <w:sz w:val="20"/>
        </w:rPr>
        <w:tab/>
        <w:t>an occupier of the site;</w:t>
      </w:r>
    </w:p>
    <w:p>
      <w:pPr>
        <w:pStyle w:val="yIndenta"/>
        <w:rPr>
          <w:sz w:val="20"/>
        </w:rPr>
      </w:pPr>
      <w:r>
        <w:rPr>
          <w:sz w:val="20"/>
        </w:rPr>
        <w:tab/>
        <w:t>(c)</w:t>
      </w:r>
      <w:r>
        <w:rPr>
          <w:sz w:val="20"/>
        </w:rPr>
        <w:tab/>
        <w:t>an auditor of the site;</w:t>
      </w:r>
    </w:p>
    <w:p>
      <w:pPr>
        <w:pStyle w:val="yIndenta"/>
        <w:rPr>
          <w:sz w:val="20"/>
        </w:rPr>
      </w:pPr>
      <w:r>
        <w:rPr>
          <w:sz w:val="20"/>
        </w:rPr>
        <w:tab/>
        <w:t>(d)</w:t>
      </w:r>
      <w:r>
        <w:rPr>
          <w:sz w:val="20"/>
        </w:rPr>
        <w:tab/>
        <w:t>a person who knows, or suspects, that he or she has caused, or contributed to, the contamination of the site.</w:t>
      </w:r>
    </w:p>
    <w:p>
      <w:pPr>
        <w:pStyle w:val="ySubsection"/>
        <w:tabs>
          <w:tab w:val="clear" w:pos="879"/>
          <w:tab w:val="left" w:pos="0"/>
        </w:tabs>
        <w:spacing w:before="80"/>
        <w:ind w:left="45" w:firstLine="0"/>
        <w:rPr>
          <w:sz w:val="20"/>
        </w:rPr>
      </w:pPr>
      <w:r>
        <w:rPr>
          <w:sz w:val="20"/>
        </w:rPr>
        <w:t>If not, specify your relationship with the site ..................................................................</w:t>
      </w:r>
    </w:p>
    <w:p>
      <w:pPr>
        <w:pStyle w:val="ySubsection"/>
        <w:tabs>
          <w:tab w:val="clear" w:pos="879"/>
          <w:tab w:val="left" w:pos="0"/>
        </w:tabs>
        <w:spacing w:before="80"/>
        <w:ind w:left="45" w:firstLine="0"/>
        <w:rPr>
          <w:sz w:val="20"/>
        </w:rPr>
      </w:pPr>
      <w:r>
        <w:rPr>
          <w:i/>
          <w:sz w:val="16"/>
        </w:rPr>
        <w:tab/>
        <w:t>(*Delete as appropriate.)</w:t>
      </w:r>
    </w:p>
    <w:p>
      <w:pPr>
        <w:pStyle w:val="ySubsection"/>
        <w:tabs>
          <w:tab w:val="clear" w:pos="879"/>
          <w:tab w:val="left" w:pos="0"/>
        </w:tabs>
        <w:spacing w:before="80"/>
        <w:ind w:left="45" w:firstLine="0"/>
        <w:rPr>
          <w:sz w:val="20"/>
        </w:rPr>
      </w:pPr>
    </w:p>
    <w:p>
      <w:pPr>
        <w:pStyle w:val="yMiscellaneousHeading"/>
        <w:keepNext w:val="0"/>
        <w:jc w:val="left"/>
        <w:rPr>
          <w:smallCaps/>
          <w:sz w:val="20"/>
        </w:rPr>
      </w:pPr>
      <w:r>
        <w:rPr>
          <w:b/>
          <w:sz w:val="20"/>
        </w:rPr>
        <w:t>DETAILS ABOUT THE SITE</w:t>
      </w:r>
    </w:p>
    <w:p>
      <w:pPr>
        <w:pStyle w:val="ySubsection"/>
        <w:spacing w:before="80"/>
        <w:rPr>
          <w:sz w:val="20"/>
        </w:rPr>
      </w:pPr>
      <w:r>
        <w:rPr>
          <w:sz w:val="20"/>
        </w:rPr>
        <w:t>Lot No. ...........</w:t>
      </w:r>
      <w:r>
        <w:rPr>
          <w:i/>
          <w:sz w:val="20"/>
        </w:rPr>
        <w:t>and/or</w:t>
      </w:r>
      <w:r>
        <w:rPr>
          <w:sz w:val="20"/>
        </w:rPr>
        <w:t xml:space="preserve"> Street No. .............  Street name ...................................................</w:t>
      </w:r>
    </w:p>
    <w:p>
      <w:pPr>
        <w:pStyle w:val="ySubsection"/>
        <w:spacing w:before="120"/>
        <w:rPr>
          <w:sz w:val="20"/>
        </w:rPr>
      </w:pPr>
      <w:r>
        <w:rPr>
          <w:sz w:val="20"/>
        </w:rPr>
        <w:t>Suburb ..............................................................................  Postcode ..............................</w:t>
      </w:r>
    </w:p>
    <w:p>
      <w:pPr>
        <w:pStyle w:val="ySubsection"/>
        <w:spacing w:before="120"/>
        <w:rPr>
          <w:sz w:val="20"/>
        </w:rPr>
      </w:pPr>
      <w:r>
        <w:rPr>
          <w:sz w:val="20"/>
        </w:rPr>
        <w:t>Local Government ...........................................................................................................</w:t>
      </w:r>
    </w:p>
    <w:p>
      <w:pPr>
        <w:pStyle w:val="ySubsection"/>
        <w:tabs>
          <w:tab w:val="clear" w:pos="879"/>
          <w:tab w:val="left" w:pos="0"/>
        </w:tabs>
        <w:spacing w:before="120"/>
        <w:ind w:left="0" w:firstLine="0"/>
        <w:rPr>
          <w:sz w:val="20"/>
        </w:rPr>
      </w:pPr>
      <w:r>
        <w:rPr>
          <w:sz w:val="20"/>
        </w:rPr>
        <w:t>Description of land (including copy of certificate of title</w:t>
      </w:r>
      <w:r>
        <w:rPr>
          <w:sz w:val="20"/>
          <w:vertAlign w:val="superscript"/>
        </w:rPr>
        <w:t>1</w:t>
      </w:r>
      <w:r>
        <w:rPr>
          <w:sz w:val="20"/>
        </w:rPr>
        <w:t>)</w:t>
      </w:r>
    </w:p>
    <w:p>
      <w:pPr>
        <w:pStyle w:val="ySubsection"/>
        <w:tabs>
          <w:tab w:val="clear" w:pos="879"/>
          <w:tab w:val="left" w:pos="0"/>
        </w:tabs>
        <w:spacing w:before="120"/>
        <w:ind w:left="0" w:firstLine="0"/>
        <w:rPr>
          <w:sz w:val="20"/>
        </w:rPr>
      </w:pPr>
      <w:r>
        <w:rPr>
          <w:sz w:val="20"/>
        </w:rPr>
        <w:t>...........................................................................................................................................</w:t>
      </w:r>
    </w:p>
    <w:p>
      <w:pPr>
        <w:pStyle w:val="yMiscellaneousHeading"/>
        <w:pageBreakBefore/>
        <w:spacing w:before="0"/>
        <w:jc w:val="left"/>
        <w:rPr>
          <w:i/>
          <w:sz w:val="20"/>
        </w:rPr>
      </w:pPr>
      <w:r>
        <w:rPr>
          <w:i/>
          <w:sz w:val="20"/>
        </w:rPr>
        <w:t xml:space="preserve">Complete </w:t>
      </w:r>
      <w:r>
        <w:rPr>
          <w:b/>
          <w:sz w:val="20"/>
        </w:rPr>
        <w:t>either</w:t>
      </w:r>
      <w:r>
        <w:rPr>
          <w:i/>
          <w:sz w:val="20"/>
        </w:rPr>
        <w:t xml:space="preserve"> Part A </w:t>
      </w:r>
      <w:r>
        <w:rPr>
          <w:b/>
          <w:sz w:val="20"/>
        </w:rPr>
        <w:t>or</w:t>
      </w:r>
      <w:r>
        <w:rPr>
          <w:i/>
          <w:sz w:val="20"/>
        </w:rPr>
        <w:t xml:space="preserve"> Part B:</w:t>
      </w:r>
    </w:p>
    <w:p>
      <w:pPr>
        <w:pStyle w:val="yMiscellaneousHeading"/>
        <w:spacing w:before="120"/>
        <w:jc w:val="left"/>
        <w:rPr>
          <w:b/>
        </w:rPr>
      </w:pPr>
      <w:r>
        <w:rPr>
          <w:b/>
        </w:rPr>
        <w:t>PART A:</w:t>
      </w:r>
    </w:p>
    <w:p>
      <w:pPr>
        <w:pStyle w:val="yMiscellaneousHeading"/>
        <w:spacing w:before="80"/>
        <w:jc w:val="left"/>
        <w:rPr>
          <w:b/>
          <w:smallCaps/>
          <w:sz w:val="20"/>
        </w:rPr>
      </w:pPr>
      <w:r>
        <w:rPr>
          <w:b/>
          <w:sz w:val="20"/>
        </w:rPr>
        <w:t>SUSPECTED</w:t>
      </w:r>
      <w:r>
        <w:rPr>
          <w:b/>
          <w:smallCaps/>
          <w:sz w:val="20"/>
        </w:rPr>
        <w:t xml:space="preserve"> CONTAMINATION</w:t>
      </w:r>
    </w:p>
    <w:p>
      <w:pPr>
        <w:pStyle w:val="ySubsection"/>
        <w:tabs>
          <w:tab w:val="clear" w:pos="879"/>
          <w:tab w:val="left" w:pos="0"/>
        </w:tabs>
        <w:spacing w:before="80"/>
        <w:ind w:left="0" w:firstLine="0"/>
        <w:rPr>
          <w:sz w:val="20"/>
        </w:rPr>
      </w:pPr>
      <w:r>
        <w:rPr>
          <w:sz w:val="20"/>
        </w:rPr>
        <w:t>Date on which you first suspected that the site was contaminated ....................................</w:t>
      </w:r>
    </w:p>
    <w:p>
      <w:pPr>
        <w:pStyle w:val="ySubsection"/>
        <w:tabs>
          <w:tab w:val="clear" w:pos="879"/>
          <w:tab w:val="left" w:pos="0"/>
        </w:tabs>
        <w:spacing w:before="80"/>
        <w:ind w:left="0" w:firstLine="0"/>
        <w:rPr>
          <w:sz w:val="20"/>
        </w:rPr>
      </w:pPr>
      <w:r>
        <w:rPr>
          <w:sz w:val="20"/>
        </w:rPr>
        <w:t>Type of contamination you suspect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 xml:space="preserve">Suspected source of contamination </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suspected contamination? (i.e. soil, groundwater, surface water)</w:t>
      </w:r>
    </w:p>
    <w:p>
      <w:pPr>
        <w:pStyle w:val="ySubsection"/>
        <w:tabs>
          <w:tab w:val="clear" w:pos="879"/>
          <w:tab w:val="left" w:pos="0"/>
        </w:tabs>
        <w:spacing w:before="12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Reasons why contamination is suspected</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Future activity, or activities and/or land use, or uses (if known) ...........................................................………………………………………………….....</w:t>
      </w:r>
    </w:p>
    <w:p>
      <w:pPr>
        <w:pStyle w:val="ySubsection"/>
        <w:tabs>
          <w:tab w:val="clear" w:pos="879"/>
          <w:tab w:val="left" w:pos="0"/>
        </w:tabs>
        <w:spacing w:before="8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MiscellaneousHeading"/>
        <w:spacing w:before="120"/>
        <w:rPr>
          <w:b/>
          <w:sz w:val="20"/>
        </w:rPr>
      </w:pPr>
      <w:r>
        <w:rPr>
          <w:b/>
          <w:sz w:val="20"/>
        </w:rPr>
        <w:t>OR</w:t>
      </w:r>
    </w:p>
    <w:p>
      <w:pPr>
        <w:pStyle w:val="yMiscellaneousHeading"/>
        <w:spacing w:before="120"/>
        <w:jc w:val="left"/>
        <w:rPr>
          <w:b/>
          <w:smallCaps/>
        </w:rPr>
      </w:pPr>
      <w:r>
        <w:rPr>
          <w:b/>
        </w:rPr>
        <w:t>PART</w:t>
      </w:r>
      <w:r>
        <w:rPr>
          <w:b/>
          <w:smallCaps/>
        </w:rPr>
        <w:t xml:space="preserve"> B: </w:t>
      </w:r>
    </w:p>
    <w:p>
      <w:pPr>
        <w:pStyle w:val="yMiscellaneousHeading"/>
        <w:jc w:val="left"/>
        <w:rPr>
          <w:b/>
          <w:sz w:val="20"/>
        </w:rPr>
      </w:pPr>
      <w:r>
        <w:rPr>
          <w:b/>
          <w:sz w:val="20"/>
        </w:rPr>
        <w:t>KNOWN CONTAMINATION</w:t>
      </w:r>
    </w:p>
    <w:p>
      <w:pPr>
        <w:pStyle w:val="ySubsection"/>
        <w:tabs>
          <w:tab w:val="clear" w:pos="879"/>
          <w:tab w:val="left" w:pos="0"/>
        </w:tabs>
        <w:spacing w:before="80"/>
        <w:ind w:left="0" w:firstLine="0"/>
        <w:rPr>
          <w:sz w:val="20"/>
        </w:rPr>
      </w:pPr>
      <w:r>
        <w:rPr>
          <w:sz w:val="20"/>
        </w:rPr>
        <w:t>Known contaminants ..........................................................................................................</w:t>
      </w:r>
    </w:p>
    <w:p>
      <w:pPr>
        <w:pStyle w:val="ySubsection"/>
        <w:tabs>
          <w:tab w:val="clear" w:pos="879"/>
          <w:tab w:val="left" w:pos="0"/>
        </w:tabs>
        <w:spacing w:before="80"/>
        <w:ind w:left="0" w:firstLine="0"/>
        <w:rPr>
          <w:sz w:val="20"/>
        </w:rPr>
      </w:pPr>
      <w:r>
        <w:rPr>
          <w:sz w:val="20"/>
        </w:rPr>
        <w:t>Date on which you first knew that the site was contaminated ............................................</w:t>
      </w:r>
    </w:p>
    <w:p>
      <w:pPr>
        <w:pStyle w:val="ySubsection"/>
        <w:tabs>
          <w:tab w:val="clear" w:pos="879"/>
          <w:tab w:val="left" w:pos="0"/>
        </w:tabs>
        <w:spacing w:before="80"/>
        <w:ind w:left="0" w:firstLine="0"/>
        <w:rPr>
          <w:sz w:val="20"/>
        </w:rPr>
      </w:pPr>
      <w:r>
        <w:rPr>
          <w:sz w:val="20"/>
        </w:rPr>
        <w:t>Suspected source of contamination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contamination? (i.e. soil, groundwater, surface water)</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120"/>
        <w:ind w:left="0" w:firstLine="0"/>
        <w:rPr>
          <w:sz w:val="20"/>
        </w:rPr>
      </w:pPr>
      <w:r>
        <w:rPr>
          <w:sz w:val="20"/>
        </w:rPr>
        <w:t>Future activity, or activities and/or land use, or uses (if known) ......................................................................……………………………………………..</w:t>
      </w:r>
    </w:p>
    <w:p>
      <w:pPr>
        <w:pStyle w:val="ySubsection"/>
        <w:tabs>
          <w:tab w:val="clear" w:pos="879"/>
          <w:tab w:val="left" w:pos="0"/>
        </w:tabs>
        <w:spacing w:before="12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Subsection"/>
        <w:tabs>
          <w:tab w:val="clear" w:pos="879"/>
          <w:tab w:val="left" w:pos="0"/>
        </w:tabs>
        <w:ind w:left="0" w:firstLine="0"/>
        <w:rPr>
          <w:sz w:val="20"/>
        </w:rPr>
      </w:pPr>
      <w:r>
        <w:rPr>
          <w:sz w:val="20"/>
        </w:rPr>
        <w:t>Details of investigations undertaken to confirm the presence of contamination (where investigations have been reported, list report title, author and date, and attach copies to this form)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Details of any remediation undertaken or planned .............................................................</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spacing w:before="80"/>
        <w:rPr>
          <w:b/>
          <w:i/>
          <w:sz w:val="20"/>
        </w:rPr>
      </w:pPr>
      <w:r>
        <w:rPr>
          <w:b/>
          <w:i/>
          <w:sz w:val="20"/>
        </w:rPr>
        <w:t>Note:</w:t>
      </w:r>
    </w:p>
    <w:p>
      <w:pPr>
        <w:pStyle w:val="ySubsection"/>
        <w:tabs>
          <w:tab w:val="clear" w:pos="879"/>
          <w:tab w:val="left" w:pos="0"/>
        </w:tabs>
        <w:spacing w:before="80"/>
        <w:ind w:left="0" w:firstLine="0"/>
        <w:rPr>
          <w:i/>
          <w:sz w:val="20"/>
        </w:rPr>
      </w:pPr>
      <w:r>
        <w:rPr>
          <w:i/>
          <w:sz w:val="20"/>
        </w:rPr>
        <w:t xml:space="preserve">Under the Contaminated Sites Act 2003, it is an offence to — </w:t>
      </w:r>
    </w:p>
    <w:p>
      <w:pPr>
        <w:pStyle w:val="ySubsection"/>
        <w:numPr>
          <w:ilvl w:val="0"/>
          <w:numId w:val="1"/>
        </w:numPr>
        <w:tabs>
          <w:tab w:val="clear" w:pos="879"/>
        </w:tabs>
        <w:spacing w:before="40"/>
        <w:ind w:left="588" w:hanging="228"/>
        <w:rPr>
          <w:i/>
          <w:sz w:val="20"/>
        </w:rPr>
      </w:pPr>
      <w:r>
        <w:rPr>
          <w:i/>
          <w:sz w:val="20"/>
        </w:rPr>
        <w:t>report a site maliciously and without reasonable grounds to believe or suspect that the site is contaminated (section 11(9)); or</w:t>
      </w:r>
    </w:p>
    <w:p>
      <w:pPr>
        <w:pStyle w:val="ySubsection"/>
        <w:numPr>
          <w:ilvl w:val="0"/>
          <w:numId w:val="1"/>
        </w:numPr>
        <w:tabs>
          <w:tab w:val="clear" w:pos="879"/>
        </w:tabs>
        <w:spacing w:before="40"/>
        <w:ind w:left="588" w:hanging="228"/>
        <w:rPr>
          <w:i/>
          <w:sz w:val="20"/>
        </w:rPr>
      </w:pPr>
      <w:r>
        <w:rPr>
          <w:i/>
          <w:sz w:val="20"/>
        </w:rPr>
        <w:t>make a statement in making this report which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make a statement in making this report which is false or misleading in a material particular, with reckless disregard as to whether the statement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is false or misleading in a material particular, with reckless disregard as to whether or not the information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fail to disclose, or cause a failure to disclose, all information which you know is materially relevant in making this report (section 94).</w:t>
      </w:r>
    </w:p>
    <w:p>
      <w:pPr>
        <w:pStyle w:val="ySubsection"/>
        <w:tabs>
          <w:tab w:val="clear" w:pos="879"/>
          <w:tab w:val="left" w:pos="0"/>
        </w:tabs>
        <w:spacing w:before="40"/>
        <w:rPr>
          <w:b/>
          <w:i/>
          <w:sz w:val="20"/>
        </w:rPr>
      </w:pPr>
      <w:r>
        <w:rPr>
          <w:b/>
          <w:i/>
          <w:sz w:val="20"/>
        </w:rPr>
        <w:t>If this report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report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report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report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b/>
          <w:i/>
          <w:sz w:val="20"/>
        </w:rPr>
      </w:pPr>
    </w:p>
    <w:p>
      <w:pPr>
        <w:pStyle w:val="ySubsection"/>
        <w:tabs>
          <w:tab w:val="clear" w:pos="879"/>
          <w:tab w:val="left" w:pos="0"/>
          <w:tab w:val="left" w:pos="4820"/>
        </w:tabs>
        <w:spacing w:before="240"/>
        <w:ind w:left="0" w:firstLine="0"/>
        <w:rPr>
          <w:sz w:val="20"/>
        </w:rPr>
      </w:pPr>
    </w:p>
    <w:p>
      <w:pPr>
        <w:pStyle w:val="ySubsection"/>
        <w:tabs>
          <w:tab w:val="clear" w:pos="879"/>
          <w:tab w:val="left" w:pos="0"/>
        </w:tabs>
        <w:spacing w:before="120"/>
        <w:ind w:left="0" w:firstLine="0"/>
        <w:rPr>
          <w:b/>
          <w:i/>
          <w:sz w:val="20"/>
        </w:rPr>
      </w:pPr>
      <w:r>
        <w:rPr>
          <w:b/>
          <w:i/>
          <w:sz w:val="20"/>
        </w:rPr>
        <w:t>Footnote:</w:t>
      </w:r>
    </w:p>
    <w:p>
      <w:pPr>
        <w:pStyle w:val="ySubsection"/>
        <w:tabs>
          <w:tab w:val="clear" w:pos="879"/>
          <w:tab w:val="left" w:pos="294"/>
        </w:tabs>
        <w:spacing w:before="0"/>
        <w:ind w:left="224" w:hanging="224"/>
        <w:rPr>
          <w:i/>
          <w:sz w:val="20"/>
        </w:rPr>
      </w:pPr>
      <w:r>
        <w:rPr>
          <w:rFonts w:ascii="Times" w:hAnsi="Times"/>
          <w:i/>
          <w:sz w:val="20"/>
          <w:vertAlign w:val="superscript"/>
        </w:rPr>
        <w:t>1</w:t>
      </w:r>
      <w:r>
        <w:rPr>
          <w:i/>
          <w:sz w:val="20"/>
        </w:rPr>
        <w:t xml:space="preserve">   Not required unless this form is submitted by a person under a duty to report the site under the Contaminated Sites Act 2003</w:t>
      </w:r>
      <w:r>
        <w:rPr>
          <w:b/>
          <w:i/>
          <w:sz w:val="20"/>
        </w:rPr>
        <w:t xml:space="preserve"> </w:t>
      </w:r>
      <w:r>
        <w:rPr>
          <w:i/>
          <w:sz w:val="20"/>
        </w:rPr>
        <w:t>section 11(4).</w:t>
      </w:r>
    </w:p>
    <w:p>
      <w:pPr>
        <w:pStyle w:val="CentredBaseLine"/>
        <w:spacing w:before="120"/>
        <w:jc w:val="center"/>
      </w:pPr>
      <w:r>
        <w:rPr>
          <w:noProof/>
        </w:rPr>
        <w:drawing>
          <wp:inline distT="0" distB="0" distL="0" distR="0">
            <wp:extent cx="12890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sz w:val="24"/>
        </w:rPr>
      </w:pPr>
      <w:r>
        <w:rPr>
          <w:b/>
          <w:sz w:val="24"/>
        </w:rPr>
        <w:t>Form 2</w:t>
      </w:r>
    </w:p>
    <w:p>
      <w:pPr>
        <w:pStyle w:val="yShoulderClause"/>
        <w:spacing w:before="60"/>
        <w:rPr>
          <w:sz w:val="20"/>
        </w:rPr>
      </w:pPr>
      <w:r>
        <w:rPr>
          <w:sz w:val="20"/>
        </w:rPr>
        <w:t>[r. 8]</w:t>
      </w:r>
    </w:p>
    <w:p>
      <w:pPr>
        <w:pStyle w:val="yMiscellaneousHeading"/>
        <w:spacing w:before="80"/>
        <w:rPr>
          <w:b/>
          <w:i/>
        </w:rPr>
      </w:pPr>
      <w:r>
        <w:rPr>
          <w:b/>
          <w:i/>
        </w:rPr>
        <w:t>Contaminated Sites Act 2003</w:t>
      </w:r>
      <w:r>
        <w:rPr>
          <w:b/>
        </w:rPr>
        <w:t>, section 21</w:t>
      </w:r>
    </w:p>
    <w:p>
      <w:pPr>
        <w:pStyle w:val="yMiscellaneousHeading"/>
        <w:rPr>
          <w:b/>
        </w:rPr>
      </w:pPr>
      <w:r>
        <w:rPr>
          <w:b/>
        </w:rPr>
        <w:t>REQUEST FOR A SUMMARY OF RECORDS IN RESPECT OF LAND</w:t>
      </w:r>
    </w:p>
    <w:p>
      <w:pPr>
        <w:pStyle w:val="yMiscellaneousHeading"/>
        <w:spacing w:before="80"/>
        <w:jc w:val="left"/>
        <w:rPr>
          <w:b/>
          <w:sz w:val="20"/>
        </w:rPr>
      </w:pPr>
      <w:r>
        <w:rPr>
          <w:b/>
          <w:sz w:val="20"/>
        </w:rPr>
        <w:t>PERSON REQUESTING SUMMARY OF RECORDS</w:t>
      </w:r>
    </w:p>
    <w:p>
      <w:pPr>
        <w:pStyle w:val="ySubsection"/>
        <w:tabs>
          <w:tab w:val="left" w:pos="4820"/>
        </w:tabs>
        <w:spacing w:before="60"/>
        <w:rPr>
          <w:sz w:val="20"/>
        </w:rPr>
      </w:pPr>
      <w:r>
        <w:rPr>
          <w:sz w:val="20"/>
        </w:rPr>
        <w:t>Full name ............................................................................................................................</w:t>
      </w:r>
    </w:p>
    <w:p>
      <w:pPr>
        <w:pStyle w:val="ySubsection"/>
        <w:tabs>
          <w:tab w:val="left" w:pos="5103"/>
        </w:tabs>
        <w:spacing w:before="60"/>
        <w:rPr>
          <w:sz w:val="20"/>
        </w:rPr>
      </w:pPr>
      <w:r>
        <w:rPr>
          <w:sz w:val="20"/>
        </w:rPr>
        <w:t>Address ....................................................................................</w:t>
      </w:r>
      <w:r>
        <w:rPr>
          <w:sz w:val="20"/>
        </w:rPr>
        <w:tab/>
        <w:t>Postcode ........................</w:t>
      </w:r>
    </w:p>
    <w:p>
      <w:pPr>
        <w:pStyle w:val="ySubsection"/>
        <w:tabs>
          <w:tab w:val="left" w:pos="4536"/>
        </w:tabs>
        <w:spacing w:before="60"/>
        <w:rPr>
          <w:sz w:val="20"/>
        </w:rPr>
      </w:pPr>
      <w:r>
        <w:rPr>
          <w:sz w:val="20"/>
        </w:rPr>
        <w:t>Phone ................................................</w:t>
      </w:r>
      <w:r>
        <w:rPr>
          <w:sz w:val="20"/>
        </w:rPr>
        <w:tab/>
        <w:t>Fax ............................................</w:t>
      </w:r>
    </w:p>
    <w:p>
      <w:pPr>
        <w:pStyle w:val="ySubsection"/>
        <w:spacing w:before="60"/>
      </w:pPr>
      <w:r>
        <w:rPr>
          <w:sz w:val="20"/>
        </w:rPr>
        <w:t>Email ...................................................................................................................................</w:t>
      </w:r>
    </w:p>
    <w:p>
      <w:pPr>
        <w:pStyle w:val="yMiscellaneousHeading"/>
        <w:spacing w:before="120"/>
        <w:jc w:val="left"/>
        <w:rPr>
          <w:b/>
          <w:sz w:val="20"/>
        </w:rPr>
      </w:pPr>
      <w:r>
        <w:rPr>
          <w:b/>
          <w:sz w:val="20"/>
        </w:rPr>
        <w:t>DESCRIPTION</w:t>
      </w:r>
      <w:r>
        <w:rPr>
          <w:b/>
          <w:smallCaps/>
          <w:sz w:val="20"/>
        </w:rPr>
        <w:t xml:space="preserve"> OF LAND TO WHICH THE REQUEST RELATES</w:t>
      </w:r>
    </w:p>
    <w:p>
      <w:pPr>
        <w:pStyle w:val="ySubsection"/>
        <w:tabs>
          <w:tab w:val="left" w:pos="4820"/>
        </w:tabs>
        <w:spacing w:before="60"/>
        <w:rPr>
          <w:sz w:val="20"/>
        </w:rPr>
      </w:pPr>
      <w:r>
        <w:rPr>
          <w:sz w:val="20"/>
        </w:rPr>
        <w:t xml:space="preserve">Lot No. ...... </w:t>
      </w:r>
      <w:r>
        <w:rPr>
          <w:i/>
          <w:sz w:val="20"/>
        </w:rPr>
        <w:t>and/or</w:t>
      </w:r>
      <w:r>
        <w:rPr>
          <w:sz w:val="20"/>
        </w:rPr>
        <w:t xml:space="preserve"> Street No. ........  Street name .......................................................…...</w:t>
      </w:r>
    </w:p>
    <w:p>
      <w:pPr>
        <w:pStyle w:val="ySubsection"/>
        <w:tabs>
          <w:tab w:val="left" w:pos="5103"/>
        </w:tabs>
        <w:spacing w:before="60"/>
        <w:rPr>
          <w:sz w:val="20"/>
        </w:rPr>
      </w:pPr>
      <w:r>
        <w:rPr>
          <w:sz w:val="20"/>
        </w:rPr>
        <w:t>Suburb ........................................................................</w:t>
      </w:r>
      <w:r>
        <w:rPr>
          <w:sz w:val="20"/>
        </w:rPr>
        <w:tab/>
        <w:t>Postcode ....................…</w:t>
      </w:r>
    </w:p>
    <w:p>
      <w:pPr>
        <w:pStyle w:val="ySubsection"/>
        <w:tabs>
          <w:tab w:val="clear" w:pos="595"/>
          <w:tab w:val="clear" w:pos="879"/>
          <w:tab w:val="left" w:pos="0"/>
        </w:tabs>
        <w:spacing w:before="60"/>
        <w:ind w:left="0" w:firstLine="0"/>
        <w:rPr>
          <w:sz w:val="20"/>
        </w:rPr>
      </w:pPr>
      <w:r>
        <w:rPr>
          <w:sz w:val="20"/>
        </w:rPr>
        <w:t xml:space="preserve">Description of land (including the certificate of title reference number) </w:t>
      </w:r>
    </w:p>
    <w:p>
      <w:pPr>
        <w:pStyle w:val="ySubsection"/>
        <w:tabs>
          <w:tab w:val="clear" w:pos="595"/>
          <w:tab w:val="clear" w:pos="879"/>
          <w:tab w:val="left" w:pos="0"/>
        </w:tabs>
        <w:spacing w:before="60"/>
        <w:ind w:left="0" w:firstLine="0"/>
        <w:rPr>
          <w:sz w:val="20"/>
        </w:rPr>
      </w:pPr>
      <w:r>
        <w:rPr>
          <w:sz w:val="20"/>
        </w:rPr>
        <w:t>.............................................................................................................................................</w:t>
      </w:r>
    </w:p>
    <w:p>
      <w:pPr>
        <w:pStyle w:val="ySubsection"/>
        <w:spacing w:before="60"/>
        <w:rPr>
          <w:sz w:val="20"/>
        </w:rPr>
      </w:pPr>
      <w:r>
        <w:rPr>
          <w:sz w:val="20"/>
        </w:rPr>
        <w:t>Local Government ..........................................................................................................…</w:t>
      </w:r>
    </w:p>
    <w:p>
      <w:pPr>
        <w:pStyle w:val="ySubsection"/>
        <w:spacing w:before="60"/>
        <w:rPr>
          <w:sz w:val="20"/>
        </w:rPr>
      </w:pPr>
      <w:r>
        <w:rPr>
          <w:sz w:val="20"/>
        </w:rPr>
        <w:t xml:space="preserve">Type of facility currently occupying site </w:t>
      </w:r>
    </w:p>
    <w:p>
      <w:pPr>
        <w:pStyle w:val="ySubsection"/>
        <w:spacing w:before="60"/>
        <w:rPr>
          <w:sz w:val="20"/>
        </w:rPr>
      </w:pPr>
      <w:r>
        <w:rPr>
          <w:sz w:val="20"/>
        </w:rPr>
        <w:t>.............................................................................................................................................</w:t>
      </w:r>
    </w:p>
    <w:p>
      <w:pPr>
        <w:pStyle w:val="ySubsection"/>
        <w:spacing w:before="80"/>
        <w:rPr>
          <w:sz w:val="20"/>
        </w:rPr>
      </w:pPr>
      <w:r>
        <w:rPr>
          <w:sz w:val="20"/>
        </w:rPr>
        <w:t xml:space="preserve">Name by which site is known locally </w:t>
      </w:r>
    </w:p>
    <w:p>
      <w:pPr>
        <w:pStyle w:val="ySubsection"/>
        <w:spacing w:before="60"/>
        <w:rPr>
          <w:sz w:val="20"/>
        </w:rPr>
      </w:pPr>
      <w:r>
        <w:rPr>
          <w:sz w:val="20"/>
        </w:rPr>
        <w:t>.............................................................................................................................................</w:t>
      </w:r>
    </w:p>
    <w:p>
      <w:pPr>
        <w:pStyle w:val="yMiscellaneousHeading"/>
        <w:spacing w:before="240" w:after="120"/>
        <w:jc w:val="left"/>
        <w:rPr>
          <w:b/>
          <w:smallCaps/>
          <w:sz w:val="20"/>
        </w:rPr>
      </w:pPr>
      <w:r>
        <w:rPr>
          <w:b/>
          <w:smallCaps/>
          <w:sz w:val="20"/>
        </w:rPr>
        <w:t>TYPE OF SUMMARY OF RECORDS REQUESTED</w:t>
      </w:r>
    </w:p>
    <w:tbl>
      <w:tblPr>
        <w:tblW w:w="0" w:type="auto"/>
        <w:tblInd w:w="959" w:type="dxa"/>
        <w:tblLayout w:type="fixed"/>
        <w:tblLook w:val="0000" w:firstRow="0" w:lastRow="0" w:firstColumn="0" w:lastColumn="0" w:noHBand="0" w:noVBand="0"/>
      </w:tblPr>
      <w:tblGrid>
        <w:gridCol w:w="567"/>
        <w:gridCol w:w="5528"/>
      </w:tblGrid>
      <w:t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Basic summary of records (r. 9)</w:t>
            </w:r>
          </w:p>
          <w:p>
            <w:pPr>
              <w:pStyle w:val="yTableNAm"/>
              <w:spacing w:before="0"/>
              <w:rPr>
                <w:b/>
                <w:sz w:val="20"/>
              </w:rPr>
            </w:pPr>
            <w:r>
              <w:rPr>
                <w:sz w:val="20"/>
              </w:rPr>
              <w:t xml:space="preserve">Includes — </w:t>
            </w:r>
          </w:p>
          <w:p>
            <w:pPr>
              <w:pStyle w:val="yTableNAm"/>
              <w:numPr>
                <w:ilvl w:val="0"/>
                <w:numId w:val="3"/>
              </w:numPr>
              <w:tabs>
                <w:tab w:val="clear" w:pos="567"/>
              </w:tabs>
              <w:spacing w:before="0"/>
              <w:ind w:left="322" w:hanging="322"/>
              <w:rPr>
                <w:sz w:val="20"/>
              </w:rPr>
            </w:pPr>
            <w:r>
              <w:rPr>
                <w:sz w:val="20"/>
              </w:rPr>
              <w:t>the classification and reasons for the classification;</w:t>
            </w:r>
          </w:p>
          <w:p>
            <w:pPr>
              <w:pStyle w:val="yTableNAm"/>
              <w:numPr>
                <w:ilvl w:val="0"/>
                <w:numId w:val="3"/>
              </w:numPr>
              <w:tabs>
                <w:tab w:val="clear" w:pos="567"/>
              </w:tabs>
              <w:spacing w:before="0"/>
              <w:ind w:left="322" w:hanging="322"/>
              <w:rPr>
                <w:sz w:val="20"/>
              </w:rPr>
            </w:pPr>
            <w:r>
              <w:rPr>
                <w:sz w:val="20"/>
              </w:rPr>
              <w:t>any restrictions on the use of a site that comprises all, or part of the land; and</w:t>
            </w:r>
          </w:p>
          <w:p>
            <w:pPr>
              <w:pStyle w:val="yTableNAm"/>
              <w:numPr>
                <w:ilvl w:val="0"/>
                <w:numId w:val="3"/>
              </w:numPr>
              <w:tabs>
                <w:tab w:val="clear" w:pos="567"/>
              </w:tabs>
              <w:spacing w:before="0"/>
              <w:ind w:left="322" w:hanging="322"/>
              <w:rPr>
                <w:sz w:val="20"/>
              </w:rPr>
            </w:pPr>
            <w:r>
              <w:rPr>
                <w:sz w:val="20"/>
              </w:rPr>
              <w:t>details of notices given under the Act Part 4.</w:t>
            </w:r>
          </w:p>
        </w:tc>
      </w:tr>
      <w:tr>
        <w:trPr>
          <w:cantSplit/>
        </w:trP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Detailed summary of records (r. 10)</w:t>
            </w:r>
          </w:p>
          <w:p>
            <w:pPr>
              <w:pStyle w:val="yTableNAm"/>
              <w:spacing w:before="0"/>
              <w:rPr>
                <w:sz w:val="20"/>
              </w:rPr>
            </w:pPr>
            <w:r>
              <w:rPr>
                <w:sz w:val="20"/>
              </w:rPr>
              <w:t xml:space="preserve">Includes — </w:t>
            </w:r>
          </w:p>
          <w:p>
            <w:pPr>
              <w:pStyle w:val="yTableNAm"/>
              <w:numPr>
                <w:ilvl w:val="0"/>
                <w:numId w:val="3"/>
              </w:numPr>
              <w:tabs>
                <w:tab w:val="clear" w:pos="567"/>
              </w:tabs>
              <w:spacing w:before="0"/>
              <w:ind w:left="322" w:hanging="322"/>
              <w:rPr>
                <w:sz w:val="20"/>
              </w:rPr>
            </w:pPr>
            <w:r>
              <w:rPr>
                <w:sz w:val="20"/>
              </w:rPr>
              <w:t xml:space="preserve">basic summary of records; </w:t>
            </w:r>
          </w:p>
          <w:p>
            <w:pPr>
              <w:pStyle w:val="yTableNAm"/>
              <w:numPr>
                <w:ilvl w:val="0"/>
                <w:numId w:val="3"/>
              </w:numPr>
              <w:tabs>
                <w:tab w:val="clear" w:pos="567"/>
              </w:tabs>
              <w:spacing w:before="0"/>
              <w:ind w:left="322" w:hanging="322"/>
              <w:rPr>
                <w:sz w:val="20"/>
              </w:rPr>
            </w:pPr>
            <w:r>
              <w:rPr>
                <w:sz w:val="20"/>
              </w:rPr>
              <w:t>copies of any current certificate of contamination audit; and</w:t>
            </w:r>
          </w:p>
          <w:p>
            <w:pPr>
              <w:pStyle w:val="yTableNAm"/>
              <w:numPr>
                <w:ilvl w:val="0"/>
                <w:numId w:val="3"/>
              </w:numPr>
              <w:tabs>
                <w:tab w:val="clear" w:pos="567"/>
              </w:tabs>
              <w:spacing w:before="0"/>
              <w:ind w:left="322" w:hanging="322"/>
              <w:rPr>
                <w:sz w:val="20"/>
              </w:rPr>
            </w:pPr>
            <w:r>
              <w:rPr>
                <w:sz w:val="20"/>
              </w:rPr>
              <w:t>titles, authors and dates of any reports.</w:t>
            </w:r>
          </w:p>
        </w:tc>
      </w:tr>
    </w:tbl>
    <w:p>
      <w:pPr>
        <w:pStyle w:val="CentredBaseLine"/>
        <w:spacing w:before="120"/>
        <w:jc w:val="center"/>
      </w:pPr>
      <w:r>
        <w:rPr>
          <w:noProof/>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rPr>
          <w:b/>
          <w:sz w:val="24"/>
        </w:rPr>
      </w:pPr>
      <w:r>
        <w:rPr>
          <w:b/>
          <w:sz w:val="24"/>
        </w:rPr>
        <w:t>Form 3</w:t>
      </w:r>
    </w:p>
    <w:p>
      <w:pPr>
        <w:pStyle w:val="yShoulderClause"/>
        <w:rPr>
          <w:sz w:val="20"/>
        </w:rPr>
      </w:pPr>
      <w:r>
        <w:rPr>
          <w:sz w:val="20"/>
        </w:rPr>
        <w:t>[r. 29]</w:t>
      </w:r>
    </w:p>
    <w:p>
      <w:pPr>
        <w:pStyle w:val="yMiscellaneousHeading"/>
        <w:rPr>
          <w:b/>
        </w:rPr>
      </w:pPr>
      <w:r>
        <w:rPr>
          <w:b/>
          <w:i/>
        </w:rPr>
        <w:t>Contaminated Sites Act 2003</w:t>
      </w:r>
      <w:r>
        <w:rPr>
          <w:b/>
        </w:rPr>
        <w:t>, section 62</w:t>
      </w:r>
    </w:p>
    <w:p>
      <w:pPr>
        <w:pStyle w:val="yMiscellaneousHeading"/>
        <w:jc w:val="left"/>
        <w:rPr>
          <w:b/>
        </w:rPr>
      </w:pPr>
      <w:r>
        <w:rPr>
          <w:b/>
        </w:rPr>
        <w:t>REQUEST FOR A CERTIFICATE OF CONTAMINATION AUDIT</w:t>
      </w:r>
    </w:p>
    <w:p>
      <w:pPr>
        <w:pStyle w:val="yMiscellaneousHeading"/>
        <w:jc w:val="left"/>
        <w:rPr>
          <w:b/>
          <w:sz w:val="20"/>
        </w:rPr>
      </w:pPr>
      <w:r>
        <w:rPr>
          <w:b/>
          <w:sz w:val="20"/>
        </w:rPr>
        <w:t>PERSON REQUESTING CERTIFICATE OF CONTAMINATION AUDIT</w:t>
      </w:r>
    </w:p>
    <w:p>
      <w:pPr>
        <w:pStyle w:val="ySubsection"/>
        <w:tabs>
          <w:tab w:val="left" w:pos="5245"/>
        </w:tabs>
        <w:spacing w:before="80"/>
        <w:rPr>
          <w:sz w:val="20"/>
        </w:rPr>
      </w:pPr>
      <w:r>
        <w:rPr>
          <w:sz w:val="20"/>
        </w:rPr>
        <w:t>Person’s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tabs>
          <w:tab w:val="left" w:pos="3969"/>
          <w:tab w:val="left" w:pos="5245"/>
        </w:tabs>
        <w:spacing w:before="80"/>
        <w:rPr>
          <w:sz w:val="20"/>
        </w:rPr>
      </w:pPr>
      <w:r>
        <w:rPr>
          <w:sz w:val="20"/>
        </w:rPr>
        <w:t>Email ...................................................................................................................................</w:t>
      </w:r>
    </w:p>
    <w:p>
      <w:pPr>
        <w:pStyle w:val="ySubsection"/>
        <w:tabs>
          <w:tab w:val="clear" w:pos="879"/>
          <w:tab w:val="left" w:pos="0"/>
          <w:tab w:val="left" w:pos="3969"/>
          <w:tab w:val="left" w:pos="5245"/>
        </w:tabs>
        <w:spacing w:before="80"/>
        <w:ind w:left="0" w:firstLine="0"/>
        <w:rPr>
          <w:sz w:val="20"/>
        </w:rPr>
      </w:pPr>
      <w:r>
        <w:rPr>
          <w:sz w:val="20"/>
        </w:rPr>
        <w:t>Contact person’s name and position (if the person making the request is not a natural person) ................................................................................................................................</w:t>
      </w:r>
    </w:p>
    <w:p>
      <w:pPr>
        <w:pStyle w:val="ySubsection"/>
        <w:tabs>
          <w:tab w:val="clear" w:pos="879"/>
          <w:tab w:val="left" w:pos="0"/>
        </w:tabs>
        <w:spacing w:before="120"/>
        <w:ind w:left="0" w:firstLine="0"/>
        <w:rPr>
          <w:sz w:val="20"/>
        </w:rPr>
      </w:pPr>
      <w:r>
        <w:rPr>
          <w:sz w:val="20"/>
        </w:rPr>
        <w:t xml:space="preserve">Is the person making this request — </w:t>
      </w:r>
    </w:p>
    <w:p>
      <w:pPr>
        <w:pStyle w:val="ySubsection"/>
        <w:numPr>
          <w:ilvl w:val="0"/>
          <w:numId w:val="2"/>
        </w:numPr>
        <w:tabs>
          <w:tab w:val="clear" w:pos="595"/>
          <w:tab w:val="clear" w:pos="879"/>
          <w:tab w:val="left" w:pos="567"/>
        </w:tabs>
        <w:spacing w:before="120"/>
        <w:ind w:hanging="608"/>
        <w:rPr>
          <w:sz w:val="20"/>
        </w:rPr>
      </w:pPr>
      <w:r>
        <w:rPr>
          <w:sz w:val="20"/>
        </w:rPr>
        <w:t>the owner of the land;</w:t>
      </w:r>
    </w:p>
    <w:p>
      <w:pPr>
        <w:pStyle w:val="ySubsection"/>
        <w:numPr>
          <w:ilvl w:val="0"/>
          <w:numId w:val="2"/>
        </w:numPr>
        <w:tabs>
          <w:tab w:val="clear" w:pos="595"/>
          <w:tab w:val="clear" w:pos="879"/>
          <w:tab w:val="left" w:pos="567"/>
        </w:tabs>
        <w:spacing w:before="120"/>
        <w:ind w:hanging="608"/>
        <w:rPr>
          <w:sz w:val="20"/>
        </w:rPr>
      </w:pPr>
      <w:r>
        <w:rPr>
          <w:sz w:val="20"/>
        </w:rPr>
        <w:t>the occupier of the land;</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responsible for remediation of a site of which the land comprises all, or part; </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on whom a notice under the </w:t>
      </w:r>
      <w:r>
        <w:rPr>
          <w:i/>
          <w:sz w:val="20"/>
        </w:rPr>
        <w:t>Contaminated Sites Act 2003</w:t>
      </w:r>
      <w:r>
        <w:rPr>
          <w:sz w:val="20"/>
        </w:rPr>
        <w:t xml:space="preserve"> Part 4 in respect of the land is binding.*</w:t>
      </w:r>
    </w:p>
    <w:p>
      <w:pPr>
        <w:pStyle w:val="ySubsection"/>
        <w:tabs>
          <w:tab w:val="clear" w:pos="879"/>
          <w:tab w:val="left" w:pos="0"/>
        </w:tabs>
        <w:spacing w:before="120"/>
        <w:ind w:left="0" w:firstLine="0"/>
        <w:rPr>
          <w:sz w:val="20"/>
        </w:rPr>
      </w:pPr>
      <w:r>
        <w:rPr>
          <w:i/>
          <w:sz w:val="16"/>
        </w:rPr>
        <w:tab/>
        <w:t>(* Delete as appropriate.)</w:t>
      </w:r>
    </w:p>
    <w:p>
      <w:pPr>
        <w:pStyle w:val="ySubsection"/>
        <w:spacing w:before="80"/>
        <w:rPr>
          <w:b/>
          <w:i/>
          <w:sz w:val="20"/>
        </w:rPr>
      </w:pPr>
      <w:r>
        <w:rPr>
          <w:b/>
          <w:i/>
          <w:sz w:val="20"/>
        </w:rPr>
        <w:t>Note:</w:t>
      </w:r>
    </w:p>
    <w:p>
      <w:pPr>
        <w:pStyle w:val="ySubsection"/>
        <w:tabs>
          <w:tab w:val="clear" w:pos="595"/>
          <w:tab w:val="clear" w:pos="879"/>
        </w:tabs>
        <w:spacing w:before="0"/>
        <w:ind w:left="142" w:firstLine="0"/>
        <w:rPr>
          <w:i/>
          <w:sz w:val="20"/>
        </w:rPr>
      </w:pPr>
      <w:r>
        <w:rPr>
          <w:i/>
          <w:sz w:val="20"/>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i/>
          <w:sz w:val="20"/>
        </w:rPr>
        <w:t xml:space="preserve"> </w:t>
      </w:r>
      <w:r>
        <w:rPr>
          <w:i/>
          <w:sz w:val="20"/>
        </w:rPr>
        <w:t>Sites Act 2003</w:t>
      </w:r>
      <w:r>
        <w:rPr>
          <w:b/>
          <w:i/>
          <w:sz w:val="20"/>
        </w:rPr>
        <w:t xml:space="preserve"> </w:t>
      </w:r>
      <w:r>
        <w:rPr>
          <w:i/>
          <w:sz w:val="20"/>
        </w:rPr>
        <w:t>section 62(2)).</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spacing w:before="80"/>
        <w:rPr>
          <w:sz w:val="20"/>
        </w:rPr>
      </w:pPr>
      <w:r>
        <w:rPr>
          <w:sz w:val="20"/>
        </w:rPr>
        <w:t xml:space="preserve">Contact person’s name and position (if owner is not a natural person) </w:t>
      </w:r>
    </w:p>
    <w:p>
      <w:pPr>
        <w:pStyle w:val="ySubsection"/>
        <w:spacing w:before="80"/>
        <w:rPr>
          <w:sz w:val="20"/>
        </w:rPr>
      </w:pPr>
      <w:r>
        <w:rPr>
          <w:sz w:val="20"/>
        </w:rPr>
        <w:t>.............................................................................................................................................</w:t>
      </w:r>
    </w:p>
    <w:p>
      <w:pPr>
        <w:pStyle w:val="yMiscellaneousHeading"/>
        <w:jc w:val="left"/>
      </w:pPr>
      <w:r>
        <w:rPr>
          <w:b/>
          <w:sz w:val="20"/>
        </w:rPr>
        <w:t>OCCUPIER</w:t>
      </w:r>
    </w:p>
    <w:p>
      <w:pPr>
        <w:pStyle w:val="ySubsection"/>
        <w:tabs>
          <w:tab w:val="left" w:pos="5245"/>
        </w:tabs>
        <w:spacing w:before="80"/>
        <w:rPr>
          <w:sz w:val="20"/>
        </w:rPr>
      </w:pPr>
      <w:r>
        <w:rPr>
          <w:sz w:val="20"/>
        </w:rPr>
        <w:t>Occupier’s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tabs>
          <w:tab w:val="clear" w:pos="879"/>
          <w:tab w:val="left" w:pos="0"/>
        </w:tabs>
        <w:spacing w:before="80"/>
        <w:ind w:left="0" w:firstLine="0"/>
        <w:rPr>
          <w:sz w:val="20"/>
        </w:rPr>
      </w:pPr>
      <w:r>
        <w:rPr>
          <w:sz w:val="20"/>
        </w:rPr>
        <w:t>Contact person’s name and position (if occupier is not a natural person) .............................................................................................................................................</w:t>
      </w:r>
    </w:p>
    <w:p>
      <w:pPr>
        <w:pStyle w:val="yMiscellaneousHeading"/>
        <w:jc w:val="left"/>
        <w:rPr>
          <w:b/>
          <w:sz w:val="20"/>
        </w:rPr>
      </w:pPr>
      <w:r>
        <w:rPr>
          <w:b/>
          <w:sz w:val="20"/>
        </w:rPr>
        <w:t>DESCRIPTION</w:t>
      </w:r>
      <w:r>
        <w:rPr>
          <w:b/>
          <w:smallCaps/>
          <w:sz w:val="20"/>
        </w:rPr>
        <w:t xml:space="preserve"> OF LAND TO WHICH THE REQUEST RELATES</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spacing w:before="80"/>
        <w:rPr>
          <w:sz w:val="20"/>
        </w:rPr>
      </w:pPr>
      <w:r>
        <w:rPr>
          <w:sz w:val="20"/>
        </w:rPr>
        <w:t>Local Government ..............................................................................................................</w:t>
      </w:r>
    </w:p>
    <w:p>
      <w:pPr>
        <w:pStyle w:val="ySubsection"/>
        <w:spacing w:before="80"/>
        <w:rPr>
          <w:sz w:val="20"/>
        </w:rPr>
      </w:pPr>
      <w:r>
        <w:rPr>
          <w:sz w:val="20"/>
        </w:rPr>
        <w:t>Land co</w:t>
      </w:r>
      <w:r>
        <w:rPr>
          <w:sz w:val="20"/>
        </w:rPr>
        <w:noBreakHyphen/>
        <w:t>ordinates ...............................................................................................................</w:t>
      </w:r>
    </w:p>
    <w:p>
      <w:pPr>
        <w:pStyle w:val="ySubsection"/>
        <w:spacing w:before="80"/>
        <w:rPr>
          <w:sz w:val="20"/>
        </w:rPr>
      </w:pPr>
      <w:r>
        <w:rPr>
          <w:sz w:val="20"/>
        </w:rPr>
        <w:t>Current zoning under a written law ...................................................................................</w:t>
      </w:r>
    </w:p>
    <w:p>
      <w:pPr>
        <w:pStyle w:val="ySubsection"/>
        <w:spacing w:before="80"/>
      </w:pPr>
      <w:r>
        <w:rPr>
          <w:sz w:val="20"/>
        </w:rPr>
        <w:t>Department of Environment reference number (if known) ................................................</w:t>
      </w:r>
    </w:p>
    <w:p>
      <w:pPr>
        <w:pStyle w:val="yMiscellaneousHeading"/>
        <w:jc w:val="left"/>
        <w:rPr>
          <w:b/>
          <w:sz w:val="20"/>
        </w:rPr>
      </w:pPr>
      <w:r>
        <w:rPr>
          <w:b/>
          <w:sz w:val="20"/>
        </w:rPr>
        <w:t>ASSESSMENT</w:t>
      </w:r>
      <w:r>
        <w:rPr>
          <w:b/>
          <w:smallCaps/>
          <w:sz w:val="20"/>
        </w:rPr>
        <w:t xml:space="preserve"> OF LAND</w:t>
      </w:r>
    </w:p>
    <w:p>
      <w:pPr>
        <w:pStyle w:val="ySubsection"/>
        <w:spacing w:before="80"/>
        <w:rPr>
          <w:sz w:val="20"/>
        </w:rPr>
      </w:pPr>
      <w:r>
        <w:rPr>
          <w:sz w:val="20"/>
        </w:rPr>
        <w:t>Contaminants of concern ....................................................................................................</w:t>
      </w:r>
    </w:p>
    <w:p>
      <w:pPr>
        <w:pStyle w:val="ySubsection"/>
        <w:spacing w:before="80"/>
        <w:rPr>
          <w:sz w:val="20"/>
        </w:rPr>
      </w:pPr>
      <w:r>
        <w:rPr>
          <w:sz w:val="20"/>
        </w:rPr>
        <w:t>Extent of contamination ......................................................................................................</w:t>
      </w:r>
    </w:p>
    <w:p>
      <w:pPr>
        <w:pStyle w:val="ySubsection"/>
        <w:spacing w:before="80"/>
        <w:rPr>
          <w:sz w:val="20"/>
        </w:rPr>
      </w:pPr>
      <w:r>
        <w:rPr>
          <w:sz w:val="20"/>
        </w:rPr>
        <w:t>Details of reports on investigations undertaken on the land</w:t>
      </w:r>
    </w:p>
    <w:p>
      <w:pPr>
        <w:pStyle w:val="ySubsection"/>
        <w:tabs>
          <w:tab w:val="clear" w:pos="879"/>
        </w:tabs>
        <w:spacing w:before="80"/>
        <w:ind w:left="0" w:firstLine="0"/>
        <w:rPr>
          <w:sz w:val="20"/>
        </w:rPr>
      </w:pPr>
      <w:r>
        <w:rPr>
          <w:sz w:val="20"/>
        </w:rPr>
        <w:t>(List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Details of remediation works undertaken (List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MiscellaneousHeading"/>
        <w:jc w:val="left"/>
        <w:rPr>
          <w:b/>
          <w:sz w:val="20"/>
        </w:rPr>
      </w:pPr>
      <w:r>
        <w:rPr>
          <w:b/>
          <w:smallCaps/>
          <w:sz w:val="20"/>
        </w:rPr>
        <w:t xml:space="preserve">OTHER </w:t>
      </w:r>
      <w:r>
        <w:rPr>
          <w:b/>
          <w:sz w:val="20"/>
        </w:rPr>
        <w:t>RELEVANT</w:t>
      </w:r>
      <w:r>
        <w:rPr>
          <w:b/>
          <w:smallCaps/>
          <w:sz w:val="20"/>
        </w:rPr>
        <w:t xml:space="preserve"> INFORMATION</w:t>
      </w:r>
    </w:p>
    <w:p>
      <w:pPr>
        <w:pStyle w:val="ySubsection"/>
        <w:tabs>
          <w:tab w:val="clear" w:pos="879"/>
        </w:tabs>
        <w:spacing w:before="80"/>
        <w:ind w:left="0" w:firstLine="0"/>
        <w:rPr>
          <w:sz w:val="20"/>
        </w:rPr>
      </w:pPr>
      <w:r>
        <w:rPr>
          <w:sz w:val="20"/>
        </w:rPr>
        <w:t>List any additional information or documents attached to this form</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Subsection"/>
        <w:tabs>
          <w:tab w:val="clear" w:pos="595"/>
          <w:tab w:val="clear" w:pos="879"/>
        </w:tabs>
        <w:spacing w:before="12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in connection with this request.</w:t>
      </w:r>
    </w:p>
    <w:p>
      <w:pPr>
        <w:pStyle w:val="ySubsection"/>
        <w:tabs>
          <w:tab w:val="clear" w:pos="595"/>
          <w:tab w:val="clear" w:pos="879"/>
        </w:tabs>
        <w:spacing w:before="0"/>
        <w:rPr>
          <w:i/>
          <w:sz w:val="20"/>
        </w:rPr>
      </w:pPr>
    </w:p>
    <w:p>
      <w:pPr>
        <w:pStyle w:val="ySubsection"/>
        <w:tabs>
          <w:tab w:val="clear" w:pos="879"/>
          <w:tab w:val="left" w:pos="0"/>
        </w:tabs>
        <w:spacing w:before="40"/>
        <w:rPr>
          <w:b/>
          <w:i/>
          <w:sz w:val="20"/>
        </w:rPr>
      </w:pPr>
      <w:r>
        <w:rPr>
          <w:b/>
          <w:i/>
          <w:sz w:val="20"/>
        </w:rPr>
        <w:t>If this request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request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request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request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 w:val="left" w:pos="4820"/>
        </w:tabs>
        <w:spacing w:before="240"/>
        <w:ind w:left="0" w:firstLine="0"/>
        <w:jc w:val="center"/>
        <w:rPr>
          <w:sz w:val="20"/>
        </w:rPr>
      </w:pPr>
    </w:p>
    <w:p>
      <w:pPr>
        <w:pStyle w:val="CentredBaseLine"/>
        <w:spacing w:before="120"/>
        <w:jc w:val="center"/>
      </w:pPr>
      <w:r>
        <w:rPr>
          <w:noProof/>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rPr>
      </w:pPr>
      <w:r>
        <w:rPr>
          <w:b/>
          <w:sz w:val="24"/>
        </w:rPr>
        <w:t>Form</w:t>
      </w:r>
      <w:r>
        <w:rPr>
          <w:b/>
        </w:rPr>
        <w:t xml:space="preserve"> 4</w:t>
      </w:r>
    </w:p>
    <w:p>
      <w:pPr>
        <w:pStyle w:val="yShoulderClause"/>
        <w:rPr>
          <w:sz w:val="20"/>
        </w:rPr>
      </w:pPr>
      <w:r>
        <w:rPr>
          <w:sz w:val="20"/>
        </w:rPr>
        <w:t>[r. 30]</w:t>
      </w:r>
    </w:p>
    <w:p>
      <w:pPr>
        <w:pStyle w:val="yMiscellaneousHeading"/>
        <w:spacing w:before="120"/>
        <w:rPr>
          <w:b/>
        </w:rPr>
      </w:pPr>
      <w:r>
        <w:rPr>
          <w:b/>
          <w:i/>
        </w:rPr>
        <w:t>Contaminated Sites Act 2003</w:t>
      </w:r>
      <w:r>
        <w:rPr>
          <w:b/>
        </w:rPr>
        <w:t>, section 63(5)</w:t>
      </w:r>
    </w:p>
    <w:p>
      <w:pPr>
        <w:pStyle w:val="yMiscellaneousHeading"/>
        <w:rPr>
          <w:b/>
          <w:smallCaps/>
        </w:rPr>
      </w:pPr>
      <w:r>
        <w:rPr>
          <w:b/>
        </w:rPr>
        <w:t>CERTIFICATE</w:t>
      </w:r>
      <w:r>
        <w:rPr>
          <w:b/>
          <w:smallCaps/>
        </w:rPr>
        <w:t xml:space="preserve"> OF CONTAMINATION AUDIT</w:t>
      </w:r>
    </w:p>
    <w:p>
      <w:pPr>
        <w:pStyle w:val="ySubsection"/>
        <w:ind w:left="0" w:firstLine="0"/>
        <w:rPr>
          <w:b/>
          <w:sz w:val="20"/>
        </w:rPr>
      </w:pPr>
      <w:r>
        <w:rPr>
          <w:b/>
          <w:sz w:val="20"/>
        </w:rPr>
        <w:t>PERSON WHO HOLDS THIS CERTIFICATE</w:t>
      </w:r>
    </w:p>
    <w:p>
      <w:pPr>
        <w:pStyle w:val="ySubsection"/>
        <w:tabs>
          <w:tab w:val="left" w:pos="4111"/>
        </w:tabs>
        <w:rPr>
          <w:sz w:val="20"/>
        </w:rPr>
      </w:pPr>
      <w:r>
        <w:rPr>
          <w:sz w:val="20"/>
        </w:rPr>
        <w:t>This certificate of contamination audit is given to .............................................................</w:t>
      </w:r>
    </w:p>
    <w:p>
      <w:pPr>
        <w:pStyle w:val="ySubsection"/>
        <w:tabs>
          <w:tab w:val="left" w:pos="4111"/>
        </w:tabs>
        <w:spacing w:before="0"/>
        <w:rPr>
          <w:sz w:val="20"/>
        </w:rPr>
      </w:pPr>
      <w:r>
        <w:rPr>
          <w:sz w:val="16"/>
        </w:rPr>
        <w:tab/>
      </w:r>
      <w:r>
        <w:rPr>
          <w:sz w:val="16"/>
        </w:rPr>
        <w:tab/>
      </w:r>
      <w:r>
        <w:rPr>
          <w:sz w:val="16"/>
        </w:rPr>
        <w:tab/>
        <w:t>(</w:t>
      </w:r>
      <w:r>
        <w:rPr>
          <w:i/>
          <w:sz w:val="16"/>
        </w:rPr>
        <w:t>name of person who requested certificate</w:t>
      </w:r>
      <w:r>
        <w:rPr>
          <w:sz w:val="16"/>
        </w:rPr>
        <w:t>)</w:t>
      </w:r>
    </w:p>
    <w:p>
      <w:pPr>
        <w:pStyle w:val="ySubsection"/>
        <w:rPr>
          <w:sz w:val="20"/>
        </w:rPr>
      </w:pPr>
      <w:r>
        <w:rPr>
          <w:sz w:val="20"/>
        </w:rPr>
        <w:t>of ........................................................................................................................................</w:t>
      </w:r>
    </w:p>
    <w:p>
      <w:pPr>
        <w:pStyle w:val="ySubsection"/>
        <w:tabs>
          <w:tab w:val="left" w:pos="4111"/>
        </w:tabs>
        <w:spacing w:before="0"/>
        <w:rPr>
          <w:sz w:val="16"/>
        </w:rPr>
      </w:pPr>
      <w:r>
        <w:rPr>
          <w:i/>
          <w:sz w:val="16"/>
        </w:rPr>
        <w:tab/>
      </w:r>
      <w:r>
        <w:rPr>
          <w:i/>
          <w:sz w:val="16"/>
        </w:rPr>
        <w:tab/>
        <w:t xml:space="preserve"> (address of person who requested certificate) </w:t>
      </w:r>
    </w:p>
    <w:p>
      <w:pPr>
        <w:pStyle w:val="ySubsection"/>
        <w:tabs>
          <w:tab w:val="clear" w:pos="595"/>
          <w:tab w:val="clear" w:pos="879"/>
          <w:tab w:val="left" w:pos="0"/>
        </w:tabs>
        <w:ind w:left="0" w:firstLine="0"/>
        <w:rPr>
          <w:sz w:val="20"/>
        </w:rPr>
      </w:pPr>
      <w:r>
        <w:rPr>
          <w:sz w:val="20"/>
        </w:rPr>
        <w:t>on the ................ day of ......................................................................... 20........ .</w:t>
      </w:r>
    </w:p>
    <w:p>
      <w:pPr>
        <w:pStyle w:val="ySubsection"/>
        <w:rPr>
          <w:b/>
          <w:sz w:val="24"/>
        </w:rPr>
      </w:pPr>
      <w:r>
        <w:rPr>
          <w:b/>
          <w:sz w:val="20"/>
        </w:rPr>
        <w:t>LAND THIS CERTIFICATE IS GIVEN IN RESPECT OF</w:t>
      </w:r>
    </w:p>
    <w:p>
      <w:pPr>
        <w:pStyle w:val="ySubsection"/>
        <w:spacing w:before="120"/>
        <w:rPr>
          <w:sz w:val="20"/>
        </w:rPr>
      </w:pPr>
      <w:r>
        <w:rPr>
          <w:sz w:val="20"/>
        </w:rPr>
        <w:t xml:space="preserve">The certificate is given in respect of the following land — </w:t>
      </w:r>
    </w:p>
    <w:p>
      <w:pPr>
        <w:pStyle w:val="ySubsection"/>
        <w:spacing w:before="120"/>
        <w:rPr>
          <w:sz w:val="20"/>
        </w:rPr>
      </w:pPr>
      <w:r>
        <w:rPr>
          <w:sz w:val="20"/>
        </w:rPr>
        <w:t>.............................................................................................................................................</w:t>
      </w:r>
    </w:p>
    <w:p>
      <w:pPr>
        <w:pStyle w:val="ySubsection"/>
        <w:tabs>
          <w:tab w:val="clear" w:pos="879"/>
        </w:tabs>
        <w:ind w:left="0" w:firstLine="0"/>
        <w:rPr>
          <w:sz w:val="20"/>
        </w:rPr>
      </w:pPr>
      <w:r>
        <w:rPr>
          <w:sz w:val="20"/>
        </w:rPr>
        <w:t xml:space="preserve">The classification of the site(s), in accordance with the </w:t>
      </w:r>
      <w:r>
        <w:rPr>
          <w:i/>
          <w:sz w:val="20"/>
        </w:rPr>
        <w:t xml:space="preserve">Contaminated Sites Act 2003 </w:t>
      </w:r>
      <w:r>
        <w:rPr>
          <w:sz w:val="20"/>
        </w:rPr>
        <w:t>section 15(3), of which the land comprises all, or part, is as follows — .............................................................................................................................................</w:t>
      </w:r>
    </w:p>
    <w:p>
      <w:pPr>
        <w:pStyle w:val="ySubsection"/>
        <w:tabs>
          <w:tab w:val="clear" w:pos="879"/>
        </w:tabs>
        <w:ind w:left="0" w:firstLine="0"/>
        <w:rPr>
          <w:sz w:val="20"/>
        </w:rPr>
      </w:pPr>
      <w:r>
        <w:rPr>
          <w:sz w:val="20"/>
        </w:rPr>
        <w:t xml:space="preserve">and the reasons for such classification(s) are as follows — </w:t>
      </w:r>
    </w:p>
    <w:p>
      <w:pPr>
        <w:pStyle w:val="ySubsection"/>
        <w:tabs>
          <w:tab w:val="clear" w:pos="879"/>
        </w:tabs>
        <w:ind w:left="0" w:firstLine="0"/>
        <w:rPr>
          <w:sz w:val="20"/>
        </w:rPr>
      </w:pPr>
      <w:r>
        <w:rPr>
          <w:sz w:val="20"/>
        </w:rPr>
        <w:t>.............................................................................................................................................</w:t>
      </w:r>
    </w:p>
    <w:p>
      <w:pPr>
        <w:pStyle w:val="ySubsection"/>
        <w:tabs>
          <w:tab w:val="clear" w:pos="879"/>
        </w:tabs>
        <w:ind w:left="0" w:firstLine="0"/>
        <w:rPr>
          <w:sz w:val="20"/>
        </w:rPr>
      </w:pPr>
      <w:r>
        <w:rPr>
          <w:sz w:val="20"/>
        </w:rPr>
        <w:t xml:space="preserve">The nature and extent of all identified contamination of the land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 classification specified in this certificate is — </w:t>
      </w:r>
    </w:p>
    <w:p>
      <w:pPr>
        <w:pStyle w:val="yIndenta"/>
        <w:rPr>
          <w:sz w:val="20"/>
        </w:rPr>
      </w:pPr>
      <w:r>
        <w:rPr>
          <w:sz w:val="20"/>
        </w:rPr>
        <w:tab/>
        <w:t>(a)</w:t>
      </w:r>
      <w:r>
        <w:rPr>
          <w:sz w:val="20"/>
        </w:rPr>
        <w:tab/>
      </w:r>
      <w:r>
        <w:rPr>
          <w:i/>
          <w:sz w:val="20"/>
        </w:rPr>
        <w:t>contaminated — remediation required</w:t>
      </w:r>
      <w:r>
        <w:rPr>
          <w:sz w:val="20"/>
        </w:rPr>
        <w:t>; or</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p>
    <w:p>
      <w:pPr>
        <w:pStyle w:val="ySubsection"/>
        <w:tabs>
          <w:tab w:val="clear" w:pos="879"/>
          <w:tab w:val="left" w:pos="0"/>
        </w:tabs>
        <w:ind w:left="0" w:firstLine="0"/>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120"/>
        <w:ind w:left="0" w:firstLine="0"/>
        <w:rPr>
          <w:sz w:val="20"/>
        </w:rPr>
      </w:pPr>
    </w:p>
    <w:p>
      <w:pPr>
        <w:pStyle w:val="ySubsection"/>
        <w:tabs>
          <w:tab w:val="clear" w:pos="879"/>
          <w:tab w:val="left" w:pos="0"/>
        </w:tabs>
        <w:spacing w:before="120"/>
        <w:ind w:left="0" w:firstLine="0"/>
        <w:rPr>
          <w:sz w:val="20"/>
        </w:rPr>
      </w:pPr>
      <w:r>
        <w:rPr>
          <w:sz w:val="20"/>
        </w:rPr>
        <w:t>…………………………………..</w:t>
      </w:r>
      <w:r>
        <w:rPr>
          <w:sz w:val="20"/>
        </w:rPr>
        <w:br/>
      </w:r>
      <w:r>
        <w:rPr>
          <w:b/>
          <w:sz w:val="20"/>
        </w:rPr>
        <w:t>Chief Executive Officer</w:t>
      </w:r>
    </w:p>
    <w:p>
      <w:pPr>
        <w:pStyle w:val="ySubsection"/>
        <w:rPr>
          <w:b/>
          <w:i/>
          <w:sz w:val="20"/>
        </w:rPr>
      </w:pPr>
      <w:r>
        <w:rPr>
          <w:b/>
          <w:i/>
          <w:sz w:val="20"/>
        </w:rPr>
        <w:t>Note:</w:t>
      </w:r>
    </w:p>
    <w:p>
      <w:pPr>
        <w:pStyle w:val="ySubsection"/>
        <w:numPr>
          <w:ilvl w:val="0"/>
          <w:numId w:val="2"/>
        </w:numPr>
        <w:tabs>
          <w:tab w:val="clear" w:pos="595"/>
          <w:tab w:val="clear" w:pos="879"/>
          <w:tab w:val="left" w:pos="567"/>
        </w:tabs>
        <w:spacing w:before="120"/>
        <w:ind w:left="574" w:hanging="462"/>
        <w:rPr>
          <w:i/>
          <w:sz w:val="20"/>
        </w:rPr>
      </w:pPr>
      <w:r>
        <w:rPr>
          <w:i/>
          <w:sz w:val="20"/>
        </w:rPr>
        <w:t>A copy of this certificate of contamination audit will be provided to each owner of the land, and may also be provided to an occupier of the land (Contaminated Sites Act 2003 section 63(6)).</w:t>
      </w:r>
    </w:p>
    <w:p>
      <w:pPr>
        <w:pStyle w:val="ySubsection"/>
        <w:numPr>
          <w:ilvl w:val="0"/>
          <w:numId w:val="2"/>
        </w:numPr>
        <w:tabs>
          <w:tab w:val="clear" w:pos="595"/>
          <w:tab w:val="clear" w:pos="879"/>
          <w:tab w:val="left" w:pos="567"/>
        </w:tabs>
        <w:spacing w:before="120"/>
        <w:ind w:left="574" w:hanging="462"/>
        <w:rPr>
          <w:i/>
          <w:sz w:val="20"/>
        </w:rPr>
      </w:pPr>
      <w:r>
        <w:rPr>
          <w:i/>
          <w:sz w:val="20"/>
        </w:rPr>
        <w:t>This certificate of contamination audit supersedes any earlier certificate of contamination audit given in respect of the same land (Contaminated Sites Act 2003 section 63(8)).</w:t>
      </w:r>
    </w:p>
    <w:p>
      <w:pPr>
        <w:pStyle w:val="ySubsection"/>
        <w:numPr>
          <w:ilvl w:val="0"/>
          <w:numId w:val="2"/>
        </w:numPr>
        <w:tabs>
          <w:tab w:val="clear" w:pos="595"/>
          <w:tab w:val="clear" w:pos="879"/>
          <w:tab w:val="left" w:pos="567"/>
        </w:tabs>
        <w:spacing w:before="120"/>
        <w:ind w:left="574" w:hanging="462"/>
        <w:rPr>
          <w:i/>
          <w:sz w:val="20"/>
        </w:rPr>
      </w:pPr>
      <w:r>
        <w:rPr>
          <w:i/>
          <w:sz w:val="20"/>
        </w:rPr>
        <w:t xml:space="preserve">Note that where the classification applying to the land is — </w:t>
      </w:r>
    </w:p>
    <w:p>
      <w:pPr>
        <w:pStyle w:val="yIndenta"/>
        <w:rPr>
          <w:sz w:val="20"/>
        </w:rPr>
      </w:pPr>
      <w:r>
        <w:rPr>
          <w:sz w:val="20"/>
        </w:rPr>
        <w:tab/>
        <w:t>(a)</w:t>
      </w:r>
      <w:r>
        <w:rPr>
          <w:sz w:val="20"/>
        </w:rPr>
        <w:tab/>
      </w:r>
      <w:r>
        <w:rPr>
          <w:i/>
          <w:sz w:val="20"/>
        </w:rPr>
        <w:t>contaminated — remediation required</w:t>
      </w:r>
      <w:r>
        <w:rPr>
          <w:sz w:val="20"/>
        </w:rPr>
        <w:t xml:space="preserve">; or </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 xml:space="preserve">, </w:t>
      </w:r>
    </w:p>
    <w:p>
      <w:pPr>
        <w:pStyle w:val="ySubsection"/>
        <w:keepNext/>
        <w:keepLines/>
        <w:tabs>
          <w:tab w:val="clear" w:pos="595"/>
          <w:tab w:val="clear" w:pos="879"/>
        </w:tabs>
        <w:spacing w:before="120"/>
        <w:ind w:left="0" w:firstLine="0"/>
        <w:rPr>
          <w:i/>
          <w:sz w:val="20"/>
        </w:rPr>
      </w:pPr>
      <w:r>
        <w:rPr>
          <w:i/>
          <w:sz w:val="20"/>
        </w:rPr>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ySubsection"/>
        <w:keepNext/>
        <w:keepLines/>
        <w:tabs>
          <w:tab w:val="clear" w:pos="595"/>
          <w:tab w:val="clear" w:pos="879"/>
        </w:tabs>
        <w:spacing w:before="120"/>
        <w:ind w:left="0" w:firstLine="0"/>
        <w:jc w:val="center"/>
      </w:pPr>
      <w:r>
        <w:rPr>
          <w:noProof/>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5</w:t>
      </w:r>
    </w:p>
    <w:p>
      <w:pPr>
        <w:pStyle w:val="yShoulderClause"/>
        <w:rPr>
          <w:sz w:val="20"/>
        </w:rPr>
      </w:pPr>
      <w:r>
        <w:rPr>
          <w:sz w:val="20"/>
        </w:rPr>
        <w:t>[r. 33]</w:t>
      </w:r>
    </w:p>
    <w:p>
      <w:pPr>
        <w:pStyle w:val="yMiscellaneousHeading"/>
        <w:rPr>
          <w:b/>
        </w:rPr>
      </w:pPr>
      <w:r>
        <w:rPr>
          <w:b/>
          <w:i/>
        </w:rPr>
        <w:t>Contaminated Sites Act 2003</w:t>
      </w:r>
      <w:r>
        <w:rPr>
          <w:b/>
        </w:rPr>
        <w:t>, section 64</w:t>
      </w:r>
    </w:p>
    <w:p>
      <w:pPr>
        <w:pStyle w:val="yMiscellaneousHeading"/>
        <w:rPr>
          <w:b/>
          <w:smallCaps/>
        </w:rPr>
      </w:pPr>
      <w:r>
        <w:rPr>
          <w:b/>
        </w:rPr>
        <w:t>DISCLOSURE</w:t>
      </w:r>
      <w:r>
        <w:rPr>
          <w:b/>
          <w:smallCaps/>
        </w:rPr>
        <w:t xml:space="preserve"> STATEMENT</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smallCaps/>
          <w:sz w:val="24"/>
        </w:rPr>
      </w:pPr>
      <w:r>
        <w:rPr>
          <w:b/>
          <w:sz w:val="20"/>
        </w:rPr>
        <w:t>THE OWNER’S LAND</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MiscellaneousHeading"/>
        <w:jc w:val="left"/>
        <w:rPr>
          <w:smallCaps/>
          <w:sz w:val="24"/>
        </w:rPr>
      </w:pPr>
      <w:r>
        <w:rPr>
          <w:b/>
          <w:sz w:val="20"/>
        </w:rPr>
        <w:t>LAND THAT COMPRISES ALL OR PART OF AN AFFECTED SITE (WHERE THE OWNER’S LAND IS A SOURCE SITE)</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 xml:space="preserve">Description of land (including copy of certificate of title) </w:t>
      </w:r>
    </w:p>
    <w:p>
      <w:pPr>
        <w:pStyle w:val="ySubsection"/>
        <w:tabs>
          <w:tab w:val="clear" w:pos="879"/>
          <w:tab w:val="left" w:pos="0"/>
        </w:tabs>
        <w:spacing w:before="80"/>
        <w:ind w:left="0" w:firstLine="0"/>
        <w:rPr>
          <w:sz w:val="20"/>
        </w:rPr>
      </w:pPr>
      <w:r>
        <w:rPr>
          <w:sz w:val="20"/>
        </w:rPr>
        <w:t>.............................................................................................................................................</w:t>
      </w:r>
    </w:p>
    <w:p>
      <w:pPr>
        <w:pStyle w:val="yMiscellaneousHeading"/>
        <w:jc w:val="left"/>
      </w:pPr>
      <w:r>
        <w:rPr>
          <w:b/>
          <w:sz w:val="20"/>
        </w:rPr>
        <w:t>CONTAMINATION OF LAND</w:t>
      </w:r>
    </w:p>
    <w:p>
      <w:pPr>
        <w:pStyle w:val="ySubsection"/>
        <w:tabs>
          <w:tab w:val="clear" w:pos="879"/>
        </w:tabs>
        <w:spacing w:before="80"/>
        <w:ind w:left="0" w:firstLine="0"/>
        <w:rPr>
          <w:sz w:val="20"/>
        </w:rPr>
      </w:pPr>
      <w:r>
        <w:rPr>
          <w:sz w:val="20"/>
        </w:rPr>
        <w:t xml:space="preserve">Has a report under the </w:t>
      </w:r>
      <w:r>
        <w:rPr>
          <w:i/>
          <w:sz w:val="20"/>
        </w:rPr>
        <w:t>Contaminated Sites Act 2003</w:t>
      </w:r>
      <w:r>
        <w:rPr>
          <w:sz w:val="20"/>
        </w:rPr>
        <w:t xml:space="preserve"> section 11 been made in respect of the land? .............................................................................................................Yes/No</w:t>
      </w:r>
    </w:p>
    <w:p>
      <w:pPr>
        <w:pStyle w:val="ySubsection"/>
        <w:tabs>
          <w:tab w:val="clear" w:pos="879"/>
        </w:tabs>
        <w:spacing w:before="80"/>
        <w:ind w:left="0" w:firstLine="0"/>
        <w:rPr>
          <w:sz w:val="20"/>
        </w:rPr>
      </w:pPr>
      <w:r>
        <w:rPr>
          <w:sz w:val="20"/>
        </w:rPr>
        <w:t>If a report under section 11 has been made, when was the report made? ......................</w:t>
      </w:r>
    </w:p>
    <w:p>
      <w:pPr>
        <w:pStyle w:val="ySubsection"/>
        <w:tabs>
          <w:tab w:val="clear" w:pos="879"/>
        </w:tabs>
        <w:spacing w:before="80"/>
        <w:ind w:left="0" w:firstLine="0"/>
        <w:rPr>
          <w:spacing w:val="-4"/>
          <w:sz w:val="20"/>
        </w:rPr>
      </w:pPr>
      <w:r>
        <w:rPr>
          <w:spacing w:val="-4"/>
          <w:sz w:val="20"/>
        </w:rPr>
        <w:t xml:space="preserve">Is the site to be identified and reported under a programme for the identification and reporting of sites approved under the </w:t>
      </w:r>
      <w:r>
        <w:rPr>
          <w:i/>
          <w:spacing w:val="-4"/>
          <w:sz w:val="20"/>
        </w:rPr>
        <w:t>Contaminated Sites Act 2003</w:t>
      </w:r>
      <w:r>
        <w:rPr>
          <w:spacing w:val="-4"/>
          <w:sz w:val="20"/>
        </w:rPr>
        <w:t xml:space="preserve"> section 12?     Yes/No</w:t>
      </w:r>
    </w:p>
    <w:p>
      <w:pPr>
        <w:pStyle w:val="ySubsection"/>
        <w:tabs>
          <w:tab w:val="clear" w:pos="879"/>
        </w:tabs>
        <w:spacing w:before="80"/>
        <w:ind w:left="0" w:firstLine="0"/>
        <w:rPr>
          <w:sz w:val="20"/>
        </w:rPr>
      </w:pPr>
      <w:r>
        <w:rPr>
          <w:sz w:val="20"/>
        </w:rPr>
        <w:t xml:space="preserve">If </w:t>
      </w:r>
      <w:r>
        <w:rPr>
          <w:spacing w:val="-4"/>
          <w:sz w:val="20"/>
        </w:rPr>
        <w:t>so</w:t>
      </w:r>
      <w:r>
        <w:rPr>
          <w:sz w:val="20"/>
        </w:rPr>
        <w:t>, on what date was the programme approved by the Chief Executive Officer? ..........</w:t>
      </w:r>
    </w:p>
    <w:p>
      <w:pPr>
        <w:pStyle w:val="ySubsection"/>
        <w:tabs>
          <w:tab w:val="clear" w:pos="879"/>
        </w:tabs>
        <w:spacing w:before="80"/>
        <w:ind w:left="0" w:firstLine="0"/>
        <w:rPr>
          <w:sz w:val="20"/>
        </w:rPr>
      </w:pPr>
      <w:r>
        <w:rPr>
          <w:sz w:val="20"/>
        </w:rPr>
        <w:t>Contaminants of concern ....................................................................................................</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Details of reports on investigations undertaken on the land.  (List report title, author and date, and attach copies to this form, unless copies have been provided previously.)</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MiscellaneousHeading"/>
        <w:jc w:val="left"/>
        <w:rPr>
          <w:b/>
          <w:smallCaps/>
          <w:sz w:val="20"/>
        </w:rPr>
      </w:pPr>
      <w:r>
        <w:rPr>
          <w:b/>
          <w:smallCaps/>
          <w:sz w:val="20"/>
        </w:rPr>
        <w:t xml:space="preserve">CONTAMINATION </w:t>
      </w:r>
      <w:r>
        <w:rPr>
          <w:b/>
          <w:sz w:val="20"/>
        </w:rPr>
        <w:t>FOR</w:t>
      </w:r>
      <w:r>
        <w:rPr>
          <w:b/>
          <w:smallCaps/>
          <w:sz w:val="20"/>
        </w:rPr>
        <w:t xml:space="preserve"> WHICH EXEMPTION IS SOUGHT</w:t>
      </w:r>
    </w:p>
    <w:p>
      <w:pPr>
        <w:pStyle w:val="ySubsection"/>
        <w:tabs>
          <w:tab w:val="clear" w:pos="879"/>
        </w:tabs>
        <w:spacing w:before="80"/>
        <w:ind w:left="0" w:firstLine="0"/>
        <w:rPr>
          <w:sz w:val="20"/>
        </w:rPr>
      </w:pPr>
      <w:r>
        <w:rPr>
          <w:sz w:val="20"/>
        </w:rPr>
        <w:t>Contamination for which an exemption is sought ..............................................................</w:t>
      </w:r>
    </w:p>
    <w:p>
      <w:pPr>
        <w:pStyle w:val="ySubsection"/>
        <w:tabs>
          <w:tab w:val="clear" w:pos="879"/>
        </w:tabs>
        <w:spacing w:before="80"/>
        <w:ind w:left="0" w:firstLine="0"/>
        <w:rPr>
          <w:sz w:val="20"/>
        </w:rPr>
      </w:pPr>
      <w:r>
        <w:rPr>
          <w:sz w:val="20"/>
        </w:rPr>
        <w:t>(</w:t>
      </w:r>
      <w:r>
        <w:rPr>
          <w:i/>
          <w:sz w:val="20"/>
        </w:rPr>
        <w:t>Provide details of the contamination for which you seek an exemption certificate under the Contaminated Sites Act 2003 section 65 — this may be some or all of the contamination described above under “Contamination of land”</w:t>
      </w: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 xml:space="preserve">Reasons why you believe that you are entitled to an exemption certificate under the </w:t>
      </w:r>
      <w:r>
        <w:rPr>
          <w:i/>
          <w:sz w:val="20"/>
        </w:rPr>
        <w:t>Contaminated Sites Act 2003</w:t>
      </w:r>
      <w:r>
        <w:rPr>
          <w:sz w:val="20"/>
        </w:rPr>
        <w:t> section 65 in respect of the contamination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List any documents attached to this statement in support of the reasons set out on this statement.</w:t>
      </w:r>
    </w:p>
    <w:p>
      <w:pPr>
        <w:pStyle w:val="yMiscellaneousHeading"/>
        <w:jc w:val="left"/>
        <w:rPr>
          <w:b/>
          <w:sz w:val="20"/>
        </w:rPr>
      </w:pPr>
    </w:p>
    <w:p>
      <w:pPr>
        <w:pStyle w:val="ySubsection"/>
        <w:tabs>
          <w:tab w:val="clear" w:pos="595"/>
          <w:tab w:val="clear" w:pos="879"/>
        </w:tabs>
        <w:spacing w:before="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statement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statement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statement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statement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 statement.</w:t>
      </w:r>
    </w:p>
    <w:p>
      <w:pPr>
        <w:pStyle w:val="ySubsection"/>
        <w:tabs>
          <w:tab w:val="clear" w:pos="595"/>
          <w:tab w:val="clear" w:pos="879"/>
        </w:tabs>
        <w:spacing w:before="0"/>
        <w:ind w:left="142" w:firstLine="0"/>
        <w:rPr>
          <w:i/>
          <w:sz w:val="20"/>
        </w:rPr>
      </w:pPr>
    </w:p>
    <w:p>
      <w:pPr>
        <w:pStyle w:val="ySubsection"/>
        <w:tabs>
          <w:tab w:val="clear" w:pos="595"/>
          <w:tab w:val="clear" w:pos="879"/>
        </w:tabs>
        <w:spacing w:before="0"/>
        <w:ind w:left="0" w:firstLine="0"/>
        <w:rPr>
          <w:b/>
          <w:i/>
          <w:sz w:val="20"/>
        </w:rPr>
      </w:pPr>
      <w:r>
        <w:rPr>
          <w:b/>
          <w:i/>
          <w:sz w:val="20"/>
        </w:rPr>
        <w:t>If this disclosure statement is being made by an individual:</w:t>
      </w: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I, ............................, the person described in this statement, am the owner of the land described in this statement under the heading “The Owner’s Land” (and referred to in this declaration as “my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I am seeking an exemption certificate was not caused, or contributed to, by an action of mine; and</w:t>
      </w:r>
    </w:p>
    <w:p>
      <w:pPr>
        <w:pStyle w:val="ySubsection"/>
        <w:numPr>
          <w:ilvl w:val="0"/>
          <w:numId w:val="2"/>
        </w:numPr>
        <w:tabs>
          <w:tab w:val="clear" w:pos="595"/>
          <w:tab w:val="clear" w:pos="879"/>
          <w:tab w:val="left" w:pos="567"/>
        </w:tabs>
        <w:spacing w:before="120"/>
        <w:ind w:left="574" w:hanging="462"/>
        <w:rPr>
          <w:sz w:val="20"/>
        </w:rPr>
      </w:pPr>
      <w:r>
        <w:rPr>
          <w:sz w:val="20"/>
        </w:rPr>
        <w:t>I did not fail to prevent the contamination of my land, as far as it was reasonably within my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my land was contaminated at the time I became an owner of the land and, at that time, I did not know, or suspect, and could not reasonably have known or suspected, that the land was contaminated.</w:t>
      </w:r>
    </w:p>
    <w:p>
      <w:pPr>
        <w:pStyle w:val="ySubsection"/>
        <w:tabs>
          <w:tab w:val="clear" w:pos="879"/>
          <w:tab w:val="left" w:pos="0"/>
          <w:tab w:val="left" w:pos="4820"/>
        </w:tabs>
        <w:spacing w:before="240"/>
        <w:ind w:left="0" w:firstLine="0"/>
        <w:rPr>
          <w:sz w:val="20"/>
        </w:rPr>
      </w:pPr>
      <w:r>
        <w:rPr>
          <w:sz w:val="20"/>
        </w:rPr>
        <w:t>Signature of person making the statement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spacing w:before="80"/>
        <w:ind w:left="0" w:firstLine="0"/>
        <w:rPr>
          <w:sz w:val="20"/>
        </w:rPr>
      </w:pPr>
    </w:p>
    <w:p>
      <w:pPr>
        <w:pStyle w:val="ySubsection"/>
        <w:tabs>
          <w:tab w:val="clear" w:pos="595"/>
          <w:tab w:val="clear" w:pos="879"/>
        </w:tabs>
        <w:spacing w:before="0"/>
        <w:ind w:left="0" w:firstLine="0"/>
        <w:rPr>
          <w:b/>
          <w:i/>
          <w:sz w:val="20"/>
        </w:rPr>
      </w:pPr>
      <w:r>
        <w:rPr>
          <w:b/>
          <w:i/>
          <w:sz w:val="20"/>
        </w:rPr>
        <w:t>OR If this disclosure statement is being made by an owner which is not an individual, the declaration may be made on behalf of the owner by an individual authorised to do so.  If the owner is a body corporate, it need not be made under its seal:</w:t>
      </w:r>
    </w:p>
    <w:p>
      <w:pPr>
        <w:pStyle w:val="ySubsection"/>
        <w:rPr>
          <w:b/>
          <w:sz w:val="20"/>
        </w:rPr>
      </w:pP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 xml:space="preserve">the body corporate [or </w:t>
      </w:r>
      <w:r>
        <w:rPr>
          <w:i/>
          <w:sz w:val="20"/>
        </w:rPr>
        <w:t>insert name of other owner if appropriate</w:t>
      </w:r>
      <w:r>
        <w:rPr>
          <w:sz w:val="20"/>
        </w:rPr>
        <w:t>] described in this statement is the owner of the land described in this statement under the heading “The Owner’s Land” (and referred to in this declaration as the body’s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an exemption certificate is sought was not caused, or contributed to, by an action of the body described in this statement; and</w:t>
      </w:r>
    </w:p>
    <w:p>
      <w:pPr>
        <w:pStyle w:val="ySubsection"/>
        <w:numPr>
          <w:ilvl w:val="0"/>
          <w:numId w:val="2"/>
        </w:numPr>
        <w:tabs>
          <w:tab w:val="clear" w:pos="595"/>
          <w:tab w:val="clear" w:pos="879"/>
          <w:tab w:val="left" w:pos="567"/>
        </w:tabs>
        <w:spacing w:before="120"/>
        <w:ind w:left="574" w:hanging="462"/>
        <w:rPr>
          <w:sz w:val="20"/>
        </w:rPr>
      </w:pPr>
      <w:r>
        <w:rPr>
          <w:sz w:val="20"/>
        </w:rPr>
        <w:t>that body did not fail to prevent the contamination of the body’s land, as far as it was reasonably within its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the body’s land was contaminated at the time the body became an owner of the land and, at that time, it did not know, or suspect, and could not reasonably have known or suspected, that the land was contaminated.</w:t>
      </w:r>
    </w:p>
    <w:p>
      <w:pPr>
        <w:pStyle w:val="ySubsection"/>
        <w:spacing w:before="80"/>
        <w:ind w:left="0" w:firstLine="0"/>
        <w:rPr>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statement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CentredBaseLine"/>
        <w:spacing w:before="120"/>
        <w:jc w:val="center"/>
      </w:pPr>
      <w:r>
        <w:rPr>
          <w:noProof/>
        </w:rPr>
        <w:drawing>
          <wp:inline distT="0" distB="0" distL="0" distR="0">
            <wp:extent cx="128905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6</w:t>
      </w:r>
    </w:p>
    <w:p>
      <w:pPr>
        <w:pStyle w:val="yShoulderClause"/>
        <w:rPr>
          <w:sz w:val="20"/>
        </w:rPr>
      </w:pPr>
      <w:r>
        <w:rPr>
          <w:sz w:val="20"/>
        </w:rPr>
        <w:t>[r. 34]</w:t>
      </w:r>
    </w:p>
    <w:p>
      <w:pPr>
        <w:pStyle w:val="yMiscellaneousHeading"/>
        <w:rPr>
          <w:b/>
        </w:rPr>
      </w:pPr>
      <w:r>
        <w:rPr>
          <w:b/>
          <w:i/>
        </w:rPr>
        <w:t xml:space="preserve">Contaminated </w:t>
      </w:r>
      <w:r>
        <w:rPr>
          <w:b/>
          <w:i/>
          <w:sz w:val="24"/>
        </w:rPr>
        <w:t>Sites</w:t>
      </w:r>
      <w:r>
        <w:rPr>
          <w:b/>
          <w:i/>
        </w:rPr>
        <w:t xml:space="preserve"> Act 2003</w:t>
      </w:r>
      <w:r>
        <w:rPr>
          <w:b/>
        </w:rPr>
        <w:t>, section 68</w:t>
      </w:r>
    </w:p>
    <w:p>
      <w:pPr>
        <w:pStyle w:val="yMiscellaneousHeading"/>
        <w:jc w:val="left"/>
        <w:rPr>
          <w:b/>
        </w:rPr>
      </w:pPr>
      <w:r>
        <w:rPr>
          <w:b/>
        </w:rPr>
        <w:t>LAND OWNER’S DISCLOSURE BEFORE COMPLETION OF LAND TRANSACTION</w:t>
      </w:r>
    </w:p>
    <w:p>
      <w:pPr>
        <w:pStyle w:val="ySubsection"/>
        <w:spacing w:before="120"/>
        <w:rPr>
          <w:b/>
          <w:i/>
          <w:sz w:val="20"/>
        </w:rPr>
      </w:pPr>
      <w:r>
        <w:rPr>
          <w:b/>
          <w:i/>
          <w:sz w:val="20"/>
        </w:rPr>
        <w:t>Note:</w:t>
      </w:r>
    </w:p>
    <w:p>
      <w:pPr>
        <w:pStyle w:val="ySubsection"/>
        <w:tabs>
          <w:tab w:val="clear" w:pos="595"/>
          <w:tab w:val="clear" w:pos="879"/>
        </w:tabs>
        <w:spacing w:before="0"/>
        <w:ind w:left="0" w:firstLine="0"/>
        <w:rPr>
          <w:i/>
          <w:sz w:val="20"/>
        </w:rPr>
      </w:pPr>
      <w:r>
        <w:rPr>
          <w:i/>
          <w:sz w:val="20"/>
        </w:rP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yMiscellaneousHeading"/>
        <w:jc w:val="left"/>
        <w:rPr>
          <w:b/>
          <w:sz w:val="20"/>
        </w:rPr>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b/>
          <w:sz w:val="20"/>
        </w:rPr>
      </w:pPr>
      <w:r>
        <w:rPr>
          <w:b/>
          <w:sz w:val="20"/>
        </w:rPr>
        <w:t>LAND</w:t>
      </w:r>
    </w:p>
    <w:p>
      <w:pPr>
        <w:pStyle w:val="ySubsection"/>
        <w:tabs>
          <w:tab w:val="clear" w:pos="879"/>
          <w:tab w:val="left" w:pos="1134"/>
          <w:tab w:val="left" w:pos="2410"/>
          <w:tab w:val="left" w:pos="3119"/>
        </w:tabs>
        <w:spacing w:before="80"/>
        <w:ind w:left="0" w:firstLine="0"/>
        <w:rPr>
          <w:sz w:val="20"/>
        </w:rPr>
      </w:pPr>
      <w:r>
        <w:rPr>
          <w:sz w:val="20"/>
        </w:rPr>
        <w:t>Lot No. ...... and/or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keepNext/>
        <w:keepLines/>
        <w:tabs>
          <w:tab w:val="clear" w:pos="879"/>
          <w:tab w:val="left" w:pos="0"/>
        </w:tabs>
        <w:spacing w:before="80"/>
        <w:ind w:left="0" w:firstLine="0"/>
        <w:rPr>
          <w:sz w:val="20"/>
        </w:rPr>
      </w:pPr>
      <w:r>
        <w:rPr>
          <w:sz w:val="20"/>
        </w:rPr>
        <w:t>Description of land (including copy of certificate of title) .................................................</w:t>
      </w:r>
    </w:p>
    <w:p>
      <w:pPr>
        <w:pStyle w:val="ySubsection"/>
        <w:keepNext/>
        <w:keepLines/>
        <w:tabs>
          <w:tab w:val="clear" w:pos="879"/>
          <w:tab w:val="left" w:pos="0"/>
        </w:tabs>
        <w:spacing w:before="80"/>
        <w:ind w:left="0" w:firstLine="0"/>
        <w:rPr>
          <w:sz w:val="20"/>
        </w:rPr>
      </w:pPr>
      <w:r>
        <w:rPr>
          <w:sz w:val="20"/>
        </w:rPr>
        <w:t>.............................................................................................................................................</w:t>
      </w:r>
    </w:p>
    <w:p>
      <w:pPr>
        <w:pStyle w:val="yMiscellaneousHeading"/>
        <w:jc w:val="left"/>
        <w:rPr>
          <w:b/>
          <w:sz w:val="20"/>
        </w:rPr>
      </w:pPr>
      <w:r>
        <w:rPr>
          <w:b/>
          <w:sz w:val="20"/>
        </w:rPr>
        <w:t>CLASSIFICATION</w:t>
      </w:r>
      <w:r>
        <w:rPr>
          <w:b/>
          <w:smallCaps/>
          <w:sz w:val="20"/>
        </w:rPr>
        <w:t xml:space="preserve"> AND/OR NOTICE UNDER THE ACT PART 4</w:t>
      </w:r>
    </w:p>
    <w:p>
      <w:pPr>
        <w:pStyle w:val="ySubsection"/>
        <w:tabs>
          <w:tab w:val="clear" w:pos="879"/>
          <w:tab w:val="left" w:pos="0"/>
        </w:tabs>
        <w:spacing w:before="80"/>
        <w:ind w:left="0" w:firstLine="0"/>
        <w:rPr>
          <w:sz w:val="20"/>
        </w:rPr>
      </w:pPr>
      <w:r>
        <w:rPr>
          <w:sz w:val="20"/>
        </w:rPr>
        <w:t xml:space="preserve">As at ............................................. 20.......,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w:t>
      </w:r>
    </w:p>
    <w:p>
      <w:pPr>
        <w:pStyle w:val="yIndenta"/>
        <w:ind w:left="0" w:firstLine="0"/>
        <w:rPr>
          <w:i/>
          <w:sz w:val="20"/>
        </w:rPr>
      </w:pPr>
      <w:r>
        <w:rPr>
          <w:sz w:val="20"/>
        </w:rPr>
        <w:tab/>
        <w:t>(b)</w:t>
      </w:r>
      <w:r>
        <w:rPr>
          <w:sz w:val="20"/>
        </w:rPr>
        <w:tab/>
      </w:r>
      <w:r>
        <w:rPr>
          <w:i/>
          <w:sz w:val="20"/>
        </w:rPr>
        <w:t>contaminated — restricted use</w:t>
      </w:r>
      <w:r>
        <w:rPr>
          <w:sz w:val="20"/>
        </w:rPr>
        <w:t>;</w:t>
      </w:r>
    </w:p>
    <w:p>
      <w:pPr>
        <w:pStyle w:val="yIndenta"/>
        <w:ind w:left="0" w:firstLine="0"/>
        <w:rPr>
          <w:i/>
          <w:sz w:val="20"/>
        </w:rPr>
      </w:pPr>
      <w:r>
        <w:rPr>
          <w:i/>
          <w:sz w:val="20"/>
        </w:rPr>
        <w:tab/>
      </w:r>
      <w:r>
        <w:rPr>
          <w:sz w:val="20"/>
        </w:rPr>
        <w:t>(c)</w:t>
      </w:r>
      <w:r>
        <w:rPr>
          <w:i/>
          <w:sz w:val="20"/>
        </w:rPr>
        <w:tab/>
        <w:t>remediated for restricted use.*</w:t>
      </w:r>
    </w:p>
    <w:p>
      <w:pPr>
        <w:pStyle w:val="ySubsection"/>
        <w:tabs>
          <w:tab w:val="clear" w:pos="879"/>
          <w:tab w:val="left" w:pos="0"/>
        </w:tabs>
        <w:spacing w:before="80"/>
        <w:ind w:left="0" w:firstLine="0"/>
        <w:rPr>
          <w:sz w:val="20"/>
        </w:rPr>
      </w:pPr>
      <w:r>
        <w:rPr>
          <w:i/>
          <w:sz w:val="16"/>
        </w:rPr>
        <w:tab/>
        <w:t>(* Delete as appropriate.)</w:t>
      </w:r>
    </w:p>
    <w:p>
      <w:pPr>
        <w:pStyle w:val="ySubsection"/>
        <w:spacing w:before="80"/>
        <w:jc w:val="center"/>
        <w:rPr>
          <w:b/>
          <w:sz w:val="20"/>
        </w:rPr>
      </w:pPr>
      <w:r>
        <w:rPr>
          <w:b/>
          <w:sz w:val="20"/>
        </w:rPr>
        <w:t>AND/OR</w:t>
      </w:r>
    </w:p>
    <w:p>
      <w:pPr>
        <w:pStyle w:val="ySubsection"/>
        <w:tabs>
          <w:tab w:val="clear" w:pos="879"/>
          <w:tab w:val="left" w:pos="0"/>
        </w:tabs>
        <w:spacing w:before="80"/>
        <w:ind w:left="0" w:firstLine="0"/>
        <w:rPr>
          <w:sz w:val="20"/>
        </w:rPr>
      </w:pPr>
      <w:r>
        <w:rPr>
          <w:sz w:val="20"/>
        </w:rPr>
        <w:t>As at ............................................ 20......., a notice</w:t>
      </w:r>
      <w:r>
        <w:rPr>
          <w:i/>
          <w:sz w:val="20"/>
        </w:rPr>
        <w:t xml:space="preserve"> </w:t>
      </w:r>
      <w:r>
        <w:rPr>
          <w:sz w:val="20"/>
        </w:rPr>
        <w:t xml:space="preserve">under the </w:t>
      </w:r>
      <w:r>
        <w:rPr>
          <w:i/>
          <w:sz w:val="20"/>
        </w:rPr>
        <w:t>Contaminated Sites Act 2003</w:t>
      </w:r>
      <w:r>
        <w:rPr>
          <w:sz w:val="20"/>
        </w:rPr>
        <w:t xml:space="preserve"> Part 4 has been given, and a memorial lodged, in respect of the land described in this form.  The notice is — </w:t>
      </w:r>
    </w:p>
    <w:p>
      <w:pPr>
        <w:pStyle w:val="yIndenta"/>
        <w:rPr>
          <w:sz w:val="20"/>
        </w:rPr>
      </w:pPr>
      <w:r>
        <w:rPr>
          <w:sz w:val="20"/>
        </w:rPr>
        <w:tab/>
        <w:t>(a)</w:t>
      </w:r>
      <w:r>
        <w:rPr>
          <w:sz w:val="20"/>
        </w:rPr>
        <w:tab/>
        <w:t>an investigation notice;</w:t>
      </w:r>
    </w:p>
    <w:p>
      <w:pPr>
        <w:pStyle w:val="yIndenta"/>
        <w:rPr>
          <w:sz w:val="20"/>
        </w:rPr>
      </w:pPr>
      <w:r>
        <w:rPr>
          <w:sz w:val="20"/>
        </w:rPr>
        <w:tab/>
        <w:t>(b)</w:t>
      </w:r>
      <w:r>
        <w:rPr>
          <w:sz w:val="20"/>
        </w:rPr>
        <w:tab/>
        <w:t>a clean up notice;</w:t>
      </w:r>
    </w:p>
    <w:p>
      <w:pPr>
        <w:pStyle w:val="yIndenta"/>
        <w:rPr>
          <w:sz w:val="20"/>
        </w:rPr>
      </w:pPr>
      <w:r>
        <w:rPr>
          <w:sz w:val="20"/>
        </w:rPr>
        <w:tab/>
        <w:t>(c)</w:t>
      </w:r>
      <w:r>
        <w:rPr>
          <w:sz w:val="20"/>
        </w:rPr>
        <w:tab/>
        <w:t>a hazard abatement notice.*</w:t>
      </w:r>
    </w:p>
    <w:p>
      <w:pPr>
        <w:pStyle w:val="ySubsection"/>
        <w:tabs>
          <w:tab w:val="left" w:pos="364"/>
        </w:tabs>
        <w:spacing w:before="120"/>
        <w:rPr>
          <w:i/>
          <w:sz w:val="16"/>
        </w:rPr>
      </w:pPr>
      <w:r>
        <w:rPr>
          <w:i/>
          <w:sz w:val="16"/>
        </w:rPr>
        <w:t>(* Delete as appropriate.)</w:t>
      </w:r>
    </w:p>
    <w:p>
      <w:pPr>
        <w:pStyle w:val="yMiscellaneousHeading"/>
        <w:jc w:val="left"/>
        <w:rPr>
          <w:b/>
          <w:sz w:val="20"/>
        </w:rPr>
      </w:pPr>
      <w:r>
        <w:rPr>
          <w:b/>
          <w:sz w:val="20"/>
        </w:rPr>
        <w:t>CONTAMINATION</w:t>
      </w:r>
    </w:p>
    <w:p>
      <w:pPr>
        <w:pStyle w:val="ySubsection"/>
        <w:tabs>
          <w:tab w:val="clear" w:pos="879"/>
        </w:tabs>
        <w:ind w:left="0" w:firstLine="0"/>
        <w:rPr>
          <w:sz w:val="20"/>
        </w:rPr>
      </w:pPr>
      <w:r>
        <w:rPr>
          <w:sz w:val="20"/>
        </w:rPr>
        <w:t xml:space="preserve">The nature and extent of all identified contamination of the land described in this form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at the date set out in this form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 or</w:t>
      </w:r>
    </w:p>
    <w:p>
      <w:pPr>
        <w:pStyle w:val="yIndenta"/>
        <w:ind w:left="0" w:firstLine="0"/>
        <w:rPr>
          <w:i/>
          <w:sz w:val="20"/>
        </w:rPr>
      </w:pPr>
      <w:r>
        <w:rPr>
          <w:sz w:val="20"/>
        </w:rPr>
        <w:tab/>
        <w:t>(b)</w:t>
      </w:r>
      <w:r>
        <w:rPr>
          <w:sz w:val="20"/>
        </w:rPr>
        <w:tab/>
      </w:r>
      <w:r>
        <w:rPr>
          <w:i/>
          <w:sz w:val="20"/>
        </w:rPr>
        <w:t>contaminated — restricted use</w:t>
      </w:r>
      <w:r>
        <w:rPr>
          <w:sz w:val="20"/>
        </w:rPr>
        <w:t>; or</w:t>
      </w:r>
    </w:p>
    <w:p>
      <w:pPr>
        <w:pStyle w:val="yIndenta"/>
        <w:ind w:left="0" w:firstLine="0"/>
        <w:rPr>
          <w:i/>
          <w:sz w:val="20"/>
        </w:rPr>
      </w:pPr>
      <w:r>
        <w:rPr>
          <w:i/>
          <w:sz w:val="20"/>
        </w:rPr>
        <w:tab/>
      </w:r>
      <w:r>
        <w:rPr>
          <w:sz w:val="20"/>
        </w:rPr>
        <w:t>(c)</w:t>
      </w:r>
      <w:r>
        <w:rPr>
          <w:i/>
          <w:sz w:val="20"/>
        </w:rPr>
        <w:tab/>
        <w:t>remediated for restricted use</w:t>
      </w:r>
      <w:r>
        <w:rPr>
          <w:sz w:val="20"/>
        </w:rPr>
        <w:t>,</w:t>
      </w:r>
    </w:p>
    <w:p>
      <w:pPr>
        <w:pStyle w:val="Indenta"/>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spacing w:before="80"/>
        <w:rPr>
          <w:b/>
          <w:i/>
        </w:rPr>
      </w:pPr>
      <w:r>
        <w:rPr>
          <w:b/>
          <w:i/>
          <w:sz w:val="20"/>
        </w:rPr>
        <w:t>Note</w:t>
      </w:r>
      <w:r>
        <w:rPr>
          <w:b/>
          <w:i/>
        </w:rPr>
        <w:t>:</w:t>
      </w:r>
    </w:p>
    <w:p>
      <w:pPr>
        <w:pStyle w:val="ySubsection"/>
        <w:tabs>
          <w:tab w:val="clear" w:pos="595"/>
          <w:tab w:val="clear" w:pos="879"/>
        </w:tabs>
        <w:spacing w:before="0"/>
        <w:ind w:left="0"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w:t>
      </w:r>
    </w:p>
    <w:p>
      <w:pPr>
        <w:pStyle w:val="ySubsection"/>
        <w:spacing w:before="80"/>
      </w:pPr>
    </w:p>
    <w:p>
      <w:pPr>
        <w:pStyle w:val="ySubsection"/>
        <w:tabs>
          <w:tab w:val="clear" w:pos="879"/>
          <w:tab w:val="left" w:pos="0"/>
        </w:tabs>
        <w:spacing w:before="40"/>
        <w:rPr>
          <w:b/>
          <w:i/>
          <w:sz w:val="20"/>
        </w:rPr>
      </w:pPr>
      <w:r>
        <w:rPr>
          <w:b/>
          <w:i/>
          <w:sz w:val="20"/>
        </w:rPr>
        <w:t>If this disclosure is being made by an individual:</w:t>
      </w:r>
    </w:p>
    <w:p>
      <w:pPr>
        <w:pStyle w:val="ySubsection"/>
        <w:tabs>
          <w:tab w:val="clear" w:pos="879"/>
          <w:tab w:val="left" w:pos="0"/>
          <w:tab w:val="left" w:pos="5103"/>
        </w:tabs>
        <w:spacing w:before="240"/>
        <w:ind w:left="0" w:firstLine="0"/>
        <w:rPr>
          <w:sz w:val="20"/>
        </w:rPr>
      </w:pPr>
      <w:r>
        <w:rPr>
          <w:sz w:val="20"/>
        </w:rPr>
        <w:t>Signature of person making the disclosure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spacing w:before="0"/>
        <w:ind w:left="0" w:firstLine="0"/>
        <w:rPr>
          <w:b/>
          <w:i/>
          <w:sz w:val="20"/>
        </w:rPr>
      </w:pPr>
      <w:r>
        <w:rPr>
          <w:b/>
          <w:i/>
          <w:sz w:val="20"/>
        </w:rPr>
        <w:t>OR if this disclosure is being made by an owner which is not an individual, it may be signed on behalf of the owner by an individual authorised to do so.  If the owner is a body corporate, it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 w:val="left" w:pos="4820"/>
        </w:tabs>
        <w:spacing w:before="240"/>
        <w:ind w:left="0" w:firstLine="0"/>
        <w:rPr>
          <w:sz w:val="20"/>
        </w:rPr>
      </w:pPr>
      <w:r>
        <w:rPr>
          <w:sz w:val="20"/>
        </w:rPr>
        <w:t>Address and phone numbers ..............................................................................................</w:t>
      </w:r>
    </w:p>
    <w:p>
      <w:pPr>
        <w:pStyle w:val="CentredBaseLine"/>
        <w:jc w:val="center"/>
      </w:pPr>
      <w:r>
        <w:rPr>
          <w:noProof/>
        </w:rPr>
        <w:drawing>
          <wp:inline distT="0" distB="0" distL="0" distR="0">
            <wp:extent cx="128905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ScheduleHeading"/>
      </w:pPr>
      <w:bookmarkStart w:id="241" w:name="_Toc154748782"/>
      <w:bookmarkStart w:id="242" w:name="_Toc107216702"/>
      <w:bookmarkStart w:id="243" w:name="_Toc107216860"/>
      <w:bookmarkStart w:id="244" w:name="_Toc107219482"/>
      <w:bookmarkStart w:id="245" w:name="_Toc107323492"/>
      <w:r>
        <w:rPr>
          <w:rStyle w:val="CharSchNo"/>
        </w:rPr>
        <w:t>Schedule 2</w:t>
      </w:r>
      <w:r>
        <w:t> — </w:t>
      </w:r>
      <w:r>
        <w:rPr>
          <w:rStyle w:val="CharSchText"/>
        </w:rPr>
        <w:t>Fees</w:t>
      </w:r>
      <w:bookmarkEnd w:id="241"/>
      <w:bookmarkEnd w:id="242"/>
      <w:bookmarkEnd w:id="243"/>
      <w:bookmarkEnd w:id="244"/>
      <w:bookmarkEnd w:id="245"/>
    </w:p>
    <w:p>
      <w:pPr>
        <w:pStyle w:val="ySubsection"/>
      </w:pPr>
    </w:p>
    <w:tbl>
      <w:tblPr>
        <w:tblW w:w="7088" w:type="dxa"/>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yTable"/>
              <w:jc w:val="center"/>
              <w:rPr>
                <w:b/>
              </w:rPr>
            </w:pPr>
            <w:r>
              <w:rPr>
                <w:b/>
              </w:rPr>
              <w:t>Item</w:t>
            </w:r>
          </w:p>
        </w:tc>
        <w:tc>
          <w:tcPr>
            <w:tcW w:w="2977" w:type="dxa"/>
            <w:tcBorders>
              <w:top w:val="single" w:sz="4" w:space="0" w:color="auto"/>
              <w:bottom w:val="single" w:sz="4" w:space="0" w:color="auto"/>
            </w:tcBorders>
          </w:tcPr>
          <w:p>
            <w:pPr>
              <w:pStyle w:val="yTable"/>
              <w:jc w:val="center"/>
              <w:rPr>
                <w:b/>
              </w:rPr>
            </w:pPr>
            <w:r>
              <w:rPr>
                <w:b/>
              </w:rPr>
              <w:t>Fee</w:t>
            </w:r>
          </w:p>
        </w:tc>
        <w:tc>
          <w:tcPr>
            <w:tcW w:w="1701" w:type="dxa"/>
            <w:tcBorders>
              <w:top w:val="single" w:sz="4" w:space="0" w:color="auto"/>
              <w:bottom w:val="single" w:sz="4" w:space="0" w:color="auto"/>
            </w:tcBorders>
          </w:tcPr>
          <w:p>
            <w:pPr>
              <w:pStyle w:val="yTable"/>
              <w:rPr>
                <w:b/>
              </w:rPr>
            </w:pPr>
            <w:r>
              <w:rPr>
                <w:b/>
              </w:rPr>
              <w:t>Provision</w:t>
            </w:r>
          </w:p>
        </w:tc>
        <w:tc>
          <w:tcPr>
            <w:tcW w:w="1701" w:type="dxa"/>
            <w:tcBorders>
              <w:top w:val="single" w:sz="4" w:space="0" w:color="auto"/>
              <w:bottom w:val="single" w:sz="4" w:space="0" w:color="auto"/>
            </w:tcBorders>
          </w:tcPr>
          <w:p>
            <w:pPr>
              <w:pStyle w:val="yTable"/>
              <w:tabs>
                <w:tab w:val="right" w:pos="1310"/>
              </w:tabs>
              <w:jc w:val="center"/>
              <w:rPr>
                <w:b/>
              </w:rPr>
            </w:pPr>
            <w:r>
              <w:rPr>
                <w:b/>
              </w:rPr>
              <w:t xml:space="preserve">Amount </w:t>
            </w:r>
            <w:r>
              <w:rPr>
                <w:b/>
              </w:rPr>
              <w:br/>
              <w:t>(fee units)</w:t>
            </w:r>
          </w:p>
        </w:tc>
      </w:tr>
      <w:tr>
        <w:tc>
          <w:tcPr>
            <w:tcW w:w="709" w:type="dxa"/>
          </w:tcPr>
          <w:p>
            <w:pPr>
              <w:pStyle w:val="yTable"/>
              <w:jc w:val="center"/>
            </w:pPr>
            <w:r>
              <w:t>1.</w:t>
            </w:r>
          </w:p>
        </w:tc>
        <w:tc>
          <w:tcPr>
            <w:tcW w:w="2977" w:type="dxa"/>
          </w:tcPr>
          <w:p>
            <w:pPr>
              <w:pStyle w:val="yTable"/>
            </w:pPr>
            <w:r>
              <w:t>Basic summary of records</w:t>
            </w:r>
          </w:p>
        </w:tc>
        <w:tc>
          <w:tcPr>
            <w:tcW w:w="1701" w:type="dxa"/>
          </w:tcPr>
          <w:p>
            <w:pPr>
              <w:pStyle w:val="yTable"/>
            </w:pPr>
            <w:r>
              <w:t>r. 8(1)(c)(i)</w:t>
            </w:r>
          </w:p>
        </w:tc>
        <w:tc>
          <w:tcPr>
            <w:tcW w:w="1701" w:type="dxa"/>
          </w:tcPr>
          <w:p>
            <w:pPr>
              <w:pStyle w:val="yTable"/>
              <w:tabs>
                <w:tab w:val="right" w:pos="742"/>
              </w:tabs>
            </w:pPr>
            <w:r>
              <w:tab/>
              <w:t>2</w:t>
            </w:r>
          </w:p>
        </w:tc>
      </w:tr>
      <w:tr>
        <w:tc>
          <w:tcPr>
            <w:tcW w:w="709" w:type="dxa"/>
          </w:tcPr>
          <w:p>
            <w:pPr>
              <w:pStyle w:val="yTable"/>
              <w:jc w:val="center"/>
            </w:pPr>
            <w:r>
              <w:t>2.</w:t>
            </w:r>
          </w:p>
        </w:tc>
        <w:tc>
          <w:tcPr>
            <w:tcW w:w="2977" w:type="dxa"/>
          </w:tcPr>
          <w:p>
            <w:pPr>
              <w:pStyle w:val="yTable"/>
            </w:pPr>
            <w:r>
              <w:t>Detailed summary of records</w:t>
            </w:r>
          </w:p>
        </w:tc>
        <w:tc>
          <w:tcPr>
            <w:tcW w:w="1701" w:type="dxa"/>
          </w:tcPr>
          <w:p>
            <w:pPr>
              <w:pStyle w:val="yTable"/>
            </w:pPr>
            <w:r>
              <w:t>r. 8(1)(c)(ii)</w:t>
            </w:r>
          </w:p>
        </w:tc>
        <w:tc>
          <w:tcPr>
            <w:tcW w:w="1701" w:type="dxa"/>
          </w:tcPr>
          <w:p>
            <w:pPr>
              <w:pStyle w:val="yTable"/>
              <w:tabs>
                <w:tab w:val="right" w:pos="742"/>
              </w:tabs>
            </w:pPr>
            <w:r>
              <w:tab/>
              <w:t>20</w:t>
            </w:r>
          </w:p>
        </w:tc>
      </w:tr>
      <w:tr>
        <w:tc>
          <w:tcPr>
            <w:tcW w:w="709" w:type="dxa"/>
          </w:tcPr>
          <w:p>
            <w:pPr>
              <w:pStyle w:val="yTable"/>
              <w:jc w:val="center"/>
            </w:pPr>
            <w:r>
              <w:t>3.</w:t>
            </w:r>
          </w:p>
        </w:tc>
        <w:tc>
          <w:tcPr>
            <w:tcW w:w="2977" w:type="dxa"/>
          </w:tcPr>
          <w:p>
            <w:pPr>
              <w:pStyle w:val="yTable"/>
            </w:pPr>
            <w:r>
              <w:t>Certificate of contamination audit</w:t>
            </w:r>
          </w:p>
        </w:tc>
        <w:tc>
          <w:tcPr>
            <w:tcW w:w="1701" w:type="dxa"/>
          </w:tcPr>
          <w:p>
            <w:pPr>
              <w:pStyle w:val="yTable"/>
            </w:pPr>
            <w:r>
              <w:br/>
              <w:t>r. 29(2)(f)</w:t>
            </w:r>
          </w:p>
        </w:tc>
        <w:tc>
          <w:tcPr>
            <w:tcW w:w="1701" w:type="dxa"/>
          </w:tcPr>
          <w:p>
            <w:pPr>
              <w:pStyle w:val="yTable"/>
              <w:tabs>
                <w:tab w:val="right" w:pos="742"/>
              </w:tabs>
            </w:pPr>
            <w:r>
              <w:br/>
            </w:r>
            <w:r>
              <w:tab/>
              <w:t>275</w:t>
            </w:r>
          </w:p>
        </w:tc>
      </w:tr>
      <w:tr>
        <w:tc>
          <w:tcPr>
            <w:tcW w:w="709" w:type="dxa"/>
          </w:tcPr>
          <w:p>
            <w:pPr>
              <w:pStyle w:val="yTable"/>
              <w:jc w:val="center"/>
            </w:pPr>
            <w:r>
              <w:t>4.</w:t>
            </w:r>
          </w:p>
        </w:tc>
        <w:tc>
          <w:tcPr>
            <w:tcW w:w="2977" w:type="dxa"/>
          </w:tcPr>
          <w:p>
            <w:pPr>
              <w:pStyle w:val="yTable"/>
            </w:pPr>
            <w:r>
              <w:t>Application fee for auditor</w:t>
            </w:r>
          </w:p>
        </w:tc>
        <w:tc>
          <w:tcPr>
            <w:tcW w:w="1701" w:type="dxa"/>
          </w:tcPr>
          <w:p>
            <w:pPr>
              <w:pStyle w:val="yTable"/>
            </w:pPr>
            <w:r>
              <w:t>r. 36(1)(c)</w:t>
            </w:r>
          </w:p>
        </w:tc>
        <w:tc>
          <w:tcPr>
            <w:tcW w:w="1701" w:type="dxa"/>
          </w:tcPr>
          <w:p>
            <w:pPr>
              <w:pStyle w:val="yTable"/>
              <w:tabs>
                <w:tab w:val="right" w:pos="742"/>
              </w:tabs>
            </w:pPr>
            <w:r>
              <w:tab/>
              <w:t>20</w:t>
            </w:r>
          </w:p>
        </w:tc>
      </w:tr>
      <w:tr>
        <w:tc>
          <w:tcPr>
            <w:tcW w:w="709" w:type="dxa"/>
          </w:tcPr>
          <w:p>
            <w:pPr>
              <w:pStyle w:val="yTable"/>
              <w:jc w:val="center"/>
            </w:pPr>
            <w:r>
              <w:t>5.</w:t>
            </w:r>
          </w:p>
        </w:tc>
        <w:tc>
          <w:tcPr>
            <w:tcW w:w="2977" w:type="dxa"/>
          </w:tcPr>
          <w:p>
            <w:pPr>
              <w:pStyle w:val="yTable"/>
              <w:tabs>
                <w:tab w:val="left" w:pos="385"/>
              </w:tabs>
            </w:pPr>
            <w:r>
              <w:t>Accreditation fee for auditor</w:t>
            </w:r>
          </w:p>
        </w:tc>
        <w:tc>
          <w:tcPr>
            <w:tcW w:w="1701" w:type="dxa"/>
          </w:tcPr>
          <w:p>
            <w:pPr>
              <w:pStyle w:val="yTable"/>
            </w:pPr>
            <w:r>
              <w:t>r. 39(1)(f), 40(1) and 45(2)(d)</w:t>
            </w:r>
          </w:p>
        </w:tc>
        <w:tc>
          <w:tcPr>
            <w:tcW w:w="1701" w:type="dxa"/>
          </w:tcPr>
          <w:p>
            <w:pPr>
              <w:pStyle w:val="yTable"/>
              <w:tabs>
                <w:tab w:val="right" w:pos="742"/>
              </w:tabs>
            </w:pPr>
            <w:r>
              <w:tab/>
              <w:t>250, per year of accreditation</w:t>
            </w:r>
          </w:p>
        </w:tc>
      </w:tr>
      <w:tr>
        <w:tc>
          <w:tcPr>
            <w:tcW w:w="709" w:type="dxa"/>
            <w:noWrap/>
          </w:tcPr>
          <w:p>
            <w:pPr>
              <w:pStyle w:val="yTableNAm"/>
            </w:pPr>
            <w:r>
              <w:t>5A.</w:t>
            </w:r>
          </w:p>
        </w:tc>
        <w:tc>
          <w:tcPr>
            <w:tcW w:w="2977" w:type="dxa"/>
            <w:noWrap/>
          </w:tcPr>
          <w:p>
            <w:pPr>
              <w:pStyle w:val="yTableNAm"/>
              <w:rPr>
                <w:rStyle w:val="DraftersNotes"/>
                <w:b w:val="0"/>
                <w:i w:val="0"/>
              </w:rPr>
            </w:pPr>
            <w:r>
              <w:t>Late renewal application fee</w:t>
            </w:r>
          </w:p>
        </w:tc>
        <w:tc>
          <w:tcPr>
            <w:tcW w:w="1701" w:type="dxa"/>
            <w:noWrap/>
          </w:tcPr>
          <w:p>
            <w:pPr>
              <w:pStyle w:val="yTableNAm"/>
            </w:pPr>
            <w:r>
              <w:t>r. 44(2)(d)</w:t>
            </w:r>
          </w:p>
        </w:tc>
        <w:tc>
          <w:tcPr>
            <w:tcW w:w="1701" w:type="dxa"/>
            <w:noWrap/>
          </w:tcPr>
          <w:p>
            <w:pPr>
              <w:pStyle w:val="yTableNAm"/>
            </w:pPr>
            <w:r>
              <w:tab/>
              <w:t>10</w:t>
            </w:r>
          </w:p>
        </w:tc>
      </w:tr>
      <w:tr>
        <w:tc>
          <w:tcPr>
            <w:tcW w:w="709" w:type="dxa"/>
            <w:tcBorders>
              <w:bottom w:val="single" w:sz="4" w:space="0" w:color="auto"/>
            </w:tcBorders>
          </w:tcPr>
          <w:p>
            <w:pPr>
              <w:pStyle w:val="yTable"/>
              <w:jc w:val="center"/>
            </w:pPr>
            <w:r>
              <w:t>6.</w:t>
            </w:r>
          </w:p>
        </w:tc>
        <w:tc>
          <w:tcPr>
            <w:tcW w:w="2977" w:type="dxa"/>
            <w:tcBorders>
              <w:bottom w:val="single" w:sz="4" w:space="0" w:color="auto"/>
            </w:tcBorders>
          </w:tcPr>
          <w:p>
            <w:pPr>
              <w:pStyle w:val="yTable"/>
            </w:pPr>
            <w:r>
              <w:t>Fee to lodge appeal</w:t>
            </w:r>
          </w:p>
        </w:tc>
        <w:tc>
          <w:tcPr>
            <w:tcW w:w="1701" w:type="dxa"/>
            <w:tcBorders>
              <w:bottom w:val="single" w:sz="4" w:space="0" w:color="auto"/>
            </w:tcBorders>
          </w:tcPr>
          <w:p>
            <w:pPr>
              <w:pStyle w:val="yTable"/>
            </w:pPr>
            <w:r>
              <w:t>r. 65</w:t>
            </w:r>
          </w:p>
        </w:tc>
        <w:tc>
          <w:tcPr>
            <w:tcW w:w="1701" w:type="dxa"/>
            <w:tcBorders>
              <w:bottom w:val="single" w:sz="4" w:space="0" w:color="auto"/>
            </w:tcBorders>
          </w:tcPr>
          <w:p>
            <w:pPr>
              <w:pStyle w:val="yTable"/>
              <w:tabs>
                <w:tab w:val="right" w:pos="742"/>
              </w:tabs>
            </w:pPr>
            <w:r>
              <w:tab/>
              <w:t>3</w:t>
            </w:r>
          </w:p>
        </w:tc>
      </w:tr>
    </w:tbl>
    <w:p>
      <w:pPr>
        <w:pStyle w:val="yFootnotesection"/>
      </w:pPr>
      <w:r>
        <w:tab/>
        <w:t>[Schedule 2 amended: SL 2022/99 r. 26.]</w:t>
      </w:r>
    </w:p>
    <w:p>
      <w:pPr>
        <w:pStyle w:val="yScheduleHeading"/>
        <w:pageBreakBefore w:val="0"/>
        <w:rPr>
          <w:rStyle w:val="CharSchNo"/>
        </w:r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47" w:name="_Toc154748783"/>
      <w:bookmarkStart w:id="248" w:name="_Toc107216703"/>
      <w:bookmarkStart w:id="249" w:name="_Toc107216861"/>
      <w:bookmarkStart w:id="250" w:name="_Toc107219483"/>
      <w:bookmarkStart w:id="251" w:name="_Toc107323493"/>
      <w:r>
        <w:rPr>
          <w:rStyle w:val="CharSchNo"/>
        </w:rPr>
        <w:t>Schedule 3</w:t>
      </w:r>
      <w:r>
        <w:t xml:space="preserve"> — </w:t>
      </w:r>
      <w:r>
        <w:rPr>
          <w:rStyle w:val="CharSchText"/>
        </w:rPr>
        <w:t>Code of conduct for auditors</w:t>
      </w:r>
      <w:bookmarkEnd w:id="247"/>
      <w:bookmarkEnd w:id="248"/>
      <w:bookmarkEnd w:id="249"/>
      <w:bookmarkEnd w:id="250"/>
      <w:bookmarkEnd w:id="251"/>
    </w:p>
    <w:p>
      <w:pPr>
        <w:pStyle w:val="yShoulderClause"/>
        <w:rPr>
          <w:sz w:val="20"/>
        </w:rPr>
      </w:pPr>
      <w:r>
        <w:rPr>
          <w:sz w:val="20"/>
        </w:rPr>
        <w:t>[r. 61]</w:t>
      </w:r>
    </w:p>
    <w:p>
      <w:pPr>
        <w:pStyle w:val="yHeading5"/>
      </w:pPr>
      <w:bookmarkStart w:id="252" w:name="_Toc154748784"/>
      <w:bookmarkStart w:id="253" w:name="_Toc107323494"/>
      <w:r>
        <w:rPr>
          <w:rStyle w:val="CharSClsNo"/>
        </w:rPr>
        <w:t>1</w:t>
      </w:r>
      <w:r>
        <w:t>.</w:t>
      </w:r>
      <w:r>
        <w:tab/>
        <w:t>Conflict of interest</w:t>
      </w:r>
      <w:bookmarkEnd w:id="252"/>
      <w:bookmarkEnd w:id="253"/>
    </w:p>
    <w:p>
      <w:pPr>
        <w:pStyle w:val="y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y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yHeading5"/>
      </w:pPr>
      <w:bookmarkStart w:id="254" w:name="_Toc154748785"/>
      <w:bookmarkStart w:id="255" w:name="_Toc107323495"/>
      <w:r>
        <w:rPr>
          <w:rStyle w:val="CharSClsNo"/>
        </w:rPr>
        <w:t>2</w:t>
      </w:r>
      <w:r>
        <w:t>.</w:t>
      </w:r>
      <w:r>
        <w:tab/>
        <w:t>Auditor who has worked on a site is not to audit it</w:t>
      </w:r>
      <w:bookmarkEnd w:id="254"/>
      <w:bookmarkEnd w:id="255"/>
    </w:p>
    <w:p>
      <w:pPr>
        <w:pStyle w:val="ySubsection"/>
      </w:pPr>
      <w:r>
        <w:tab/>
      </w:r>
      <w:r>
        <w:tab/>
        <w:t xml:space="preserve">An auditor is not to audit a site or to produce a report on an audit of a site, or undertake to do so, if the auditor is or has been — </w:t>
      </w:r>
    </w:p>
    <w:p>
      <w:pPr>
        <w:pStyle w:val="yIndenta"/>
      </w:pPr>
      <w:r>
        <w:tab/>
        <w:t>(a)</w:t>
      </w:r>
      <w:r>
        <w:tab/>
        <w:t>involved in investigating, managing or remediating that site; or</w:t>
      </w:r>
    </w:p>
    <w:p>
      <w:pPr>
        <w:pStyle w:val="yIndenta"/>
      </w:pPr>
      <w:r>
        <w:tab/>
        <w:t>(b)</w:t>
      </w:r>
      <w:r>
        <w:tab/>
        <w:t xml:space="preserve">a person responsible for remediation of that site; or </w:t>
      </w:r>
    </w:p>
    <w:p>
      <w:pPr>
        <w:pStyle w:val="yIndenta"/>
      </w:pPr>
      <w:r>
        <w:tab/>
        <w:t>(c)</w:t>
      </w:r>
      <w:r>
        <w:tab/>
        <w:t>an owner or occupier of that site,</w:t>
      </w:r>
    </w:p>
    <w:p>
      <w:pPr>
        <w:pStyle w:val="ySubsection"/>
      </w:pPr>
      <w:r>
        <w:tab/>
      </w:r>
      <w:r>
        <w:tab/>
        <w:t>or is employed by a person who or which is, or has been, involved in investigating, managing or remediating that site.</w:t>
      </w:r>
    </w:p>
    <w:p>
      <w:pPr>
        <w:pStyle w:val="yHeading5"/>
      </w:pPr>
      <w:bookmarkStart w:id="256" w:name="_Toc154748786"/>
      <w:bookmarkStart w:id="257" w:name="_Toc107323496"/>
      <w:r>
        <w:rPr>
          <w:rStyle w:val="CharSClsNo"/>
        </w:rPr>
        <w:t>3</w:t>
      </w:r>
      <w:r>
        <w:t>.</w:t>
      </w:r>
      <w:r>
        <w:tab/>
        <w:t>Acceptance of gifts or benefits</w:t>
      </w:r>
      <w:bookmarkEnd w:id="256"/>
      <w:bookmarkEnd w:id="257"/>
    </w:p>
    <w:p>
      <w:pPr>
        <w:pStyle w:val="y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yHeading5"/>
      </w:pPr>
      <w:bookmarkStart w:id="258" w:name="_Toc154748787"/>
      <w:bookmarkStart w:id="259" w:name="_Toc107323497"/>
      <w:r>
        <w:rPr>
          <w:rStyle w:val="CharSClsNo"/>
        </w:rPr>
        <w:t>4</w:t>
      </w:r>
      <w:r>
        <w:t>.</w:t>
      </w:r>
      <w:r>
        <w:tab/>
        <w:t>Personal and professional behaviour</w:t>
      </w:r>
      <w:bookmarkEnd w:id="258"/>
      <w:bookmarkEnd w:id="259"/>
    </w:p>
    <w:p>
      <w:pPr>
        <w:pStyle w:val="ySubsection"/>
        <w:keepNext/>
        <w:keepLines/>
      </w:pPr>
      <w:r>
        <w:tab/>
      </w:r>
      <w:r>
        <w:tab/>
        <w:t xml:space="preserve">An auditor must perform any duties associated with his or her position diligently, impartially and conscientiously, to the best of the auditor’s ability. </w:t>
      </w:r>
    </w:p>
    <w:p>
      <w:pPr>
        <w:pStyle w:val="ySubsection"/>
        <w:keepLines/>
        <w:jc w:val="center"/>
      </w:pPr>
      <w:r>
        <w:rPr>
          <w:noProof/>
        </w:rPr>
        <w:drawing>
          <wp:inline distT="0" distB="0" distL="0" distR="0">
            <wp:extent cx="933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Subsection"/>
        <w:keepLines/>
      </w:pPr>
    </w:p>
    <w:p>
      <w:pPr>
        <w:sectPr>
          <w:headerReference w:type="default" r:id="rId25"/>
          <w:endnotePr>
            <w:numFmt w:val="decimal"/>
          </w:endnotePr>
          <w:pgSz w:w="11907" w:h="16840" w:code="9"/>
          <w:pgMar w:top="2376" w:right="2405" w:bottom="3542" w:left="2405" w:header="706" w:footer="3544" w:gutter="0"/>
          <w:cols w:space="720"/>
          <w:noEndnote/>
          <w:docGrid w:linePitch="326"/>
        </w:sectPr>
      </w:pPr>
    </w:p>
    <w:p>
      <w:pPr>
        <w:pStyle w:val="nHeading2"/>
      </w:pPr>
      <w:bookmarkStart w:id="260" w:name="_Toc154748788"/>
      <w:bookmarkStart w:id="261" w:name="_Toc107216708"/>
      <w:bookmarkStart w:id="262" w:name="_Toc107216866"/>
      <w:bookmarkStart w:id="263" w:name="_Toc107219488"/>
      <w:bookmarkStart w:id="264" w:name="_Toc107323498"/>
      <w:r>
        <w:t>Notes</w:t>
      </w:r>
      <w:bookmarkEnd w:id="260"/>
      <w:bookmarkEnd w:id="261"/>
      <w:bookmarkEnd w:id="262"/>
      <w:bookmarkEnd w:id="263"/>
      <w:bookmarkEnd w:id="264"/>
    </w:p>
    <w:p>
      <w:pPr>
        <w:pStyle w:val="nStatement"/>
      </w:pPr>
      <w:r>
        <w:t xml:space="preserve">This is a compilation of the </w:t>
      </w:r>
      <w:r>
        <w:rPr>
          <w:i/>
          <w:noProof/>
        </w:rPr>
        <w:t>Contaminated Sites Regulations 2006</w:t>
      </w:r>
      <w:r>
        <w:t xml:space="preserve"> and includes amendments made by other written laws. For provisions that have come into operation see the compilation table.</w:t>
      </w:r>
    </w:p>
    <w:p>
      <w:pPr>
        <w:pStyle w:val="nHeading3"/>
      </w:pPr>
      <w:bookmarkStart w:id="265" w:name="_Toc154748789"/>
      <w:bookmarkStart w:id="266" w:name="_Toc107323499"/>
      <w:r>
        <w:t>Compilation table</w:t>
      </w:r>
      <w:bookmarkEnd w:id="265"/>
      <w:bookmarkEnd w:id="26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Contaminated Sites Regulations 2006</w:t>
            </w:r>
          </w:p>
        </w:tc>
        <w:tc>
          <w:tcPr>
            <w:tcW w:w="1276" w:type="dxa"/>
            <w:tcBorders>
              <w:top w:val="single" w:sz="8" w:space="0" w:color="auto"/>
            </w:tcBorders>
          </w:tcPr>
          <w:p>
            <w:pPr>
              <w:pStyle w:val="nTable"/>
              <w:spacing w:after="40"/>
            </w:pPr>
            <w:r>
              <w:t>8 Aug 2006 p. 2913-74</w:t>
            </w:r>
          </w:p>
        </w:tc>
        <w:tc>
          <w:tcPr>
            <w:tcW w:w="2693" w:type="dxa"/>
            <w:tcBorders>
              <w:top w:val="single" w:sz="8" w:space="0" w:color="auto"/>
            </w:tcBorders>
          </w:tcPr>
          <w:p>
            <w:pPr>
              <w:pStyle w:val="nTable"/>
              <w:spacing w:after="40"/>
            </w:pPr>
            <w:r>
              <w:t xml:space="preserve">1 Dec 2006 </w:t>
            </w:r>
            <w:r>
              <w:rPr>
                <w:color w:val="000000"/>
              </w:rPr>
              <w:t xml:space="preserve">(see r. 2 and </w:t>
            </w:r>
            <w:r>
              <w:rPr>
                <w:i/>
                <w:color w:val="000000"/>
              </w:rPr>
              <w:t>Gazette</w:t>
            </w:r>
            <w:r>
              <w:rPr>
                <w:color w:val="000000"/>
              </w:rPr>
              <w:t xml:space="preserve"> 8 Aug 2006 p. 2899)</w:t>
            </w:r>
          </w:p>
        </w:tc>
      </w:tr>
      <w:tr>
        <w:tc>
          <w:tcPr>
            <w:tcW w:w="3118" w:type="dxa"/>
            <w:tcBorders>
              <w:top w:val="nil"/>
              <w:bottom w:val="nil"/>
            </w:tcBorders>
          </w:tcPr>
          <w:p>
            <w:pPr>
              <w:pStyle w:val="nTable"/>
              <w:spacing w:after="40"/>
              <w:rPr>
                <w:i/>
              </w:rPr>
            </w:pPr>
            <w:r>
              <w:rPr>
                <w:i/>
              </w:rPr>
              <w:t>Environment Regulations Amendment (Public Health) Regulations 2016</w:t>
            </w:r>
            <w:r>
              <w:t xml:space="preserve"> Pt. 3</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Contaminated Sites Amendment Regulations 2022</w:t>
            </w:r>
          </w:p>
        </w:tc>
        <w:tc>
          <w:tcPr>
            <w:tcW w:w="1276" w:type="dxa"/>
            <w:tcBorders>
              <w:top w:val="nil"/>
              <w:bottom w:val="nil"/>
            </w:tcBorders>
          </w:tcPr>
          <w:p>
            <w:pPr>
              <w:pStyle w:val="nTable"/>
              <w:spacing w:after="40"/>
            </w:pPr>
            <w:r>
              <w:t>SL 2022/37 15 Mar 2022</w:t>
            </w:r>
          </w:p>
        </w:tc>
        <w:tc>
          <w:tcPr>
            <w:tcW w:w="2693" w:type="dxa"/>
            <w:tcBorders>
              <w:top w:val="nil"/>
              <w:bottom w:val="nil"/>
            </w:tcBorders>
          </w:tcPr>
          <w:p>
            <w:pPr>
              <w:pStyle w:val="nTable"/>
              <w:spacing w:after="40"/>
            </w:pPr>
            <w:r>
              <w:rPr>
                <w:snapToGrid w:val="0"/>
                <w:spacing w:val="-2"/>
              </w:rPr>
              <w:t xml:space="preserve">r. 1 and 2: </w:t>
            </w:r>
            <w:r>
              <w:t>15 Mar 2022</w:t>
            </w:r>
            <w:r>
              <w:rPr>
                <w:snapToGrid w:val="0"/>
                <w:spacing w:val="-2"/>
              </w:rPr>
              <w:t xml:space="preserve"> (see r. 2(a));</w:t>
            </w:r>
            <w:r>
              <w:rPr>
                <w:snapToGrid w:val="0"/>
                <w:spacing w:val="-2"/>
              </w:rPr>
              <w:br/>
              <w:t xml:space="preserve">Regulations other than r. 1 and 2: </w:t>
            </w:r>
            <w:r>
              <w:t>16 Mar 2022</w:t>
            </w:r>
            <w:r>
              <w:rPr>
                <w:snapToGrid w:val="0"/>
                <w:spacing w:val="-2"/>
              </w:rPr>
              <w:t xml:space="preserve"> (see r. 2(b))</w:t>
            </w:r>
          </w:p>
        </w:tc>
      </w:tr>
      <w:tr>
        <w:tc>
          <w:tcPr>
            <w:tcW w:w="3118" w:type="dxa"/>
            <w:tcBorders>
              <w:top w:val="nil"/>
              <w:bottom w:val="nil"/>
            </w:tcBorders>
          </w:tcPr>
          <w:p>
            <w:pPr>
              <w:pStyle w:val="nTable"/>
              <w:spacing w:after="40"/>
              <w:rPr>
                <w:i/>
              </w:rPr>
            </w:pPr>
            <w:r>
              <w:rPr>
                <w:i/>
              </w:rPr>
              <w:t>Contaminated Sites Amendment Regulations (No. 2) 2022</w:t>
            </w:r>
          </w:p>
        </w:tc>
        <w:tc>
          <w:tcPr>
            <w:tcW w:w="1276" w:type="dxa"/>
            <w:tcBorders>
              <w:top w:val="nil"/>
              <w:bottom w:val="nil"/>
            </w:tcBorders>
          </w:tcPr>
          <w:p>
            <w:pPr>
              <w:pStyle w:val="nTable"/>
              <w:spacing w:after="40"/>
            </w:pPr>
            <w:r>
              <w:t>SL 2022/99 17 Jun 2022</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17 Jun 2022</w:t>
            </w:r>
            <w:r>
              <w:rPr>
                <w:snapToGrid w:val="0"/>
                <w:spacing w:val="-2"/>
              </w:rPr>
              <w:t xml:space="preserve"> (see r. 2(a));</w:t>
            </w:r>
            <w:r>
              <w:rPr>
                <w:snapToGrid w:val="0"/>
                <w:spacing w:val="-2"/>
              </w:rPr>
              <w:br/>
              <w:t>Regulations other than r. 1 and 2: 1 Jul 2022 (see r. 2(b))</w:t>
            </w:r>
          </w:p>
        </w:tc>
      </w:tr>
    </w:tbl>
    <w:p>
      <w:pPr>
        <w:rPr>
          <w:del w:id="267" w:author="Master Repository Process" w:date="2023-12-29T13:25:00Z"/>
        </w:rPr>
      </w:pPr>
    </w:p>
    <w:p>
      <w:pPr>
        <w:rPr>
          <w:del w:id="268" w:author="Master Repository Process" w:date="2023-12-29T13:25:00Z"/>
        </w:rPr>
        <w:sectPr>
          <w:headerReference w:type="even" r:id="rId26"/>
          <w:headerReference w:type="default" r:id="rId27"/>
          <w:pgSz w:w="11907" w:h="16840" w:code="9"/>
          <w:pgMar w:top="2376" w:right="2404" w:bottom="3544" w:left="2404" w:header="720" w:footer="3380" w:gutter="0"/>
          <w:cols w:space="720"/>
          <w:noEndnote/>
          <w:docGrid w:linePitch="326"/>
        </w:sectPr>
      </w:pP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269" w:author="Master Repository Process" w:date="2023-12-29T13:25:00Z"/>
        </w:trPr>
        <w:tc>
          <w:tcPr>
            <w:tcW w:w="3118" w:type="dxa"/>
            <w:tcBorders>
              <w:bottom w:val="single" w:sz="4" w:space="0" w:color="auto"/>
            </w:tcBorders>
          </w:tcPr>
          <w:p>
            <w:pPr>
              <w:pStyle w:val="nTable"/>
              <w:spacing w:after="40"/>
              <w:rPr>
                <w:ins w:id="270" w:author="Master Repository Process" w:date="2023-12-29T13:25:00Z"/>
                <w:i/>
              </w:rPr>
            </w:pPr>
            <w:ins w:id="271" w:author="Master Repository Process" w:date="2023-12-29T13:25:00Z">
              <w:r>
                <w:rPr>
                  <w:i/>
                </w:rPr>
                <w:t>Contaminated Sites Amendment Regulations 2023</w:t>
              </w:r>
            </w:ins>
          </w:p>
        </w:tc>
        <w:tc>
          <w:tcPr>
            <w:tcW w:w="1276" w:type="dxa"/>
            <w:tcBorders>
              <w:bottom w:val="single" w:sz="4" w:space="0" w:color="auto"/>
            </w:tcBorders>
          </w:tcPr>
          <w:p>
            <w:pPr>
              <w:pStyle w:val="nTable"/>
              <w:spacing w:after="40"/>
              <w:rPr>
                <w:ins w:id="272" w:author="Master Repository Process" w:date="2023-12-29T13:25:00Z"/>
              </w:rPr>
            </w:pPr>
            <w:ins w:id="273" w:author="Master Repository Process" w:date="2023-12-29T13:25:00Z">
              <w:r>
                <w:t>SL 2023/95 30 Jun 2023</w:t>
              </w:r>
            </w:ins>
          </w:p>
        </w:tc>
        <w:tc>
          <w:tcPr>
            <w:tcW w:w="2693" w:type="dxa"/>
            <w:tcBorders>
              <w:bottom w:val="single" w:sz="4" w:space="0" w:color="auto"/>
            </w:tcBorders>
          </w:tcPr>
          <w:p>
            <w:pPr>
              <w:pStyle w:val="nTable"/>
              <w:spacing w:after="40"/>
              <w:rPr>
                <w:ins w:id="274" w:author="Master Repository Process" w:date="2023-12-29T13:25:00Z"/>
                <w:snapToGrid w:val="0"/>
                <w:spacing w:val="-2"/>
              </w:rPr>
            </w:pPr>
            <w:ins w:id="275" w:author="Master Repository Process" w:date="2023-12-29T13:25:00Z">
              <w:r>
                <w:rPr>
                  <w:snapToGrid w:val="0"/>
                  <w:spacing w:val="-2"/>
                </w:rPr>
                <w:t>r. 1 and 2: 30 Jun 2023 (see r. 2(a));</w:t>
              </w:r>
              <w:r>
                <w:rPr>
                  <w:snapToGrid w:val="0"/>
                  <w:spacing w:val="-2"/>
                </w:rPr>
                <w:br/>
                <w:t>Regulations other than r. 1 and 2: 1 Jul 2023 (see r. 2(b))</w:t>
              </w:r>
            </w:ins>
          </w:p>
        </w:tc>
      </w:tr>
    </w:tbl>
    <w:p>
      <w:pPr>
        <w:rPr>
          <w:ins w:id="276" w:author="Master Repository Process" w:date="2023-12-29T13:25:00Z"/>
        </w:rPr>
      </w:pPr>
    </w:p>
    <w:p>
      <w:pPr>
        <w:rPr>
          <w:ins w:id="277" w:author="Master Repository Process" w:date="2023-12-29T13:25:00Z"/>
        </w:rPr>
        <w:sectPr>
          <w:headerReference w:type="even" r:id="rId28"/>
          <w:headerReference w:type="default" r:id="rId29"/>
          <w:pgSz w:w="11907" w:h="16840" w:code="9"/>
          <w:pgMar w:top="2376" w:right="2404" w:bottom="3544" w:left="2404" w:header="720" w:footer="3544" w:gutter="0"/>
          <w:cols w:space="720"/>
          <w:noEndnote/>
          <w:docGrid w:linePitch="326"/>
        </w:sectPr>
      </w:pPr>
    </w:p>
    <w:p>
      <w:ins w:id="279" w:author="Master Repository Process" w:date="2023-12-29T13:2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8"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80" w:author="Master Repository Process" w:date="2023-12-29T13:25:00Z"/>
                                  <w:sz w:val="16"/>
                                </w:rPr>
                              </w:pPr>
                              <w:ins w:id="281" w:author="Master Repository Process" w:date="2023-12-29T13:2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82" w:author="Master Repository Process" w:date="2023-12-29T13:25:00Z"/>
                                  <w:sz w:val="16"/>
                                </w:rPr>
                              </w:pPr>
                              <w:ins w:id="283" w:author="Master Repository Process" w:date="2023-12-29T13:2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84" w:author="Master Repository Process" w:date="2023-12-29T13:25:00Z"/>
                                  <w:sz w:val="16"/>
                                </w:rPr>
                              </w:pPr>
                              <w:ins w:id="285" w:author="Master Repository Process" w:date="2023-12-29T13:2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86" w:author="Master Repository Process" w:date="2023-12-29T13:25:00Z"/>
                                  <w:rFonts w:ascii="Arial" w:hAnsi="Arial" w:cs="Arial"/>
                                  <w:sz w:val="12"/>
                                </w:rPr>
                              </w:pPr>
                              <w:ins w:id="287" w:author="Master Repository Process" w:date="2023-12-29T13:2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JH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CxQ9JHnwIAAGgFAAAOAAAAAAAAAAAAAAAAAC4CAABkcnMv&#10;ZTJvRG9jLnhtbFBLAQItABQABgAIAAAAIQBjfy4b3AAAAAkBAAAPAAAAAAAAAAAAAAAAAPkEAABk&#10;cnMvZG93bnJldi54bWxQSwUGAAAAAAQABADzAAAAAgYAAAAA&#10;" stroked="f" strokeweight=".5pt">
                  <v:textbox>
                    <w:txbxContent>
                      <w:p>
                        <w:pPr>
                          <w:ind w:left="2835" w:right="2268"/>
                          <w:rPr>
                            <w:ins w:id="288" w:author="Master Repository Process" w:date="2023-12-29T13:25:00Z"/>
                            <w:sz w:val="16"/>
                          </w:rPr>
                        </w:pPr>
                        <w:ins w:id="289" w:author="Master Repository Process" w:date="2023-12-29T13:2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90" w:author="Master Repository Process" w:date="2023-12-29T13:25:00Z"/>
                            <w:sz w:val="16"/>
                          </w:rPr>
                        </w:pPr>
                        <w:ins w:id="291" w:author="Master Repository Process" w:date="2023-12-29T13:2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92" w:author="Master Repository Process" w:date="2023-12-29T13:25:00Z"/>
                            <w:sz w:val="16"/>
                          </w:rPr>
                        </w:pPr>
                        <w:ins w:id="293" w:author="Master Repository Process" w:date="2023-12-29T13:2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94" w:author="Master Repository Process" w:date="2023-12-29T13:25:00Z"/>
                            <w:rFonts w:ascii="Arial" w:hAnsi="Arial" w:cs="Arial"/>
                            <w:sz w:val="12"/>
                          </w:rPr>
                        </w:pPr>
                        <w:ins w:id="295" w:author="Master Repository Process" w:date="2023-12-29T13:25: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6" w:name="Coversheet"/>
    <w:bookmarkEnd w:id="2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6" w:name="Schedule"/>
    <w:bookmarkEnd w:id="2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AA9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140D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80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869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087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01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86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567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21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C3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D7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373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2A2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4E13B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FBA5B3A"/>
    <w:multiLevelType w:val="hybridMultilevel"/>
    <w:tmpl w:val="275E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6E27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8752344"/>
    <w:multiLevelType w:val="hybridMultilevel"/>
    <w:tmpl w:val="39D6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1879F9"/>
    <w:multiLevelType w:val="hybridMultilevel"/>
    <w:tmpl w:val="24E4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EF4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2808C0"/>
    <w:multiLevelType w:val="singleLevel"/>
    <w:tmpl w:val="1B96B224"/>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5415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6A493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21"/>
  </w:num>
  <w:num w:numId="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3431"/>
    <w:docVar w:name="WAFER_20140121161402" w:val="RemoveTocBookmarks,RemoveUnusedBookmarks,RemoveLanguageTags,UsedStyles,ResetPageSize,UpdateArrangement"/>
    <w:docVar w:name="WAFER_20140121161402_GUID" w:val="3dbd6d5c-a2ee-4248-a9f3-a970560468d4"/>
    <w:docVar w:name="WAFER_20140121163540" w:val="RemoveTocBookmarks,RunningHeaders"/>
    <w:docVar w:name="WAFER_20140121163540_GUID" w:val="9c1ab881-4a1a-4bbc-9392-9dc8d9d6c3c4"/>
    <w:docVar w:name="WAFER_20150401144449" w:val="ResetPageSize,UpdateArrangement,UpdateNTable"/>
    <w:docVar w:name="WAFER_20150401144449_GUID" w:val="09e7372a-c5a3-4ac9-8e34-7716365a0522"/>
    <w:docVar w:name="WAFER_20151102161936" w:val="UpdateStyles,UsedStyles"/>
    <w:docVar w:name="WAFER_20151102161936_GUID" w:val="35cfdade-b63c-4eec-b4dc-57dc5e78baeb"/>
    <w:docVar w:name="WAFER_20151210105701" w:val="RemoveTrackChanges"/>
    <w:docVar w:name="WAFER_20151210105701_GUID" w:val="5accd0b1-34cb-49d3-bdb6-44f388fed25b"/>
    <w:docVar w:name="WAFER_20170111144957" w:val="RemoveTocBookmarks,RemoveUnusedBookmarks,RemoveLanguageTags,UsedStyles,ResetPageSize"/>
    <w:docVar w:name="WAFER_20170111144957_GUID" w:val="1c35ef21-fd3e-4451-8937-583484674e52"/>
    <w:docVar w:name="WAFER_20170124105623" w:val="RemoveTocBookmarks,RemoveUnusedBookmarks,RemoveLanguageTags,UsedStyles,ResetPageSize"/>
    <w:docVar w:name="WAFER_20170124105623_GUID" w:val="b74887cf-f860-4753-a2da-1612250a7c70"/>
    <w:docVar w:name="WAFER_20220310100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0100938_GUID" w:val="13117ab2-ec69-4e3b-89de-5f2376bc2f87"/>
    <w:docVar w:name="WAFER_202206151457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45709_GUID" w:val="ca2306ea-2f95-4efd-8cf2-fea1d00606fb"/>
    <w:docVar w:name="WAFER_20220627095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5409_GUID" w:val="9afdfde4-373e-4b73-853f-b71c5bbf2ac5"/>
    <w:docVar w:name="WAFER_202306281458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45852_GUID" w:val="3ca5b630-ff7d-4a4d-8a7f-fb47aa031816"/>
    <w:docVar w:name="WAFER_202312271634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431_GUID" w:val="453f5105-3a6c-4e09-a252-d39d61c1b8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479B66-8522-42C5-B9F5-B31A8830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12822</Words>
  <Characters>77066</Characters>
  <Application>Microsoft Office Word</Application>
  <DocSecurity>0</DocSecurity>
  <Lines>1712</Lines>
  <Paragraphs>1109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00-g0-00 - 00-h0-01</dc:title>
  <dc:subject/>
  <dc:creator/>
  <cp:keywords/>
  <dc:description/>
  <cp:lastModifiedBy>Master Repository Process</cp:lastModifiedBy>
  <cp:revision>2</cp:revision>
  <cp:lastPrinted>2006-06-15T02:20:00Z</cp:lastPrinted>
  <dcterms:created xsi:type="dcterms:W3CDTF">2023-12-29T05:25:00Z</dcterms:created>
  <dcterms:modified xsi:type="dcterms:W3CDTF">2023-12-29T05:25:00Z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DocumentType">
    <vt:lpwstr>Reg</vt:lpwstr>
  </property>
  <property fmtid="{D5CDD505-2E9C-101B-9397-08002B2CF9AE}" pid="4" name="OwlsUID">
    <vt:i4>2341</vt:i4>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00-g0-00</vt:lpwstr>
  </property>
  <property fmtid="{D5CDD505-2E9C-101B-9397-08002B2CF9AE}" pid="10" name="FromAsAtDate">
    <vt:lpwstr>01 Jul 2022</vt:lpwstr>
  </property>
  <property fmtid="{D5CDD505-2E9C-101B-9397-08002B2CF9AE}" pid="11" name="ToSuffix">
    <vt:lpwstr>00-h0-01</vt:lpwstr>
  </property>
  <property fmtid="{D5CDD505-2E9C-101B-9397-08002B2CF9AE}" pid="12" name="ToAsAtDate">
    <vt:lpwstr>01 Jul 2023</vt:lpwstr>
  </property>
</Properties>
</file>