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Mar 2023</w:t>
      </w:r>
      <w:r>
        <w:fldChar w:fldCharType="end"/>
      </w:r>
      <w:r>
        <w:t xml:space="preserve">, </w:t>
      </w:r>
      <w:r>
        <w:fldChar w:fldCharType="begin"/>
      </w:r>
      <w:r>
        <w:instrText xml:space="preserve"> DocProperty FromSuffix </w:instrText>
      </w:r>
      <w:r>
        <w:fldChar w:fldCharType="separate"/>
      </w:r>
      <w:r>
        <w:t>04-s0-01</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04-t0-02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880" w:after="1000"/>
      </w:pPr>
      <w:r>
        <w:t>Planning and Development Act 2005</w:t>
      </w:r>
    </w:p>
    <w:p>
      <w:pPr>
        <w:pStyle w:val="LongTitle"/>
        <w:suppressLineNumbers/>
        <w:rPr>
          <w:snapToGrid w:val="0"/>
        </w:rPr>
      </w:pPr>
      <w:r>
        <w:rPr>
          <w:snapToGrid w:val="0"/>
        </w:rPr>
        <w:t>A</w:t>
      </w:r>
      <w:bookmarkStart w:id="1" w:name="_GoBack"/>
      <w:bookmarkEnd w:id="1"/>
      <w:r>
        <w:rPr>
          <w:snapToGrid w:val="0"/>
        </w:rPr>
        <w:t>n Act to provide for a system of land use planning and development in the State and for related purposes.</w:t>
      </w:r>
    </w:p>
    <w:p>
      <w:pPr>
        <w:pStyle w:val="Heading2"/>
      </w:pPr>
      <w:bookmarkStart w:id="2" w:name="_Toc155164765"/>
      <w:bookmarkStart w:id="3" w:name="_Toc135040846"/>
      <w:bookmarkStart w:id="4" w:name="_Toc135041315"/>
      <w:bookmarkStart w:id="5" w:name="_Toc13513247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p>
    <w:p>
      <w:pPr>
        <w:pStyle w:val="Heading5"/>
        <w:spacing w:before="240"/>
        <w:rPr>
          <w:snapToGrid w:val="0"/>
        </w:rPr>
      </w:pPr>
      <w:bookmarkStart w:id="6" w:name="_Toc155164766"/>
      <w:bookmarkStart w:id="7" w:name="_Toc135132471"/>
      <w:r>
        <w:rPr>
          <w:rStyle w:val="CharSectno"/>
        </w:rPr>
        <w:t>1</w:t>
      </w:r>
      <w:r>
        <w:rPr>
          <w:snapToGrid w:val="0"/>
        </w:rPr>
        <w:t>.</w:t>
      </w:r>
      <w:r>
        <w:rPr>
          <w:snapToGrid w:val="0"/>
        </w:rPr>
        <w:tab/>
        <w:t>Short title</w:t>
      </w:r>
      <w:bookmarkEnd w:id="6"/>
      <w:bookmarkEnd w:id="7"/>
    </w:p>
    <w:p>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rPr>
        <w:t>.</w:t>
      </w:r>
    </w:p>
    <w:p>
      <w:pPr>
        <w:pStyle w:val="Heading5"/>
        <w:spacing w:before="240"/>
      </w:pPr>
      <w:bookmarkStart w:id="8" w:name="_Toc155164767"/>
      <w:bookmarkStart w:id="9" w:name="_Toc135132472"/>
      <w:r>
        <w:rPr>
          <w:rStyle w:val="CharSectno"/>
        </w:rPr>
        <w:t>2</w:t>
      </w:r>
      <w:r>
        <w:t>.</w:t>
      </w:r>
      <w:r>
        <w:tab/>
        <w:t>Commencement</w:t>
      </w:r>
      <w:bookmarkEnd w:id="8"/>
      <w:bookmarkEnd w:id="9"/>
    </w:p>
    <w:p>
      <w:pPr>
        <w:pStyle w:val="Subsection"/>
        <w:spacing w:before="180"/>
      </w:pPr>
      <w:r>
        <w:tab/>
        <w:t>(1)</w:t>
      </w:r>
      <w:r>
        <w:tab/>
        <w:t>This Act comes into operation on a day fixed by proclamation.</w:t>
      </w:r>
    </w:p>
    <w:p>
      <w:pPr>
        <w:pStyle w:val="Subsection"/>
        <w:spacing w:before="180"/>
      </w:pPr>
      <w:r>
        <w:tab/>
        <w:t>(2)</w:t>
      </w:r>
      <w:r>
        <w:tab/>
        <w:t>Different days may be fixed under subsection (1) for different provisions.</w:t>
      </w:r>
    </w:p>
    <w:p>
      <w:pPr>
        <w:pStyle w:val="Heading5"/>
        <w:spacing w:before="240"/>
      </w:pPr>
      <w:bookmarkStart w:id="10" w:name="_Toc155164768"/>
      <w:bookmarkStart w:id="11" w:name="_Toc135132473"/>
      <w:r>
        <w:rPr>
          <w:rStyle w:val="CharSectno"/>
        </w:rPr>
        <w:t>3</w:t>
      </w:r>
      <w:r>
        <w:t>.</w:t>
      </w:r>
      <w:r>
        <w:tab/>
        <w:t>Purposes and interpretation of this Act</w:t>
      </w:r>
      <w:bookmarkEnd w:id="10"/>
      <w:bookmarkEnd w:id="11"/>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2" w:name="_Toc155164769"/>
      <w:bookmarkStart w:id="13" w:name="_Toc135132474"/>
      <w:r>
        <w:rPr>
          <w:rStyle w:val="CharSectno"/>
        </w:rPr>
        <w:t>4</w:t>
      </w:r>
      <w:r>
        <w:t>.</w:t>
      </w:r>
      <w:r>
        <w:tab/>
        <w:t>Terms used</w:t>
      </w:r>
      <w:bookmarkEnd w:id="12"/>
      <w:bookmarkEnd w:id="13"/>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protection order made under the </w:t>
      </w:r>
      <w:r>
        <w:rPr>
          <w:i/>
        </w:rPr>
        <w:t>Heritage Act 2018</w:t>
      </w:r>
      <w:r>
        <w:t xml:space="preserve"> Part 4 Division 1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by the </w:t>
      </w:r>
      <w:r>
        <w:rPr>
          <w:i/>
        </w:rPr>
        <w:t>Heritage Act 2018</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keepNex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1</w:t>
      </w:r>
      <w:r>
        <w:t>; or</w:t>
      </w:r>
    </w:p>
    <w:p>
      <w:pPr>
        <w:pStyle w:val="Defsubpara"/>
        <w:keepLines w:val="0"/>
      </w:pPr>
      <w:r>
        <w:tab/>
        <w:t>(ii)</w:t>
      </w:r>
      <w:r>
        <w:tab/>
        <w:t xml:space="preserve">a certificate of title registered under the </w:t>
      </w:r>
      <w:r>
        <w:rPr>
          <w:i/>
        </w:rPr>
        <w:t>Transfer of Land Act 1893</w:t>
      </w:r>
      <w:r>
        <w:t>; or</w:t>
      </w:r>
    </w:p>
    <w:p>
      <w:pPr>
        <w:pStyle w:val="Defsubpara"/>
        <w:keepLines w:val="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 xml:space="preserve">but does not include a lot as defined in the </w:t>
      </w:r>
      <w:r>
        <w:rPr>
          <w:i/>
        </w:rPr>
        <w:t>Strata Titles Act 1985</w:t>
      </w:r>
      <w:r>
        <w:t xml:space="preserve"> section 3(1);</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this Act, or the Swan Valley Planning Scheme that has effect under the </w:t>
      </w:r>
      <w:r>
        <w:rPr>
          <w:i/>
        </w:rPr>
        <w:t>Swan Valley Planning Act 2020</w:t>
      </w:r>
      <w:r>
        <w:t xml:space="preserve">, and includes — </w:t>
      </w:r>
    </w:p>
    <w:p>
      <w:pPr>
        <w:pStyle w:val="Indenta"/>
      </w:pPr>
      <w:r>
        <w:tab/>
        <w:t>(a)</w:t>
      </w:r>
      <w:r>
        <w:tab/>
        <w:t xml:space="preserve">in the case of a local planning scheme, region planning scheme or improvement scheme that has effect under this Act — the provisions of the scheme being — </w:t>
      </w:r>
    </w:p>
    <w:p>
      <w:pPr>
        <w:pStyle w:val="Indenti"/>
      </w:pPr>
      <w:r>
        <w:tab/>
        <w:t>(i)</w:t>
      </w:r>
      <w:r>
        <w:tab/>
        <w:t>the provisions set out in the scheme; and</w:t>
      </w:r>
    </w:p>
    <w:p>
      <w:pPr>
        <w:pStyle w:val="Indenti"/>
      </w:pPr>
      <w:r>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(aa)</w:t>
      </w:r>
      <w:r>
        <w:tab/>
        <w:t xml:space="preserve">in the case of the Swan Valley Planning Scheme — the provisions of the scheme being — </w:t>
      </w:r>
    </w:p>
    <w:p>
      <w:pPr>
        <w:pStyle w:val="Defsubpara"/>
      </w:pPr>
      <w:r>
        <w:tab/>
        <w:t>(i)</w:t>
      </w:r>
      <w:r>
        <w:tab/>
        <w:t>the provisions set out in the scheme; and</w:t>
      </w:r>
    </w:p>
    <w:p>
      <w:pPr>
        <w:pStyle w:val="Defsubpara"/>
      </w:pPr>
      <w:r>
        <w:tab/>
        <w:t>(ii)</w:t>
      </w:r>
      <w:r>
        <w:tab/>
        <w:t xml:space="preserve">any provisions of a kind referred to in the </w:t>
      </w:r>
      <w:r>
        <w:rPr>
          <w:i/>
        </w:rPr>
        <w:t>Swan Valley Planning Act 2020</w:t>
      </w:r>
      <w:r>
        <w:t xml:space="preserve"> section 11 that, with any modifications set out in the scheme, have effect under that section as part of the scheme;</w:t>
      </w:r>
    </w:p>
    <w:p>
      <w:pPr>
        <w:pStyle w:val="Defpar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keepNext/>
      </w:pPr>
      <w:r>
        <w:tab/>
      </w:r>
      <w:r>
        <w:rPr>
          <w:rStyle w:val="CharDefText"/>
        </w:rPr>
        <w:t>public work</w:t>
      </w:r>
      <w:r>
        <w:t xml:space="preserve"> includes the following — </w:t>
      </w:r>
    </w:p>
    <w:p>
      <w:pPr>
        <w:pStyle w:val="Defpara"/>
      </w:pPr>
      <w:r>
        <w:tab/>
        <w:t>(a)</w:t>
      </w:r>
      <w:r>
        <w:tab/>
        <w:t xml:space="preserve">any public work as defined in the </w:t>
      </w:r>
      <w:r>
        <w:rPr>
          <w:i/>
        </w:rPr>
        <w:t>Public Works Act 1902</w:t>
      </w:r>
      <w:r>
        <w:t>;</w:t>
      </w:r>
    </w:p>
    <w:p>
      <w:pPr>
        <w:pStyle w:val="Defpara"/>
      </w:pPr>
      <w:r>
        <w:tab/>
        <w:t>(b)</w:t>
      </w:r>
      <w:r>
        <w:tab/>
        <w:t>development in any area to which a region planning scheme applies if the development is of a class or kind designated as public work under the scheme;</w:t>
      </w:r>
    </w:p>
    <w:p>
      <w:pPr>
        <w:pStyle w:val="Defpara"/>
      </w:pPr>
      <w:r>
        <w:tab/>
        <w:t>(c)</w:t>
      </w:r>
      <w:r>
        <w:tab/>
        <w:t>development in any area to which a local planning scheme applies if the development is of a class or kind designated as public work under the scheme;</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keepLines/>
      </w:pPr>
      <w:r>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or the Swan Valley Planning Scheme, the Commission;</w:t>
      </w:r>
    </w:p>
    <w:p>
      <w:pPr>
        <w:pStyle w:val="Defstart"/>
      </w:pPr>
      <w:r>
        <w:tab/>
      </w:r>
      <w:r>
        <w:rPr>
          <w:rStyle w:val="CharDefText"/>
        </w:rPr>
        <w:t>road</w:t>
      </w:r>
      <w:r>
        <w:t xml:space="preserve"> means a public thoroughfare for vehicles (as defined in the </w:t>
      </w:r>
      <w:r>
        <w:rPr>
          <w:i/>
          <w:iCs/>
        </w:rPr>
        <w:t>Road Traffic (Administration) Act 2008</w:t>
      </w:r>
      <w:r>
        <w:t xml:space="preserve"> section 4)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r>
        <w:rPr>
          <w:rStyle w:val="CharDefText"/>
        </w:rPr>
        <w:t>Swan Valley</w:t>
      </w:r>
      <w:r>
        <w:t xml:space="preserve"> has the meaning given in the </w:t>
      </w:r>
      <w:r>
        <w:rPr>
          <w:i/>
        </w:rPr>
        <w:t>Swan Valley Planning Act 2020</w:t>
      </w:r>
      <w:r>
        <w:t xml:space="preserve"> section 3;</w:t>
      </w:r>
    </w:p>
    <w:p>
      <w:pPr>
        <w:pStyle w:val="Defstart"/>
      </w:pPr>
      <w:r>
        <w:tab/>
      </w:r>
      <w:r>
        <w:rPr>
          <w:rStyle w:val="CharDefText"/>
        </w:rPr>
        <w:t>Swan Valley Planning Scheme</w:t>
      </w:r>
      <w:r>
        <w:t xml:space="preserve"> has the meaning given in the </w:t>
      </w:r>
      <w:r>
        <w:rPr>
          <w:i/>
        </w:rPr>
        <w:t>Swan Valley Planning Act 2020</w:t>
      </w:r>
      <w:r>
        <w:t xml:space="preserve"> section 3;</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keepNext/>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No. 60 of 2006 s. 147(2); No. 77 of 2006 Sch. 1 cl. 127(1); No. 21 of 2008 s. 690; No. 28 of 2010 s. 4, 41 and 52; No. 8 of 2012 s. 161; No. 22 of 2018 s. 186(2); No. 30 of 2018 s. 161; No. 26 of 2020 s. 11; No. 45 of 2020 s. 57; No. 9 of 2022 s. 424.]</w:t>
      </w:r>
    </w:p>
    <w:p>
      <w:pPr>
        <w:pStyle w:val="Heading5"/>
        <w:spacing w:before="180"/>
      </w:pPr>
      <w:bookmarkStart w:id="14" w:name="_Toc155164770"/>
      <w:bookmarkStart w:id="15" w:name="_Toc135132475"/>
      <w:r>
        <w:rPr>
          <w:rStyle w:val="CharSectno"/>
        </w:rPr>
        <w:t>5</w:t>
      </w:r>
      <w:r>
        <w:t>.</w:t>
      </w:r>
      <w:r>
        <w:tab/>
        <w:t>Crown bound</w:t>
      </w:r>
      <w:bookmarkEnd w:id="14"/>
      <w:bookmarkEnd w:id="15"/>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No. 28 of 2010 s. 5.] </w:t>
      </w:r>
    </w:p>
    <w:p>
      <w:pPr>
        <w:pStyle w:val="Heading5"/>
        <w:spacing w:before="180"/>
      </w:pPr>
      <w:bookmarkStart w:id="16" w:name="_Toc155164771"/>
      <w:bookmarkStart w:id="17" w:name="_Toc135132476"/>
      <w:r>
        <w:rPr>
          <w:rStyle w:val="CharSectno"/>
        </w:rPr>
        <w:t>6</w:t>
      </w:r>
      <w:r>
        <w:t>.</w:t>
      </w:r>
      <w:r>
        <w:tab/>
        <w:t>Act does not interfere with public works</w:t>
      </w:r>
      <w:bookmarkEnd w:id="16"/>
      <w:bookmarkEnd w:id="17"/>
    </w:p>
    <w:p>
      <w:pPr>
        <w:pStyle w:val="Subsection"/>
        <w:keepNext/>
        <w:keepLines/>
      </w:pPr>
      <w:r>
        <w:tab/>
        <w:t>(1)</w:t>
      </w:r>
      <w:r>
        <w:tab/>
        <w:t xml:space="preserve">Subject to subsections (2) to (4), nothing in this Act interferes with the right of the Crown, or the Governor, or a public authority,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keepNext/>
      </w:pPr>
      <w:r>
        <w:tab/>
        <w:t>(2)</w:t>
      </w:r>
      <w:r>
        <w:tab/>
        <w:t xml:space="preserve">Rights referred to in subsection (1) are to be exercised having due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 and</w:t>
      </w:r>
    </w:p>
    <w:p>
      <w:pPr>
        <w:pStyle w:val="Indenta"/>
      </w:pPr>
      <w:r>
        <w:tab/>
        <w:t>(c)</w:t>
      </w:r>
      <w:r>
        <w:tab/>
        <w:t>any advice provided by the responsible authority in the course of the consultation required under subsection (3) in respect of the exercise of the right.</w:t>
      </w:r>
    </w:p>
    <w:p>
      <w:pPr>
        <w:pStyle w:val="Subsection"/>
      </w:pPr>
      <w:r>
        <w:tab/>
        <w:t>(3)</w:t>
      </w:r>
      <w:r>
        <w:tab/>
        <w:t>At the time when a proposal for any public work, or for the taking of land for a public work, is being formulated, the responsible authority is to be consulted as to whether the undertaking, construction or provision of, or the taking of land for, the public work will be consistent with the matters referred to in subsection (2)(a) and (b).</w:t>
      </w:r>
    </w:p>
    <w:p>
      <w:pPr>
        <w:pStyle w:val="Subsection"/>
      </w:pPr>
      <w:r>
        <w:tab/>
        <w:t>(4)</w:t>
      </w:r>
      <w:r>
        <w:tab/>
        <w:t xml:space="preserve">This section does not affect — </w:t>
      </w:r>
    </w:p>
    <w:p>
      <w:pPr>
        <w:pStyle w:val="Indenta"/>
      </w:pPr>
      <w:r>
        <w:tab/>
        <w:t>(a)</w:t>
      </w:r>
      <w:r>
        <w:tab/>
        <w:t>the application of section 5(2) and (3); or</w:t>
      </w:r>
    </w:p>
    <w:p>
      <w:pPr>
        <w:pStyle w:val="Indenta"/>
      </w:pPr>
      <w:r>
        <w:tab/>
        <w:t>(b)</w:t>
      </w:r>
      <w:r>
        <w:tab/>
        <w:t>the application of a region planning scheme or an improvement scheme in relation to anything done, or proposed to be done, by a public authority that is not an agency of the Crown.</w:t>
      </w:r>
    </w:p>
    <w:p>
      <w:pPr>
        <w:pStyle w:val="Footnotesection"/>
      </w:pPr>
      <w:r>
        <w:tab/>
        <w:t xml:space="preserve">[Section 6 amended: No. 28 of 2010 s. 6; No. 26 of 2020 s. 12.] </w:t>
      </w:r>
    </w:p>
    <w:p>
      <w:pPr>
        <w:pStyle w:val="Heading2"/>
      </w:pPr>
      <w:bookmarkStart w:id="18" w:name="_Toc155164772"/>
      <w:bookmarkStart w:id="19" w:name="_Toc135040853"/>
      <w:bookmarkStart w:id="20" w:name="_Toc135041322"/>
      <w:bookmarkStart w:id="21" w:name="_Toc135132477"/>
      <w:r>
        <w:rPr>
          <w:rStyle w:val="CharPartNo"/>
        </w:rPr>
        <w:t>Part 2</w:t>
      </w:r>
      <w:r>
        <w:t> — </w:t>
      </w:r>
      <w:r>
        <w:rPr>
          <w:rStyle w:val="CharPartText"/>
        </w:rPr>
        <w:t>The Western Australian Planning Commission</w:t>
      </w:r>
      <w:bookmarkEnd w:id="18"/>
      <w:bookmarkEnd w:id="19"/>
      <w:bookmarkEnd w:id="20"/>
      <w:bookmarkEnd w:id="21"/>
    </w:p>
    <w:p>
      <w:pPr>
        <w:pStyle w:val="Heading3"/>
      </w:pPr>
      <w:bookmarkStart w:id="22" w:name="_Toc155164773"/>
      <w:bookmarkStart w:id="23" w:name="_Toc135040854"/>
      <w:bookmarkStart w:id="24" w:name="_Toc135041323"/>
      <w:bookmarkStart w:id="25" w:name="_Toc135132478"/>
      <w:r>
        <w:rPr>
          <w:rStyle w:val="CharDivNo"/>
        </w:rPr>
        <w:t>Division 1</w:t>
      </w:r>
      <w:r>
        <w:t> — </w:t>
      </w:r>
      <w:r>
        <w:rPr>
          <w:rStyle w:val="CharDivText"/>
        </w:rPr>
        <w:t>Establishment and management</w:t>
      </w:r>
      <w:bookmarkEnd w:id="22"/>
      <w:bookmarkEnd w:id="23"/>
      <w:bookmarkEnd w:id="24"/>
      <w:bookmarkEnd w:id="25"/>
    </w:p>
    <w:p>
      <w:pPr>
        <w:pStyle w:val="Heading5"/>
      </w:pPr>
      <w:bookmarkStart w:id="26" w:name="_Toc155164774"/>
      <w:bookmarkStart w:id="27" w:name="_Toc135132479"/>
      <w:r>
        <w:rPr>
          <w:rStyle w:val="CharSectno"/>
        </w:rPr>
        <w:t>7</w:t>
      </w:r>
      <w:r>
        <w:t>.</w:t>
      </w:r>
      <w:r>
        <w:tab/>
        <w:t>Commission established</w:t>
      </w:r>
      <w:bookmarkEnd w:id="26"/>
      <w:bookmarkEnd w:id="27"/>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8" w:name="_Toc155164775"/>
      <w:bookmarkStart w:id="29" w:name="_Toc135132480"/>
      <w:r>
        <w:rPr>
          <w:rStyle w:val="CharSectno"/>
        </w:rPr>
        <w:t>8</w:t>
      </w:r>
      <w:r>
        <w:t>.</w:t>
      </w:r>
      <w:r>
        <w:tab/>
        <w:t>Status</w:t>
      </w:r>
      <w:bookmarkEnd w:id="28"/>
      <w:bookmarkEnd w:id="29"/>
    </w:p>
    <w:p>
      <w:pPr>
        <w:pStyle w:val="Subsection"/>
      </w:pPr>
      <w:r>
        <w:tab/>
      </w:r>
      <w:r>
        <w:tab/>
        <w:t>The Commission is an agent of the State and has the status, immunities and privileges of the State.</w:t>
      </w:r>
    </w:p>
    <w:p>
      <w:pPr>
        <w:pStyle w:val="Heading5"/>
      </w:pPr>
      <w:bookmarkStart w:id="30" w:name="_Toc155164776"/>
      <w:bookmarkStart w:id="31" w:name="_Toc135132481"/>
      <w:r>
        <w:rPr>
          <w:rStyle w:val="CharSectno"/>
        </w:rPr>
        <w:t>9</w:t>
      </w:r>
      <w:r>
        <w:t>.</w:t>
      </w:r>
      <w:r>
        <w:tab/>
        <w:t>Board of management</w:t>
      </w:r>
      <w:bookmarkEnd w:id="30"/>
      <w:bookmarkEnd w:id="31"/>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32" w:name="_Toc155164777"/>
      <w:bookmarkStart w:id="33" w:name="_Toc135132482"/>
      <w:r>
        <w:rPr>
          <w:rStyle w:val="CharSectno"/>
        </w:rPr>
        <w:t>10</w:t>
      </w:r>
      <w:r>
        <w:t>.</w:t>
      </w:r>
      <w:r>
        <w:tab/>
        <w:t>Membership of board</w:t>
      </w:r>
      <w:bookmarkEnd w:id="32"/>
      <w:bookmarkEnd w:id="33"/>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one is to be a person nominated by the Minister from a list of the names of 4 persons representing the interests of local governments within the metropolitan region submitted to the Minister by WALGA; and</w:t>
      </w:r>
    </w:p>
    <w:p>
      <w:pPr>
        <w:pStyle w:val="Indenti"/>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tab/>
        <w:t>(ii)</w:t>
      </w:r>
      <w:r>
        <w:tab/>
        <w:t>the chief executive officer of the department principally assisting in the administration of the</w:t>
      </w:r>
      <w:r>
        <w:rPr>
          <w:i/>
        </w:rPr>
        <w:t xml:space="preserve"> </w:t>
      </w:r>
      <w:r>
        <w:rPr>
          <w:i/>
          <w:iCs/>
        </w:rPr>
        <w:t>Water Agencies (Powers) Act 1984</w:t>
      </w:r>
      <w:r>
        <w:t>; and</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Footnotesection"/>
      </w:pPr>
      <w:r>
        <w:tab/>
        <w:t>[Section 10 amended: No. 25 of 2012 s. 222(2).]</w:t>
      </w:r>
    </w:p>
    <w:p>
      <w:pPr>
        <w:pStyle w:val="Heading5"/>
        <w:keepLines w:val="0"/>
      </w:pPr>
      <w:bookmarkStart w:id="34" w:name="_Toc155164778"/>
      <w:bookmarkStart w:id="35" w:name="_Toc135132483"/>
      <w:r>
        <w:rPr>
          <w:rStyle w:val="CharSectno"/>
        </w:rPr>
        <w:t>11</w:t>
      </w:r>
      <w:r>
        <w:t>.</w:t>
      </w:r>
      <w:r>
        <w:tab/>
        <w:t>Associate members of board, for regions</w:t>
      </w:r>
      <w:bookmarkEnd w:id="34"/>
      <w:bookmarkEnd w:id="35"/>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36" w:name="_Toc155164779"/>
      <w:bookmarkStart w:id="37" w:name="_Toc135132484"/>
      <w:r>
        <w:rPr>
          <w:rStyle w:val="CharSectno"/>
        </w:rPr>
        <w:t>12</w:t>
      </w:r>
      <w:r>
        <w:t>.</w:t>
      </w:r>
      <w:r>
        <w:tab/>
        <w:t>Board’s constitution and proceedings (Sch. 1)</w:t>
      </w:r>
      <w:bookmarkEnd w:id="36"/>
      <w:bookmarkEnd w:id="37"/>
    </w:p>
    <w:p>
      <w:pPr>
        <w:pStyle w:val="Subsection"/>
        <w:spacing w:before="120"/>
      </w:pPr>
      <w:r>
        <w:tab/>
      </w:r>
      <w:r>
        <w:tab/>
        <w:t>Schedule 1 has effect.</w:t>
      </w:r>
    </w:p>
    <w:p>
      <w:pPr>
        <w:pStyle w:val="Heading5"/>
      </w:pPr>
      <w:bookmarkStart w:id="38" w:name="_Toc155164780"/>
      <w:bookmarkStart w:id="39" w:name="_Toc135132485"/>
      <w:r>
        <w:rPr>
          <w:rStyle w:val="CharSectno"/>
        </w:rPr>
        <w:t>13</w:t>
      </w:r>
      <w:r>
        <w:t>.</w:t>
      </w:r>
      <w:r>
        <w:tab/>
        <w:t>Remuneration and allowances</w:t>
      </w:r>
      <w:bookmarkEnd w:id="38"/>
      <w:bookmarkEnd w:id="39"/>
    </w:p>
    <w:p>
      <w:pPr>
        <w:pStyle w:val="Subsection"/>
        <w:spacing w:before="120"/>
      </w:pPr>
      <w:r>
        <w:tab/>
      </w:r>
      <w:r>
        <w:tab/>
        <w:t xml:space="preserve">A member, a deputy member, an associate member or a member of a committee established under Schedule 2 or the </w:t>
      </w:r>
      <w:r>
        <w:rPr>
          <w:i/>
        </w:rPr>
        <w:t>Swan Valley Planning Act 2020</w:t>
      </w:r>
      <w:r>
        <w:t xml:space="preserve"> section 33 is to be paid such remuneration and allowances as are determined by the Minister on the recommendation of the Public Sector Commissioner.</w:t>
      </w:r>
    </w:p>
    <w:p>
      <w:pPr>
        <w:pStyle w:val="Footnotesection"/>
      </w:pPr>
      <w:r>
        <w:tab/>
        <w:t>[Section 13 amended: No. 39 of 2010 s. 89; No. 45 of 2020 s. 58.]</w:t>
      </w:r>
    </w:p>
    <w:p>
      <w:pPr>
        <w:pStyle w:val="Heading3"/>
      </w:pPr>
      <w:bookmarkStart w:id="40" w:name="_Toc155164781"/>
      <w:bookmarkStart w:id="41" w:name="_Toc135040862"/>
      <w:bookmarkStart w:id="42" w:name="_Toc135041331"/>
      <w:bookmarkStart w:id="43" w:name="_Toc135132486"/>
      <w:r>
        <w:rPr>
          <w:rStyle w:val="CharDivNo"/>
        </w:rPr>
        <w:t>Division 2</w:t>
      </w:r>
      <w:r>
        <w:t> — </w:t>
      </w:r>
      <w:r>
        <w:rPr>
          <w:rStyle w:val="CharDivText"/>
        </w:rPr>
        <w:t>Functions and powers</w:t>
      </w:r>
      <w:bookmarkEnd w:id="40"/>
      <w:bookmarkEnd w:id="41"/>
      <w:bookmarkEnd w:id="42"/>
      <w:bookmarkEnd w:id="43"/>
    </w:p>
    <w:p>
      <w:pPr>
        <w:pStyle w:val="Heading5"/>
        <w:spacing w:before="180"/>
      </w:pPr>
      <w:bookmarkStart w:id="44" w:name="_Toc155164782"/>
      <w:bookmarkStart w:id="45" w:name="_Toc135132487"/>
      <w:r>
        <w:rPr>
          <w:rStyle w:val="CharSectno"/>
        </w:rPr>
        <w:t>14</w:t>
      </w:r>
      <w:r>
        <w:t>.</w:t>
      </w:r>
      <w:r>
        <w:tab/>
        <w:t>Functions</w:t>
      </w:r>
      <w:bookmarkEnd w:id="44"/>
      <w:bookmarkEnd w:id="45"/>
    </w:p>
    <w:p>
      <w:pPr>
        <w:pStyle w:val="Subsection"/>
        <w:keepNext/>
        <w:spacing w:before="120"/>
      </w:pPr>
      <w:r>
        <w:tab/>
      </w:r>
      <w:r>
        <w:tab/>
        <w:t xml:space="preserve">The functions of the Commission are — </w:t>
      </w:r>
    </w:p>
    <w:p>
      <w:pPr>
        <w:pStyle w:val="Indenta"/>
        <w:keepNext/>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an improvement scheme or the Swan Valley Planning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 xml:space="preserve">to establish, and exercise powers in relation to, committees under Schedule 2 and the </w:t>
      </w:r>
      <w:r>
        <w:rPr>
          <w:i/>
        </w:rPr>
        <w:t>Swan Valley Planning Act 2020</w:t>
      </w:r>
      <w:r>
        <w:t>; and</w:t>
      </w:r>
    </w:p>
    <w:p>
      <w:pPr>
        <w:pStyle w:val="Indenta"/>
      </w:pPr>
      <w:r>
        <w:tab/>
        <w:t>(l)</w:t>
      </w:r>
      <w:r>
        <w:tab/>
        <w:t>to do all things that are necessary for the purpose of carrying out this Act, region planning schemes, improvement schemes and the Swan Valley Planning Scheme; and</w:t>
      </w:r>
    </w:p>
    <w:p>
      <w:pPr>
        <w:pStyle w:val="Indenta"/>
        <w:keepNext/>
      </w:pPr>
      <w:r>
        <w:tab/>
        <w:t>(m)</w:t>
      </w:r>
      <w:r>
        <w:tab/>
        <w:t xml:space="preserve">to do anything else that it is required or authorised to do by this Act, the </w:t>
      </w:r>
      <w:r>
        <w:rPr>
          <w:i/>
        </w:rPr>
        <w:t>Swan Valley Planning Act 2020</w:t>
      </w:r>
      <w:r>
        <w:t xml:space="preserve"> or any other written law.</w:t>
      </w:r>
    </w:p>
    <w:p>
      <w:pPr>
        <w:pStyle w:val="Footnotesection"/>
      </w:pPr>
      <w:r>
        <w:tab/>
        <w:t xml:space="preserve">[Section 14 amended: No. 28 of 2010 s. 7; No. 45 of 2020 s. 59.] </w:t>
      </w:r>
    </w:p>
    <w:p>
      <w:pPr>
        <w:pStyle w:val="Heading5"/>
      </w:pPr>
      <w:bookmarkStart w:id="46" w:name="_Toc155164783"/>
      <w:bookmarkStart w:id="47" w:name="_Toc135132488"/>
      <w:r>
        <w:rPr>
          <w:rStyle w:val="CharSectno"/>
        </w:rPr>
        <w:t>15</w:t>
      </w:r>
      <w:r>
        <w:t>.</w:t>
      </w:r>
      <w:r>
        <w:tab/>
        <w:t>Powers</w:t>
      </w:r>
      <w:bookmarkEnd w:id="46"/>
      <w:bookmarkEnd w:id="47"/>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48" w:name="_Toc155164784"/>
      <w:bookmarkStart w:id="49" w:name="_Toc135132489"/>
      <w:r>
        <w:rPr>
          <w:rStyle w:val="CharSectno"/>
        </w:rPr>
        <w:t>16</w:t>
      </w:r>
      <w:r>
        <w:t>.</w:t>
      </w:r>
      <w:r>
        <w:tab/>
        <w:t>Delegation by Commission</w:t>
      </w:r>
      <w:bookmarkEnd w:id="48"/>
      <w:bookmarkEnd w:id="49"/>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r>
        <w:tab/>
        <w:t>(10)</w:t>
      </w:r>
      <w:r>
        <w:tab/>
        <w:t>This section does not affect the operation of section 171B.</w:t>
      </w:r>
    </w:p>
    <w:p>
      <w:pPr>
        <w:pStyle w:val="Footnotesection"/>
      </w:pPr>
      <w:r>
        <w:tab/>
        <w:t xml:space="preserve">[Section 16 amended: No. 28 of 2010 s. 42; </w:t>
      </w:r>
      <w:r>
        <w:rPr>
          <w:spacing w:val="-4"/>
        </w:rPr>
        <w:t>No. 45 of 2011 s. 1</w:t>
      </w:r>
      <w:r>
        <w:t>41(2) and (3).]</w:t>
      </w:r>
    </w:p>
    <w:p>
      <w:pPr>
        <w:pStyle w:val="Heading5"/>
      </w:pPr>
      <w:bookmarkStart w:id="50" w:name="_Toc155164785"/>
      <w:bookmarkStart w:id="51" w:name="_Toc135132490"/>
      <w:r>
        <w:rPr>
          <w:rStyle w:val="CharSectno"/>
        </w:rPr>
        <w:t>17</w:t>
      </w:r>
      <w:r>
        <w:t>.</w:t>
      </w:r>
      <w:r>
        <w:tab/>
        <w:t>Minister may give Commission directions</w:t>
      </w:r>
      <w:bookmarkEnd w:id="50"/>
      <w:bookmarkEnd w:id="51"/>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52(2),63(1) or 67(1).</w:t>
      </w:r>
    </w:p>
    <w:p>
      <w:pPr>
        <w:pStyle w:val="Footnotesection"/>
      </w:pPr>
      <w:r>
        <w:tab/>
        <w:t>[Section 17 amended: No. 77 of 2006 Sch. 1 cl. 127(2).]</w:t>
      </w:r>
    </w:p>
    <w:p>
      <w:pPr>
        <w:pStyle w:val="Heading5"/>
      </w:pPr>
      <w:bookmarkStart w:id="52" w:name="_Toc155164786"/>
      <w:bookmarkStart w:id="53" w:name="_Toc135132491"/>
      <w:r>
        <w:rPr>
          <w:rStyle w:val="CharSectno"/>
        </w:rPr>
        <w:t>18</w:t>
      </w:r>
      <w:r>
        <w:t>.</w:t>
      </w:r>
      <w:r>
        <w:tab/>
        <w:t>Minister to have access to information</w:t>
      </w:r>
      <w:bookmarkEnd w:id="52"/>
      <w:bookmarkEnd w:id="53"/>
    </w:p>
    <w:p>
      <w:pPr>
        <w:pStyle w:val="Subsection"/>
        <w:keepNext/>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54" w:name="_Toc155164787"/>
      <w:bookmarkStart w:id="55" w:name="_Toc135132492"/>
      <w:r>
        <w:rPr>
          <w:rStyle w:val="CharSectno"/>
        </w:rPr>
        <w:t>19</w:t>
      </w:r>
      <w:r>
        <w:t>.</w:t>
      </w:r>
      <w:r>
        <w:tab/>
        <w:t>Committees (Sch. 2)</w:t>
      </w:r>
      <w:bookmarkEnd w:id="54"/>
      <w:bookmarkEnd w:id="55"/>
    </w:p>
    <w:p>
      <w:pPr>
        <w:pStyle w:val="Subsection"/>
        <w:spacing w:before="140"/>
      </w:pPr>
      <w:r>
        <w:tab/>
      </w:r>
      <w:r>
        <w:tab/>
        <w:t xml:space="preserve">Schedule 2 has effect with respect to committees established by the Commission under that Schedule or the </w:t>
      </w:r>
      <w:r>
        <w:rPr>
          <w:i/>
        </w:rPr>
        <w:t>Swan Valley Planning Act 2020</w:t>
      </w:r>
      <w:r>
        <w:t xml:space="preserve"> section 33.</w:t>
      </w:r>
    </w:p>
    <w:p>
      <w:pPr>
        <w:pStyle w:val="Footnotesection"/>
      </w:pPr>
      <w:r>
        <w:tab/>
        <w:t>[Section 19 amended: No. 45 of 2020 s. 60.]</w:t>
      </w:r>
    </w:p>
    <w:p>
      <w:pPr>
        <w:pStyle w:val="Heading5"/>
      </w:pPr>
      <w:bookmarkStart w:id="56" w:name="_Toc155164788"/>
      <w:bookmarkStart w:id="57" w:name="_Toc135132493"/>
      <w:r>
        <w:rPr>
          <w:rStyle w:val="CharSectno"/>
        </w:rPr>
        <w:t>20</w:t>
      </w:r>
      <w:r>
        <w:t>.</w:t>
      </w:r>
      <w:r>
        <w:tab/>
        <w:t>Fees for Commission’s services</w:t>
      </w:r>
      <w:bookmarkEnd w:id="56"/>
      <w:bookmarkEnd w:id="57"/>
    </w:p>
    <w:p>
      <w:pPr>
        <w:pStyle w:val="Subsection"/>
        <w:spacing w:before="140"/>
      </w:pPr>
      <w:r>
        <w:tab/>
        <w:t>(1)</w:t>
      </w:r>
      <w:r>
        <w:tab/>
        <w:t xml:space="preserve">The Minister may by notice published in the </w:t>
      </w:r>
      <w:r>
        <w:rPr>
          <w:i/>
        </w:rPr>
        <w:t xml:space="preserve">Gazette </w:t>
      </w:r>
      <w:r>
        <w:t xml:space="preserve">set fees to be charged in respect of anything done under this Act or the </w:t>
      </w:r>
      <w:r>
        <w:rPr>
          <w:i/>
        </w:rPr>
        <w:t>Swan Valley Planning Act 2020</w:t>
      </w:r>
      <w:r>
        <w:t xml:space="preserve">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Footnotesection"/>
      </w:pPr>
      <w:r>
        <w:tab/>
        <w:t>[Section 20 amended: No. 45 of 2020 s. 61.]</w:t>
      </w:r>
    </w:p>
    <w:p>
      <w:pPr>
        <w:pStyle w:val="Heading3"/>
      </w:pPr>
      <w:bookmarkStart w:id="58" w:name="_Toc155164789"/>
      <w:bookmarkStart w:id="59" w:name="_Toc135040870"/>
      <w:bookmarkStart w:id="60" w:name="_Toc135041339"/>
      <w:bookmarkStart w:id="61" w:name="_Toc135132494"/>
      <w:r>
        <w:rPr>
          <w:rStyle w:val="CharDivNo"/>
        </w:rPr>
        <w:t>Division 3</w:t>
      </w:r>
      <w:r>
        <w:t> — </w:t>
      </w:r>
      <w:r>
        <w:rPr>
          <w:rStyle w:val="CharDivText"/>
        </w:rPr>
        <w:t>Administration</w:t>
      </w:r>
      <w:bookmarkEnd w:id="58"/>
      <w:bookmarkEnd w:id="59"/>
      <w:bookmarkEnd w:id="60"/>
      <w:bookmarkEnd w:id="61"/>
    </w:p>
    <w:p>
      <w:pPr>
        <w:pStyle w:val="Heading5"/>
      </w:pPr>
      <w:bookmarkStart w:id="62" w:name="_Toc155164790"/>
      <w:bookmarkStart w:id="63" w:name="_Toc135132495"/>
      <w:r>
        <w:rPr>
          <w:rStyle w:val="CharSectno"/>
        </w:rPr>
        <w:t>21</w:t>
      </w:r>
      <w:r>
        <w:t>.</w:t>
      </w:r>
      <w:r>
        <w:tab/>
        <w:t>Secretary</w:t>
      </w:r>
      <w:bookmarkEnd w:id="62"/>
      <w:bookmarkEnd w:id="63"/>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64" w:name="_Toc155164791"/>
      <w:bookmarkStart w:id="65" w:name="_Toc135132496"/>
      <w:r>
        <w:rPr>
          <w:rStyle w:val="CharSectno"/>
        </w:rPr>
        <w:t>22</w:t>
      </w:r>
      <w:r>
        <w:t>.</w:t>
      </w:r>
      <w:r>
        <w:tab/>
        <w:t>Staff</w:t>
      </w:r>
      <w:bookmarkEnd w:id="64"/>
      <w:bookmarkEnd w:id="65"/>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66" w:name="_Toc155164792"/>
      <w:bookmarkStart w:id="67" w:name="_Toc135132497"/>
      <w:r>
        <w:rPr>
          <w:rStyle w:val="CharSectno"/>
        </w:rPr>
        <w:t>23</w:t>
      </w:r>
      <w:r>
        <w:t>.</w:t>
      </w:r>
      <w:r>
        <w:tab/>
        <w:t>Use of staff and facilities of public authorities</w:t>
      </w:r>
      <w:bookmarkEnd w:id="66"/>
      <w:bookmarkEnd w:id="67"/>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68" w:name="_Toc155164793"/>
      <w:bookmarkStart w:id="69" w:name="_Toc135040874"/>
      <w:bookmarkStart w:id="70" w:name="_Toc135041343"/>
      <w:bookmarkStart w:id="71" w:name="_Toc135132498"/>
      <w:r>
        <w:rPr>
          <w:rStyle w:val="CharDivNo"/>
        </w:rPr>
        <w:t>Division 4</w:t>
      </w:r>
      <w:r>
        <w:t> — </w:t>
      </w:r>
      <w:r>
        <w:rPr>
          <w:rStyle w:val="CharDivText"/>
        </w:rPr>
        <w:t>Miscellaneous</w:t>
      </w:r>
      <w:bookmarkEnd w:id="68"/>
      <w:bookmarkEnd w:id="69"/>
      <w:bookmarkEnd w:id="70"/>
      <w:bookmarkEnd w:id="71"/>
    </w:p>
    <w:p>
      <w:pPr>
        <w:pStyle w:val="Heading5"/>
      </w:pPr>
      <w:bookmarkStart w:id="72" w:name="_Toc155164794"/>
      <w:bookmarkStart w:id="73" w:name="_Toc135132499"/>
      <w:r>
        <w:rPr>
          <w:rStyle w:val="CharSectno"/>
        </w:rPr>
        <w:t>24</w:t>
      </w:r>
      <w:r>
        <w:t>.</w:t>
      </w:r>
      <w:r>
        <w:tab/>
        <w:t>Execution of documents</w:t>
      </w:r>
      <w:bookmarkEnd w:id="72"/>
      <w:bookmarkEnd w:id="73"/>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74" w:name="_Toc155164795"/>
      <w:bookmarkStart w:id="75" w:name="_Toc135040876"/>
      <w:bookmarkStart w:id="76" w:name="_Toc135041345"/>
      <w:bookmarkStart w:id="77" w:name="_Toc135132500"/>
      <w:r>
        <w:rPr>
          <w:rStyle w:val="CharPartNo"/>
        </w:rPr>
        <w:t>Part 3</w:t>
      </w:r>
      <w:r>
        <w:rPr>
          <w:rStyle w:val="CharDivNo"/>
        </w:rPr>
        <w:t> </w:t>
      </w:r>
      <w:r>
        <w:t>—</w:t>
      </w:r>
      <w:r>
        <w:rPr>
          <w:rStyle w:val="CharDivText"/>
        </w:rPr>
        <w:t> </w:t>
      </w:r>
      <w:r>
        <w:rPr>
          <w:rStyle w:val="CharPartText"/>
        </w:rPr>
        <w:t>State planning policies</w:t>
      </w:r>
      <w:bookmarkEnd w:id="74"/>
      <w:bookmarkEnd w:id="75"/>
      <w:bookmarkEnd w:id="76"/>
      <w:bookmarkEnd w:id="77"/>
    </w:p>
    <w:p>
      <w:pPr>
        <w:pStyle w:val="Heading5"/>
      </w:pPr>
      <w:bookmarkStart w:id="78" w:name="_Toc155164796"/>
      <w:bookmarkStart w:id="79" w:name="_Toc135132501"/>
      <w:r>
        <w:rPr>
          <w:rStyle w:val="CharSectno"/>
        </w:rPr>
        <w:t>25</w:t>
      </w:r>
      <w:r>
        <w:t>.</w:t>
      </w:r>
      <w:r>
        <w:tab/>
        <w:t>Statements of planning policy under repealed Act, effect of</w:t>
      </w:r>
      <w:bookmarkEnd w:id="78"/>
      <w:bookmarkEnd w:id="79"/>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80" w:name="_Toc155164797"/>
      <w:bookmarkStart w:id="81" w:name="_Toc135132502"/>
      <w:r>
        <w:rPr>
          <w:rStyle w:val="CharSectno"/>
        </w:rPr>
        <w:t>26</w:t>
      </w:r>
      <w:r>
        <w:t>.</w:t>
      </w:r>
      <w:r>
        <w:tab/>
        <w:t>State planning policies, preparation and content of</w:t>
      </w:r>
      <w:bookmarkEnd w:id="80"/>
      <w:bookmarkEnd w:id="81"/>
    </w:p>
    <w:p>
      <w:pPr>
        <w:pStyle w:val="Subsection"/>
        <w:spacing w:before="120"/>
      </w:pPr>
      <w:r>
        <w:tab/>
        <w:t>(1)</w:t>
      </w:r>
      <w:r>
        <w:tab/>
        <w:t>The Commission may, with the approval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No. 28 of 2010 s. 8.] </w:t>
      </w:r>
    </w:p>
    <w:p>
      <w:pPr>
        <w:pStyle w:val="Heading5"/>
        <w:spacing w:before="180"/>
      </w:pPr>
      <w:bookmarkStart w:id="82" w:name="_Toc155164798"/>
      <w:bookmarkStart w:id="83" w:name="_Toc135132503"/>
      <w:r>
        <w:rPr>
          <w:rStyle w:val="CharSectno"/>
        </w:rPr>
        <w:t>27</w:t>
      </w:r>
      <w:r>
        <w:t>.</w:t>
      </w:r>
      <w:r>
        <w:tab/>
        <w:t>Matters to be considered when preparing State planning policy</w:t>
      </w:r>
      <w:bookmarkEnd w:id="82"/>
      <w:bookmarkEnd w:id="83"/>
    </w:p>
    <w:p>
      <w:pPr>
        <w:pStyle w:val="Subsection"/>
        <w:spacing w:before="120"/>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pPr>
      <w:r>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w:t>
      </w:r>
    </w:p>
    <w:p>
      <w:pPr>
        <w:pStyle w:val="Subsection"/>
        <w:spacing w:before="180"/>
      </w:pPr>
      <w:r>
        <w:tab/>
      </w:r>
      <w:r>
        <w:tab/>
        <w:t>in respect of the State or the portion of the State, or portions of the State, to which the State planning policy is to apply, as the case requires.</w:t>
      </w:r>
    </w:p>
    <w:p>
      <w:pPr>
        <w:pStyle w:val="Heading5"/>
        <w:spacing w:before="240"/>
      </w:pPr>
      <w:bookmarkStart w:id="84" w:name="_Toc155164799"/>
      <w:bookmarkStart w:id="85" w:name="_Toc135132504"/>
      <w:r>
        <w:rPr>
          <w:rStyle w:val="CharSectno"/>
        </w:rPr>
        <w:t>28</w:t>
      </w:r>
      <w:r>
        <w:t>.</w:t>
      </w:r>
      <w:r>
        <w:tab/>
        <w:t>Consultation on and public notice of proposed State planning policy</w:t>
      </w:r>
      <w:bookmarkEnd w:id="84"/>
      <w:bookmarkEnd w:id="85"/>
      <w:r>
        <w:t xml:space="preserve"> </w:t>
      </w:r>
    </w:p>
    <w:p>
      <w:pPr>
        <w:pStyle w:val="Subsection"/>
        <w:spacing w:before="18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spacing w:before="180"/>
      </w:pPr>
      <w:r>
        <w:tab/>
      </w:r>
      <w:r>
        <w:tab/>
        <w:t>with respect to the proposed State planning policy.</w:t>
      </w:r>
    </w:p>
    <w:p>
      <w:pPr>
        <w:pStyle w:val="Subsection"/>
        <w:spacing w:before="18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8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spacing w:before="120"/>
      </w:pPr>
      <w:r>
        <w:tab/>
      </w:r>
      <w:r>
        <w:tab/>
        <w:t>and may take such other steps as it considers necessary to make public the details of the proposed policy.</w:t>
      </w:r>
    </w:p>
    <w:p>
      <w:pPr>
        <w:pStyle w:val="Subsection"/>
        <w:spacing w:before="120"/>
      </w:pPr>
      <w:r>
        <w:tab/>
        <w:t>(5)</w:t>
      </w:r>
      <w:r>
        <w:tab/>
        <w:t>The Commission is to consider any submissions with respect to the proposed State planning policy and may modify the proposed policy as it thinks fit.</w:t>
      </w:r>
    </w:p>
    <w:p>
      <w:pPr>
        <w:pStyle w:val="Heading5"/>
        <w:spacing w:before="180"/>
      </w:pPr>
      <w:bookmarkStart w:id="86" w:name="_Toc155164800"/>
      <w:bookmarkStart w:id="87" w:name="_Toc135132505"/>
      <w:r>
        <w:rPr>
          <w:rStyle w:val="CharSectno"/>
        </w:rPr>
        <w:t>29</w:t>
      </w:r>
      <w:r>
        <w:t>.</w:t>
      </w:r>
      <w:r>
        <w:tab/>
        <w:t>Approval of Governor</w:t>
      </w:r>
      <w:bookmarkEnd w:id="86"/>
      <w:bookmarkEnd w:id="87"/>
    </w:p>
    <w:p>
      <w:pPr>
        <w:pStyle w:val="Subsection"/>
        <w:spacing w:before="120"/>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spacing w:before="120"/>
      </w:pPr>
      <w:r>
        <w:tab/>
        <w:t>(2)</w:t>
      </w:r>
      <w:r>
        <w:tab/>
        <w:t xml:space="preserve">A State planning policy has no force or effect until it is approved by the Governor and published in the </w:t>
      </w:r>
      <w:r>
        <w:rPr>
          <w:i/>
        </w:rPr>
        <w:t>Gazette</w:t>
      </w:r>
      <w:r>
        <w:t>.</w:t>
      </w:r>
    </w:p>
    <w:p>
      <w:pPr>
        <w:pStyle w:val="Heading5"/>
      </w:pPr>
      <w:bookmarkStart w:id="88" w:name="_Toc155164801"/>
      <w:bookmarkStart w:id="89" w:name="_Toc135132506"/>
      <w:r>
        <w:rPr>
          <w:rStyle w:val="CharSectno"/>
        </w:rPr>
        <w:t>30</w:t>
      </w:r>
      <w:r>
        <w:t>.</w:t>
      </w:r>
      <w:r>
        <w:tab/>
        <w:t>Publicising approved State planning policy</w:t>
      </w:r>
      <w:bookmarkEnd w:id="88"/>
      <w:bookmarkEnd w:id="89"/>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90" w:name="_Toc155164802"/>
      <w:bookmarkStart w:id="91" w:name="_Toc135132507"/>
      <w:r>
        <w:rPr>
          <w:rStyle w:val="CharSectno"/>
        </w:rPr>
        <w:t>31</w:t>
      </w:r>
      <w:r>
        <w:t>.</w:t>
      </w:r>
      <w:r>
        <w:tab/>
        <w:t>Amending or repealing State planning policy</w:t>
      </w:r>
      <w:bookmarkEnd w:id="90"/>
      <w:bookmarkEnd w:id="91"/>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92" w:name="_Toc155164803"/>
      <w:bookmarkStart w:id="93" w:name="_Toc135132508"/>
      <w:r>
        <w:rPr>
          <w:rStyle w:val="CharSectno"/>
        </w:rPr>
        <w:t>32</w:t>
      </w:r>
      <w:r>
        <w:t>.</w:t>
      </w:r>
      <w:r>
        <w:tab/>
        <w:t>Environmental review</w:t>
      </w:r>
      <w:bookmarkEnd w:id="92"/>
      <w:bookmarkEnd w:id="93"/>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keepNext/>
      </w:pPr>
      <w:r>
        <w:tab/>
        <w:t>(b)</w:t>
      </w:r>
      <w:r>
        <w:tab/>
        <w:t>that policy or amendment were a local planning scheme,</w:t>
      </w:r>
    </w:p>
    <w:p>
      <w:pPr>
        <w:pStyle w:val="Subsection"/>
      </w:pPr>
      <w:r>
        <w:tab/>
      </w:r>
      <w:r>
        <w:tab/>
        <w:t>but otherwise this Part applies to that policy or amendment.</w:t>
      </w:r>
    </w:p>
    <w:p>
      <w:pPr>
        <w:pStyle w:val="Heading2"/>
      </w:pPr>
      <w:bookmarkStart w:id="94" w:name="_Toc155164804"/>
      <w:bookmarkStart w:id="95" w:name="_Toc135040885"/>
      <w:bookmarkStart w:id="96" w:name="_Toc135041354"/>
      <w:bookmarkStart w:id="97" w:name="_Toc135132509"/>
      <w:r>
        <w:rPr>
          <w:rStyle w:val="CharPartNo"/>
        </w:rPr>
        <w:t>Part 4</w:t>
      </w:r>
      <w:r>
        <w:t> — </w:t>
      </w:r>
      <w:r>
        <w:rPr>
          <w:rStyle w:val="CharPartText"/>
        </w:rPr>
        <w:t>Region planning schemes</w:t>
      </w:r>
      <w:bookmarkEnd w:id="94"/>
      <w:bookmarkEnd w:id="95"/>
      <w:bookmarkEnd w:id="96"/>
      <w:bookmarkEnd w:id="97"/>
    </w:p>
    <w:p>
      <w:pPr>
        <w:pStyle w:val="Heading3"/>
        <w:spacing w:before="220"/>
      </w:pPr>
      <w:bookmarkStart w:id="98" w:name="_Toc155164805"/>
      <w:bookmarkStart w:id="99" w:name="_Toc135040886"/>
      <w:bookmarkStart w:id="100" w:name="_Toc135041355"/>
      <w:bookmarkStart w:id="101" w:name="_Toc135132510"/>
      <w:r>
        <w:rPr>
          <w:rStyle w:val="CharDivNo"/>
        </w:rPr>
        <w:t>Division 1</w:t>
      </w:r>
      <w:r>
        <w:t> — </w:t>
      </w:r>
      <w:r>
        <w:rPr>
          <w:rStyle w:val="CharDivText"/>
        </w:rPr>
        <w:t>Continuation and formulation of region planning schemes</w:t>
      </w:r>
      <w:bookmarkEnd w:id="98"/>
      <w:bookmarkEnd w:id="99"/>
      <w:bookmarkEnd w:id="100"/>
      <w:bookmarkEnd w:id="101"/>
    </w:p>
    <w:p>
      <w:pPr>
        <w:pStyle w:val="Heading5"/>
        <w:spacing w:before="180"/>
      </w:pPr>
      <w:bookmarkStart w:id="102" w:name="_Toc155164806"/>
      <w:bookmarkStart w:id="103" w:name="_Toc135132511"/>
      <w:r>
        <w:rPr>
          <w:rStyle w:val="CharSectno"/>
        </w:rPr>
        <w:t>33</w:t>
      </w:r>
      <w:r>
        <w:t>.</w:t>
      </w:r>
      <w:r>
        <w:tab/>
        <w:t>Schemes under repealed Act, effect of</w:t>
      </w:r>
      <w:bookmarkEnd w:id="102"/>
      <w:bookmarkEnd w:id="103"/>
    </w:p>
    <w:p>
      <w:pPr>
        <w:pStyle w:val="Subsection"/>
        <w:spacing w:before="120"/>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104" w:name="_Toc155164807"/>
      <w:bookmarkStart w:id="105" w:name="_Toc135132512"/>
      <w:r>
        <w:rPr>
          <w:rStyle w:val="CharSectno"/>
        </w:rPr>
        <w:t>34</w:t>
      </w:r>
      <w:r>
        <w:t>.</w:t>
      </w:r>
      <w:r>
        <w:tab/>
        <w:t>Region planning schemes, preparation and content of</w:t>
      </w:r>
      <w:bookmarkEnd w:id="104"/>
      <w:bookmarkEnd w:id="105"/>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spacing w:before="180"/>
      </w:pPr>
      <w:bookmarkStart w:id="106" w:name="_Toc155164808"/>
      <w:bookmarkStart w:id="107" w:name="_Toc135132513"/>
      <w:r>
        <w:rPr>
          <w:rStyle w:val="CharSectno"/>
        </w:rPr>
        <w:t>35</w:t>
      </w:r>
      <w:r>
        <w:t>.</w:t>
      </w:r>
      <w:r>
        <w:tab/>
        <w:t>Commission may resolve to prepare or amend region planning scheme</w:t>
      </w:r>
      <w:bookmarkEnd w:id="106"/>
      <w:bookmarkEnd w:id="107"/>
    </w:p>
    <w:p>
      <w:pPr>
        <w:pStyle w:val="Subsection"/>
        <w:spacing w:before="120"/>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108" w:name="_Toc155164809"/>
      <w:bookmarkStart w:id="109" w:name="_Toc135132514"/>
      <w:r>
        <w:rPr>
          <w:rStyle w:val="CharSectno"/>
        </w:rPr>
        <w:t>36</w:t>
      </w:r>
      <w:r>
        <w:t>.</w:t>
      </w:r>
      <w:r>
        <w:tab/>
        <w:t>Restrictions on making or amending region planning scheme for metropolitan region</w:t>
      </w:r>
      <w:bookmarkEnd w:id="108"/>
      <w:bookmarkEnd w:id="109"/>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protection order made under the </w:t>
      </w:r>
      <w:r>
        <w:rPr>
          <w:i/>
        </w:rPr>
        <w:t>Heritage Act 2018</w:t>
      </w:r>
      <w:r>
        <w:t xml:space="preserve"> Part 4 Division 1, except in so far as may be ordered on an application or referral made under section 62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 or</w:t>
      </w:r>
    </w:p>
    <w:p>
      <w:pPr>
        <w:pStyle w:val="Indenta"/>
      </w:pPr>
      <w:r>
        <w:tab/>
        <w:t>(e)</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Footnotesection"/>
        <w:ind w:left="890" w:hanging="890"/>
      </w:pPr>
      <w:r>
        <w:tab/>
        <w:t xml:space="preserve">[Section 36 amended: No. 52 of 2006 s. 6; </w:t>
      </w:r>
      <w:r>
        <w:rPr>
          <w:spacing w:val="-4"/>
        </w:rPr>
        <w:t>No. 45 of 2011 s. 141</w:t>
      </w:r>
      <w:r>
        <w:t>(4); No. 22 of 2018 s. 186(3); No. 45 of 2020 s. 63.]</w:t>
      </w:r>
    </w:p>
    <w:p>
      <w:pPr>
        <w:pStyle w:val="Heading5"/>
        <w:spacing w:before="180"/>
      </w:pPr>
      <w:bookmarkStart w:id="110" w:name="_Toc155164810"/>
      <w:bookmarkStart w:id="111" w:name="_Toc135132515"/>
      <w:r>
        <w:rPr>
          <w:rStyle w:val="CharSectno"/>
        </w:rPr>
        <w:t>37</w:t>
      </w:r>
      <w:r>
        <w:t>.</w:t>
      </w:r>
      <w:r>
        <w:tab/>
        <w:t>Region planning scheme may be amended or repealed</w:t>
      </w:r>
      <w:bookmarkEnd w:id="110"/>
      <w:bookmarkEnd w:id="111"/>
    </w:p>
    <w:p>
      <w:pPr>
        <w:pStyle w:val="Subsection"/>
        <w:spacing w:before="120"/>
      </w:pPr>
      <w:r>
        <w:tab/>
        <w:t>(1)</w:t>
      </w:r>
      <w:r>
        <w:tab/>
        <w:t>A region planning scheme may be amended under this Act.</w:t>
      </w:r>
    </w:p>
    <w:p>
      <w:pPr>
        <w:pStyle w:val="Subsection"/>
        <w:spacing w:before="120"/>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spacing w:before="180"/>
      </w:pPr>
      <w:bookmarkStart w:id="112" w:name="_Toc155164811"/>
      <w:bookmarkStart w:id="113" w:name="_Toc135040892"/>
      <w:bookmarkStart w:id="114" w:name="_Toc135041361"/>
      <w:bookmarkStart w:id="115" w:name="_Toc135132516"/>
      <w:r>
        <w:rPr>
          <w:rStyle w:val="CharDivNo"/>
        </w:rPr>
        <w:t>Division 2</w:t>
      </w:r>
      <w:r>
        <w:t> — </w:t>
      </w:r>
      <w:r>
        <w:rPr>
          <w:rStyle w:val="CharDivText"/>
        </w:rPr>
        <w:t>Prerequisites to region planning scheme or amendment</w:t>
      </w:r>
      <w:bookmarkEnd w:id="112"/>
      <w:bookmarkEnd w:id="113"/>
      <w:bookmarkEnd w:id="114"/>
      <w:bookmarkEnd w:id="115"/>
    </w:p>
    <w:p>
      <w:pPr>
        <w:pStyle w:val="Heading5"/>
      </w:pPr>
      <w:bookmarkStart w:id="116" w:name="_Toc155164812"/>
      <w:bookmarkStart w:id="117" w:name="_Toc135132517"/>
      <w:r>
        <w:rPr>
          <w:rStyle w:val="CharSectno"/>
        </w:rPr>
        <w:t>38</w:t>
      </w:r>
      <w:r>
        <w:t>.</w:t>
      </w:r>
      <w:r>
        <w:tab/>
        <w:t>Proposed schemes and amendments to be referred to EPA</w:t>
      </w:r>
      <w:bookmarkEnd w:id="116"/>
      <w:bookmarkEnd w:id="117"/>
    </w:p>
    <w:p>
      <w:pPr>
        <w:pStyle w:val="Subsection"/>
        <w:spacing w:before="12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20"/>
      </w:pPr>
      <w:r>
        <w:tab/>
        <w:t>(2)</w:t>
      </w:r>
      <w:r>
        <w:tab/>
        <w:t>This section applies in respect of an amendment whether or not the amendment constitutes a substantial alteration to a region planning scheme.</w:t>
      </w:r>
    </w:p>
    <w:p>
      <w:pPr>
        <w:pStyle w:val="Heading5"/>
        <w:keepLines w:val="0"/>
        <w:spacing w:before="180"/>
      </w:pPr>
      <w:bookmarkStart w:id="118" w:name="_Toc155164813"/>
      <w:bookmarkStart w:id="119" w:name="_Toc135132518"/>
      <w:r>
        <w:rPr>
          <w:rStyle w:val="CharSectno"/>
        </w:rPr>
        <w:t>39</w:t>
      </w:r>
      <w:r>
        <w:t>.</w:t>
      </w:r>
      <w:r>
        <w:tab/>
        <w:t>Environmental review, when required etc.</w:t>
      </w:r>
      <w:bookmarkEnd w:id="118"/>
      <w:bookmarkEnd w:id="119"/>
    </w:p>
    <w:p>
      <w:pPr>
        <w:pStyle w:val="Subsection"/>
        <w:keepNext/>
        <w:spacing w:before="12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Ednotesection"/>
      </w:pPr>
      <w:r>
        <w:t>[</w:t>
      </w:r>
      <w:r>
        <w:rPr>
          <w:b/>
        </w:rPr>
        <w:t>40.</w:t>
      </w:r>
      <w:r>
        <w:tab/>
        <w:t>Deleted: No. 45 of 2020 s. 64.]</w:t>
      </w:r>
    </w:p>
    <w:p>
      <w:pPr>
        <w:pStyle w:val="Heading3"/>
        <w:spacing w:before="180"/>
      </w:pPr>
      <w:bookmarkStart w:id="120" w:name="_Toc155164814"/>
      <w:bookmarkStart w:id="121" w:name="_Toc135040895"/>
      <w:bookmarkStart w:id="122" w:name="_Toc135041364"/>
      <w:bookmarkStart w:id="123" w:name="_Toc135132519"/>
      <w:r>
        <w:rPr>
          <w:rStyle w:val="CharDivNo"/>
        </w:rPr>
        <w:t>Division 3</w:t>
      </w:r>
      <w:r>
        <w:t> — </w:t>
      </w:r>
      <w:r>
        <w:rPr>
          <w:rStyle w:val="CharDivText"/>
        </w:rPr>
        <w:t>Making of region planning scheme and amendments</w:t>
      </w:r>
      <w:bookmarkEnd w:id="120"/>
      <w:bookmarkEnd w:id="121"/>
      <w:bookmarkEnd w:id="122"/>
      <w:bookmarkEnd w:id="123"/>
    </w:p>
    <w:p>
      <w:pPr>
        <w:pStyle w:val="Heading5"/>
      </w:pPr>
      <w:bookmarkStart w:id="124" w:name="_Toc155164815"/>
      <w:bookmarkStart w:id="125" w:name="_Toc135132520"/>
      <w:r>
        <w:rPr>
          <w:rStyle w:val="CharSectno"/>
        </w:rPr>
        <w:t>41</w:t>
      </w:r>
      <w:r>
        <w:t>.</w:t>
      </w:r>
      <w:r>
        <w:tab/>
        <w:t>Procedure</w:t>
      </w:r>
      <w:bookmarkEnd w:id="124"/>
      <w:bookmarkEnd w:id="125"/>
    </w:p>
    <w:p>
      <w:pPr>
        <w:pStyle w:val="Subsection"/>
        <w:spacing w:before="120"/>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126" w:name="_Toc155164816"/>
      <w:bookmarkStart w:id="127" w:name="_Toc135132521"/>
      <w:r>
        <w:rPr>
          <w:rStyle w:val="CharSectno"/>
        </w:rPr>
        <w:t>42</w:t>
      </w:r>
      <w:r>
        <w:t>.</w:t>
      </w:r>
      <w:r>
        <w:tab/>
        <w:t>Minister’s consent needed to seek public submissions on proposed scheme or amendment</w:t>
      </w:r>
      <w:bookmarkEnd w:id="126"/>
      <w:bookmarkEnd w:id="127"/>
    </w:p>
    <w:p>
      <w:pPr>
        <w:pStyle w:val="Subsection"/>
        <w:spacing w:before="120"/>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128" w:name="_Toc155164817"/>
      <w:bookmarkStart w:id="129" w:name="_Toc135132522"/>
      <w:r>
        <w:rPr>
          <w:rStyle w:val="CharSectno"/>
        </w:rPr>
        <w:t>43</w:t>
      </w:r>
      <w:r>
        <w:t>.</w:t>
      </w:r>
      <w:r>
        <w:tab/>
        <w:t>Publicising proposed scheme or amendment</w:t>
      </w:r>
      <w:bookmarkEnd w:id="128"/>
      <w:bookmarkEnd w:id="129"/>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pPr>
      <w:r>
        <w:tab/>
        <w:t>(2)</w:t>
      </w:r>
      <w:r>
        <w:tab/>
        <w:t xml:space="preserve">For the purposes of subsection (1) the scheme or amendment and statement are to be deposited — </w:t>
      </w:r>
    </w:p>
    <w:p>
      <w:pPr>
        <w:pStyle w:val="Indenta"/>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spacing w:before="40"/>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keepNext/>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keepNext/>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130" w:name="_Toc155164818"/>
      <w:bookmarkStart w:id="131" w:name="_Toc135132523"/>
      <w:r>
        <w:rPr>
          <w:rStyle w:val="CharSectno"/>
        </w:rPr>
        <w:t>44</w:t>
      </w:r>
      <w:r>
        <w:t>.</w:t>
      </w:r>
      <w:r>
        <w:tab/>
        <w:t>Submissions on proposed scheme or amendment</w:t>
      </w:r>
      <w:bookmarkEnd w:id="130"/>
      <w:bookmarkEnd w:id="131"/>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132" w:name="_Toc155164819"/>
      <w:bookmarkStart w:id="133" w:name="_Toc135132524"/>
      <w:r>
        <w:rPr>
          <w:rStyle w:val="CharSectno"/>
        </w:rPr>
        <w:t>45</w:t>
      </w:r>
      <w:r>
        <w:t>.</w:t>
      </w:r>
      <w:r>
        <w:tab/>
        <w:t>Commission’s duties if proposed scheme or amendment is to be assessed under EP Act</w:t>
      </w:r>
      <w:bookmarkEnd w:id="132"/>
      <w:bookmarkEnd w:id="133"/>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134" w:name="_Toc155164820"/>
      <w:bookmarkStart w:id="135" w:name="_Toc135132525"/>
      <w:r>
        <w:rPr>
          <w:rStyle w:val="CharSectno"/>
        </w:rPr>
        <w:t>46</w:t>
      </w:r>
      <w:r>
        <w:t>.</w:t>
      </w:r>
      <w:r>
        <w:tab/>
        <w:t>Person making submission may be heard</w:t>
      </w:r>
      <w:bookmarkEnd w:id="134"/>
      <w:bookmarkEnd w:id="135"/>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Ednotesection"/>
      </w:pPr>
      <w:r>
        <w:t>[</w:t>
      </w:r>
      <w:r>
        <w:rPr>
          <w:b/>
        </w:rPr>
        <w:t>47.</w:t>
      </w:r>
      <w:r>
        <w:tab/>
        <w:t>Deleted: No. 45 of 2020 s. 65.]</w:t>
      </w:r>
    </w:p>
    <w:p>
      <w:pPr>
        <w:pStyle w:val="Heading5"/>
      </w:pPr>
      <w:bookmarkStart w:id="136" w:name="_Toc155164821"/>
      <w:bookmarkStart w:id="137" w:name="_Toc135132526"/>
      <w:r>
        <w:rPr>
          <w:rStyle w:val="CharSectno"/>
        </w:rPr>
        <w:t>48</w:t>
      </w:r>
      <w:r>
        <w:t>.</w:t>
      </w:r>
      <w:r>
        <w:tab/>
        <w:t>Proposed scheme or amendment etc. to be submitted to Minister</w:t>
      </w:r>
      <w:bookmarkEnd w:id="136"/>
      <w:bookmarkEnd w:id="137"/>
    </w:p>
    <w:p>
      <w:pPr>
        <w:pStyle w:val="Subsection"/>
      </w:pPr>
      <w:r>
        <w:tab/>
        <w:t>(1)</w:t>
      </w:r>
      <w:r>
        <w:tab/>
        <w:t xml:space="preserve">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Footnotesection"/>
      </w:pPr>
      <w:r>
        <w:tab/>
        <w:t>[Section 48 amended: No. 45 of 2020 s. 66.]</w:t>
      </w:r>
    </w:p>
    <w:p>
      <w:pPr>
        <w:pStyle w:val="Heading5"/>
      </w:pPr>
      <w:bookmarkStart w:id="138" w:name="_Toc155164822"/>
      <w:bookmarkStart w:id="139" w:name="_Toc135132527"/>
      <w:r>
        <w:rPr>
          <w:rStyle w:val="CharSectno"/>
        </w:rPr>
        <w:t>49</w:t>
      </w:r>
      <w:r>
        <w:t>.</w:t>
      </w:r>
      <w:r>
        <w:tab/>
        <w:t>Minister may withdraw proposed scheme or amendment</w:t>
      </w:r>
      <w:bookmarkEnd w:id="138"/>
      <w:bookmarkEnd w:id="139"/>
    </w:p>
    <w:p>
      <w:pPr>
        <w:pStyle w:val="Subsection"/>
      </w:pPr>
      <w:r>
        <w:tab/>
      </w:r>
      <w:r>
        <w:tab/>
        <w:t>If the report of the Commission submitted with a scheme or amendment under section 48 recommends that the scheme or amendment should not proceed, the Minister may, instead of presenting the scheme or amendment to the Governor for consideration, withdraw the scheme or amendment.</w:t>
      </w:r>
    </w:p>
    <w:p>
      <w:pPr>
        <w:pStyle w:val="Footnotesection"/>
      </w:pPr>
      <w:r>
        <w:tab/>
        <w:t>[Section 49 amended: No. 45 of 2020 s. 67.]</w:t>
      </w:r>
    </w:p>
    <w:p>
      <w:pPr>
        <w:pStyle w:val="Heading5"/>
      </w:pPr>
      <w:bookmarkStart w:id="140" w:name="_Toc155164823"/>
      <w:bookmarkStart w:id="141" w:name="_Toc135132528"/>
      <w:r>
        <w:rPr>
          <w:rStyle w:val="CharSectno"/>
        </w:rPr>
        <w:t>50</w:t>
      </w:r>
      <w:r>
        <w:t>.</w:t>
      </w:r>
      <w:r>
        <w:tab/>
        <w:t>When Minister may submit proposed scheme or amendment for Governor’s approval</w:t>
      </w:r>
      <w:bookmarkEnd w:id="140"/>
      <w:bookmarkEnd w:id="141"/>
    </w:p>
    <w:p>
      <w:pPr>
        <w:pStyle w:val="Subsection"/>
        <w:keepNext/>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142" w:name="_Toc155164824"/>
      <w:bookmarkStart w:id="143" w:name="_Toc135132529"/>
      <w:r>
        <w:rPr>
          <w:rStyle w:val="CharSectno"/>
        </w:rPr>
        <w:t>51</w:t>
      </w:r>
      <w:r>
        <w:t>.</w:t>
      </w:r>
      <w:r>
        <w:tab/>
        <w:t>Minister may direct proposed scheme or amendment to be republicised</w:t>
      </w:r>
      <w:bookmarkEnd w:id="142"/>
      <w:bookmarkEnd w:id="143"/>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144" w:name="_Toc155164825"/>
      <w:bookmarkStart w:id="145" w:name="_Toc135132530"/>
      <w:r>
        <w:rPr>
          <w:rStyle w:val="CharSectno"/>
        </w:rPr>
        <w:t>52</w:t>
      </w:r>
      <w:r>
        <w:t>.</w:t>
      </w:r>
      <w:r>
        <w:tab/>
        <w:t>Modifications to proposed scheme or amendment, procedure on</w:t>
      </w:r>
      <w:bookmarkEnd w:id="144"/>
      <w:bookmarkEnd w:id="145"/>
    </w:p>
    <w:p>
      <w:pPr>
        <w:pStyle w:val="Subsection"/>
        <w:keepNext/>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spacing w:before="240"/>
      </w:pPr>
      <w:bookmarkStart w:id="146" w:name="_Toc155164826"/>
      <w:bookmarkStart w:id="147" w:name="_Toc135132531"/>
      <w:r>
        <w:rPr>
          <w:rStyle w:val="CharSectno"/>
        </w:rPr>
        <w:t>53</w:t>
      </w:r>
      <w:r>
        <w:t>.</w:t>
      </w:r>
      <w:r>
        <w:tab/>
        <w:t>Approval of Governor</w:t>
      </w:r>
      <w:bookmarkEnd w:id="146"/>
      <w:bookmarkEnd w:id="147"/>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148" w:name="_Toc155164827"/>
      <w:bookmarkStart w:id="149" w:name="_Toc135132532"/>
      <w:r>
        <w:rPr>
          <w:rStyle w:val="CharSectno"/>
        </w:rPr>
        <w:t>54</w:t>
      </w:r>
      <w:r>
        <w:t>.</w:t>
      </w:r>
      <w:r>
        <w:tab/>
        <w:t>Publicising approved scheme or amendment</w:t>
      </w:r>
      <w:bookmarkEnd w:id="148"/>
      <w:bookmarkEnd w:id="149"/>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150" w:name="_Toc155164828"/>
      <w:bookmarkStart w:id="151" w:name="_Toc135132533"/>
      <w:r>
        <w:rPr>
          <w:rStyle w:val="CharSectno"/>
        </w:rPr>
        <w:t>55</w:t>
      </w:r>
      <w:r>
        <w:t>.</w:t>
      </w:r>
      <w:r>
        <w:tab/>
        <w:t>Revoking approval of scheme or amendment</w:t>
      </w:r>
      <w:bookmarkEnd w:id="150"/>
      <w:bookmarkEnd w:id="151"/>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152" w:name="_Toc155164829"/>
      <w:bookmarkStart w:id="153" w:name="_Toc135132534"/>
      <w:r>
        <w:rPr>
          <w:rStyle w:val="CharSectno"/>
        </w:rPr>
        <w:t>56</w:t>
      </w:r>
      <w:r>
        <w:t>.</w:t>
      </w:r>
      <w:r>
        <w:tab/>
        <w:t>Parliament may disallow scheme or amendment</w:t>
      </w:r>
      <w:bookmarkEnd w:id="152"/>
      <w:bookmarkEnd w:id="153"/>
    </w:p>
    <w:p>
      <w:pPr>
        <w:pStyle w:val="Subsection"/>
        <w:keepNext/>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154" w:name="_Toc155164830"/>
      <w:bookmarkStart w:id="155" w:name="_Toc135040911"/>
      <w:bookmarkStart w:id="156" w:name="_Toc135041380"/>
      <w:bookmarkStart w:id="157" w:name="_Toc135132535"/>
      <w:r>
        <w:rPr>
          <w:rStyle w:val="CharDivNo"/>
        </w:rPr>
        <w:t>Division 4</w:t>
      </w:r>
      <w:r>
        <w:t> — </w:t>
      </w:r>
      <w:r>
        <w:rPr>
          <w:rStyle w:val="CharDivText"/>
        </w:rPr>
        <w:t>Minor amendments to region planning scheme</w:t>
      </w:r>
      <w:bookmarkEnd w:id="154"/>
      <w:bookmarkEnd w:id="155"/>
      <w:bookmarkEnd w:id="156"/>
      <w:bookmarkEnd w:id="157"/>
    </w:p>
    <w:p>
      <w:pPr>
        <w:pStyle w:val="Heading5"/>
      </w:pPr>
      <w:bookmarkStart w:id="158" w:name="_Toc155164831"/>
      <w:bookmarkStart w:id="159" w:name="_Toc135132536"/>
      <w:r>
        <w:rPr>
          <w:rStyle w:val="CharSectno"/>
        </w:rPr>
        <w:t>57</w:t>
      </w:r>
      <w:r>
        <w:t>.</w:t>
      </w:r>
      <w:r>
        <w:tab/>
        <w:t>Minor amendment, procedure for approval of etc.</w:t>
      </w:r>
      <w:bookmarkEnd w:id="158"/>
      <w:bookmarkEnd w:id="159"/>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Ednotesubsection"/>
        <w:keepNext/>
      </w:pPr>
      <w:r>
        <w:tab/>
        <w:t>[(2)</w:t>
      </w:r>
      <w:r>
        <w:tab/>
        <w:t>deleted]</w:t>
      </w:r>
    </w:p>
    <w:p>
      <w:pPr>
        <w:pStyle w:val="Footnotesection"/>
      </w:pPr>
      <w:r>
        <w:tab/>
        <w:t>[Section 57 amended: No. 45 of 2020 s. 68.]</w:t>
      </w:r>
    </w:p>
    <w:p>
      <w:pPr>
        <w:pStyle w:val="Heading5"/>
      </w:pPr>
      <w:bookmarkStart w:id="160" w:name="_Toc155164832"/>
      <w:bookmarkStart w:id="161" w:name="_Toc135132537"/>
      <w:r>
        <w:rPr>
          <w:rStyle w:val="CharSectno"/>
        </w:rPr>
        <w:t>58</w:t>
      </w:r>
      <w:r>
        <w:t>.</w:t>
      </w:r>
      <w:r>
        <w:tab/>
        <w:t>Publicising proposed minor amendment</w:t>
      </w:r>
      <w:bookmarkEnd w:id="160"/>
      <w:bookmarkEnd w:id="161"/>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162" w:name="_Toc155164833"/>
      <w:bookmarkStart w:id="163" w:name="_Toc135132538"/>
      <w:r>
        <w:rPr>
          <w:rStyle w:val="CharSectno"/>
        </w:rPr>
        <w:t>59</w:t>
      </w:r>
      <w:r>
        <w:t>.</w:t>
      </w:r>
      <w:r>
        <w:tab/>
        <w:t>Submissions on minor amendment to be considered</w:t>
      </w:r>
      <w:bookmarkEnd w:id="162"/>
      <w:bookmarkEnd w:id="163"/>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164" w:name="_Toc155164834"/>
      <w:bookmarkStart w:id="165" w:name="_Toc135132539"/>
      <w:r>
        <w:rPr>
          <w:rStyle w:val="CharSectno"/>
        </w:rPr>
        <w:t>60</w:t>
      </w:r>
      <w:r>
        <w:t>.</w:t>
      </w:r>
      <w:r>
        <w:tab/>
        <w:t>Commission’s duties if proposed minor amendment is to be assessed under EP Act</w:t>
      </w:r>
      <w:bookmarkEnd w:id="164"/>
      <w:bookmarkEnd w:id="165"/>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166" w:name="_Toc155164835"/>
      <w:bookmarkStart w:id="167" w:name="_Toc135132540"/>
      <w:r>
        <w:rPr>
          <w:rStyle w:val="CharSectno"/>
        </w:rPr>
        <w:t>61</w:t>
      </w:r>
      <w:r>
        <w:t>.</w:t>
      </w:r>
      <w:r>
        <w:tab/>
        <w:t>Minister not to approve proposed minor amendment in some cases</w:t>
      </w:r>
      <w:bookmarkEnd w:id="166"/>
      <w:bookmarkEnd w:id="167"/>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168" w:name="_Toc155164836"/>
      <w:bookmarkStart w:id="169" w:name="_Toc135132541"/>
      <w:r>
        <w:rPr>
          <w:rStyle w:val="CharSectno"/>
        </w:rPr>
        <w:t>62</w:t>
      </w:r>
      <w:r>
        <w:t>.</w:t>
      </w:r>
      <w:r>
        <w:tab/>
        <w:t>Minister may approve or decline to approve minor amendment</w:t>
      </w:r>
      <w:bookmarkEnd w:id="168"/>
      <w:bookmarkEnd w:id="169"/>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keepNext/>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170" w:name="_Toc155164837"/>
      <w:bookmarkStart w:id="171" w:name="_Toc135040918"/>
      <w:bookmarkStart w:id="172" w:name="_Toc135041387"/>
      <w:bookmarkStart w:id="173" w:name="_Toc135132542"/>
      <w:r>
        <w:rPr>
          <w:rStyle w:val="CharDivNo"/>
        </w:rPr>
        <w:t>Division 5</w:t>
      </w:r>
      <w:r>
        <w:t> — </w:t>
      </w:r>
      <w:r>
        <w:rPr>
          <w:rStyle w:val="CharDivText"/>
        </w:rPr>
        <w:t>Consolidation of region planning scheme</w:t>
      </w:r>
      <w:bookmarkEnd w:id="170"/>
      <w:bookmarkEnd w:id="171"/>
      <w:bookmarkEnd w:id="172"/>
      <w:bookmarkEnd w:id="173"/>
    </w:p>
    <w:p>
      <w:pPr>
        <w:pStyle w:val="Heading5"/>
      </w:pPr>
      <w:bookmarkStart w:id="174" w:name="_Toc155164838"/>
      <w:bookmarkStart w:id="175" w:name="_Toc135132543"/>
      <w:r>
        <w:rPr>
          <w:rStyle w:val="CharSectno"/>
        </w:rPr>
        <w:t>63</w:t>
      </w:r>
      <w:r>
        <w:t>.</w:t>
      </w:r>
      <w:r>
        <w:tab/>
        <w:t>Minister may direct consolidation</w:t>
      </w:r>
      <w:bookmarkEnd w:id="174"/>
      <w:bookmarkEnd w:id="175"/>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176" w:name="_Toc155164839"/>
      <w:bookmarkStart w:id="177" w:name="_Toc135132544"/>
      <w:r>
        <w:rPr>
          <w:rStyle w:val="CharSectno"/>
        </w:rPr>
        <w:t>64</w:t>
      </w:r>
      <w:r>
        <w:t>.</w:t>
      </w:r>
      <w:r>
        <w:tab/>
        <w:t>Maps, plans, diagrams may be added or substituted</w:t>
      </w:r>
      <w:bookmarkEnd w:id="176"/>
      <w:bookmarkEnd w:id="177"/>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178" w:name="_Toc155164840"/>
      <w:bookmarkStart w:id="179" w:name="_Toc135132545"/>
      <w:r>
        <w:rPr>
          <w:rStyle w:val="CharSectno"/>
        </w:rPr>
        <w:t>65</w:t>
      </w:r>
      <w:r>
        <w:t>.</w:t>
      </w:r>
      <w:r>
        <w:tab/>
        <w:t>Certification and delivery of consolidation</w:t>
      </w:r>
      <w:bookmarkEnd w:id="178"/>
      <w:bookmarkEnd w:id="179"/>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180" w:name="_Toc155164841"/>
      <w:bookmarkStart w:id="181" w:name="_Toc135132546"/>
      <w:r>
        <w:rPr>
          <w:rStyle w:val="CharSectno"/>
        </w:rPr>
        <w:t>66</w:t>
      </w:r>
      <w:r>
        <w:t>.</w:t>
      </w:r>
      <w:r>
        <w:tab/>
        <w:t>Proof of consolidation</w:t>
      </w:r>
      <w:bookmarkEnd w:id="180"/>
      <w:bookmarkEnd w:id="181"/>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182" w:name="_Toc155164842"/>
      <w:bookmarkStart w:id="183" w:name="_Toc135132547"/>
      <w:r>
        <w:rPr>
          <w:rStyle w:val="CharSectno"/>
        </w:rPr>
        <w:t>67</w:t>
      </w:r>
      <w:r>
        <w:t>.</w:t>
      </w:r>
      <w:r>
        <w:tab/>
        <w:t>Consolidation of portion of region planning scheme</w:t>
      </w:r>
      <w:bookmarkEnd w:id="182"/>
      <w:bookmarkEnd w:id="183"/>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184" w:name="_Toc155164843"/>
      <w:bookmarkStart w:id="185" w:name="_Toc135040924"/>
      <w:bookmarkStart w:id="186" w:name="_Toc135041393"/>
      <w:bookmarkStart w:id="187" w:name="_Toc135132548"/>
      <w:r>
        <w:rPr>
          <w:rStyle w:val="CharPartNo"/>
        </w:rPr>
        <w:t>Part 5</w:t>
      </w:r>
      <w:r>
        <w:t> — </w:t>
      </w:r>
      <w:r>
        <w:rPr>
          <w:rStyle w:val="CharPartText"/>
        </w:rPr>
        <w:t>Local planning schemes</w:t>
      </w:r>
      <w:bookmarkEnd w:id="184"/>
      <w:bookmarkEnd w:id="185"/>
      <w:bookmarkEnd w:id="186"/>
      <w:bookmarkEnd w:id="187"/>
    </w:p>
    <w:p>
      <w:pPr>
        <w:pStyle w:val="Heading3"/>
      </w:pPr>
      <w:bookmarkStart w:id="188" w:name="_Toc155164844"/>
      <w:bookmarkStart w:id="189" w:name="_Toc135040925"/>
      <w:bookmarkStart w:id="190" w:name="_Toc135041394"/>
      <w:bookmarkStart w:id="191" w:name="_Toc135132549"/>
      <w:r>
        <w:rPr>
          <w:rStyle w:val="CharDivNo"/>
        </w:rPr>
        <w:t>Division 1</w:t>
      </w:r>
      <w:r>
        <w:t> — </w:t>
      </w:r>
      <w:r>
        <w:rPr>
          <w:rStyle w:val="CharDivText"/>
        </w:rPr>
        <w:t>Continuation and formulation of local planning schemes</w:t>
      </w:r>
      <w:bookmarkEnd w:id="188"/>
      <w:bookmarkEnd w:id="189"/>
      <w:bookmarkEnd w:id="190"/>
      <w:bookmarkEnd w:id="191"/>
    </w:p>
    <w:p>
      <w:pPr>
        <w:pStyle w:val="Heading5"/>
      </w:pPr>
      <w:bookmarkStart w:id="192" w:name="_Toc155164845"/>
      <w:bookmarkStart w:id="193" w:name="_Toc135132550"/>
      <w:r>
        <w:rPr>
          <w:rStyle w:val="CharSectno"/>
        </w:rPr>
        <w:t>68</w:t>
      </w:r>
      <w:r>
        <w:t>.</w:t>
      </w:r>
      <w:r>
        <w:tab/>
        <w:t>Town planning schemes under repealed Act, effect of</w:t>
      </w:r>
      <w:bookmarkEnd w:id="192"/>
      <w:bookmarkEnd w:id="193"/>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No. 28 of 2010 s. 53.] </w:t>
      </w:r>
    </w:p>
    <w:p>
      <w:pPr>
        <w:pStyle w:val="Heading5"/>
      </w:pPr>
      <w:bookmarkStart w:id="194" w:name="_Toc155164846"/>
      <w:bookmarkStart w:id="195" w:name="_Toc135132551"/>
      <w:r>
        <w:rPr>
          <w:rStyle w:val="CharSectno"/>
        </w:rPr>
        <w:t>69</w:t>
      </w:r>
      <w:r>
        <w:t>.</w:t>
      </w:r>
      <w:r>
        <w:tab/>
        <w:t>General objects of schemes</w:t>
      </w:r>
      <w:bookmarkEnd w:id="194"/>
      <w:bookmarkEnd w:id="195"/>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No. 28 of 2010 s. 54.] </w:t>
      </w:r>
    </w:p>
    <w:p>
      <w:pPr>
        <w:pStyle w:val="Heading5"/>
        <w:spacing w:before="180"/>
      </w:pPr>
      <w:bookmarkStart w:id="196" w:name="_Toc155164847"/>
      <w:bookmarkStart w:id="197" w:name="_Toc135132552"/>
      <w:r>
        <w:rPr>
          <w:rStyle w:val="CharSectno"/>
        </w:rPr>
        <w:t>70</w:t>
      </w:r>
      <w:r>
        <w:t>.</w:t>
      </w:r>
      <w:r>
        <w:tab/>
        <w:t>Scheme may be made for land outside scheme or be concurrent with another scheme</w:t>
      </w:r>
      <w:bookmarkEnd w:id="196"/>
      <w:bookmarkEnd w:id="197"/>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198" w:name="_Toc155164848"/>
      <w:bookmarkStart w:id="199" w:name="_Toc135132553"/>
      <w:r>
        <w:rPr>
          <w:rStyle w:val="CharSectno"/>
        </w:rPr>
        <w:t>71</w:t>
      </w:r>
      <w:r>
        <w:t>.</w:t>
      </w:r>
      <w:r>
        <w:tab/>
        <w:t>Scheme not to apply to redevelopment area or Swan Valley</w:t>
      </w:r>
      <w:bookmarkEnd w:id="198"/>
      <w:bookmarkEnd w:id="199"/>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 or</w:t>
      </w:r>
    </w:p>
    <w:p>
      <w:pPr>
        <w:pStyle w:val="Indenta"/>
      </w:pPr>
      <w:r>
        <w:tab/>
        <w:t>(c)</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Footnotesection"/>
      </w:pPr>
      <w:r>
        <w:tab/>
        <w:t>[Section 71 inserted: No. 45 of 2011 s. 141(5); amended: No. 45 of 2020 s. 69.]</w:t>
      </w:r>
    </w:p>
    <w:p>
      <w:pPr>
        <w:pStyle w:val="Heading5"/>
        <w:spacing w:before="240"/>
      </w:pPr>
      <w:bookmarkStart w:id="200" w:name="_Toc155164849"/>
      <w:bookmarkStart w:id="201" w:name="_Toc135132554"/>
      <w:r>
        <w:rPr>
          <w:rStyle w:val="CharSectno"/>
        </w:rPr>
        <w:t>72</w:t>
      </w:r>
      <w:r>
        <w:t>.</w:t>
      </w:r>
      <w:r>
        <w:tab/>
        <w:t>Local government may prepare or adopt scheme</w:t>
      </w:r>
      <w:bookmarkEnd w:id="200"/>
      <w:bookmarkEnd w:id="201"/>
    </w:p>
    <w:p>
      <w:pPr>
        <w:pStyle w:val="Subsection"/>
        <w:keepNext/>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202" w:name="_Toc155164850"/>
      <w:bookmarkStart w:id="203" w:name="_Toc135132555"/>
      <w:r>
        <w:rPr>
          <w:rStyle w:val="CharSectno"/>
        </w:rPr>
        <w:t>73</w:t>
      </w:r>
      <w:r>
        <w:t>.</w:t>
      </w:r>
      <w:r>
        <w:tab/>
        <w:t>Contents of scheme</w:t>
      </w:r>
      <w:bookmarkEnd w:id="202"/>
      <w:bookmarkEnd w:id="203"/>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keepNext/>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No. 28 of 2010 s. 55.] </w:t>
      </w:r>
    </w:p>
    <w:p>
      <w:pPr>
        <w:pStyle w:val="Heading5"/>
        <w:spacing w:before="180"/>
      </w:pPr>
      <w:bookmarkStart w:id="204" w:name="_Toc155164851"/>
      <w:bookmarkStart w:id="205" w:name="_Toc135132556"/>
      <w:r>
        <w:rPr>
          <w:rStyle w:val="CharSectno"/>
        </w:rPr>
        <w:t>74</w:t>
      </w:r>
      <w:r>
        <w:t>.</w:t>
      </w:r>
      <w:r>
        <w:tab/>
        <w:t>Repealing scheme</w:t>
      </w:r>
      <w:bookmarkEnd w:id="204"/>
      <w:bookmarkEnd w:id="205"/>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spacing w:before="180"/>
      </w:pPr>
      <w:bookmarkStart w:id="206" w:name="_Toc155164852"/>
      <w:bookmarkStart w:id="207" w:name="_Toc135132557"/>
      <w:r>
        <w:rPr>
          <w:rStyle w:val="CharSectno"/>
        </w:rPr>
        <w:t>75</w:t>
      </w:r>
      <w:r>
        <w:t>.</w:t>
      </w:r>
      <w:r>
        <w:tab/>
        <w:t>Amending scheme</w:t>
      </w:r>
      <w:bookmarkEnd w:id="206"/>
      <w:bookmarkEnd w:id="207"/>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spacing w:before="180"/>
      </w:pPr>
      <w:bookmarkStart w:id="208" w:name="_Toc155164853"/>
      <w:bookmarkStart w:id="209" w:name="_Toc135040934"/>
      <w:bookmarkStart w:id="210" w:name="_Toc135041403"/>
      <w:bookmarkStart w:id="211" w:name="_Toc135132558"/>
      <w:r>
        <w:rPr>
          <w:rStyle w:val="CharDivNo"/>
        </w:rPr>
        <w:t>Division 2</w:t>
      </w:r>
      <w:r>
        <w:t> — </w:t>
      </w:r>
      <w:r>
        <w:rPr>
          <w:rStyle w:val="CharDivText"/>
        </w:rPr>
        <w:t>Minister’s powers in relation to local planning schemes</w:t>
      </w:r>
      <w:bookmarkEnd w:id="208"/>
      <w:bookmarkEnd w:id="209"/>
      <w:bookmarkEnd w:id="210"/>
      <w:bookmarkEnd w:id="211"/>
    </w:p>
    <w:p>
      <w:pPr>
        <w:pStyle w:val="Heading5"/>
        <w:spacing w:before="180"/>
      </w:pPr>
      <w:bookmarkStart w:id="212" w:name="_Toc155164854"/>
      <w:bookmarkStart w:id="213" w:name="_Toc135132559"/>
      <w:r>
        <w:rPr>
          <w:rStyle w:val="CharSectno"/>
        </w:rPr>
        <w:t>76</w:t>
      </w:r>
      <w:r>
        <w:t>.</w:t>
      </w:r>
      <w:r>
        <w:tab/>
        <w:t>Minister may order local government to prepare or adopt scheme or amendment</w:t>
      </w:r>
      <w:bookmarkEnd w:id="212"/>
      <w:bookmarkEnd w:id="213"/>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spacing w:before="120"/>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spacing w:before="120"/>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spacing w:before="120"/>
      </w:pPr>
      <w:r>
        <w:tab/>
        <w:t>(3)</w:t>
      </w:r>
      <w:r>
        <w:tab/>
        <w:t>A local planning scheme or an amendment approved under subsection (2) has effect as if it had been adopted by the local government and approved by the Minister under this Part.</w:t>
      </w:r>
    </w:p>
    <w:p>
      <w:pPr>
        <w:pStyle w:val="Subsection"/>
        <w:spacing w:before="120"/>
      </w:pPr>
      <w:r>
        <w:tab/>
        <w:t>(4)</w:t>
      </w:r>
      <w:r>
        <w:tab/>
        <w:t>The Minister must ensure that written reasons for making an order under subsection (1) are provided with the order.</w:t>
      </w:r>
    </w:p>
    <w:p>
      <w:pPr>
        <w:pStyle w:val="Subsection"/>
        <w:spacing w:before="120"/>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Lines/>
      </w:pPr>
      <w:r>
        <w:tab/>
        <w:t>(b)</w:t>
      </w:r>
      <w:r>
        <w:tab/>
        <w:t>a copy of the reasons for making the order.</w:t>
      </w:r>
    </w:p>
    <w:p>
      <w:pPr>
        <w:pStyle w:val="Footnotesection"/>
        <w:spacing w:before="80"/>
        <w:ind w:left="890" w:hanging="890"/>
      </w:pPr>
      <w:r>
        <w:tab/>
        <w:t xml:space="preserve">[Section 76 amended: No. 28 of 2010 s. 56(1)-(3); </w:t>
      </w:r>
      <w:r>
        <w:rPr>
          <w:spacing w:val="-4"/>
        </w:rPr>
        <w:t>No. 45 of 2011 s. 1</w:t>
      </w:r>
      <w:r>
        <w:t xml:space="preserve">41(6).] </w:t>
      </w:r>
    </w:p>
    <w:p>
      <w:pPr>
        <w:pStyle w:val="Heading5"/>
      </w:pPr>
      <w:bookmarkStart w:id="214" w:name="_Toc155164855"/>
      <w:bookmarkStart w:id="215" w:name="_Toc135132560"/>
      <w:r>
        <w:rPr>
          <w:rStyle w:val="CharSectno"/>
        </w:rPr>
        <w:t>77A</w:t>
      </w:r>
      <w:r>
        <w:t>.</w:t>
      </w:r>
      <w:r>
        <w:tab/>
        <w:t>Minister may order local government to amend scheme to be consistent with State planning policy</w:t>
      </w:r>
      <w:bookmarkEnd w:id="214"/>
      <w:bookmarkEnd w:id="215"/>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keepNext/>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No. 28 of 2010 s. 46.] </w:t>
      </w:r>
    </w:p>
    <w:p>
      <w:pPr>
        <w:pStyle w:val="Heading3"/>
        <w:spacing w:before="180"/>
      </w:pPr>
      <w:bookmarkStart w:id="216" w:name="_Toc155164856"/>
      <w:bookmarkStart w:id="217" w:name="_Toc135040937"/>
      <w:bookmarkStart w:id="218" w:name="_Toc135041406"/>
      <w:bookmarkStart w:id="219" w:name="_Toc135132561"/>
      <w:r>
        <w:rPr>
          <w:rStyle w:val="CharDivNo"/>
        </w:rPr>
        <w:t>Division 3</w:t>
      </w:r>
      <w:r>
        <w:t> — </w:t>
      </w:r>
      <w:r>
        <w:rPr>
          <w:rStyle w:val="CharDivText"/>
        </w:rPr>
        <w:t>Relevant considerations in preparation or amendment of local planning scheme</w:t>
      </w:r>
      <w:bookmarkEnd w:id="216"/>
      <w:bookmarkEnd w:id="217"/>
      <w:bookmarkEnd w:id="218"/>
      <w:bookmarkEnd w:id="219"/>
    </w:p>
    <w:p>
      <w:pPr>
        <w:pStyle w:val="Heading5"/>
        <w:spacing w:before="180"/>
      </w:pPr>
      <w:bookmarkStart w:id="220" w:name="_Toc155164857"/>
      <w:bookmarkStart w:id="221" w:name="_Toc135132562"/>
      <w:r>
        <w:rPr>
          <w:rStyle w:val="CharSectno"/>
        </w:rPr>
        <w:t>77</w:t>
      </w:r>
      <w:r>
        <w:t>.</w:t>
      </w:r>
      <w:r>
        <w:tab/>
        <w:t>State planning policies, effect of on scheme</w:t>
      </w:r>
      <w:bookmarkEnd w:id="220"/>
      <w:bookmarkEnd w:id="221"/>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spacing w:before="120"/>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spacing w:before="120"/>
      </w:pPr>
      <w:r>
        <w:tab/>
        <w:t>(3)</w:t>
      </w:r>
      <w:r>
        <w:tab/>
        <w:t>Modifications referred to in subsection (2)(b) prevail over any later amendment of the State planning policy, or subsequent policy referred to in subsection (2)(a), which is inconsistent with the modifications.</w:t>
      </w:r>
    </w:p>
    <w:p>
      <w:pPr>
        <w:pStyle w:val="Ednotesection"/>
      </w:pPr>
      <w:r>
        <w:t>[</w:t>
      </w:r>
      <w:r>
        <w:rPr>
          <w:b/>
        </w:rPr>
        <w:t>78.</w:t>
      </w:r>
      <w:r>
        <w:tab/>
        <w:t>Deleted: No. 45 of 2020 s. 70.]</w:t>
      </w:r>
    </w:p>
    <w:p>
      <w:pPr>
        <w:pStyle w:val="Heading5"/>
        <w:spacing w:before="180"/>
      </w:pPr>
      <w:bookmarkStart w:id="222" w:name="_Toc155164858"/>
      <w:bookmarkStart w:id="223" w:name="_Toc135132563"/>
      <w:r>
        <w:rPr>
          <w:rStyle w:val="CharSectno"/>
        </w:rPr>
        <w:t>79</w:t>
      </w:r>
      <w:r>
        <w:t>.</w:t>
      </w:r>
      <w:r>
        <w:tab/>
        <w:t>Heritage Council’s advice to be sought in some cases</w:t>
      </w:r>
      <w:bookmarkEnd w:id="222"/>
      <w:bookmarkEnd w:id="223"/>
    </w:p>
    <w:p>
      <w:pPr>
        <w:pStyle w:val="Subsection"/>
        <w:spacing w:before="120"/>
      </w:pPr>
      <w:r>
        <w:tab/>
      </w:r>
      <w:r>
        <w:tab/>
        <w:t xml:space="preserve">If an entry in the register established and maintained under the </w:t>
      </w:r>
      <w:r>
        <w:rPr>
          <w:i/>
        </w:rPr>
        <w:t>Heritage Act 2018</w:t>
      </w:r>
      <w:r>
        <w:t xml:space="preserve"> section 35(1) or in any local heritage survey prepared under section 103(1) of that Act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Footnotesection"/>
        <w:ind w:left="890" w:hanging="890"/>
      </w:pPr>
      <w:r>
        <w:tab/>
        <w:t>[Section 79 amended: No. 22 of 2018 s. 186(4).]</w:t>
      </w:r>
    </w:p>
    <w:p>
      <w:pPr>
        <w:pStyle w:val="Heading5"/>
        <w:keepLines w:val="0"/>
        <w:spacing w:before="180"/>
      </w:pPr>
      <w:bookmarkStart w:id="224" w:name="_Toc155164859"/>
      <w:bookmarkStart w:id="225" w:name="_Toc135132564"/>
      <w:r>
        <w:rPr>
          <w:rStyle w:val="CharSectno"/>
        </w:rPr>
        <w:t>80</w:t>
      </w:r>
      <w:r>
        <w:t>.</w:t>
      </w:r>
      <w:r>
        <w:tab/>
        <w:t>Swan and Canning Rivers management programme, effect of</w:t>
      </w:r>
      <w:bookmarkEnd w:id="224"/>
      <w:bookmarkEnd w:id="225"/>
    </w:p>
    <w:p>
      <w:pPr>
        <w:pStyle w:val="Subsection"/>
        <w:keepNext/>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ind w:left="890" w:hanging="890"/>
      </w:pPr>
      <w:r>
        <w:tab/>
        <w:t>[Section 80 amended: No. 52 of 2006 s. 6.]</w:t>
      </w:r>
    </w:p>
    <w:p>
      <w:pPr>
        <w:pStyle w:val="Heading5"/>
      </w:pPr>
      <w:bookmarkStart w:id="226" w:name="_Toc155164860"/>
      <w:bookmarkStart w:id="227" w:name="_Toc135132565"/>
      <w:r>
        <w:rPr>
          <w:rStyle w:val="CharSectno"/>
        </w:rPr>
        <w:t>81</w:t>
      </w:r>
      <w:r>
        <w:t>.</w:t>
      </w:r>
      <w:r>
        <w:tab/>
        <w:t>Proposed scheme or amendment to be referred to EPA</w:t>
      </w:r>
      <w:bookmarkEnd w:id="226"/>
      <w:bookmarkEnd w:id="227"/>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spacing w:before="180"/>
      </w:pPr>
      <w:bookmarkStart w:id="228" w:name="_Toc155164861"/>
      <w:bookmarkStart w:id="229" w:name="_Toc135132566"/>
      <w:r>
        <w:rPr>
          <w:rStyle w:val="CharSectno"/>
        </w:rPr>
        <w:t>82</w:t>
      </w:r>
      <w:r>
        <w:t>.</w:t>
      </w:r>
      <w:r>
        <w:tab/>
        <w:t>Environmental review, when required etc.</w:t>
      </w:r>
      <w:bookmarkEnd w:id="228"/>
      <w:bookmarkEnd w:id="229"/>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keepNext/>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spacing w:before="180"/>
      </w:pPr>
      <w:bookmarkStart w:id="230" w:name="_Toc155164862"/>
      <w:bookmarkStart w:id="231" w:name="_Toc135132567"/>
      <w:r>
        <w:rPr>
          <w:rStyle w:val="CharSectno"/>
        </w:rPr>
        <w:t>83</w:t>
      </w:r>
      <w:r>
        <w:t>.</w:t>
      </w:r>
      <w:r>
        <w:tab/>
        <w:t>Consultation requirements</w:t>
      </w:r>
      <w:bookmarkEnd w:id="230"/>
      <w:bookmarkEnd w:id="231"/>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keepNext w:val="0"/>
        <w:spacing w:before="180"/>
      </w:pPr>
      <w:bookmarkStart w:id="232" w:name="_Toc155164863"/>
      <w:bookmarkStart w:id="233" w:name="_Toc135040944"/>
      <w:bookmarkStart w:id="234" w:name="_Toc135041413"/>
      <w:bookmarkStart w:id="235" w:name="_Toc135132568"/>
      <w:r>
        <w:rPr>
          <w:rStyle w:val="CharDivNo"/>
        </w:rPr>
        <w:t>Division 4</w:t>
      </w:r>
      <w:r>
        <w:t> — </w:t>
      </w:r>
      <w:r>
        <w:rPr>
          <w:rStyle w:val="CharDivText"/>
        </w:rPr>
        <w:t>Advertisement and approval</w:t>
      </w:r>
      <w:bookmarkEnd w:id="232"/>
      <w:bookmarkEnd w:id="233"/>
      <w:bookmarkEnd w:id="234"/>
      <w:bookmarkEnd w:id="235"/>
    </w:p>
    <w:p>
      <w:pPr>
        <w:pStyle w:val="Heading5"/>
        <w:spacing w:before="180"/>
      </w:pPr>
      <w:bookmarkStart w:id="236" w:name="_Toc155164864"/>
      <w:bookmarkStart w:id="237" w:name="_Toc135132569"/>
      <w:r>
        <w:rPr>
          <w:rStyle w:val="CharSectno"/>
        </w:rPr>
        <w:t>84</w:t>
      </w:r>
      <w:r>
        <w:t>.</w:t>
      </w:r>
      <w:r>
        <w:tab/>
        <w:t>Advertising proposed scheme or amendment</w:t>
      </w:r>
      <w:bookmarkEnd w:id="236"/>
      <w:bookmarkEnd w:id="237"/>
    </w:p>
    <w:p>
      <w:pPr>
        <w:pStyle w:val="Subsection"/>
        <w:keepLines/>
        <w:spacing w:before="12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keepNext w:val="0"/>
        <w:keepLines w:val="0"/>
        <w:spacing w:before="180"/>
      </w:pPr>
      <w:bookmarkStart w:id="238" w:name="_Toc155164865"/>
      <w:bookmarkStart w:id="239" w:name="_Toc135132570"/>
      <w:r>
        <w:rPr>
          <w:rStyle w:val="CharSectno"/>
        </w:rPr>
        <w:t>85</w:t>
      </w:r>
      <w:r>
        <w:t>.</w:t>
      </w:r>
      <w:r>
        <w:tab/>
        <w:t>Local government’s duties if proposed scheme or amendment to be assessed under EP Act</w:t>
      </w:r>
      <w:bookmarkEnd w:id="238"/>
      <w:bookmarkEnd w:id="239"/>
    </w:p>
    <w:p>
      <w:pPr>
        <w:pStyle w:val="Subsection"/>
        <w:widowControl w:val="0"/>
        <w:spacing w:before="120"/>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6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60"/>
      </w:pPr>
      <w:r>
        <w:tab/>
        <w:t>(i)</w:t>
      </w:r>
      <w:r>
        <w:tab/>
        <w:t>made during that period; and</w:t>
      </w:r>
    </w:p>
    <w:p>
      <w:pPr>
        <w:pStyle w:val="Indenti"/>
        <w:spacing w:before="60"/>
      </w:pPr>
      <w:r>
        <w:tab/>
        <w:t>(ii)</w:t>
      </w:r>
      <w:r>
        <w:tab/>
        <w:t>relating wholly or in part to environmental issues raised by that local planning scheme or amendment;</w:t>
      </w:r>
    </w:p>
    <w:p>
      <w:pPr>
        <w:pStyle w:val="Indenta"/>
        <w:spacing w:before="60"/>
      </w:pPr>
      <w:r>
        <w:tab/>
      </w:r>
      <w:r>
        <w:tab/>
        <w:t>and</w:t>
      </w:r>
    </w:p>
    <w:p>
      <w:pPr>
        <w:pStyle w:val="Indenta"/>
        <w:spacing w:before="6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spacing w:before="160"/>
      </w:pPr>
      <w:bookmarkStart w:id="240" w:name="_Toc155164866"/>
      <w:bookmarkStart w:id="241" w:name="_Toc135132571"/>
      <w:r>
        <w:rPr>
          <w:rStyle w:val="CharSectno"/>
        </w:rPr>
        <w:t>86</w:t>
      </w:r>
      <w:r>
        <w:t>.</w:t>
      </w:r>
      <w:r>
        <w:tab/>
        <w:t>Minister not to approve proposed scheme or amendment in some cases</w:t>
      </w:r>
      <w:bookmarkEnd w:id="240"/>
      <w:bookmarkEnd w:id="241"/>
    </w:p>
    <w:p>
      <w:pPr>
        <w:pStyle w:val="Subsection"/>
        <w:spacing w:before="120"/>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local planning scheme or amendment should not be assessed by the EPA under Part IV Division 3 of the EP Act; or</w:t>
      </w:r>
    </w:p>
    <w:p>
      <w:pPr>
        <w:pStyle w:val="Indenta"/>
        <w:spacing w:before="60"/>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spacing w:before="60"/>
      </w:pPr>
      <w:r>
        <w:tab/>
        <w:t>(c)</w:t>
      </w:r>
      <w:r>
        <w:tab/>
        <w:t>the period of 28 days referred to in section 48A(1)(b)(i) of the EP Act has expired without the EPA having informed the local government under that section,</w:t>
      </w:r>
    </w:p>
    <w:p>
      <w:pPr>
        <w:pStyle w:val="Subsection"/>
        <w:spacing w:before="100"/>
      </w:pPr>
      <w:r>
        <w:tab/>
      </w:r>
      <w:r>
        <w:tab/>
        <w:t>whichever first occurs, and the Minister is satisfied that the conditions, if any, to which that amendment is subject have been incorporated into that local planning scheme or amendment.</w:t>
      </w:r>
    </w:p>
    <w:p>
      <w:pPr>
        <w:pStyle w:val="Heading5"/>
        <w:keepNext w:val="0"/>
        <w:keepLines w:val="0"/>
        <w:spacing w:before="180"/>
      </w:pPr>
      <w:bookmarkStart w:id="242" w:name="_Toc155164867"/>
      <w:bookmarkStart w:id="243" w:name="_Toc135132572"/>
      <w:r>
        <w:rPr>
          <w:rStyle w:val="CharSectno"/>
        </w:rPr>
        <w:t>87</w:t>
      </w:r>
      <w:r>
        <w:t>.</w:t>
      </w:r>
      <w:r>
        <w:tab/>
        <w:t>Approving and publicising scheme or amendment</w:t>
      </w:r>
      <w:bookmarkEnd w:id="242"/>
      <w:bookmarkEnd w:id="243"/>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keepNext/>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No. 28 of 2010 s. 57.] </w:t>
      </w:r>
    </w:p>
    <w:p>
      <w:pPr>
        <w:pStyle w:val="Heading3"/>
      </w:pPr>
      <w:bookmarkStart w:id="244" w:name="_Toc155164868"/>
      <w:bookmarkStart w:id="245" w:name="_Toc135040949"/>
      <w:bookmarkStart w:id="246" w:name="_Toc135041418"/>
      <w:bookmarkStart w:id="247" w:name="_Toc135132573"/>
      <w:r>
        <w:rPr>
          <w:rStyle w:val="CharDivNo"/>
        </w:rPr>
        <w:t>Division 5</w:t>
      </w:r>
      <w:r>
        <w:t> — </w:t>
      </w:r>
      <w:r>
        <w:rPr>
          <w:rStyle w:val="CharDivText"/>
        </w:rPr>
        <w:t>Review of local planning schemes</w:t>
      </w:r>
      <w:bookmarkEnd w:id="244"/>
      <w:bookmarkEnd w:id="245"/>
      <w:bookmarkEnd w:id="246"/>
      <w:bookmarkEnd w:id="247"/>
    </w:p>
    <w:p>
      <w:pPr>
        <w:pStyle w:val="Heading5"/>
      </w:pPr>
      <w:bookmarkStart w:id="248" w:name="_Toc155164869"/>
      <w:bookmarkStart w:id="249" w:name="_Toc135132574"/>
      <w:r>
        <w:rPr>
          <w:rStyle w:val="CharSectno"/>
        </w:rPr>
        <w:t>88</w:t>
      </w:r>
      <w:r>
        <w:t>.</w:t>
      </w:r>
      <w:r>
        <w:tab/>
        <w:t>Consolidated scheme, when to be prepared</w:t>
      </w:r>
      <w:bookmarkEnd w:id="248"/>
      <w:bookmarkEnd w:id="249"/>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spacing w:before="180"/>
      </w:pPr>
      <w:bookmarkStart w:id="250" w:name="_Toc155164870"/>
      <w:bookmarkStart w:id="251" w:name="_Toc135132575"/>
      <w:r>
        <w:rPr>
          <w:rStyle w:val="CharSectno"/>
        </w:rPr>
        <w:t>89</w:t>
      </w:r>
      <w:r>
        <w:t>.</w:t>
      </w:r>
      <w:r>
        <w:tab/>
        <w:t>Consolidated scheme, public submissions to be sought on</w:t>
      </w:r>
      <w:bookmarkEnd w:id="250"/>
      <w:bookmarkEnd w:id="251"/>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252" w:name="_Toc155164871"/>
      <w:bookmarkStart w:id="253" w:name="_Toc135132576"/>
      <w:r>
        <w:rPr>
          <w:rStyle w:val="CharSectno"/>
        </w:rPr>
        <w:t>90</w:t>
      </w:r>
      <w:r>
        <w:t>.</w:t>
      </w:r>
      <w:r>
        <w:tab/>
        <w:t>Consolidated scheme, report on operation of required</w:t>
      </w:r>
      <w:bookmarkEnd w:id="252"/>
      <w:bookmarkEnd w:id="253"/>
    </w:p>
    <w:p>
      <w:pPr>
        <w:pStyle w:val="Subsection"/>
      </w:pPr>
      <w:r>
        <w:tab/>
        <w:t>(1)</w:t>
      </w:r>
      <w:r>
        <w:tab/>
        <w:t>Not later than 6 months after preparing a consolidation of a local planning scheme, the local government is to make a report to the Minister on the operation of the scheme.</w:t>
      </w:r>
    </w:p>
    <w:p>
      <w:pPr>
        <w:pStyle w:val="Subsection"/>
        <w:keepNext/>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keepNext/>
      </w:pPr>
      <w:r>
        <w:tab/>
        <w:t>(iii)</w:t>
      </w:r>
      <w:r>
        <w:tab/>
        <w:t>should be repealed and a new scheme prepared in its place; or</w:t>
      </w:r>
    </w:p>
    <w:p>
      <w:pPr>
        <w:pStyle w:val="Indenti"/>
      </w:pPr>
      <w:r>
        <w:tab/>
        <w:t>(iv)</w:t>
      </w:r>
      <w:r>
        <w:tab/>
        <w:t>should be repealed.</w:t>
      </w:r>
    </w:p>
    <w:p>
      <w:pPr>
        <w:pStyle w:val="Heading5"/>
        <w:spacing w:before="180"/>
      </w:pPr>
      <w:bookmarkStart w:id="254" w:name="_Toc155164872"/>
      <w:bookmarkStart w:id="255" w:name="_Toc135132577"/>
      <w:r>
        <w:rPr>
          <w:rStyle w:val="CharSectno"/>
        </w:rPr>
        <w:t>91</w:t>
      </w:r>
      <w:r>
        <w:t>.</w:t>
      </w:r>
      <w:r>
        <w:tab/>
        <w:t>Procedure if s. 90 report does not recommend change to scheme</w:t>
      </w:r>
      <w:bookmarkEnd w:id="254"/>
      <w:bookmarkEnd w:id="255"/>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80"/>
      </w:pPr>
      <w:bookmarkStart w:id="256" w:name="_Toc155164873"/>
      <w:bookmarkStart w:id="257" w:name="_Toc135132578"/>
      <w:r>
        <w:rPr>
          <w:rStyle w:val="CharSectno"/>
        </w:rPr>
        <w:t>92</w:t>
      </w:r>
      <w:r>
        <w:t>.</w:t>
      </w:r>
      <w:r>
        <w:tab/>
        <w:t>Procedure if s. 90 report recommends change to scheme</w:t>
      </w:r>
      <w:bookmarkEnd w:id="256"/>
      <w:bookmarkEnd w:id="257"/>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keepNext/>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258" w:name="_Toc155164874"/>
      <w:bookmarkStart w:id="259" w:name="_Toc135132579"/>
      <w:r>
        <w:rPr>
          <w:rStyle w:val="CharSectno"/>
        </w:rPr>
        <w:t>93</w:t>
      </w:r>
      <w:r>
        <w:t>.</w:t>
      </w:r>
      <w:r>
        <w:tab/>
        <w:t>Consolidated scheme, effect of publication of</w:t>
      </w:r>
      <w:bookmarkEnd w:id="258"/>
      <w:bookmarkEnd w:id="259"/>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260" w:name="_Toc155164875"/>
      <w:bookmarkStart w:id="261" w:name="_Toc135132580"/>
      <w:r>
        <w:rPr>
          <w:rStyle w:val="CharSectno"/>
        </w:rPr>
        <w:t>94</w:t>
      </w:r>
      <w:r>
        <w:t>.</w:t>
      </w:r>
      <w:r>
        <w:tab/>
        <w:t>Procedure if new scheme prepared following s. 90 report</w:t>
      </w:r>
      <w:bookmarkEnd w:id="260"/>
      <w:bookmarkEnd w:id="261"/>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262" w:name="_Toc155164876"/>
      <w:bookmarkStart w:id="263" w:name="_Toc135132581"/>
      <w:r>
        <w:rPr>
          <w:rStyle w:val="CharSectno"/>
        </w:rPr>
        <w:t>95</w:t>
      </w:r>
      <w:r>
        <w:t>.</w:t>
      </w:r>
      <w:r>
        <w:tab/>
        <w:t>Procedure if scheme repealed following s. 90 report</w:t>
      </w:r>
      <w:bookmarkEnd w:id="262"/>
      <w:bookmarkEnd w:id="263"/>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264" w:name="_Toc155164877"/>
      <w:bookmarkStart w:id="265" w:name="_Toc135132582"/>
      <w:r>
        <w:rPr>
          <w:rStyle w:val="CharSectno"/>
        </w:rPr>
        <w:t>96</w:t>
      </w:r>
      <w:r>
        <w:t>.</w:t>
      </w:r>
      <w:r>
        <w:tab/>
        <w:t>Consolidation of 2 or more schemes, when this Div. applies to</w:t>
      </w:r>
      <w:bookmarkEnd w:id="264"/>
      <w:bookmarkEnd w:id="265"/>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spacing w:before="180"/>
      </w:pPr>
      <w:bookmarkStart w:id="266" w:name="_Toc155164878"/>
      <w:bookmarkStart w:id="267" w:name="_Toc135040959"/>
      <w:bookmarkStart w:id="268" w:name="_Toc135041428"/>
      <w:bookmarkStart w:id="269" w:name="_Toc135132583"/>
      <w:r>
        <w:rPr>
          <w:rStyle w:val="CharDivNo"/>
        </w:rPr>
        <w:t>Division 6</w:t>
      </w:r>
      <w:r>
        <w:t> — </w:t>
      </w:r>
      <w:r>
        <w:rPr>
          <w:rStyle w:val="CharDivText"/>
        </w:rPr>
        <w:t>Crown land</w:t>
      </w:r>
      <w:bookmarkEnd w:id="266"/>
      <w:bookmarkEnd w:id="267"/>
      <w:bookmarkEnd w:id="268"/>
      <w:bookmarkEnd w:id="269"/>
    </w:p>
    <w:p>
      <w:pPr>
        <w:pStyle w:val="Heading5"/>
        <w:spacing w:before="180"/>
      </w:pPr>
      <w:bookmarkStart w:id="270" w:name="_Toc155164879"/>
      <w:bookmarkStart w:id="271" w:name="_Toc135132584"/>
      <w:r>
        <w:rPr>
          <w:rStyle w:val="CharSectno"/>
        </w:rPr>
        <w:t>97</w:t>
      </w:r>
      <w:r>
        <w:t>.</w:t>
      </w:r>
      <w:r>
        <w:tab/>
        <w:t>Schemes for Crown lands</w:t>
      </w:r>
      <w:bookmarkEnd w:id="270"/>
      <w:bookmarkEnd w:id="271"/>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keepNext/>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272" w:name="_Toc155164880"/>
      <w:bookmarkStart w:id="273" w:name="_Toc135040961"/>
      <w:bookmarkStart w:id="274" w:name="_Toc135041430"/>
      <w:bookmarkStart w:id="275" w:name="_Toc135132585"/>
      <w:r>
        <w:rPr>
          <w:rStyle w:val="CharPartNo"/>
        </w:rPr>
        <w:t>Part 6</w:t>
      </w:r>
      <w:r>
        <w:t> — </w:t>
      </w:r>
      <w:r>
        <w:rPr>
          <w:rStyle w:val="CharPartText"/>
        </w:rPr>
        <w:t>Interim development orders</w:t>
      </w:r>
      <w:bookmarkEnd w:id="272"/>
      <w:bookmarkEnd w:id="273"/>
      <w:bookmarkEnd w:id="274"/>
      <w:bookmarkEnd w:id="275"/>
    </w:p>
    <w:p>
      <w:pPr>
        <w:pStyle w:val="Heading3"/>
      </w:pPr>
      <w:bookmarkStart w:id="276" w:name="_Toc155164881"/>
      <w:bookmarkStart w:id="277" w:name="_Toc135040962"/>
      <w:bookmarkStart w:id="278" w:name="_Toc135041431"/>
      <w:bookmarkStart w:id="279" w:name="_Toc135132586"/>
      <w:r>
        <w:rPr>
          <w:rStyle w:val="CharDivNo"/>
        </w:rPr>
        <w:t>Division 1</w:t>
      </w:r>
      <w:r>
        <w:t> — </w:t>
      </w:r>
      <w:r>
        <w:rPr>
          <w:rStyle w:val="CharDivText"/>
        </w:rPr>
        <w:t>Regional interim development orders</w:t>
      </w:r>
      <w:bookmarkEnd w:id="276"/>
      <w:bookmarkEnd w:id="277"/>
      <w:bookmarkEnd w:id="278"/>
      <w:bookmarkEnd w:id="279"/>
    </w:p>
    <w:p>
      <w:pPr>
        <w:pStyle w:val="Heading5"/>
      </w:pPr>
      <w:bookmarkStart w:id="280" w:name="_Toc155164882"/>
      <w:bookmarkStart w:id="281" w:name="_Toc135132587"/>
      <w:r>
        <w:rPr>
          <w:rStyle w:val="CharSectno"/>
        </w:rPr>
        <w:t>98</w:t>
      </w:r>
      <w:r>
        <w:t>.</w:t>
      </w:r>
      <w:r>
        <w:tab/>
        <w:t>Making and purpose of order</w:t>
      </w:r>
      <w:bookmarkEnd w:id="280"/>
      <w:bookmarkEnd w:id="281"/>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282" w:name="_Toc155164883"/>
      <w:bookmarkStart w:id="283" w:name="_Toc135132588"/>
      <w:r>
        <w:rPr>
          <w:rStyle w:val="CharSectno"/>
        </w:rPr>
        <w:t>99</w:t>
      </w:r>
      <w:r>
        <w:t>.</w:t>
      </w:r>
      <w:r>
        <w:tab/>
        <w:t>Contents of order</w:t>
      </w:r>
      <w:bookmarkEnd w:id="282"/>
      <w:bookmarkEnd w:id="283"/>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284" w:name="_Toc155164884"/>
      <w:bookmarkStart w:id="285" w:name="_Toc135132589"/>
      <w:r>
        <w:rPr>
          <w:rStyle w:val="CharSectno"/>
        </w:rPr>
        <w:t>100</w:t>
      </w:r>
      <w:r>
        <w:t>.</w:t>
      </w:r>
      <w:r>
        <w:tab/>
        <w:t>Commission to consult local government on some development applications</w:t>
      </w:r>
      <w:bookmarkEnd w:id="284"/>
      <w:bookmarkEnd w:id="285"/>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286" w:name="_Toc155164885"/>
      <w:bookmarkStart w:id="287" w:name="_Toc135132590"/>
      <w:r>
        <w:rPr>
          <w:rStyle w:val="CharSectno"/>
        </w:rPr>
        <w:t>101</w:t>
      </w:r>
      <w:r>
        <w:t>.</w:t>
      </w:r>
      <w:r>
        <w:tab/>
        <w:t>Restrictions on power to grant development approval</w:t>
      </w:r>
      <w:bookmarkEnd w:id="286"/>
      <w:bookmarkEnd w:id="287"/>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288" w:name="_Toc155164886"/>
      <w:bookmarkStart w:id="289" w:name="_Toc135040967"/>
      <w:bookmarkStart w:id="290" w:name="_Toc135041436"/>
      <w:bookmarkStart w:id="291" w:name="_Toc135132591"/>
      <w:r>
        <w:rPr>
          <w:rStyle w:val="CharDivNo"/>
        </w:rPr>
        <w:t>Division 2</w:t>
      </w:r>
      <w:r>
        <w:t> — </w:t>
      </w:r>
      <w:r>
        <w:rPr>
          <w:rStyle w:val="CharDivText"/>
        </w:rPr>
        <w:t>Local interim development orders</w:t>
      </w:r>
      <w:bookmarkEnd w:id="288"/>
      <w:bookmarkEnd w:id="289"/>
      <w:bookmarkEnd w:id="290"/>
      <w:bookmarkEnd w:id="291"/>
    </w:p>
    <w:p>
      <w:pPr>
        <w:pStyle w:val="Heading5"/>
      </w:pPr>
      <w:bookmarkStart w:id="292" w:name="_Toc155164887"/>
      <w:bookmarkStart w:id="293" w:name="_Toc135132592"/>
      <w:r>
        <w:rPr>
          <w:rStyle w:val="CharSectno"/>
        </w:rPr>
        <w:t>102</w:t>
      </w:r>
      <w:r>
        <w:t>.</w:t>
      </w:r>
      <w:r>
        <w:tab/>
        <w:t>Making and purpose of order</w:t>
      </w:r>
      <w:bookmarkEnd w:id="292"/>
      <w:bookmarkEnd w:id="293"/>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294" w:name="_Toc155164888"/>
      <w:bookmarkStart w:id="295" w:name="_Toc135132593"/>
      <w:r>
        <w:rPr>
          <w:rStyle w:val="CharSectno"/>
        </w:rPr>
        <w:t>103</w:t>
      </w:r>
      <w:r>
        <w:t>.</w:t>
      </w:r>
      <w:r>
        <w:tab/>
        <w:t>Contents of order</w:t>
      </w:r>
      <w:bookmarkEnd w:id="294"/>
      <w:bookmarkEnd w:id="295"/>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Act 2018 </w:t>
      </w:r>
      <w:r>
        <w:t xml:space="preserve">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Footnotesection"/>
        <w:ind w:left="890" w:hanging="890"/>
      </w:pPr>
      <w:r>
        <w:tab/>
        <w:t>[Section 103 amended: No. 22 of 2018 s. 186(5).]</w:t>
      </w:r>
    </w:p>
    <w:p>
      <w:pPr>
        <w:pStyle w:val="Heading3"/>
        <w:spacing w:before="280"/>
      </w:pPr>
      <w:bookmarkStart w:id="296" w:name="_Toc155164889"/>
      <w:bookmarkStart w:id="297" w:name="_Toc135040970"/>
      <w:bookmarkStart w:id="298" w:name="_Toc135041439"/>
      <w:bookmarkStart w:id="299" w:name="_Toc135132594"/>
      <w:r>
        <w:rPr>
          <w:rStyle w:val="CharDivNo"/>
        </w:rPr>
        <w:t>Division 3</w:t>
      </w:r>
      <w:r>
        <w:t> — </w:t>
      </w:r>
      <w:r>
        <w:rPr>
          <w:rStyle w:val="CharDivText"/>
        </w:rPr>
        <w:t>Provisions applying to regional and local interim development orders</w:t>
      </w:r>
      <w:bookmarkEnd w:id="296"/>
      <w:bookmarkEnd w:id="297"/>
      <w:bookmarkEnd w:id="298"/>
      <w:bookmarkEnd w:id="299"/>
    </w:p>
    <w:p>
      <w:pPr>
        <w:pStyle w:val="Heading5"/>
      </w:pPr>
      <w:bookmarkStart w:id="300" w:name="_Toc155164890"/>
      <w:bookmarkStart w:id="301" w:name="_Toc135132595"/>
      <w:r>
        <w:rPr>
          <w:rStyle w:val="CharSectno"/>
        </w:rPr>
        <w:t>104</w:t>
      </w:r>
      <w:r>
        <w:t>.</w:t>
      </w:r>
      <w:r>
        <w:tab/>
        <w:t>Consultation requirements</w:t>
      </w:r>
      <w:bookmarkEnd w:id="300"/>
      <w:bookmarkEnd w:id="301"/>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302" w:name="_Toc155164891"/>
      <w:bookmarkStart w:id="303" w:name="_Toc135132596"/>
      <w:r>
        <w:rPr>
          <w:rStyle w:val="CharSectno"/>
        </w:rPr>
        <w:t>105</w:t>
      </w:r>
      <w:r>
        <w:t>.</w:t>
      </w:r>
      <w:r>
        <w:tab/>
        <w:t>Publicising interim development order</w:t>
      </w:r>
      <w:bookmarkEnd w:id="302"/>
      <w:bookmarkEnd w:id="303"/>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304" w:name="_Toc155164892"/>
      <w:bookmarkStart w:id="305" w:name="_Toc135132597"/>
      <w:r>
        <w:rPr>
          <w:rStyle w:val="CharSectno"/>
        </w:rPr>
        <w:t>106</w:t>
      </w:r>
      <w:r>
        <w:t>.</w:t>
      </w:r>
      <w:r>
        <w:tab/>
        <w:t>Administration of interim development order</w:t>
      </w:r>
      <w:bookmarkEnd w:id="304"/>
      <w:bookmarkEnd w:id="305"/>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306" w:name="_Toc155164893"/>
      <w:bookmarkStart w:id="307" w:name="_Toc135132598"/>
      <w:r>
        <w:rPr>
          <w:rStyle w:val="CharSectno"/>
        </w:rPr>
        <w:t>107</w:t>
      </w:r>
      <w:r>
        <w:t>.</w:t>
      </w:r>
      <w:r>
        <w:tab/>
        <w:t>Effect and duration of interim development order</w:t>
      </w:r>
      <w:bookmarkEnd w:id="306"/>
      <w:bookmarkEnd w:id="307"/>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308" w:name="_Toc155164894"/>
      <w:bookmarkStart w:id="309" w:name="_Toc135132599"/>
      <w:r>
        <w:rPr>
          <w:rStyle w:val="CharSectno"/>
        </w:rPr>
        <w:t>108</w:t>
      </w:r>
      <w:r>
        <w:t>.</w:t>
      </w:r>
      <w:r>
        <w:tab/>
        <w:t>Existing lawful development not affected</w:t>
      </w:r>
      <w:bookmarkEnd w:id="308"/>
      <w:bookmarkEnd w:id="309"/>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310" w:name="_Toc155164895"/>
      <w:bookmarkStart w:id="311" w:name="_Toc135132600"/>
      <w:r>
        <w:rPr>
          <w:rStyle w:val="CharSectno"/>
        </w:rPr>
        <w:t>109</w:t>
      </w:r>
      <w:r>
        <w:t>.</w:t>
      </w:r>
      <w:r>
        <w:tab/>
        <w:t>Amending interim development order</w:t>
      </w:r>
      <w:bookmarkEnd w:id="310"/>
      <w:bookmarkEnd w:id="311"/>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312" w:name="_Toc155164896"/>
      <w:bookmarkStart w:id="313" w:name="_Toc135132601"/>
      <w:r>
        <w:rPr>
          <w:rStyle w:val="CharSectno"/>
        </w:rPr>
        <w:t>110</w:t>
      </w:r>
      <w:r>
        <w:t>.</w:t>
      </w:r>
      <w:r>
        <w:tab/>
        <w:t>Revoking interim development order</w:t>
      </w:r>
      <w:bookmarkEnd w:id="312"/>
      <w:bookmarkEnd w:id="313"/>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314" w:name="_Toc155164897"/>
      <w:bookmarkStart w:id="315" w:name="_Toc135132602"/>
      <w:r>
        <w:rPr>
          <w:rStyle w:val="CharSectno"/>
        </w:rPr>
        <w:t>111</w:t>
      </w:r>
      <w:r>
        <w:t>.</w:t>
      </w:r>
      <w:r>
        <w:tab/>
        <w:t>Non</w:t>
      </w:r>
      <w:r>
        <w:noBreakHyphen/>
        <w:t>conforming development by local government or public authority, procedure for</w:t>
      </w:r>
      <w:bookmarkEnd w:id="314"/>
      <w:bookmarkEnd w:id="315"/>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No. 8 of 2009 s. 100(2).]</w:t>
      </w:r>
    </w:p>
    <w:p>
      <w:pPr>
        <w:pStyle w:val="Heading2"/>
      </w:pPr>
      <w:bookmarkStart w:id="316" w:name="_Toc155164898"/>
      <w:bookmarkStart w:id="317" w:name="_Toc135040979"/>
      <w:bookmarkStart w:id="318" w:name="_Toc135041448"/>
      <w:bookmarkStart w:id="319" w:name="_Toc135132603"/>
      <w:r>
        <w:rPr>
          <w:rStyle w:val="CharPartNo"/>
        </w:rPr>
        <w:t>Part 7</w:t>
      </w:r>
      <w:r>
        <w:rPr>
          <w:rStyle w:val="CharDivNo"/>
        </w:rPr>
        <w:t> </w:t>
      </w:r>
      <w:r>
        <w:t>—</w:t>
      </w:r>
      <w:r>
        <w:rPr>
          <w:rStyle w:val="CharDivText"/>
        </w:rPr>
        <w:t> </w:t>
      </w:r>
      <w:r>
        <w:rPr>
          <w:rStyle w:val="CharPartText"/>
        </w:rPr>
        <w:t>Planning control areas</w:t>
      </w:r>
      <w:bookmarkEnd w:id="316"/>
      <w:bookmarkEnd w:id="317"/>
      <w:bookmarkEnd w:id="318"/>
      <w:bookmarkEnd w:id="319"/>
    </w:p>
    <w:p>
      <w:pPr>
        <w:pStyle w:val="Heading5"/>
      </w:pPr>
      <w:bookmarkStart w:id="320" w:name="_Toc155164899"/>
      <w:bookmarkStart w:id="321" w:name="_Toc135132604"/>
      <w:r>
        <w:rPr>
          <w:rStyle w:val="CharSectno"/>
        </w:rPr>
        <w:t>112</w:t>
      </w:r>
      <w:r>
        <w:t>.</w:t>
      </w:r>
      <w:r>
        <w:tab/>
        <w:t>Declaration of planning control areas</w:t>
      </w:r>
      <w:bookmarkEnd w:id="320"/>
      <w:bookmarkEnd w:id="321"/>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Ednotesubsection"/>
      </w:pPr>
      <w:r>
        <w:tab/>
        <w:t>[(3)</w:t>
      </w:r>
      <w:r>
        <w:tab/>
        <w:t>deleted]</w:t>
      </w:r>
    </w:p>
    <w:p>
      <w:pPr>
        <w:pStyle w:val="Subsection"/>
      </w:pPr>
      <w:r>
        <w:tab/>
        <w:t>(4)</w:t>
      </w:r>
      <w:r>
        <w:tab/>
        <w:t xml:space="preserve">This Part and the operation of any approval of development granted under this Part have effect subject to the </w:t>
      </w:r>
      <w:r>
        <w:rPr>
          <w:i/>
        </w:rPr>
        <w:t>Heritage Act 2018</w:t>
      </w:r>
      <w:r>
        <w:t xml:space="preserve"> Part 5 Division 2.</w:t>
      </w:r>
    </w:p>
    <w:p>
      <w:pPr>
        <w:pStyle w:val="Subsection"/>
      </w:pPr>
      <w:r>
        <w:tab/>
        <w:t>(5)</w:t>
      </w:r>
      <w:r>
        <w:tab/>
        <w:t xml:space="preserve">Where any land is comprised within an area to which the Commission considers that this section should apply and is land to which the </w:t>
      </w:r>
      <w:r>
        <w:rPr>
          <w:i/>
        </w:rPr>
        <w:t xml:space="preserve">Heritage Act 2018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No. 52 of 2006 s. 6; No. 28 of 2010 s. 58; </w:t>
      </w:r>
      <w:r>
        <w:rPr>
          <w:spacing w:val="-4"/>
        </w:rPr>
        <w:t>No. 45 of 2011 s. 1</w:t>
      </w:r>
      <w:r>
        <w:t>41(7); No. 22 of 2018 s. 186(6) and (7); No. 45 of 2020 s. 71.]</w:t>
      </w:r>
    </w:p>
    <w:p>
      <w:pPr>
        <w:pStyle w:val="Heading5"/>
      </w:pPr>
      <w:bookmarkStart w:id="322" w:name="_Toc155164900"/>
      <w:bookmarkStart w:id="323" w:name="_Toc135132605"/>
      <w:r>
        <w:rPr>
          <w:rStyle w:val="CharSectno"/>
        </w:rPr>
        <w:t>113</w:t>
      </w:r>
      <w:r>
        <w:t>.</w:t>
      </w:r>
      <w:r>
        <w:tab/>
        <w:t>Amending or revoking s. 112 declaration</w:t>
      </w:r>
      <w:bookmarkEnd w:id="322"/>
      <w:bookmarkEnd w:id="323"/>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324" w:name="_Toc155164901"/>
      <w:bookmarkStart w:id="325" w:name="_Toc135132606"/>
      <w:r>
        <w:rPr>
          <w:rStyle w:val="CharSectno"/>
        </w:rPr>
        <w:t>114</w:t>
      </w:r>
      <w:r>
        <w:t>.</w:t>
      </w:r>
      <w:r>
        <w:tab/>
        <w:t>Duration of s. 112 declaration</w:t>
      </w:r>
      <w:bookmarkEnd w:id="324"/>
      <w:bookmarkEnd w:id="325"/>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326" w:name="_Toc155164902"/>
      <w:bookmarkStart w:id="327" w:name="_Toc135132607"/>
      <w:r>
        <w:rPr>
          <w:rStyle w:val="CharSectno"/>
        </w:rPr>
        <w:t>115</w:t>
      </w:r>
      <w:r>
        <w:t>.</w:t>
      </w:r>
      <w:r>
        <w:tab/>
        <w:t>Development in planning control area, applying for approval of</w:t>
      </w:r>
      <w:bookmarkEnd w:id="326"/>
      <w:bookmarkEnd w:id="327"/>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328" w:name="_Toc155164903"/>
      <w:bookmarkStart w:id="329" w:name="_Toc135132608"/>
      <w:r>
        <w:rPr>
          <w:rStyle w:val="CharSectno"/>
        </w:rPr>
        <w:t>116</w:t>
      </w:r>
      <w:r>
        <w:t>.</w:t>
      </w:r>
      <w:r>
        <w:tab/>
        <w:t>Commission may approve or refuse s. 115 application</w:t>
      </w:r>
      <w:bookmarkEnd w:id="328"/>
      <w:bookmarkEnd w:id="329"/>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No. 28 of 2010 s. 59.] </w:t>
      </w:r>
    </w:p>
    <w:p>
      <w:pPr>
        <w:pStyle w:val="Heading5"/>
        <w:spacing w:before="240"/>
      </w:pPr>
      <w:bookmarkStart w:id="330" w:name="_Toc155164904"/>
      <w:bookmarkStart w:id="331" w:name="_Toc135132609"/>
      <w:r>
        <w:rPr>
          <w:rStyle w:val="CharSectno"/>
        </w:rPr>
        <w:t>117</w:t>
      </w:r>
      <w:r>
        <w:t>.</w:t>
      </w:r>
      <w:r>
        <w:tab/>
        <w:t>Commission may revoke approval if development does not conform with it</w:t>
      </w:r>
      <w:bookmarkEnd w:id="330"/>
      <w:bookmarkEnd w:id="331"/>
    </w:p>
    <w:p>
      <w:pPr>
        <w:pStyle w:val="Subsection"/>
        <w:spacing w:before="180"/>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332" w:name="_Toc155164905"/>
      <w:bookmarkStart w:id="333" w:name="_Toc135132610"/>
      <w:r>
        <w:rPr>
          <w:rStyle w:val="CharSectno"/>
        </w:rPr>
        <w:t>118</w:t>
      </w:r>
      <w:r>
        <w:t>.</w:t>
      </w:r>
      <w:r>
        <w:tab/>
        <w:t>Existing lawful development not affected</w:t>
      </w:r>
      <w:bookmarkEnd w:id="332"/>
      <w:bookmarkEnd w:id="333"/>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334" w:name="_Toc155164906"/>
      <w:bookmarkStart w:id="335" w:name="_Toc135040987"/>
      <w:bookmarkStart w:id="336" w:name="_Toc135041456"/>
      <w:bookmarkStart w:id="337" w:name="_Toc135132611"/>
      <w:r>
        <w:rPr>
          <w:rStyle w:val="CharPartNo"/>
        </w:rPr>
        <w:t>Part 8</w:t>
      </w:r>
      <w:r>
        <w:rPr>
          <w:b w:val="0"/>
        </w:rPr>
        <w:t> </w:t>
      </w:r>
      <w:r>
        <w:t>—</w:t>
      </w:r>
      <w:r>
        <w:rPr>
          <w:b w:val="0"/>
        </w:rPr>
        <w:t> </w:t>
      </w:r>
      <w:r>
        <w:rPr>
          <w:rStyle w:val="CharPartText"/>
        </w:rPr>
        <w:t>Improvement plans and schemes</w:t>
      </w:r>
      <w:bookmarkEnd w:id="334"/>
      <w:bookmarkEnd w:id="335"/>
      <w:bookmarkEnd w:id="336"/>
      <w:bookmarkEnd w:id="337"/>
    </w:p>
    <w:p>
      <w:pPr>
        <w:pStyle w:val="Footnoteheading"/>
      </w:pPr>
      <w:r>
        <w:tab/>
        <w:t>[Heading inserted: No. 28 of 2010 s. 9.]</w:t>
      </w:r>
    </w:p>
    <w:p>
      <w:pPr>
        <w:pStyle w:val="Heading3"/>
      </w:pPr>
      <w:bookmarkStart w:id="338" w:name="_Toc155164907"/>
      <w:bookmarkStart w:id="339" w:name="_Toc135040988"/>
      <w:bookmarkStart w:id="340" w:name="_Toc135041457"/>
      <w:bookmarkStart w:id="341" w:name="_Toc135132612"/>
      <w:r>
        <w:rPr>
          <w:rStyle w:val="CharDivNo"/>
        </w:rPr>
        <w:t>Division 1</w:t>
      </w:r>
      <w:r>
        <w:t> — </w:t>
      </w:r>
      <w:r>
        <w:rPr>
          <w:rStyle w:val="CharDivText"/>
        </w:rPr>
        <w:t>Improvement plans</w:t>
      </w:r>
      <w:bookmarkEnd w:id="338"/>
      <w:bookmarkEnd w:id="339"/>
      <w:bookmarkEnd w:id="340"/>
      <w:bookmarkEnd w:id="341"/>
    </w:p>
    <w:p>
      <w:pPr>
        <w:pStyle w:val="Footnoteheading"/>
      </w:pPr>
      <w:r>
        <w:tab/>
        <w:t>[Heading inserted: No. 28 of 2010 s. 9.]</w:t>
      </w:r>
    </w:p>
    <w:p>
      <w:pPr>
        <w:pStyle w:val="Heading5"/>
      </w:pPr>
      <w:bookmarkStart w:id="342" w:name="_Toc155164908"/>
      <w:bookmarkStart w:id="343" w:name="_Toc135132613"/>
      <w:r>
        <w:rPr>
          <w:rStyle w:val="CharSectno"/>
        </w:rPr>
        <w:t>119</w:t>
      </w:r>
      <w:r>
        <w:t>.</w:t>
      </w:r>
      <w:r>
        <w:tab/>
        <w:t>Preparing and making improvement plan</w:t>
      </w:r>
      <w:bookmarkEnd w:id="342"/>
      <w:bookmarkEnd w:id="343"/>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(2A)</w:t>
      </w:r>
      <w:r>
        <w:tab/>
        <w:t>A recommendation under subsection (1) may relate to land in 1 or more districts.</w:t>
      </w:r>
    </w:p>
    <w:p>
      <w:pPr>
        <w:pStyle w:val="Subsection"/>
        <w:keepNext/>
      </w:pPr>
      <w:r>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 or</w:t>
      </w:r>
    </w:p>
    <w:p>
      <w:pPr>
        <w:pStyle w:val="Indenta"/>
      </w:pPr>
      <w:r>
        <w:tab/>
        <w:t>(d)</w:t>
      </w:r>
      <w:r>
        <w:tab/>
        <w:t>in the Swan Valley.</w:t>
      </w:r>
    </w:p>
    <w:p>
      <w:pPr>
        <w:pStyle w:val="Subsection"/>
      </w:pPr>
      <w:r>
        <w:tab/>
        <w:t>(3B)</w:t>
      </w:r>
      <w:r>
        <w:tab/>
        <w:t xml:space="preserve">Before making a recommendation under subsection (1) in relation to any land, the Commission must consult with — </w:t>
      </w:r>
    </w:p>
    <w:p>
      <w:pPr>
        <w:pStyle w:val="Indenta"/>
      </w:pPr>
      <w:r>
        <w:tab/>
        <w:t>(a)</w:t>
      </w:r>
      <w:r>
        <w:tab/>
        <w:t>the local government for the district in which the land is situated; or</w:t>
      </w:r>
    </w:p>
    <w:p>
      <w:pPr>
        <w:pStyle w:val="Indenta"/>
      </w:pPr>
      <w:r>
        <w:tab/>
        <w:t>(b)</w:t>
      </w:r>
      <w:r>
        <w:tab/>
        <w:t>if the land is situated in more than 1 district — each of the local governments for those districts.</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keepNext/>
      </w:pPr>
      <w:r>
        <w:tab/>
        <w:t>(5)</w:t>
      </w:r>
      <w:r>
        <w:tab/>
        <w:t>Section 195 applies in respect of the acquisition of land included in an improvement plan in force under this section.</w:t>
      </w:r>
    </w:p>
    <w:p>
      <w:pPr>
        <w:pStyle w:val="Footnotesection"/>
      </w:pPr>
      <w:r>
        <w:tab/>
        <w:t xml:space="preserve">[Section 119 amended: No. 28 of 2010 s. 10; </w:t>
      </w:r>
      <w:r>
        <w:rPr>
          <w:spacing w:val="-4"/>
        </w:rPr>
        <w:t>No. 45 of 2011 s. 1</w:t>
      </w:r>
      <w:r>
        <w:t xml:space="preserve">41(8); No. 26 of 2020 s. 97; No. 45 of 2020 s. 72.] </w:t>
      </w:r>
    </w:p>
    <w:p>
      <w:pPr>
        <w:pStyle w:val="Heading5"/>
        <w:spacing w:before="120"/>
      </w:pPr>
      <w:bookmarkStart w:id="344" w:name="_Toc155164909"/>
      <w:bookmarkStart w:id="345" w:name="_Toc135132614"/>
      <w:r>
        <w:rPr>
          <w:rStyle w:val="CharSectno"/>
        </w:rPr>
        <w:t>120</w:t>
      </w:r>
      <w:r>
        <w:t>.</w:t>
      </w:r>
      <w:r>
        <w:tab/>
        <w:t>Amending or revoking improvement plan</w:t>
      </w:r>
      <w:bookmarkEnd w:id="344"/>
      <w:bookmarkEnd w:id="345"/>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346" w:name="_Toc155164910"/>
      <w:bookmarkStart w:id="347" w:name="_Toc135132615"/>
      <w:r>
        <w:rPr>
          <w:rStyle w:val="CharSectno"/>
        </w:rPr>
        <w:t>121</w:t>
      </w:r>
      <w:r>
        <w:t>.</w:t>
      </w:r>
      <w:r>
        <w:tab/>
        <w:t>Commission’s powers as to land under improvement plan</w:t>
      </w:r>
      <w:bookmarkEnd w:id="346"/>
      <w:bookmarkEnd w:id="347"/>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keepNext/>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keepLines/>
      </w:pPr>
      <w:bookmarkStart w:id="348" w:name="_Toc155164911"/>
      <w:bookmarkStart w:id="349" w:name="_Toc135040992"/>
      <w:bookmarkStart w:id="350" w:name="_Toc135041461"/>
      <w:bookmarkStart w:id="351" w:name="_Toc135132616"/>
      <w:r>
        <w:rPr>
          <w:rStyle w:val="CharDivNo"/>
        </w:rPr>
        <w:t>Division 2</w:t>
      </w:r>
      <w:r>
        <w:t> — </w:t>
      </w:r>
      <w:r>
        <w:rPr>
          <w:rStyle w:val="CharDivText"/>
        </w:rPr>
        <w:t>Improvement schemes</w:t>
      </w:r>
      <w:bookmarkEnd w:id="348"/>
      <w:bookmarkEnd w:id="349"/>
      <w:bookmarkEnd w:id="350"/>
      <w:bookmarkEnd w:id="351"/>
    </w:p>
    <w:p>
      <w:pPr>
        <w:pStyle w:val="Footnoteheading"/>
        <w:keepNext/>
        <w:keepLines/>
      </w:pPr>
      <w:r>
        <w:tab/>
        <w:t>[Heading inserted: No. 28 of 2010 s. 11.]</w:t>
      </w:r>
    </w:p>
    <w:p>
      <w:pPr>
        <w:pStyle w:val="Heading5"/>
        <w:spacing w:before="180"/>
      </w:pPr>
      <w:bookmarkStart w:id="352" w:name="_Toc155164912"/>
      <w:bookmarkStart w:id="353" w:name="_Toc135132617"/>
      <w:r>
        <w:rPr>
          <w:rStyle w:val="CharSectno"/>
        </w:rPr>
        <w:t>122A</w:t>
      </w:r>
      <w:r>
        <w:t>.</w:t>
      </w:r>
      <w:r>
        <w:tab/>
        <w:t>Content of improvement scheme</w:t>
      </w:r>
      <w:bookmarkEnd w:id="352"/>
      <w:bookmarkEnd w:id="353"/>
    </w:p>
    <w:p>
      <w:pPr>
        <w:pStyle w:val="Subsection"/>
        <w:keepNext/>
        <w:keepLines/>
      </w:pPr>
      <w:r>
        <w:tab/>
        <w:t>(1)</w:t>
      </w:r>
      <w:r>
        <w:tab/>
        <w:t>Without limiting section 119, an improvement plan may authorise the making of an improvement scheme by the Commission in respect of some or all of the land to which the improvement plan applies.</w:t>
      </w:r>
    </w:p>
    <w:p>
      <w:pPr>
        <w:pStyle w:val="Subsection"/>
        <w:keepNext/>
        <w:keepLines/>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No. 28 of 2010 s. 11.] </w:t>
      </w:r>
    </w:p>
    <w:p>
      <w:pPr>
        <w:pStyle w:val="Heading5"/>
      </w:pPr>
      <w:bookmarkStart w:id="354" w:name="_Toc155164913"/>
      <w:bookmarkStart w:id="355" w:name="_Toc135132618"/>
      <w:r>
        <w:rPr>
          <w:rStyle w:val="CharSectno"/>
        </w:rPr>
        <w:t>122B</w:t>
      </w:r>
      <w:r>
        <w:t>.</w:t>
      </w:r>
      <w:r>
        <w:tab/>
        <w:t>Preparing, approving and reviewing improvement scheme</w:t>
      </w:r>
      <w:bookmarkEnd w:id="354"/>
      <w:bookmarkEnd w:id="355"/>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Ednotesubsection"/>
      </w:pPr>
      <w:r>
        <w:tab/>
        <w:t>[(2)</w:t>
      </w:r>
      <w:r>
        <w:tab/>
        <w:t>deleted]</w:t>
      </w:r>
    </w:p>
    <w:p>
      <w:pPr>
        <w:pStyle w:val="Subsection"/>
      </w:pPr>
      <w:r>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No. 28 of 2010 s. 11; amended: No. 45 of 2020 s. 73.] </w:t>
      </w:r>
    </w:p>
    <w:p>
      <w:pPr>
        <w:pStyle w:val="Heading5"/>
      </w:pPr>
      <w:bookmarkStart w:id="356" w:name="_Toc155164914"/>
      <w:bookmarkStart w:id="357" w:name="_Toc135132619"/>
      <w:r>
        <w:rPr>
          <w:rStyle w:val="CharSectno"/>
        </w:rPr>
        <w:t>122C</w:t>
      </w:r>
      <w:r>
        <w:t>.</w:t>
      </w:r>
      <w:r>
        <w:tab/>
        <w:t>Existing lawful development not affected</w:t>
      </w:r>
      <w:bookmarkEnd w:id="356"/>
      <w:bookmarkEnd w:id="357"/>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r>
        <w:tab/>
        <w:t xml:space="preserve">[Section 122C inserted: No. 28 of 2010 s. 11.] </w:t>
      </w:r>
    </w:p>
    <w:p>
      <w:pPr>
        <w:pStyle w:val="Heading5"/>
      </w:pPr>
      <w:bookmarkStart w:id="358" w:name="_Toc155164915"/>
      <w:bookmarkStart w:id="359" w:name="_Toc135132620"/>
      <w:r>
        <w:rPr>
          <w:rStyle w:val="CharSectno"/>
        </w:rPr>
        <w:t>122D</w:t>
      </w:r>
      <w:r>
        <w:t>.</w:t>
      </w:r>
      <w:r>
        <w:tab/>
        <w:t>Effect of improvement scheme on other planning schemes</w:t>
      </w:r>
      <w:bookmarkEnd w:id="358"/>
      <w:bookmarkEnd w:id="359"/>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r>
        <w:tab/>
        <w:t xml:space="preserve">[Section 122D inserted: No. 28 of 2010 s. 11.] </w:t>
      </w:r>
    </w:p>
    <w:p>
      <w:pPr>
        <w:pStyle w:val="Heading5"/>
      </w:pPr>
      <w:bookmarkStart w:id="360" w:name="_Toc155164916"/>
      <w:bookmarkStart w:id="361" w:name="_Toc135132621"/>
      <w:r>
        <w:rPr>
          <w:rStyle w:val="CharSectno"/>
        </w:rPr>
        <w:t>122E</w:t>
      </w:r>
      <w:r>
        <w:t>.</w:t>
      </w:r>
      <w:r>
        <w:tab/>
        <w:t>Removal of land from improvement scheme area or repeal of improvement scheme, effect of</w:t>
      </w:r>
      <w:bookmarkEnd w:id="360"/>
      <w:bookmarkEnd w:id="361"/>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r>
        <w:tab/>
        <w:t xml:space="preserve">[Section 122E inserted: No. 28 of 2010 s. 11.] </w:t>
      </w:r>
    </w:p>
    <w:p>
      <w:pPr>
        <w:pStyle w:val="Heading5"/>
      </w:pPr>
      <w:bookmarkStart w:id="362" w:name="_Toc155164917"/>
      <w:bookmarkStart w:id="363" w:name="_Toc135132622"/>
      <w:r>
        <w:rPr>
          <w:rStyle w:val="CharSectno"/>
        </w:rPr>
        <w:t>122F</w:t>
      </w:r>
      <w:r>
        <w:t>.</w:t>
      </w:r>
      <w:r>
        <w:tab/>
        <w:t>Amended improvement scheme area, transitional provisions for</w:t>
      </w:r>
      <w:bookmarkEnd w:id="362"/>
      <w:bookmarkEnd w:id="363"/>
    </w:p>
    <w:p>
      <w:pPr>
        <w:pStyle w:val="Subsection"/>
        <w:spacing w:before="12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r>
        <w:tab/>
        <w:t xml:space="preserve">[Section 122F inserted: No. 28 of 2010 s. 11.] </w:t>
      </w:r>
    </w:p>
    <w:p>
      <w:pPr>
        <w:pStyle w:val="Heading5"/>
        <w:spacing w:before="180"/>
      </w:pPr>
      <w:bookmarkStart w:id="364" w:name="_Toc155164918"/>
      <w:bookmarkStart w:id="365" w:name="_Toc135132623"/>
      <w:r>
        <w:rPr>
          <w:rStyle w:val="CharSectno"/>
        </w:rPr>
        <w:t>122G</w:t>
      </w:r>
      <w:r>
        <w:t>.</w:t>
      </w:r>
      <w:r>
        <w:tab/>
        <w:t>Applications for development pending when land removed or improvement scheme repealed</w:t>
      </w:r>
      <w:bookmarkEnd w:id="364"/>
      <w:bookmarkEnd w:id="365"/>
    </w:p>
    <w:p>
      <w:pPr>
        <w:pStyle w:val="Subsection"/>
        <w:spacing w:before="120"/>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spacing w:before="120"/>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spacing w:before="12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20"/>
      </w:pPr>
      <w:r>
        <w:tab/>
        <w:t>(3)</w:t>
      </w:r>
      <w:r>
        <w:tab/>
        <w:t>This section applies irrespective of whether or not another planning scheme applies to the land after the land is removed or the improvement scheme is repealed.</w:t>
      </w:r>
    </w:p>
    <w:p>
      <w:pPr>
        <w:pStyle w:val="Footnotesection"/>
        <w:spacing w:before="80"/>
        <w:ind w:left="890" w:hanging="890"/>
      </w:pPr>
      <w:r>
        <w:tab/>
        <w:t xml:space="preserve">[Section 122G inserted: No. 28 of 2010 s. 11.] </w:t>
      </w:r>
    </w:p>
    <w:p>
      <w:pPr>
        <w:pStyle w:val="Heading5"/>
      </w:pPr>
      <w:bookmarkStart w:id="366" w:name="_Toc155164919"/>
      <w:bookmarkStart w:id="367" w:name="_Toc135132624"/>
      <w:r>
        <w:rPr>
          <w:rStyle w:val="CharSectno"/>
        </w:rPr>
        <w:t>122H</w:t>
      </w:r>
      <w:r>
        <w:t>.</w:t>
      </w:r>
      <w:r>
        <w:tab/>
        <w:t>Permanently closing street in improvement scheme area</w:t>
      </w:r>
      <w:bookmarkEnd w:id="366"/>
      <w:bookmarkEnd w:id="367"/>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r>
        <w:tab/>
        <w:t xml:space="preserve">[Section 122H inserted: No. 28 of 2010 s. 11.] </w:t>
      </w:r>
    </w:p>
    <w:p>
      <w:pPr>
        <w:pStyle w:val="Heading5"/>
        <w:spacing w:before="180"/>
      </w:pPr>
      <w:bookmarkStart w:id="368" w:name="_Toc155164920"/>
      <w:bookmarkStart w:id="369" w:name="_Toc135132625"/>
      <w:r>
        <w:rPr>
          <w:rStyle w:val="CharSectno"/>
        </w:rPr>
        <w:t>122I</w:t>
      </w:r>
      <w:r>
        <w:t>.</w:t>
      </w:r>
      <w:r>
        <w:tab/>
        <w:t>Some planning schemes have no force while improvement scheme in force</w:t>
      </w:r>
      <w:bookmarkEnd w:id="368"/>
      <w:bookmarkEnd w:id="369"/>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r>
        <w:tab/>
        <w:t xml:space="preserve">[Section 122I inserted: No. 28 of 2010 s. 11.] </w:t>
      </w:r>
    </w:p>
    <w:p>
      <w:pPr>
        <w:pStyle w:val="Heading5"/>
        <w:spacing w:before="180"/>
      </w:pPr>
      <w:bookmarkStart w:id="370" w:name="_Toc155164921"/>
      <w:bookmarkStart w:id="371" w:name="_Toc135132626"/>
      <w:r>
        <w:rPr>
          <w:rStyle w:val="CharSectno"/>
        </w:rPr>
        <w:t>122J</w:t>
      </w:r>
      <w:r>
        <w:t>.</w:t>
      </w:r>
      <w:r>
        <w:tab/>
        <w:t>Minister may amend local planning scheme to conform with improvement scheme</w:t>
      </w:r>
      <w:bookmarkEnd w:id="370"/>
      <w:bookmarkEnd w:id="371"/>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r>
        <w:tab/>
        <w:t xml:space="preserve">[Section 122J inserted: No. 28 of 2010 s. 11.] </w:t>
      </w:r>
    </w:p>
    <w:p>
      <w:pPr>
        <w:pStyle w:val="Heading5"/>
      </w:pPr>
      <w:bookmarkStart w:id="372" w:name="_Toc155164922"/>
      <w:bookmarkStart w:id="373" w:name="_Toc135132627"/>
      <w:r>
        <w:rPr>
          <w:rStyle w:val="CharSectno"/>
        </w:rPr>
        <w:t>122K</w:t>
      </w:r>
      <w:r>
        <w:t>.</w:t>
      </w:r>
      <w:r>
        <w:tab/>
        <w:t>Region planning scheme may be amended to conform with improvement scheme</w:t>
      </w:r>
      <w:bookmarkEnd w:id="372"/>
      <w:bookmarkEnd w:id="373"/>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r>
        <w:tab/>
        <w:t xml:space="preserve">[Section 122K inserted: No. 28 of 2010 s. 11.] </w:t>
      </w:r>
    </w:p>
    <w:p>
      <w:pPr>
        <w:pStyle w:val="Heading5"/>
      </w:pPr>
      <w:bookmarkStart w:id="374" w:name="_Toc155164923"/>
      <w:bookmarkStart w:id="375" w:name="_Toc135132628"/>
      <w:r>
        <w:rPr>
          <w:rStyle w:val="CharSectno"/>
        </w:rPr>
        <w:t>122L</w:t>
      </w:r>
      <w:r>
        <w:t>.</w:t>
      </w:r>
      <w:r>
        <w:tab/>
        <w:t>Minister has s. 211 and 212 powers for improvement scheme</w:t>
      </w:r>
      <w:bookmarkEnd w:id="374"/>
      <w:bookmarkEnd w:id="375"/>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r>
        <w:tab/>
        <w:t xml:space="preserve">[Section 122L inserted: No. 28 of 2010 s. 11.] </w:t>
      </w:r>
    </w:p>
    <w:p>
      <w:pPr>
        <w:pStyle w:val="Heading5"/>
      </w:pPr>
      <w:bookmarkStart w:id="376" w:name="_Toc155164924"/>
      <w:bookmarkStart w:id="377" w:name="_Toc135132629"/>
      <w:r>
        <w:rPr>
          <w:rStyle w:val="CharSectno"/>
        </w:rPr>
        <w:t>122M</w:t>
      </w:r>
      <w:r>
        <w:t>.</w:t>
      </w:r>
      <w:r>
        <w:tab/>
        <w:t>Fees for planning matters under improvement scheme, Commission may impose</w:t>
      </w:r>
      <w:bookmarkEnd w:id="376"/>
      <w:bookmarkEnd w:id="377"/>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No. 28 of 2010 s. 11.] </w:t>
      </w:r>
    </w:p>
    <w:p>
      <w:pPr>
        <w:pStyle w:val="Heading3"/>
      </w:pPr>
      <w:bookmarkStart w:id="378" w:name="_Toc155164925"/>
      <w:bookmarkStart w:id="379" w:name="_Toc135041006"/>
      <w:bookmarkStart w:id="380" w:name="_Toc135041475"/>
      <w:bookmarkStart w:id="381" w:name="_Toc135132630"/>
      <w:r>
        <w:rPr>
          <w:rStyle w:val="CharDivNo"/>
        </w:rPr>
        <w:t>Division 3</w:t>
      </w:r>
      <w:r>
        <w:t> — </w:t>
      </w:r>
      <w:r>
        <w:rPr>
          <w:rStyle w:val="CharDivText"/>
        </w:rPr>
        <w:t>General</w:t>
      </w:r>
      <w:bookmarkEnd w:id="378"/>
      <w:bookmarkEnd w:id="379"/>
      <w:bookmarkEnd w:id="380"/>
      <w:bookmarkEnd w:id="381"/>
    </w:p>
    <w:p>
      <w:pPr>
        <w:pStyle w:val="Footnoteheading"/>
      </w:pPr>
      <w:r>
        <w:tab/>
        <w:t>[Heading inserted: No. 28 of 2010 s. 12.]</w:t>
      </w:r>
    </w:p>
    <w:p>
      <w:pPr>
        <w:pStyle w:val="Heading5"/>
      </w:pPr>
      <w:bookmarkStart w:id="382" w:name="_Toc155164926"/>
      <w:bookmarkStart w:id="383" w:name="_Toc135132631"/>
      <w:r>
        <w:rPr>
          <w:rStyle w:val="CharSectno"/>
        </w:rPr>
        <w:t>122</w:t>
      </w:r>
      <w:r>
        <w:t>.</w:t>
      </w:r>
      <w:r>
        <w:tab/>
        <w:t>This Part does not derogate from other powers</w:t>
      </w:r>
      <w:bookmarkEnd w:id="382"/>
      <w:bookmarkEnd w:id="383"/>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No. 28 of 2010 s. 13.] </w:t>
      </w:r>
    </w:p>
    <w:p>
      <w:pPr>
        <w:pStyle w:val="Heading2"/>
      </w:pPr>
      <w:bookmarkStart w:id="384" w:name="_Toc155164927"/>
      <w:bookmarkStart w:id="385" w:name="_Toc135041008"/>
      <w:bookmarkStart w:id="386" w:name="_Toc135041477"/>
      <w:bookmarkStart w:id="387" w:name="_Toc135132632"/>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384"/>
      <w:bookmarkEnd w:id="385"/>
      <w:bookmarkEnd w:id="386"/>
      <w:bookmarkEnd w:id="387"/>
    </w:p>
    <w:p>
      <w:pPr>
        <w:pStyle w:val="Footnoteheading"/>
      </w:pPr>
      <w:r>
        <w:tab/>
        <w:t>[Heading inserted: No. 28 of 2010 s. 14.]</w:t>
      </w:r>
    </w:p>
    <w:p>
      <w:pPr>
        <w:pStyle w:val="Heading5"/>
      </w:pPr>
      <w:bookmarkStart w:id="388" w:name="_Toc155164928"/>
      <w:bookmarkStart w:id="389" w:name="_Toc135132633"/>
      <w:r>
        <w:rPr>
          <w:rStyle w:val="CharSectno"/>
        </w:rPr>
        <w:t>123</w:t>
      </w:r>
      <w:r>
        <w:t>.</w:t>
      </w:r>
      <w:r>
        <w:tab/>
        <w:t>Local planning scheme or local law to be consistent with region planning scheme or Swan Valley Planning Scheme</w:t>
      </w:r>
      <w:bookmarkEnd w:id="388"/>
      <w:bookmarkEnd w:id="389"/>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or the Swan Valley Planning Scheme are not to be made by a local government unless the provisions of the local laws are in accordance with and consistent with each relevant region planning scheme or (if relevant) the Swan Valley Planning Scheme.</w:t>
      </w:r>
    </w:p>
    <w:p>
      <w:pPr>
        <w:pStyle w:val="Footnotesection"/>
      </w:pPr>
      <w:r>
        <w:tab/>
        <w:t>[Section 123 amended: No. 45 of 2020 s. 74.]</w:t>
      </w:r>
    </w:p>
    <w:p>
      <w:pPr>
        <w:pStyle w:val="Heading5"/>
      </w:pPr>
      <w:bookmarkStart w:id="390" w:name="_Toc155164929"/>
      <w:bookmarkStart w:id="391" w:name="_Toc135132634"/>
      <w:r>
        <w:rPr>
          <w:rStyle w:val="CharSectno"/>
        </w:rPr>
        <w:t>124</w:t>
      </w:r>
      <w:r>
        <w:t>.</w:t>
      </w:r>
      <w:r>
        <w:tab/>
        <w:t>Effect of region planning scheme on local planning scheme</w:t>
      </w:r>
      <w:bookmarkEnd w:id="390"/>
      <w:bookmarkEnd w:id="391"/>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392" w:name="_Toc155164930"/>
      <w:bookmarkStart w:id="393" w:name="_Toc135132635"/>
      <w:r>
        <w:rPr>
          <w:rStyle w:val="CharSectno"/>
        </w:rPr>
        <w:t>125</w:t>
      </w:r>
      <w:r>
        <w:t>.</w:t>
      </w:r>
      <w:r>
        <w:tab/>
        <w:t>Minister may direct local government to amend local planning scheme to be consistent with region planning scheme etc.</w:t>
      </w:r>
      <w:bookmarkEnd w:id="392"/>
      <w:bookmarkEnd w:id="393"/>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394" w:name="_Toc155164931"/>
      <w:bookmarkStart w:id="395" w:name="_Toc135132636"/>
      <w:r>
        <w:rPr>
          <w:rStyle w:val="CharSectno"/>
        </w:rPr>
        <w:t>126</w:t>
      </w:r>
      <w:r>
        <w:t>.</w:t>
      </w:r>
      <w:r>
        <w:tab/>
        <w:t>Local planning scheme, amendment of due to region planning scheme</w:t>
      </w:r>
      <w:bookmarkEnd w:id="394"/>
      <w:bookmarkEnd w:id="395"/>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No. 28 of 2010 s. 60.] </w:t>
      </w:r>
    </w:p>
    <w:p>
      <w:pPr>
        <w:pStyle w:val="Heading5"/>
      </w:pPr>
      <w:bookmarkStart w:id="396" w:name="_Toc155164932"/>
      <w:bookmarkStart w:id="397" w:name="_Toc135132637"/>
      <w:r>
        <w:rPr>
          <w:rStyle w:val="CharSectno"/>
        </w:rPr>
        <w:t>127</w:t>
      </w:r>
      <w:r>
        <w:t>.</w:t>
      </w:r>
      <w:r>
        <w:tab/>
        <w:t>Minister may direct local government to modify proposed scheme or amendment to be consistent with region planning scheme</w:t>
      </w:r>
      <w:bookmarkEnd w:id="396"/>
      <w:bookmarkEnd w:id="397"/>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keepNext/>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No. 8 of 2009 s. 100(3).]</w:t>
      </w:r>
    </w:p>
    <w:p>
      <w:pPr>
        <w:pStyle w:val="Heading5"/>
      </w:pPr>
      <w:bookmarkStart w:id="398" w:name="_Toc155164933"/>
      <w:bookmarkStart w:id="399" w:name="_Toc135132638"/>
      <w:r>
        <w:rPr>
          <w:rStyle w:val="CharSectno"/>
        </w:rPr>
        <w:t>128</w:t>
      </w:r>
      <w:r>
        <w:t>.</w:t>
      </w:r>
      <w:r>
        <w:tab/>
        <w:t>Breach of s. 124(2), 125 or 127(2), Minister’s powers in case of</w:t>
      </w:r>
      <w:bookmarkEnd w:id="398"/>
      <w:bookmarkEnd w:id="399"/>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keepLines/>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400" w:name="_Toc155164934"/>
      <w:bookmarkStart w:id="401" w:name="_Toc135132639"/>
      <w:r>
        <w:rPr>
          <w:rStyle w:val="CharSectno"/>
        </w:rPr>
        <w:t>129</w:t>
      </w:r>
      <w:r>
        <w:t>.</w:t>
      </w:r>
      <w:r>
        <w:tab/>
        <w:t>Inconsistency between interim development order and local planning scheme or local law, effect of</w:t>
      </w:r>
      <w:bookmarkEnd w:id="400"/>
      <w:bookmarkEnd w:id="401"/>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r>
        <w:tab/>
        <w:t>[Section 129 amended: No. 24 of 2011 s. 168(2).]</w:t>
      </w:r>
    </w:p>
    <w:p>
      <w:pPr>
        <w:pStyle w:val="Heading5"/>
      </w:pPr>
      <w:bookmarkStart w:id="402" w:name="_Toc155164935"/>
      <w:bookmarkStart w:id="403" w:name="_Toc135132640"/>
      <w:r>
        <w:rPr>
          <w:rStyle w:val="CharSectno"/>
        </w:rPr>
        <w:t>130</w:t>
      </w:r>
      <w:r>
        <w:t>.</w:t>
      </w:r>
      <w:r>
        <w:tab/>
        <w:t>Planning control area provisions (Part 7) prevail</w:t>
      </w:r>
      <w:bookmarkEnd w:id="402"/>
      <w:bookmarkEnd w:id="403"/>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 and</w:t>
      </w:r>
    </w:p>
    <w:p>
      <w:pPr>
        <w:pStyle w:val="Indenta"/>
      </w:pPr>
      <w:r>
        <w:tab/>
        <w:t>(d)</w:t>
      </w:r>
      <w:r>
        <w:tab/>
        <w:t>the Swan Valley Planning Scheme,</w:t>
      </w:r>
    </w:p>
    <w:p>
      <w:pPr>
        <w:pStyle w:val="Subsection"/>
      </w:pPr>
      <w:r>
        <w:tab/>
      </w:r>
      <w:r>
        <w:tab/>
        <w:t>to the extent of any inconsistency with those provisions and schemes.</w:t>
      </w:r>
    </w:p>
    <w:p>
      <w:pPr>
        <w:pStyle w:val="Footnotesection"/>
      </w:pPr>
      <w:r>
        <w:tab/>
        <w:t>[Section 130 amended: No. 45 of 2020 s. 75.]</w:t>
      </w:r>
    </w:p>
    <w:p>
      <w:pPr>
        <w:pStyle w:val="Heading5"/>
        <w:spacing w:before="180"/>
      </w:pPr>
      <w:bookmarkStart w:id="404" w:name="_Toc155164936"/>
      <w:bookmarkStart w:id="405" w:name="_Toc135132641"/>
      <w:r>
        <w:rPr>
          <w:rStyle w:val="CharSectno"/>
        </w:rPr>
        <w:t>131</w:t>
      </w:r>
      <w:r>
        <w:t>.</w:t>
      </w:r>
      <w:r>
        <w:tab/>
      </w:r>
      <w:r>
        <w:rPr>
          <w:bCs/>
        </w:rPr>
        <w:t>Building standards etc. prevail</w:t>
      </w:r>
      <w:bookmarkEnd w:id="404"/>
      <w:bookmarkEnd w:id="405"/>
    </w:p>
    <w:p>
      <w:pPr>
        <w:pStyle w:val="Subsection"/>
      </w:pPr>
      <w:r>
        <w:tab/>
        <w:t>(1)</w:t>
      </w:r>
      <w:r>
        <w:tab/>
        <w:t xml:space="preserve">If there is any inconsistency between a local planning scheme or the Swan Valley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Subsection"/>
      </w:pPr>
      <w:r>
        <w:tab/>
        <w:t>(3)</w:t>
      </w:r>
      <w:r>
        <w:tab/>
        <w:t xml:space="preserve">In the exercise of any power conferred on it by the Swan Valley Planning Scheme the Commission is obliged to have regard to any regulations made under the </w:t>
      </w:r>
      <w:r>
        <w:rPr>
          <w:i/>
        </w:rPr>
        <w:t>Building Act 2011</w:t>
      </w:r>
      <w:r>
        <w:t>.</w:t>
      </w:r>
    </w:p>
    <w:p>
      <w:pPr>
        <w:pStyle w:val="Footnotesection"/>
      </w:pPr>
      <w:r>
        <w:tab/>
        <w:t>[Section 131 amended: No. 24 of 2011 s. 168(3) and (4); No. 45 of 2020 s. 76.]</w:t>
      </w:r>
    </w:p>
    <w:p>
      <w:pPr>
        <w:pStyle w:val="Heading5"/>
      </w:pPr>
      <w:bookmarkStart w:id="406" w:name="_Toc155164937"/>
      <w:bookmarkStart w:id="407" w:name="_Toc135132642"/>
      <w:r>
        <w:rPr>
          <w:rStyle w:val="CharSectno"/>
        </w:rPr>
        <w:t>131A</w:t>
      </w:r>
      <w:r>
        <w:t>.</w:t>
      </w:r>
      <w:r>
        <w:tab/>
        <w:t>Relationship between Swan Valley Planning Scheme and other planning schemes or policies</w:t>
      </w:r>
      <w:bookmarkEnd w:id="406"/>
      <w:bookmarkEnd w:id="407"/>
    </w:p>
    <w:p>
      <w:pPr>
        <w:pStyle w:val="Subsection"/>
      </w:pPr>
      <w:r>
        <w:tab/>
        <w:t>(1)</w:t>
      </w:r>
      <w:r>
        <w:tab/>
        <w:t xml:space="preserve">The Minister may, by notice published in the </w:t>
      </w:r>
      <w:r>
        <w:rPr>
          <w:i/>
        </w:rPr>
        <w:t>Gazette</w:t>
      </w:r>
      <w:r>
        <w:t xml:space="preserve">, make any amendments to a region planning scheme, local planning scheme or improvement scheme that are necessary as a result of the </w:t>
      </w:r>
      <w:r>
        <w:rPr>
          <w:i/>
        </w:rPr>
        <w:t xml:space="preserve">Swan Valley Planning Act 2020 </w:t>
      </w:r>
      <w:r>
        <w:t>section 9.</w:t>
      </w:r>
    </w:p>
    <w:p>
      <w:pPr>
        <w:pStyle w:val="Subsection"/>
      </w:pPr>
      <w:r>
        <w:tab/>
        <w:t>(2)</w:t>
      </w:r>
      <w:r>
        <w:tab/>
        <w:t xml:space="preserve">On and after the day on which the first Swan Valley Planning Scheme comes into operation under the </w:t>
      </w:r>
      <w:r>
        <w:rPr>
          <w:i/>
        </w:rPr>
        <w:t>Swan Valley Planning Act 2020</w:t>
      </w:r>
      <w:r>
        <w:t>, a State planning policy that applies to land in the Swan Valley has no effect to the extent that it is inconsistent with the Swan Valley Planning Scheme.</w:t>
      </w:r>
    </w:p>
    <w:p>
      <w:pPr>
        <w:pStyle w:val="Subsection"/>
      </w:pPr>
      <w:r>
        <w:tab/>
        <w:t>(3)</w:t>
      </w:r>
      <w:r>
        <w:tab/>
        <w:t xml:space="preserve">The Minister may, by notice published in the </w:t>
      </w:r>
      <w:r>
        <w:rPr>
          <w:i/>
        </w:rPr>
        <w:t>Gazette</w:t>
      </w:r>
      <w:r>
        <w:t>, amend a State planning policy so that the policy is consistent with the Swan Valley Planning Scheme in relation to land in the Swan Valley.</w:t>
      </w:r>
    </w:p>
    <w:p>
      <w:pPr>
        <w:pStyle w:val="Subsection"/>
      </w:pPr>
      <w:r>
        <w:tab/>
        <w:t>(4)</w:t>
      </w:r>
      <w:r>
        <w:tab/>
        <w:t xml:space="preserve">An amendment in a notice published under subsection (1) or (3) has effect, by force of this subsection and without further action under this Act, on the day on which it is published or a later day stated in the notice (which must not be earlier than the day on which the first Swan Valley Planning Scheme comes into operation under the </w:t>
      </w:r>
      <w:r>
        <w:rPr>
          <w:i/>
        </w:rPr>
        <w:t>Swan Valley Planning Act 2020</w:t>
      </w:r>
      <w:r>
        <w:t>).</w:t>
      </w:r>
    </w:p>
    <w:p>
      <w:pPr>
        <w:pStyle w:val="Footnotesection"/>
      </w:pPr>
      <w:r>
        <w:tab/>
        <w:t>[Section 131A inserted: No. 45 of 2020 s. 77.]</w:t>
      </w:r>
    </w:p>
    <w:p>
      <w:pPr>
        <w:pStyle w:val="Heading5"/>
        <w:spacing w:before="180"/>
      </w:pPr>
      <w:bookmarkStart w:id="408" w:name="_Toc155164938"/>
      <w:bookmarkStart w:id="409" w:name="_Toc135132643"/>
      <w:r>
        <w:rPr>
          <w:rStyle w:val="CharSectno"/>
        </w:rPr>
        <w:t>132</w:t>
      </w:r>
      <w:r>
        <w:t>.</w:t>
      </w:r>
      <w:r>
        <w:tab/>
        <w:t>Governor may modify or suspend law to enable planning scheme to have effect</w:t>
      </w:r>
      <w:bookmarkEnd w:id="408"/>
      <w:bookmarkEnd w:id="409"/>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410" w:name="_Toc155164939"/>
      <w:bookmarkStart w:id="411" w:name="_Toc135041020"/>
      <w:bookmarkStart w:id="412" w:name="_Toc135041489"/>
      <w:bookmarkStart w:id="413" w:name="_Toc135132644"/>
      <w:r>
        <w:rPr>
          <w:rStyle w:val="CharPartNo"/>
        </w:rPr>
        <w:t>Part 10</w:t>
      </w:r>
      <w:r>
        <w:t> — </w:t>
      </w:r>
      <w:r>
        <w:rPr>
          <w:rStyle w:val="CharPartText"/>
        </w:rPr>
        <w:t>Subdivision and development control</w:t>
      </w:r>
      <w:bookmarkEnd w:id="410"/>
      <w:bookmarkEnd w:id="411"/>
      <w:bookmarkEnd w:id="412"/>
      <w:bookmarkEnd w:id="413"/>
    </w:p>
    <w:p>
      <w:pPr>
        <w:pStyle w:val="Heading3"/>
      </w:pPr>
      <w:bookmarkStart w:id="414" w:name="_Toc155164940"/>
      <w:bookmarkStart w:id="415" w:name="_Toc135041021"/>
      <w:bookmarkStart w:id="416" w:name="_Toc135041490"/>
      <w:bookmarkStart w:id="417" w:name="_Toc135132645"/>
      <w:r>
        <w:rPr>
          <w:rStyle w:val="CharDivNo"/>
        </w:rPr>
        <w:t>Division 1</w:t>
      </w:r>
      <w:r>
        <w:t> — </w:t>
      </w:r>
      <w:r>
        <w:rPr>
          <w:rStyle w:val="CharDivText"/>
        </w:rPr>
        <w:t>Application</w:t>
      </w:r>
      <w:bookmarkEnd w:id="414"/>
      <w:bookmarkEnd w:id="415"/>
      <w:bookmarkEnd w:id="416"/>
      <w:bookmarkEnd w:id="417"/>
    </w:p>
    <w:p>
      <w:pPr>
        <w:pStyle w:val="Heading5"/>
      </w:pPr>
      <w:bookmarkStart w:id="418" w:name="_Toc155164941"/>
      <w:bookmarkStart w:id="419" w:name="_Toc135132646"/>
      <w:r>
        <w:rPr>
          <w:rStyle w:val="CharSectno"/>
        </w:rPr>
        <w:t>133</w:t>
      </w:r>
      <w:r>
        <w:t>.</w:t>
      </w:r>
      <w:r>
        <w:tab/>
        <w:t>Application of Part to Crown land</w:t>
      </w:r>
      <w:bookmarkEnd w:id="418"/>
      <w:bookmarkEnd w:id="419"/>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No. 28 of 2010 s. 61.] </w:t>
      </w:r>
    </w:p>
    <w:p>
      <w:pPr>
        <w:pStyle w:val="Heading5"/>
      </w:pPr>
      <w:bookmarkStart w:id="420" w:name="_Toc155164942"/>
      <w:bookmarkStart w:id="421" w:name="_Toc135132647"/>
      <w:r>
        <w:rPr>
          <w:rStyle w:val="CharSectno"/>
        </w:rPr>
        <w:t>134</w:t>
      </w:r>
      <w:r>
        <w:t>.</w:t>
      </w:r>
      <w:r>
        <w:tab/>
        <w:t>Relationship of Part to some other laws</w:t>
      </w:r>
      <w:bookmarkEnd w:id="420"/>
      <w:bookmarkEnd w:id="421"/>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2</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Ednotesubsection"/>
        <w:keepNext/>
      </w:pPr>
      <w:r>
        <w:tab/>
        <w:t>[(3)</w:t>
      </w:r>
      <w:r>
        <w:noBreakHyphen/>
        <w:t>(8)</w:t>
      </w:r>
      <w:r>
        <w:tab/>
        <w:t>deleted]</w:t>
      </w:r>
    </w:p>
    <w:p>
      <w:pPr>
        <w:pStyle w:val="Footnotesection"/>
      </w:pPr>
      <w:r>
        <w:tab/>
        <w:t>[Section 134 amended: No. 7 of 2006 s. 20(3); No. 45 of 2020 s. 78.]</w:t>
      </w:r>
    </w:p>
    <w:p>
      <w:pPr>
        <w:pStyle w:val="Heading3"/>
      </w:pPr>
      <w:bookmarkStart w:id="422" w:name="_Toc155164943"/>
      <w:bookmarkStart w:id="423" w:name="_Toc135041024"/>
      <w:bookmarkStart w:id="424" w:name="_Toc135041493"/>
      <w:bookmarkStart w:id="425" w:name="_Toc135132648"/>
      <w:r>
        <w:rPr>
          <w:rStyle w:val="CharDivNo"/>
        </w:rPr>
        <w:t>Division 2</w:t>
      </w:r>
      <w:r>
        <w:t> — </w:t>
      </w:r>
      <w:r>
        <w:rPr>
          <w:rStyle w:val="CharDivText"/>
        </w:rPr>
        <w:t>Approval for subdivision and certain transactions</w:t>
      </w:r>
      <w:bookmarkEnd w:id="422"/>
      <w:bookmarkEnd w:id="423"/>
      <w:bookmarkEnd w:id="424"/>
      <w:bookmarkEnd w:id="425"/>
    </w:p>
    <w:p>
      <w:pPr>
        <w:pStyle w:val="Heading5"/>
      </w:pPr>
      <w:bookmarkStart w:id="426" w:name="_Toc155164944"/>
      <w:bookmarkStart w:id="427" w:name="_Toc135132649"/>
      <w:r>
        <w:rPr>
          <w:rStyle w:val="CharSectno"/>
        </w:rPr>
        <w:t>135</w:t>
      </w:r>
      <w:r>
        <w:t>.</w:t>
      </w:r>
      <w:r>
        <w:tab/>
        <w:t>No subdivision etc. without approval</w:t>
      </w:r>
      <w:bookmarkEnd w:id="426"/>
      <w:bookmarkEnd w:id="427"/>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428" w:name="_Toc155164945"/>
      <w:bookmarkStart w:id="429" w:name="_Toc135132650"/>
      <w:r>
        <w:rPr>
          <w:rStyle w:val="CharSectno"/>
        </w:rPr>
        <w:t>136</w:t>
      </w:r>
      <w:r>
        <w:t>.</w:t>
      </w:r>
      <w:r>
        <w:tab/>
        <w:t>Approval required for some dealings as to land not dealt with as lot or lots</w:t>
      </w:r>
      <w:bookmarkEnd w:id="428"/>
      <w:bookmarkEnd w:id="429"/>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(2A)</w:t>
      </w:r>
      <w:r>
        <w:tab/>
        <w:t>Subsection (1) applies to land comprised of common property or a lot in a community titles scheme and a reference in that subsection to a lot includes a reference to a lot in a community titles scheme.</w:t>
      </w:r>
    </w:p>
    <w:p>
      <w:pPr>
        <w:pStyle w:val="Subsection"/>
      </w:pPr>
      <w:r>
        <w:tab/>
        <w:t>(2B)</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community titles scheme.</w:t>
      </w:r>
    </w:p>
    <w:p>
      <w:pPr>
        <w:pStyle w:val="Subsection"/>
      </w:pPr>
      <w:r>
        <w:tab/>
        <w:t>(2C)</w:t>
      </w:r>
      <w:r>
        <w:tab/>
        <w:t xml:space="preserve">Words in subsections (2A) and (2B) have the meanings given in the </w:t>
      </w:r>
      <w:r>
        <w:rPr>
          <w:i/>
        </w:rPr>
        <w:t xml:space="preserve">Community Titles Act 2018 </w:t>
      </w:r>
      <w:r>
        <w:t>section 3(1) (and references to those words in sections 139 and 140 are to be read accordingly).</w:t>
      </w:r>
    </w:p>
    <w:p>
      <w:pPr>
        <w:pStyle w:val="Subsection"/>
      </w:pPr>
      <w:r>
        <w:tab/>
        <w:t>(2D)</w:t>
      </w:r>
      <w:r>
        <w:tab/>
        <w:t>Subsection (1) applies to land comprised of common property or a lot in a strata titles scheme and a reference in that subsection to a lot includes a reference to a lot in a strata titles scheme.</w:t>
      </w:r>
    </w:p>
    <w:p>
      <w:pPr>
        <w:pStyle w:val="Subsection"/>
      </w:pPr>
      <w:r>
        <w:tab/>
        <w:t>(2E)</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strata titles scheme.</w:t>
      </w:r>
    </w:p>
    <w:p>
      <w:pPr>
        <w:pStyle w:val="Subsection"/>
      </w:pPr>
      <w:r>
        <w:tab/>
        <w:t>(2F)</w:t>
      </w:r>
      <w:r>
        <w:tab/>
        <w:t xml:space="preserve">Words in subsections (2D) and (2E) have the meanings given in the </w:t>
      </w:r>
      <w:r>
        <w:rPr>
          <w:i/>
        </w:rPr>
        <w:t>Strata Titles Act 1985</w:t>
      </w:r>
      <w:r>
        <w:t xml:space="preserve"> section 3(1) (and references to those words in sections 139 and 140 are to be read accordingly).</w:t>
      </w:r>
    </w:p>
    <w:p>
      <w:pPr>
        <w:pStyle w:val="Ednotesubsection"/>
      </w:pPr>
      <w:r>
        <w:tab/>
        <w:t>[(3A)</w:t>
      </w:r>
      <w:r>
        <w:tab/>
        <w:t>deleted]</w:t>
      </w:r>
    </w:p>
    <w:p>
      <w:pPr>
        <w:pStyle w:val="Subsection"/>
        <w:keepNext/>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 </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No. 28 of 2010 s. 62; No. 24 of 2011 s. 168(5); No. 30 of 2018 s. 162; No. 32 of 2018 s. 223.] </w:t>
      </w:r>
    </w:p>
    <w:p>
      <w:pPr>
        <w:pStyle w:val="Heading5"/>
      </w:pPr>
      <w:bookmarkStart w:id="430" w:name="_Toc155164946"/>
      <w:bookmarkStart w:id="431" w:name="_Toc135132651"/>
      <w:r>
        <w:rPr>
          <w:rStyle w:val="CharSectno"/>
        </w:rPr>
        <w:t>137</w:t>
      </w:r>
      <w:r>
        <w:t>.</w:t>
      </w:r>
      <w:r>
        <w:tab/>
        <w:t>Heritage land, subdivision etc. of</w:t>
      </w:r>
      <w:bookmarkEnd w:id="430"/>
      <w:bookmarkEnd w:id="431"/>
    </w:p>
    <w:p>
      <w:pPr>
        <w:pStyle w:val="Subsection"/>
      </w:pPr>
      <w:r>
        <w:tab/>
        <w:t>(1)</w:t>
      </w:r>
      <w:r>
        <w:tab/>
        <w:t xml:space="preserve">This section applies to land included in a place of a kind mentioned in the </w:t>
      </w:r>
      <w:r>
        <w:rPr>
          <w:i/>
        </w:rPr>
        <w:t xml:space="preserve">Heritage Act 2018 </w:t>
      </w:r>
      <w:r>
        <w:t>section 72(1).</w:t>
      </w:r>
    </w:p>
    <w:p>
      <w:pPr>
        <w:pStyle w:val="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pPr>
        <w:pStyle w:val="Subsection"/>
        <w:keepNext/>
      </w:pPr>
      <w:r>
        <w:tab/>
        <w:t>(3)</w:t>
      </w:r>
      <w:r>
        <w:tab/>
        <w:t xml:space="preserve">If the </w:t>
      </w:r>
      <w:r>
        <w:rPr>
          <w:i/>
        </w:rPr>
        <w:t>Heritage Act 2018</w:t>
      </w:r>
      <w:r>
        <w:t xml:space="preserve"> section 76(3) applies, the holder of an approval given by the Commission under section 135 or 136 in respect of land to which this section applies is not to give effect to that approval — </w:t>
      </w:r>
    </w:p>
    <w:p>
      <w:pPr>
        <w:pStyle w:val="Indenta"/>
      </w:pPr>
      <w:r>
        <w:tab/>
        <w:t>(a)</w:t>
      </w:r>
      <w:r>
        <w:tab/>
        <w:t xml:space="preserve">during such time as the operation of the approval is suspended the </w:t>
      </w:r>
      <w:r>
        <w:rPr>
          <w:i/>
        </w:rPr>
        <w:t>Heritage Act 2018</w:t>
      </w:r>
      <w:r>
        <w:t xml:space="preserve"> section 76(3); or</w:t>
      </w:r>
    </w:p>
    <w:p>
      <w:pPr>
        <w:pStyle w:val="Indenta"/>
      </w:pPr>
      <w:r>
        <w:tab/>
        <w:t>(b)</w:t>
      </w:r>
      <w:r>
        <w:tab/>
        <w:t xml:space="preserve">otherwise than in accordance with the </w:t>
      </w:r>
      <w:r>
        <w:rPr>
          <w:i/>
        </w:rPr>
        <w:t>Heritage Act 2018</w:t>
      </w:r>
      <w:r>
        <w:t xml:space="preserve"> section 76(6).</w:t>
      </w:r>
    </w:p>
    <w:p>
      <w:pPr>
        <w:pStyle w:val="Ednotesubsection"/>
      </w:pPr>
      <w:r>
        <w:tab/>
        <w:t>[(4)</w:t>
      </w:r>
      <w:r>
        <w:tab/>
        <w:t>deleted]</w:t>
      </w:r>
    </w:p>
    <w:p>
      <w:pPr>
        <w:pStyle w:val="Footnotesection"/>
      </w:pPr>
      <w:r>
        <w:tab/>
        <w:t>[Section 137 amended: No. 22 of 2018 s. 186(8)-(11).]</w:t>
      </w:r>
    </w:p>
    <w:p>
      <w:pPr>
        <w:pStyle w:val="Heading5"/>
      </w:pPr>
      <w:bookmarkStart w:id="432" w:name="_Toc155164947"/>
      <w:bookmarkStart w:id="433" w:name="_Toc135132652"/>
      <w:r>
        <w:rPr>
          <w:rStyle w:val="CharSectno"/>
        </w:rPr>
        <w:t>138</w:t>
      </w:r>
      <w:r>
        <w:t>.</w:t>
      </w:r>
      <w:r>
        <w:tab/>
        <w:t>Commission’s functions when approving subdivision etc.</w:t>
      </w:r>
      <w:bookmarkEnd w:id="432"/>
      <w:bookmarkEnd w:id="433"/>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434" w:name="_Toc155164948"/>
      <w:bookmarkStart w:id="435" w:name="_Toc135132653"/>
      <w:r>
        <w:rPr>
          <w:rStyle w:val="CharSectno"/>
        </w:rPr>
        <w:t>138A</w:t>
      </w:r>
      <w:r>
        <w:t>.</w:t>
      </w:r>
      <w:r>
        <w:tab/>
        <w:t>Commission’s functions when approving subdivision etc. in Swan Valley</w:t>
      </w:r>
      <w:bookmarkEnd w:id="434"/>
      <w:bookmarkEnd w:id="435"/>
    </w:p>
    <w:p>
      <w:pPr>
        <w:pStyle w:val="Subsection"/>
      </w:pPr>
      <w:r>
        <w:tab/>
        <w:t>(1)</w:t>
      </w:r>
      <w:r>
        <w:tab/>
        <w:t xml:space="preserve">In this section — </w:t>
      </w:r>
    </w:p>
    <w:p>
      <w:pPr>
        <w:pStyle w:val="Defstart"/>
      </w:pPr>
      <w:r>
        <w:tab/>
      </w:r>
      <w:r>
        <w:rPr>
          <w:rStyle w:val="CharDefText"/>
        </w:rPr>
        <w:t>scheme start day</w:t>
      </w:r>
      <w:r>
        <w:t xml:space="preserve"> means the day on which the first Swan Valley Planning Scheme comes into operation under the </w:t>
      </w:r>
      <w:r>
        <w:rPr>
          <w:i/>
        </w:rPr>
        <w:t>Swan Valley Planning Act 2020</w:t>
      </w:r>
      <w:r>
        <w:t>.</w:t>
      </w:r>
    </w:p>
    <w:p>
      <w:pPr>
        <w:pStyle w:val="Subsection"/>
      </w:pPr>
      <w:r>
        <w:tab/>
        <w:t>(2)</w:t>
      </w:r>
      <w:r>
        <w:tab/>
        <w:t xml:space="preserve">On and after the scheme start day, section 138(2) to (4) do not apply in relation to the Commission giving an approval under section 135 or 136 relating to land in the Swan Valley (a </w:t>
      </w:r>
      <w:r>
        <w:rPr>
          <w:rStyle w:val="CharDefText"/>
        </w:rPr>
        <w:t>Swan Valley approval</w:t>
      </w:r>
      <w:r>
        <w:t>).</w:t>
      </w:r>
    </w:p>
    <w:p>
      <w:pPr>
        <w:pStyle w:val="Subsection"/>
      </w:pPr>
      <w:r>
        <w:tab/>
        <w:t>(3)</w:t>
      </w:r>
      <w:r>
        <w:tab/>
        <w:t xml:space="preserve">Subject to subsection (4), in giving a Swan Valley approval on or after the scheme start day, the Commission — </w:t>
      </w:r>
    </w:p>
    <w:p>
      <w:pPr>
        <w:pStyle w:val="Indenta"/>
      </w:pPr>
      <w:r>
        <w:tab/>
        <w:t>(a)</w:t>
      </w:r>
      <w:r>
        <w:tab/>
        <w:t>must have regard to the provisions of the Swan Valley Planning Scheme; and</w:t>
      </w:r>
    </w:p>
    <w:p>
      <w:pPr>
        <w:pStyle w:val="Indenta"/>
      </w:pPr>
      <w:r>
        <w:tab/>
        <w:t>(b)</w:t>
      </w:r>
      <w:r>
        <w:tab/>
        <w:t>must not give an approval that conflicts with the provisions of the Swan Valley Planning Scheme.</w:t>
      </w:r>
    </w:p>
    <w:p>
      <w:pPr>
        <w:pStyle w:val="Subsection"/>
      </w:pPr>
      <w:r>
        <w:tab/>
        <w:t>(4)</w:t>
      </w:r>
      <w:r>
        <w:tab/>
        <w:t>The Commission may give a Swan Valley approval that conflicts with the provisions of the Swan Valley Planning Scheme on or after the scheme start day if the approval is given in circumstances set out in the regulations.</w:t>
      </w:r>
    </w:p>
    <w:p>
      <w:pPr>
        <w:pStyle w:val="Footnotesection"/>
      </w:pPr>
      <w:r>
        <w:tab/>
        <w:t>[Section 138A inserted: No. 45 of 2020 s. 79.]</w:t>
      </w:r>
    </w:p>
    <w:p>
      <w:pPr>
        <w:pStyle w:val="Heading5"/>
      </w:pPr>
      <w:bookmarkStart w:id="436" w:name="_Toc155164949"/>
      <w:bookmarkStart w:id="437" w:name="_Toc135132654"/>
      <w:r>
        <w:rPr>
          <w:rStyle w:val="CharSectno"/>
        </w:rPr>
        <w:t>139</w:t>
      </w:r>
      <w:r>
        <w:t>.</w:t>
      </w:r>
      <w:r>
        <w:tab/>
        <w:t>Leases and licences that do not need approval under s. 136</w:t>
      </w:r>
      <w:bookmarkEnd w:id="436"/>
      <w:bookmarkEnd w:id="437"/>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438" w:name="_Toc155164950"/>
      <w:bookmarkStart w:id="439" w:name="_Toc135132655"/>
      <w:r>
        <w:rPr>
          <w:rStyle w:val="CharSectno"/>
        </w:rPr>
        <w:t>140</w:t>
      </w:r>
      <w:r>
        <w:t>.</w:t>
      </w:r>
      <w:r>
        <w:tab/>
        <w:t>Saving of some agreements entered into without approval under s. 136</w:t>
      </w:r>
      <w:bookmarkEnd w:id="438"/>
      <w:bookmarkEnd w:id="439"/>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440" w:name="_Toc155164951"/>
      <w:bookmarkStart w:id="441" w:name="_Toc135132656"/>
      <w:r>
        <w:rPr>
          <w:rStyle w:val="CharSectno"/>
        </w:rPr>
        <w:t>141</w:t>
      </w:r>
      <w:r>
        <w:t>.</w:t>
      </w:r>
      <w:r>
        <w:tab/>
        <w:t>Refund where land transaction cannot be completed</w:t>
      </w:r>
      <w:bookmarkEnd w:id="440"/>
      <w:bookmarkEnd w:id="441"/>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442" w:name="_Toc155164952"/>
      <w:bookmarkStart w:id="443" w:name="_Toc135132657"/>
      <w:r>
        <w:rPr>
          <w:rStyle w:val="CharSectno"/>
        </w:rPr>
        <w:t>142</w:t>
      </w:r>
      <w:r>
        <w:t>.</w:t>
      </w:r>
      <w:r>
        <w:tab/>
        <w:t>Consultation requirements as to proposed subdivision</w:t>
      </w:r>
      <w:bookmarkEnd w:id="442"/>
      <w:bookmarkEnd w:id="443"/>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444" w:name="_Toc155164953"/>
      <w:bookmarkStart w:id="445" w:name="_Toc135132658"/>
      <w:r>
        <w:rPr>
          <w:rStyle w:val="CharSectno"/>
        </w:rPr>
        <w:t>143</w:t>
      </w:r>
      <w:r>
        <w:t>.</w:t>
      </w:r>
      <w:r>
        <w:tab/>
        <w:t>Commission’s duties when dealing with plan of subdivision</w:t>
      </w:r>
      <w:bookmarkEnd w:id="444"/>
      <w:bookmarkEnd w:id="445"/>
    </w:p>
    <w:p>
      <w:pPr>
        <w:pStyle w:val="Subsection"/>
        <w:keepNext/>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446" w:name="_Toc155164954"/>
      <w:bookmarkStart w:id="447" w:name="_Toc135132659"/>
      <w:r>
        <w:rPr>
          <w:rStyle w:val="CharSectno"/>
        </w:rPr>
        <w:t>144</w:t>
      </w:r>
      <w:r>
        <w:t>.</w:t>
      </w:r>
      <w:r>
        <w:tab/>
        <w:t>Reconsidering refusal to approve plan of subdivision</w:t>
      </w:r>
      <w:bookmarkEnd w:id="446"/>
      <w:bookmarkEnd w:id="447"/>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448" w:name="_Toc155164955"/>
      <w:bookmarkStart w:id="449" w:name="_Toc135132660"/>
      <w:r>
        <w:rPr>
          <w:rStyle w:val="CharSectno"/>
        </w:rPr>
        <w:t>145</w:t>
      </w:r>
      <w:r>
        <w:t>.</w:t>
      </w:r>
      <w:r>
        <w:tab/>
        <w:t>Diagram or plan of survey of approved plan of subdivision, approval of</w:t>
      </w:r>
      <w:bookmarkEnd w:id="448"/>
      <w:bookmarkEnd w:id="449"/>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keepNext/>
        <w:keepLines/>
      </w:pPr>
      <w:r>
        <w:tab/>
        <w:t>(2)</w:t>
      </w:r>
      <w:r>
        <w:tab/>
        <w:t xml:space="preserve">In subsection (1) — </w:t>
      </w:r>
    </w:p>
    <w:p>
      <w:pPr>
        <w:pStyle w:val="Defstart"/>
        <w:keepNext/>
        <w:keepLines/>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450" w:name="_Toc155164956"/>
      <w:bookmarkStart w:id="451" w:name="_Toc135132661"/>
      <w:r>
        <w:rPr>
          <w:rStyle w:val="CharSectno"/>
        </w:rPr>
        <w:t>146</w:t>
      </w:r>
      <w:r>
        <w:t>.</w:t>
      </w:r>
      <w:r>
        <w:tab/>
        <w:t>No certificate of title for subdivided land without approved diagram or plan of survey</w:t>
      </w:r>
      <w:bookmarkEnd w:id="450"/>
      <w:bookmarkEnd w:id="451"/>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spacing w:before="80"/>
        <w:ind w:left="890" w:hanging="890"/>
      </w:pPr>
      <w:r>
        <w:tab/>
        <w:t>[Section 146 amended: No. 60 of 2006 s. 147(3).]</w:t>
      </w:r>
    </w:p>
    <w:p>
      <w:pPr>
        <w:pStyle w:val="Heading5"/>
        <w:spacing w:before="180"/>
      </w:pPr>
      <w:bookmarkStart w:id="452" w:name="_Toc155164957"/>
      <w:bookmarkStart w:id="453" w:name="_Toc135132662"/>
      <w:r>
        <w:rPr>
          <w:rStyle w:val="CharSectno"/>
        </w:rPr>
        <w:t>147</w:t>
      </w:r>
      <w:r>
        <w:t>.</w:t>
      </w:r>
      <w:r>
        <w:tab/>
        <w:t>No registration etc. of some land dealings without Commission’s approval</w:t>
      </w:r>
      <w:bookmarkEnd w:id="452"/>
      <w:bookmarkEnd w:id="453"/>
    </w:p>
    <w:p>
      <w:pPr>
        <w:pStyle w:val="Subsection"/>
        <w:keepNext/>
        <w:spacing w:before="12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2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454" w:name="_Toc155164958"/>
      <w:bookmarkStart w:id="455" w:name="_Toc135041039"/>
      <w:bookmarkStart w:id="456" w:name="_Toc135041508"/>
      <w:bookmarkStart w:id="457" w:name="_Toc135132663"/>
      <w:r>
        <w:rPr>
          <w:rStyle w:val="CharDivNo"/>
        </w:rPr>
        <w:t>Division 3</w:t>
      </w:r>
      <w:r>
        <w:t> — </w:t>
      </w:r>
      <w:r>
        <w:rPr>
          <w:rStyle w:val="CharDivText"/>
        </w:rPr>
        <w:t>Conditions of subdivision</w:t>
      </w:r>
      <w:bookmarkEnd w:id="454"/>
      <w:bookmarkEnd w:id="455"/>
      <w:bookmarkEnd w:id="456"/>
      <w:bookmarkEnd w:id="457"/>
    </w:p>
    <w:p>
      <w:pPr>
        <w:pStyle w:val="Ednotesection"/>
      </w:pPr>
      <w:r>
        <w:t>[</w:t>
      </w:r>
      <w:r>
        <w:rPr>
          <w:b/>
        </w:rPr>
        <w:t>148</w:t>
      </w:r>
      <w:r>
        <w:t>.</w:t>
      </w:r>
      <w:r>
        <w:tab/>
        <w:t>Deleted: No. 30 of 2018 s. 163.]</w:t>
      </w:r>
    </w:p>
    <w:p>
      <w:pPr>
        <w:pStyle w:val="Ednotesection"/>
      </w:pPr>
      <w:r>
        <w:t>[</w:t>
      </w:r>
      <w:r>
        <w:rPr>
          <w:b/>
        </w:rPr>
        <w:t>149.</w:t>
      </w:r>
      <w:r>
        <w:tab/>
        <w:t>Has not come into operation.]</w:t>
      </w:r>
    </w:p>
    <w:p>
      <w:pPr>
        <w:pStyle w:val="Heading5"/>
      </w:pPr>
      <w:bookmarkStart w:id="458" w:name="_Toc155164959"/>
      <w:bookmarkStart w:id="459" w:name="_Toc135132664"/>
      <w:r>
        <w:rPr>
          <w:rStyle w:val="CharSectno"/>
        </w:rPr>
        <w:t>150</w:t>
      </w:r>
      <w:r>
        <w:t>.</w:t>
      </w:r>
      <w:r>
        <w:tab/>
        <w:t>Road access, conditions as to</w:t>
      </w:r>
      <w:bookmarkEnd w:id="458"/>
      <w:bookmarkEnd w:id="459"/>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No. 60 of 2006 s. 147(4); No. 30 of 2018 s. 164.]</w:t>
      </w:r>
    </w:p>
    <w:p>
      <w:pPr>
        <w:pStyle w:val="Heading5"/>
      </w:pPr>
      <w:bookmarkStart w:id="460" w:name="_Toc155164960"/>
      <w:bookmarkStart w:id="461" w:name="_Toc135132665"/>
      <w:r>
        <w:rPr>
          <w:rStyle w:val="CharSectno"/>
        </w:rPr>
        <w:t>151</w:t>
      </w:r>
      <w:r>
        <w:t>.</w:t>
      </w:r>
      <w:r>
        <w:tab/>
        <w:t>Reconsidering conditions</w:t>
      </w:r>
      <w:bookmarkEnd w:id="460"/>
      <w:bookmarkEnd w:id="461"/>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462" w:name="_Toc155164961"/>
      <w:bookmarkStart w:id="463" w:name="_Toc135132666"/>
      <w:r>
        <w:rPr>
          <w:rStyle w:val="CharSectno"/>
        </w:rPr>
        <w:t>152</w:t>
      </w:r>
      <w:r>
        <w:t>.</w:t>
      </w:r>
      <w:r>
        <w:tab/>
        <w:t>Certain land to vest in Crown</w:t>
      </w:r>
      <w:bookmarkEnd w:id="462"/>
      <w:bookmarkEnd w:id="463"/>
    </w:p>
    <w:p>
      <w:pPr>
        <w:pStyle w:val="Subsection"/>
      </w:pPr>
      <w:r>
        <w:tab/>
        <w:t>(1)</w:t>
      </w:r>
      <w:r>
        <w:tab/>
        <w:t xml:space="preserve">If the Commission has approved a subdivision of land subject to a condition that one or more portions of land shown on a diagram or plan of survey relating to the subdivision or a scheme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scheme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Footnotesection"/>
      </w:pPr>
      <w:r>
        <w:tab/>
        <w:t>[Section 152 amended: No. 30 of 2018 s. 165.]</w:t>
      </w:r>
    </w:p>
    <w:p>
      <w:pPr>
        <w:pStyle w:val="Heading5"/>
      </w:pPr>
      <w:bookmarkStart w:id="464" w:name="_Toc155164962"/>
      <w:bookmarkStart w:id="465" w:name="_Toc135132667"/>
      <w:r>
        <w:rPr>
          <w:rStyle w:val="CharSectno"/>
        </w:rPr>
        <w:t>153</w:t>
      </w:r>
      <w:r>
        <w:t>.</w:t>
      </w:r>
      <w:r>
        <w:tab/>
        <w:t>Setting aside land for open space or payment in lieu</w:t>
      </w:r>
      <w:bookmarkEnd w:id="464"/>
      <w:bookmarkEnd w:id="465"/>
    </w:p>
    <w:p>
      <w:pPr>
        <w:pStyle w:val="Subsection"/>
      </w:pPr>
      <w:r>
        <w:tab/>
        <w:t>(1)</w:t>
      </w:r>
      <w:r>
        <w:tab/>
        <w:t xml:space="preserve">The Commission may under section 143(1)(c) impose either of the following conditions on the approval of a plan of subdivision of land — </w:t>
      </w:r>
    </w:p>
    <w:p>
      <w:pPr>
        <w:pStyle w:val="Indenta"/>
      </w:pPr>
      <w:r>
        <w:tab/>
        <w:t>(a)</w:t>
      </w:r>
      <w:r>
        <w:tab/>
        <w:t>a requirement that a specified portion of the land be set aside and vested in the Crown for parks, recreation grounds or open spaces generally;</w:t>
      </w:r>
    </w:p>
    <w:p>
      <w:pPr>
        <w:pStyle w:val="Indenta"/>
      </w:pPr>
      <w:r>
        <w:tab/>
        <w:t>(b)</w:t>
      </w:r>
      <w:r>
        <w:tab/>
        <w:t>a requirement that the owner of the land make a payment to the local government in whose district the land is situated of a sum that represents the value of a specified portion of the land in lieu of a requirement to set aside and vest in the Crown that portion of the land for parks, recreation grounds or open spaces generally.</w:t>
      </w:r>
    </w:p>
    <w:p>
      <w:pPr>
        <w:pStyle w:val="Subsection"/>
      </w:pPr>
      <w:r>
        <w:tab/>
        <w:t>(2)</w:t>
      </w:r>
      <w:r>
        <w:tab/>
        <w:t>The Commission must not impose a requirement referred to in subsection (1)(b) unless the local government in whose district the land is situated has been consulted.</w:t>
      </w:r>
    </w:p>
    <w:p>
      <w:pPr>
        <w:pStyle w:val="Subsection"/>
      </w:pPr>
      <w:r>
        <w:tab/>
        <w:t>(3)</w:t>
      </w:r>
      <w:r>
        <w:tab/>
        <w:t>The Commission must not impose a requirement referred to in subsection (1)(b) in respect of a plan of subdivision that creates fewer than 3 lots.</w:t>
      </w:r>
    </w:p>
    <w:p>
      <w:pPr>
        <w:pStyle w:val="Subsection"/>
      </w:pPr>
      <w:r>
        <w:tab/>
        <w:t>(4)</w:t>
      </w:r>
      <w:r>
        <w:tab/>
        <w:t>If the Commission has imposed a condition referred to in subsection (1)(a) on an approval of a plan of subdivision, the Commission may, with the agreement of the local government in whose district the land is situated, consent to the owner of the land making a payment to the local government of a sum that represents the value of a portion of the land in lieu of setting aside that portion.</w:t>
      </w:r>
    </w:p>
    <w:p>
      <w:pPr>
        <w:pStyle w:val="Subsection"/>
      </w:pPr>
      <w:r>
        <w:tab/>
        <w:t>(5)</w:t>
      </w:r>
      <w:r>
        <w:tab/>
        <w:t>This section does not limit any other condition that the Commission may impose under section 143(1)(c).</w:t>
      </w:r>
    </w:p>
    <w:p>
      <w:pPr>
        <w:pStyle w:val="Footnotesection"/>
      </w:pPr>
      <w:r>
        <w:tab/>
        <w:t>[Section 153 inserted: No. 26 of 2020 s. 85.]</w:t>
      </w:r>
    </w:p>
    <w:p>
      <w:pPr>
        <w:pStyle w:val="Heading5"/>
      </w:pPr>
      <w:bookmarkStart w:id="466" w:name="_Toc155164963"/>
      <w:bookmarkStart w:id="467" w:name="_Toc135132668"/>
      <w:r>
        <w:rPr>
          <w:rStyle w:val="CharSectno"/>
        </w:rPr>
        <w:t>154</w:t>
      </w:r>
      <w:r>
        <w:t>.</w:t>
      </w:r>
      <w:r>
        <w:tab/>
        <w:t>Money paid in lieu of open space, application of</w:t>
      </w:r>
      <w:bookmarkEnd w:id="466"/>
      <w:bookmarkEnd w:id="467"/>
    </w:p>
    <w:p>
      <w:pPr>
        <w:pStyle w:val="Subsection"/>
        <w:spacing w:before="120"/>
      </w:pPr>
      <w:r>
        <w:tab/>
        <w:t>(1)</w:t>
      </w:r>
      <w:r>
        <w:tab/>
        <w:t xml:space="preserve">All money received by a local government under section 153 is to be paid into a separate reserve account established and maintained under the </w:t>
      </w:r>
      <w:r>
        <w:rPr>
          <w:i/>
        </w:rPr>
        <w:t>Local Government Act 1995</w:t>
      </w:r>
      <w:r>
        <w:t xml:space="preserve"> section 6.11 for the purposes set out in subsection (2)(a) to (d).</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Footnotesection"/>
      </w:pPr>
      <w:r>
        <w:tab/>
        <w:t>[Section 154 amended: No. 26 of 2020 s. 86.]</w:t>
      </w:r>
    </w:p>
    <w:p>
      <w:pPr>
        <w:pStyle w:val="Heading5"/>
        <w:spacing w:before="180"/>
      </w:pPr>
      <w:bookmarkStart w:id="468" w:name="_Toc155164964"/>
      <w:bookmarkStart w:id="469" w:name="_Toc135132669"/>
      <w:r>
        <w:rPr>
          <w:rStyle w:val="CharSectno"/>
        </w:rPr>
        <w:t>155</w:t>
      </w:r>
      <w:r>
        <w:t>.</w:t>
      </w:r>
      <w:r>
        <w:tab/>
        <w:t>Value of land for s. 153, how determined</w:t>
      </w:r>
      <w:bookmarkEnd w:id="468"/>
      <w:bookmarkEnd w:id="469"/>
    </w:p>
    <w:p>
      <w:pPr>
        <w:pStyle w:val="Subsection"/>
        <w:keepNext/>
        <w:keepLines/>
        <w:spacing w:before="120"/>
      </w:pPr>
      <w:r>
        <w:tab/>
        <w:t>(1)</w:t>
      </w:r>
      <w:r>
        <w:tab/>
        <w:t xml:space="preserve">In this section — </w:t>
      </w:r>
    </w:p>
    <w:p>
      <w:pPr>
        <w:pStyle w:val="Defstart"/>
        <w:keepNext/>
        <w:keepLines/>
      </w:pPr>
      <w:r>
        <w:tab/>
      </w:r>
      <w:r>
        <w:rPr>
          <w:rStyle w:val="CharDefText"/>
        </w:rPr>
        <w:t>licensed valuer</w:t>
      </w:r>
      <w:r>
        <w:t xml:space="preserve"> means — </w:t>
      </w:r>
    </w:p>
    <w:p>
      <w:pPr>
        <w:pStyle w:val="Defpara"/>
        <w:keepNext/>
        <w:keepLines/>
        <w:spacing w:before="60"/>
      </w:pPr>
      <w:r>
        <w:tab/>
        <w:t>(a)</w:t>
      </w:r>
      <w:r>
        <w:tab/>
        <w:t xml:space="preserve">a licensed valuer as defined in the </w:t>
      </w:r>
      <w:r>
        <w:rPr>
          <w:i/>
        </w:rPr>
        <w:t>Land Valuers Licensing Act 1978</w:t>
      </w:r>
      <w:r>
        <w:t>; or</w:t>
      </w:r>
    </w:p>
    <w:p>
      <w:pPr>
        <w:pStyle w:val="Defpara"/>
        <w:keepNext/>
        <w:keepLines/>
        <w:spacing w:before="60"/>
      </w:pPr>
      <w:r>
        <w:tab/>
        <w:t>(b)</w:t>
      </w:r>
      <w:r>
        <w:tab/>
        <w:t>the Valuer</w:t>
      </w:r>
      <w:r>
        <w:noBreakHyphen/>
        <w:t>General,</w:t>
      </w:r>
    </w:p>
    <w:p>
      <w:pPr>
        <w:pStyle w:val="Defstart"/>
        <w:keepNext/>
        <w:keepLines/>
        <w:spacing w:before="60"/>
      </w:pPr>
      <w:r>
        <w:tab/>
        <w:t>but nothing in subsection (3)(a) or in this definition is to be construed as obliging the Valuer</w:t>
      </w:r>
      <w:r>
        <w:noBreakHyphen/>
        <w:t>General to undertake a valuation for the purposes of this section;</w:t>
      </w:r>
    </w:p>
    <w:p>
      <w:pPr>
        <w:pStyle w:val="Defstart"/>
        <w:spacing w:before="60"/>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spacing w:before="120"/>
      </w:pPr>
      <w:r>
        <w:tab/>
        <w:t>(2)</w:t>
      </w:r>
      <w:r>
        <w:tab/>
        <w:t>For the purposes of section 153, the value of the portion is to be such percentage of the market value of the land of which the portion forms part as the area of the portion bears to the area of that land.</w:t>
      </w:r>
    </w:p>
    <w:p>
      <w:pPr>
        <w:pStyle w:val="Subsection"/>
        <w:spacing w:before="120"/>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spacing w:before="200"/>
      </w:pPr>
      <w:r>
        <w:tab/>
        <w:t>(4)</w:t>
      </w:r>
      <w:r>
        <w:tab/>
        <w:t>The licensed valuer is to give the valuation to the owner of the land and the local government.</w:t>
      </w:r>
    </w:p>
    <w:p>
      <w:pPr>
        <w:pStyle w:val="Subsection"/>
        <w:spacing w:before="200"/>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470" w:name="_Toc155164965"/>
      <w:bookmarkStart w:id="471" w:name="_Toc135132670"/>
      <w:r>
        <w:rPr>
          <w:rStyle w:val="CharSectno"/>
        </w:rPr>
        <w:t>156</w:t>
      </w:r>
      <w:r>
        <w:t>.</w:t>
      </w:r>
      <w:r>
        <w:tab/>
        <w:t>Valuation under s. 155, dispute as to</w:t>
      </w:r>
      <w:bookmarkEnd w:id="470"/>
      <w:bookmarkEnd w:id="471"/>
    </w:p>
    <w:p>
      <w:pPr>
        <w:pStyle w:val="Subsection"/>
        <w:spacing w:before="200"/>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20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2012</w:t>
      </w:r>
      <w:r>
        <w:t>.</w:t>
      </w:r>
    </w:p>
    <w:p>
      <w:pPr>
        <w:pStyle w:val="Footnotesection"/>
      </w:pPr>
      <w:r>
        <w:tab/>
        <w:t>[Section 156 amended: No. 23 of 2012 s. 45.]</w:t>
      </w:r>
    </w:p>
    <w:p>
      <w:pPr>
        <w:pStyle w:val="Heading5"/>
      </w:pPr>
      <w:bookmarkStart w:id="472" w:name="_Toc155164966"/>
      <w:bookmarkStart w:id="473" w:name="_Toc135132671"/>
      <w:r>
        <w:rPr>
          <w:rStyle w:val="CharSectno"/>
        </w:rPr>
        <w:t>157</w:t>
      </w:r>
      <w:r>
        <w:t>.</w:t>
      </w:r>
      <w:r>
        <w:tab/>
        <w:t>When approval of subdivision deemed to be approval under planning scheme</w:t>
      </w:r>
      <w:bookmarkEnd w:id="472"/>
      <w:bookmarkEnd w:id="473"/>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474" w:name="_Toc155164967"/>
      <w:bookmarkStart w:id="475" w:name="_Toc135041048"/>
      <w:bookmarkStart w:id="476" w:name="_Toc135041517"/>
      <w:bookmarkStart w:id="477" w:name="_Toc135132672"/>
      <w:r>
        <w:rPr>
          <w:rStyle w:val="CharDivNo"/>
        </w:rPr>
        <w:t>Division 4</w:t>
      </w:r>
      <w:r>
        <w:t> — </w:t>
      </w:r>
      <w:r>
        <w:rPr>
          <w:rStyle w:val="CharDivText"/>
        </w:rPr>
        <w:t>Subdivision costs</w:t>
      </w:r>
      <w:bookmarkEnd w:id="474"/>
      <w:bookmarkEnd w:id="475"/>
      <w:bookmarkEnd w:id="476"/>
      <w:bookmarkEnd w:id="477"/>
    </w:p>
    <w:p>
      <w:pPr>
        <w:pStyle w:val="Heading5"/>
      </w:pPr>
      <w:bookmarkStart w:id="478" w:name="_Toc155164968"/>
      <w:bookmarkStart w:id="479" w:name="_Toc135132673"/>
      <w:r>
        <w:rPr>
          <w:rStyle w:val="CharSectno"/>
        </w:rPr>
        <w:t>158</w:t>
      </w:r>
      <w:r>
        <w:t>.</w:t>
      </w:r>
      <w:r>
        <w:tab/>
        <w:t>Expenses of construction etc. of roads etc.</w:t>
      </w:r>
      <w:bookmarkEnd w:id="478"/>
      <w:bookmarkEnd w:id="479"/>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480" w:name="_Toc155164969"/>
      <w:bookmarkStart w:id="481" w:name="_Toc135132674"/>
      <w:r>
        <w:rPr>
          <w:rStyle w:val="CharSectno"/>
        </w:rPr>
        <w:t>159</w:t>
      </w:r>
      <w:r>
        <w:t>.</w:t>
      </w:r>
      <w:r>
        <w:tab/>
        <w:t>Subdivider may recover portion of road costs from later subdivider</w:t>
      </w:r>
      <w:bookmarkEnd w:id="480"/>
      <w:bookmarkEnd w:id="481"/>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pPr>
      <w:r>
        <w:tab/>
        <w:t>(2)</w:t>
      </w:r>
      <w:r>
        <w:tab/>
        <w:t xml:space="preserve">In this section — </w:t>
      </w:r>
    </w:p>
    <w:p>
      <w:pPr>
        <w:pStyle w:val="Defstart"/>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482" w:name="_Toc155164970"/>
      <w:bookmarkStart w:id="483" w:name="_Toc135132675"/>
      <w:r>
        <w:rPr>
          <w:rStyle w:val="CharSectno"/>
        </w:rPr>
        <w:t>160</w:t>
      </w:r>
      <w:r>
        <w:t>.</w:t>
      </w:r>
      <w:r>
        <w:tab/>
        <w:t>Money payable under s. 159, recovery of</w:t>
      </w:r>
      <w:bookmarkEnd w:id="482"/>
      <w:bookmarkEnd w:id="483"/>
    </w:p>
    <w:p>
      <w:pPr>
        <w:pStyle w:val="Subsection"/>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484" w:name="_Toc155164971"/>
      <w:bookmarkStart w:id="485" w:name="_Toc135132676"/>
      <w:r>
        <w:rPr>
          <w:rStyle w:val="CharSectno"/>
        </w:rPr>
        <w:t>161</w:t>
      </w:r>
      <w:r>
        <w:t>.</w:t>
      </w:r>
      <w:r>
        <w:tab/>
        <w:t>When subdivision occurs</w:t>
      </w:r>
      <w:bookmarkEnd w:id="484"/>
      <w:bookmarkEnd w:id="485"/>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486" w:name="_Toc155164972"/>
      <w:bookmarkStart w:id="487" w:name="_Toc135041053"/>
      <w:bookmarkStart w:id="488" w:name="_Toc135041522"/>
      <w:bookmarkStart w:id="489" w:name="_Toc135132677"/>
      <w:r>
        <w:rPr>
          <w:rStyle w:val="CharDivNo"/>
        </w:rPr>
        <w:t>Division 5</w:t>
      </w:r>
      <w:r>
        <w:t> — </w:t>
      </w:r>
      <w:r>
        <w:rPr>
          <w:rStyle w:val="CharDivText"/>
        </w:rPr>
        <w:t>Development controls</w:t>
      </w:r>
      <w:bookmarkEnd w:id="486"/>
      <w:bookmarkEnd w:id="487"/>
      <w:bookmarkEnd w:id="488"/>
      <w:bookmarkEnd w:id="489"/>
    </w:p>
    <w:p>
      <w:pPr>
        <w:pStyle w:val="Heading5"/>
        <w:spacing w:before="180"/>
      </w:pPr>
      <w:bookmarkStart w:id="490" w:name="_Toc155164973"/>
      <w:bookmarkStart w:id="491" w:name="_Toc135132678"/>
      <w:r>
        <w:rPr>
          <w:rStyle w:val="CharSectno"/>
        </w:rPr>
        <w:t>162</w:t>
      </w:r>
      <w:r>
        <w:t>.</w:t>
      </w:r>
      <w:r>
        <w:tab/>
        <w:t>No development except with approval</w:t>
      </w:r>
      <w:bookmarkEnd w:id="490"/>
      <w:bookmarkEnd w:id="491"/>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pPr>
      <w:bookmarkStart w:id="492" w:name="_Toc155164974"/>
      <w:bookmarkStart w:id="493" w:name="_Toc135132679"/>
      <w:r>
        <w:rPr>
          <w:rStyle w:val="CharSectno"/>
        </w:rPr>
        <w:t>163</w:t>
      </w:r>
      <w:r>
        <w:t>.</w:t>
      </w:r>
      <w:r>
        <w:tab/>
        <w:t>Application for development of heritage place</w:t>
      </w:r>
      <w:bookmarkEnd w:id="492"/>
      <w:bookmarkEnd w:id="493"/>
    </w:p>
    <w:p>
      <w:pPr>
        <w:pStyle w:val="Subsection"/>
        <w:keepNext/>
      </w:pPr>
      <w:r>
        <w:tab/>
      </w:r>
      <w:r>
        <w:tab/>
        <w:t xml:space="preserve">An application for approval of development must, if the application is a proposal to which the </w:t>
      </w:r>
      <w:r>
        <w:rPr>
          <w:i/>
        </w:rPr>
        <w:t xml:space="preserve">Heritage Act 2018 </w:t>
      </w:r>
      <w:r>
        <w:t xml:space="preserve">section 73(1) applies, be made — </w:t>
      </w:r>
    </w:p>
    <w:p>
      <w:pPr>
        <w:pStyle w:val="Indenta"/>
      </w:pPr>
      <w:r>
        <w:tab/>
        <w:t>(a)</w:t>
      </w:r>
      <w:r>
        <w:tab/>
        <w:t>in the case of an application under a local planning scheme or local interim development order, to the responsible authority; and</w:t>
      </w:r>
    </w:p>
    <w:p>
      <w:pPr>
        <w:pStyle w:val="Indenta"/>
        <w:keepNext/>
      </w:pPr>
      <w:r>
        <w:tab/>
        <w:t>(b)</w:t>
      </w:r>
      <w:r>
        <w:tab/>
        <w:t>in any other case, to the Commission.</w:t>
      </w:r>
    </w:p>
    <w:p>
      <w:pPr>
        <w:pStyle w:val="Footnotesection"/>
      </w:pPr>
      <w:r>
        <w:tab/>
        <w:t>[Section 163 inserted: No. 22 of 2018 s. 186(12).]</w:t>
      </w:r>
    </w:p>
    <w:p>
      <w:pPr>
        <w:pStyle w:val="Heading5"/>
      </w:pPr>
      <w:bookmarkStart w:id="494" w:name="_Toc155164975"/>
      <w:bookmarkStart w:id="495" w:name="_Toc135132680"/>
      <w:r>
        <w:rPr>
          <w:rStyle w:val="CharSectno"/>
        </w:rPr>
        <w:t>164</w:t>
      </w:r>
      <w:r>
        <w:t>.</w:t>
      </w:r>
      <w:r>
        <w:tab/>
        <w:t>Development commenced or carried out, subsequent approval of</w:t>
      </w:r>
      <w:bookmarkEnd w:id="494"/>
      <w:bookmarkEnd w:id="495"/>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496" w:name="_Toc155164976"/>
      <w:bookmarkStart w:id="497" w:name="_Toc135041057"/>
      <w:bookmarkStart w:id="498" w:name="_Toc135041526"/>
      <w:bookmarkStart w:id="499" w:name="_Toc135132681"/>
      <w:r>
        <w:rPr>
          <w:rStyle w:val="CharDivNo"/>
        </w:rPr>
        <w:t>Division 5A</w:t>
      </w:r>
      <w:r>
        <w:t> — </w:t>
      </w:r>
      <w:r>
        <w:rPr>
          <w:rStyle w:val="CharDivText"/>
        </w:rPr>
        <w:t>Integration of subdivision and development</w:t>
      </w:r>
      <w:bookmarkEnd w:id="496"/>
      <w:bookmarkEnd w:id="497"/>
      <w:bookmarkEnd w:id="498"/>
      <w:bookmarkEnd w:id="499"/>
    </w:p>
    <w:p>
      <w:pPr>
        <w:pStyle w:val="Footnoteheading"/>
        <w:keepNext/>
      </w:pPr>
      <w:r>
        <w:tab/>
        <w:t>[Heading inserted: No. 30 of 2018 s. 166.]</w:t>
      </w:r>
    </w:p>
    <w:p>
      <w:pPr>
        <w:pStyle w:val="Heading5"/>
      </w:pPr>
      <w:bookmarkStart w:id="500" w:name="_Toc155164977"/>
      <w:bookmarkStart w:id="501" w:name="_Toc135132682"/>
      <w:r>
        <w:rPr>
          <w:rStyle w:val="CharSectno"/>
        </w:rPr>
        <w:t>164A</w:t>
      </w:r>
      <w:r>
        <w:t>.</w:t>
      </w:r>
      <w:r>
        <w:tab/>
        <w:t>Integration of subdivision and development</w:t>
      </w:r>
      <w:bookmarkEnd w:id="500"/>
      <w:bookmarkEnd w:id="501"/>
    </w:p>
    <w:p>
      <w:pPr>
        <w:pStyle w:val="Subsection"/>
      </w:pPr>
      <w:r>
        <w:tab/>
        <w:t>(1)</w:t>
      </w:r>
      <w:r>
        <w:tab/>
        <w:t>This section applies if, on an application for subdivision approval or development approval, the Commission or responsible authority forms the opinion that the integration of subdivision and development approvals or multiple subdivision or development approvals is necessary or desirable —</w:t>
      </w:r>
    </w:p>
    <w:p>
      <w:pPr>
        <w:pStyle w:val="Indenta"/>
      </w:pPr>
      <w:r>
        <w:tab/>
        <w:t>(a)</w:t>
      </w:r>
      <w:r>
        <w:tab/>
        <w:t>due to the size of the lots and potential impact on the amenity of the locality; or</w:t>
      </w:r>
    </w:p>
    <w:p>
      <w:pPr>
        <w:pStyle w:val="Indenta"/>
      </w:pPr>
      <w:r>
        <w:tab/>
        <w:t>(b)</w:t>
      </w:r>
      <w:r>
        <w:tab/>
        <w:t>for other reasons associated with the achievement of orderly and proper planning, and the preservation of the amenity, of the locality.</w:t>
      </w:r>
    </w:p>
    <w:p>
      <w:pPr>
        <w:pStyle w:val="Subsection"/>
      </w:pPr>
      <w:r>
        <w:tab/>
        <w:t>(2)</w:t>
      </w:r>
      <w:r>
        <w:tab/>
        <w:t>The main purposes of integrating subdivision and development approvals are —</w:t>
      </w:r>
    </w:p>
    <w:p>
      <w:pPr>
        <w:pStyle w:val="Indenta"/>
      </w:pPr>
      <w:r>
        <w:tab/>
        <w:t>(a)</w:t>
      </w:r>
      <w:r>
        <w:tab/>
        <w:t>to facilitate a cohesive approach to planning and development in circumstances where subdivision and development should only be undertaken in conjunction with each other; and</w:t>
      </w:r>
    </w:p>
    <w:p>
      <w:pPr>
        <w:pStyle w:val="Indenta"/>
      </w:pPr>
      <w:r>
        <w:tab/>
        <w:t>(b)</w:t>
      </w:r>
      <w:r>
        <w:tab/>
        <w:t>to ensure that, in those circumstances, appropriate conditions for both the subdivision and development of land are determined as early as is practicable.</w:t>
      </w:r>
    </w:p>
    <w:p>
      <w:pPr>
        <w:pStyle w:val="Subsection"/>
      </w:pPr>
      <w:r>
        <w:tab/>
        <w:t>(3)</w:t>
      </w:r>
      <w:r>
        <w:tab/>
        <w:t>If this section applies —</w:t>
      </w:r>
    </w:p>
    <w:p>
      <w:pPr>
        <w:pStyle w:val="Indenta"/>
      </w:pPr>
      <w:r>
        <w:tab/>
        <w:t>(a)</w:t>
      </w:r>
      <w:r>
        <w:tab/>
        <w:t>the Commission may, in order to achieve the necessary or desirable integration of subdivision and development approvals, refuse to determine an application for subdivision approval until other applications for subdivision or development approvals are made or are made and determined; and</w:t>
      </w:r>
    </w:p>
    <w:p>
      <w:pPr>
        <w:pStyle w:val="Indenta"/>
      </w:pPr>
      <w:r>
        <w:tab/>
        <w:t>(b)</w:t>
      </w:r>
      <w:r>
        <w:tab/>
        <w:t xml:space="preserve">the Commission may refuse to unconditionally endorse a diagram or plan of survey with a subdivision approval in order for the plan to be registered in the Register under the </w:t>
      </w:r>
      <w:r>
        <w:rPr>
          <w:i/>
          <w:iCs/>
        </w:rPr>
        <w:t>Transfer of Land Act 1893</w:t>
      </w:r>
      <w:r>
        <w:t xml:space="preserve"> unless satisfied that —</w:t>
      </w:r>
    </w:p>
    <w:p>
      <w:pPr>
        <w:pStyle w:val="Indenti"/>
      </w:pPr>
      <w:r>
        <w:tab/>
        <w:t>(i)</w:t>
      </w:r>
      <w:r>
        <w:tab/>
        <w:t>the diagram or plan of survey is an accurate depiction of the subdivision that has been prepared after completion of the works necessary for the subdivision and the construction or modification of the buildings necessary for the development, the approvals of which have been required to be integrated; and</w:t>
      </w:r>
    </w:p>
    <w:p>
      <w:pPr>
        <w:pStyle w:val="Indenti"/>
      </w:pPr>
      <w:r>
        <w:tab/>
        <w:t>(ii)</w:t>
      </w:r>
      <w:r>
        <w:tab/>
        <w:t>the subdivision and development has been undertaken consistently with the relevant approvals, including their conditions; and</w:t>
      </w:r>
    </w:p>
    <w:p>
      <w:pPr>
        <w:pStyle w:val="Indenti"/>
      </w:pPr>
      <w:r>
        <w:tab/>
        <w:t>(iii)</w:t>
      </w:r>
      <w:r>
        <w:tab/>
        <w:t xml:space="preserve">the requirements of the </w:t>
      </w:r>
      <w:r>
        <w:rPr>
          <w:i/>
          <w:iCs/>
        </w:rPr>
        <w:t>Building Act 2011</w:t>
      </w:r>
      <w:r>
        <w:t xml:space="preserve"> have been complied with for the development.</w:t>
      </w:r>
    </w:p>
    <w:p>
      <w:pPr>
        <w:pStyle w:val="Subsection"/>
      </w:pPr>
      <w:r>
        <w:tab/>
        <w:t>(4)</w:t>
      </w:r>
      <w:r>
        <w:tab/>
        <w:t>Regulations may be made —</w:t>
      </w:r>
    </w:p>
    <w:p>
      <w:pPr>
        <w:pStyle w:val="Indenta"/>
      </w:pPr>
      <w:r>
        <w:tab/>
        <w:t>(a)</w:t>
      </w:r>
      <w:r>
        <w:tab/>
        <w:t>requiring the Commission or a responsible authority to inform each other and share information about an application for subdivision approval or development approval; or</w:t>
      </w:r>
    </w:p>
    <w:p>
      <w:pPr>
        <w:pStyle w:val="Indenta"/>
      </w:pPr>
      <w:r>
        <w:tab/>
        <w:t>(b)</w:t>
      </w:r>
      <w:r>
        <w:tab/>
        <w:t>requiring an applicant to provide additional documents or information reasonably required to determine whether subdivision and development approvals should be integrated under this section and to give effect to any such integration; or</w:t>
      </w:r>
    </w:p>
    <w:p>
      <w:pPr>
        <w:pStyle w:val="Indenta"/>
      </w:pPr>
      <w:r>
        <w:tab/>
        <w:t>(c)</w:t>
      </w:r>
      <w:r>
        <w:tab/>
        <w:t>establishing processes for the concurrent or separate consideration of subdivision and development approvals to which this section applies and for the imposition of conditions of approvals to which this section applies; or</w:t>
      </w:r>
    </w:p>
    <w:p>
      <w:pPr>
        <w:pStyle w:val="Indenta"/>
      </w:pPr>
      <w:r>
        <w:tab/>
        <w:t>(d)</w:t>
      </w:r>
      <w:r>
        <w:tab/>
        <w:t>otherwise facilitating the integration of subdivision and development approvals.</w:t>
      </w:r>
    </w:p>
    <w:p>
      <w:pPr>
        <w:pStyle w:val="Footnotesection"/>
      </w:pPr>
      <w:r>
        <w:tab/>
        <w:t>[Section 164A inserted: No. 30 of 2018 s. 166.]</w:t>
      </w:r>
    </w:p>
    <w:p>
      <w:pPr>
        <w:pStyle w:val="Heading3"/>
        <w:spacing w:before="300"/>
      </w:pPr>
      <w:bookmarkStart w:id="502" w:name="_Toc155164978"/>
      <w:bookmarkStart w:id="503" w:name="_Toc135041059"/>
      <w:bookmarkStart w:id="504" w:name="_Toc135041528"/>
      <w:bookmarkStart w:id="505" w:name="_Toc135132683"/>
      <w:r>
        <w:rPr>
          <w:rStyle w:val="CharDivNo"/>
        </w:rPr>
        <w:t>Division 6</w:t>
      </w:r>
      <w:r>
        <w:t> — </w:t>
      </w:r>
      <w:r>
        <w:rPr>
          <w:rStyle w:val="CharDivText"/>
        </w:rPr>
        <w:t>Miscellaneous</w:t>
      </w:r>
      <w:bookmarkEnd w:id="502"/>
      <w:bookmarkEnd w:id="503"/>
      <w:bookmarkEnd w:id="504"/>
      <w:bookmarkEnd w:id="505"/>
    </w:p>
    <w:p>
      <w:pPr>
        <w:pStyle w:val="Heading5"/>
      </w:pPr>
      <w:bookmarkStart w:id="506" w:name="_Toc155164979"/>
      <w:bookmarkStart w:id="507" w:name="_Toc135132684"/>
      <w:r>
        <w:rPr>
          <w:rStyle w:val="CharSectno"/>
        </w:rPr>
        <w:t>165</w:t>
      </w:r>
      <w:r>
        <w:t>.</w:t>
      </w:r>
      <w:r>
        <w:tab/>
        <w:t>Hazard etc. affecting land, notating titles as to</w:t>
      </w:r>
      <w:bookmarkEnd w:id="506"/>
      <w:bookmarkEnd w:id="507"/>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pPr>
      <w:r>
        <w:tab/>
        <w:t>(b)</w:t>
      </w:r>
      <w:r>
        <w:tab/>
        <w:t xml:space="preserve">a strata titles scheme as defined in the </w:t>
      </w:r>
      <w:r>
        <w:rPr>
          <w:i/>
        </w:rPr>
        <w:t>Strata Titles Act 1985</w:t>
      </w:r>
      <w:r>
        <w:t xml:space="preserve"> section 3(1), registered, or lodged for registration, under that Act,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spacing w:before="120"/>
      </w:pPr>
      <w:r>
        <w:tab/>
        <w:t>(5)</w:t>
      </w:r>
      <w:r>
        <w:tab/>
        <w:t>A withdrawal of a notification under subsection (4) is to be in a form acceptable to the Registrar of Titles.</w:t>
      </w:r>
    </w:p>
    <w:p>
      <w:pPr>
        <w:pStyle w:val="Footnotesection"/>
      </w:pPr>
      <w:r>
        <w:tab/>
        <w:t>[Section 165 amended: No. 60 of 2006 s. 147(5); No. 30 of 2018 s. 167.]</w:t>
      </w:r>
    </w:p>
    <w:p>
      <w:pPr>
        <w:pStyle w:val="Heading5"/>
        <w:spacing w:before="180"/>
      </w:pPr>
      <w:bookmarkStart w:id="508" w:name="_Toc155164980"/>
      <w:bookmarkStart w:id="509" w:name="_Toc135132685"/>
      <w:r>
        <w:rPr>
          <w:rStyle w:val="CharSectno"/>
        </w:rPr>
        <w:t>166</w:t>
      </w:r>
      <w:r>
        <w:t>.</w:t>
      </w:r>
      <w:r>
        <w:tab/>
        <w:t>Encroachment that leads to approved subdivision</w:t>
      </w:r>
      <w:bookmarkEnd w:id="508"/>
      <w:bookmarkEnd w:id="509"/>
    </w:p>
    <w:p>
      <w:pPr>
        <w:pStyle w:val="Subsection"/>
        <w:spacing w:before="12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00"/>
      </w:pPr>
      <w:r>
        <w:tab/>
      </w:r>
      <w:r>
        <w:tab/>
        <w:t>the Commission is to approve of the necessary subdivision.</w:t>
      </w:r>
    </w:p>
    <w:p>
      <w:pPr>
        <w:pStyle w:val="Heading5"/>
      </w:pPr>
      <w:bookmarkStart w:id="510" w:name="_Toc155164981"/>
      <w:bookmarkStart w:id="511" w:name="_Toc135132686"/>
      <w:r>
        <w:rPr>
          <w:rStyle w:val="CharSectno"/>
        </w:rPr>
        <w:t>167</w:t>
      </w:r>
      <w:r>
        <w:t>.</w:t>
      </w:r>
      <w:r>
        <w:tab/>
        <w:t>Easement, creation of etc. on subdivision etc.</w:t>
      </w:r>
      <w:bookmarkEnd w:id="510"/>
      <w:bookmarkEnd w:id="511"/>
    </w:p>
    <w:p>
      <w:pPr>
        <w:pStyle w:val="Subsection"/>
        <w:keepNext/>
        <w:spacing w:before="120"/>
      </w:pPr>
      <w:r>
        <w:tab/>
        <w:t>(1)</w:t>
      </w:r>
      <w:r>
        <w:tab/>
        <w:t xml:space="preserve">Where — </w:t>
      </w:r>
    </w:p>
    <w:p>
      <w:pPr>
        <w:pStyle w:val="Indenta"/>
        <w:spacing w:before="56"/>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iCs/>
        </w:rPr>
        <w:t xml:space="preserve">Water Services Act 2012 </w:t>
      </w:r>
      <w:r>
        <w:t>section 3(1),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No. 60 of 2006 s. 147(6); No. 25 of 2012 s. 222(3); No. 30 of 2018 s. 168.]</w:t>
      </w:r>
    </w:p>
    <w:p>
      <w:pPr>
        <w:pStyle w:val="Heading5"/>
      </w:pPr>
      <w:bookmarkStart w:id="512" w:name="_Toc155164982"/>
      <w:bookmarkStart w:id="513" w:name="_Toc135132687"/>
      <w:r>
        <w:rPr>
          <w:rStyle w:val="CharSectno"/>
        </w:rPr>
        <w:t>168</w:t>
      </w:r>
      <w:r>
        <w:t>.</w:t>
      </w:r>
      <w:r>
        <w:tab/>
        <w:t>Road, creation of etc. on subdivision etc.</w:t>
      </w:r>
      <w:bookmarkEnd w:id="512"/>
      <w:bookmarkEnd w:id="513"/>
    </w:p>
    <w:p>
      <w:pPr>
        <w:pStyle w:val="Subsection"/>
      </w:pPr>
      <w:r>
        <w:tab/>
        <w:t>(1)</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 xml:space="preserve">in the case of a scheme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scheme plan that is registered under the </w:t>
      </w:r>
      <w:r>
        <w:rPr>
          <w:i/>
        </w:rPr>
        <w:t>Strata Titles Act 1985</w:t>
      </w:r>
      <w:r>
        <w:t>.</w:t>
      </w:r>
    </w:p>
    <w:p>
      <w:pPr>
        <w:pStyle w:val="Footnotesection"/>
        <w:ind w:left="890" w:hanging="890"/>
      </w:pPr>
      <w:r>
        <w:tab/>
        <w:t>[Section 168 amended: No. 60 of 2006 s. 147(7); No. 30 of 2018 s. 169.]</w:t>
      </w:r>
    </w:p>
    <w:p>
      <w:pPr>
        <w:pStyle w:val="Heading5"/>
      </w:pPr>
      <w:bookmarkStart w:id="514" w:name="_Toc155164983"/>
      <w:bookmarkStart w:id="515" w:name="_Toc135132688"/>
      <w:r>
        <w:rPr>
          <w:rStyle w:val="CharSectno"/>
        </w:rPr>
        <w:t>169</w:t>
      </w:r>
      <w:r>
        <w:t>.</w:t>
      </w:r>
      <w:r>
        <w:tab/>
        <w:t>Roads and waterways, minimum standards of construction for</w:t>
      </w:r>
      <w:bookmarkEnd w:id="514"/>
      <w:bookmarkEnd w:id="515"/>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516" w:name="_Toc155164984"/>
      <w:bookmarkStart w:id="517" w:name="_Toc135132689"/>
      <w:r>
        <w:rPr>
          <w:rStyle w:val="CharSectno"/>
        </w:rPr>
        <w:t>170</w:t>
      </w:r>
      <w:r>
        <w:t>.</w:t>
      </w:r>
      <w:r>
        <w:tab/>
        <w:t>Proposed road or waterway, drawings etc. of required</w:t>
      </w:r>
      <w:bookmarkEnd w:id="516"/>
      <w:bookmarkEnd w:id="517"/>
    </w:p>
    <w:p>
      <w:pPr>
        <w:pStyle w:val="Subsection"/>
        <w:keepNext/>
      </w:pPr>
      <w:r>
        <w:tab/>
        <w:t>(1A)</w:t>
      </w:r>
      <w:r>
        <w:tab/>
        <w:t xml:space="preserve">In this section — </w:t>
      </w:r>
    </w:p>
    <w:p>
      <w:pPr>
        <w:pStyle w:val="Defstart"/>
        <w:keepNex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or the Swan Valley Planning Scheme — the Commission.</w:t>
      </w:r>
    </w:p>
    <w:p>
      <w:pPr>
        <w:pStyle w:val="Subsection"/>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responsible authority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keepNext/>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keepNext/>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No. 28 of 2010 s. 15; No. 45 of 2020 s. 80.] </w:t>
      </w:r>
    </w:p>
    <w:p>
      <w:pPr>
        <w:pStyle w:val="Heading2"/>
      </w:pPr>
      <w:bookmarkStart w:id="518" w:name="_Toc155164985"/>
      <w:bookmarkStart w:id="519" w:name="_Toc135041066"/>
      <w:bookmarkStart w:id="520" w:name="_Toc135041535"/>
      <w:bookmarkStart w:id="521" w:name="_Toc135132690"/>
      <w:r>
        <w:rPr>
          <w:rStyle w:val="CharPartNo"/>
        </w:rPr>
        <w:t>Part 11A</w:t>
      </w:r>
      <w:r>
        <w:rPr>
          <w:b w:val="0"/>
        </w:rPr>
        <w:t> </w:t>
      </w:r>
      <w:r>
        <w:t>—</w:t>
      </w:r>
      <w:r>
        <w:rPr>
          <w:b w:val="0"/>
        </w:rPr>
        <w:t> </w:t>
      </w:r>
      <w:r>
        <w:rPr>
          <w:rStyle w:val="CharPartText"/>
        </w:rPr>
        <w:t>Development Assessment Panels and development control</w:t>
      </w:r>
      <w:bookmarkEnd w:id="518"/>
      <w:bookmarkEnd w:id="519"/>
      <w:bookmarkEnd w:id="520"/>
      <w:bookmarkEnd w:id="521"/>
    </w:p>
    <w:p>
      <w:pPr>
        <w:pStyle w:val="Footnoteheading"/>
      </w:pPr>
      <w:r>
        <w:tab/>
        <w:t xml:space="preserve">[Heading inserted: No. 28 of 2010 s. 43.] </w:t>
      </w:r>
    </w:p>
    <w:p>
      <w:pPr>
        <w:pStyle w:val="Heading3"/>
      </w:pPr>
      <w:bookmarkStart w:id="522" w:name="_Toc155164986"/>
      <w:bookmarkStart w:id="523" w:name="_Toc135041067"/>
      <w:bookmarkStart w:id="524" w:name="_Toc135041536"/>
      <w:bookmarkStart w:id="525" w:name="_Toc135132691"/>
      <w:r>
        <w:rPr>
          <w:rStyle w:val="CharDivNo"/>
        </w:rPr>
        <w:t>Division 1</w:t>
      </w:r>
      <w:r>
        <w:t> — </w:t>
      </w:r>
      <w:r>
        <w:rPr>
          <w:rStyle w:val="CharDivText"/>
        </w:rPr>
        <w:t>Functions of DAPs</w:t>
      </w:r>
      <w:bookmarkEnd w:id="522"/>
      <w:bookmarkEnd w:id="523"/>
      <w:bookmarkEnd w:id="524"/>
      <w:bookmarkEnd w:id="525"/>
    </w:p>
    <w:p>
      <w:pPr>
        <w:pStyle w:val="Footnoteheading"/>
      </w:pPr>
      <w:r>
        <w:tab/>
        <w:t xml:space="preserve">[Heading inserted: No. 28 of 2010 s. 43.] </w:t>
      </w:r>
    </w:p>
    <w:p>
      <w:pPr>
        <w:pStyle w:val="Heading5"/>
      </w:pPr>
      <w:bookmarkStart w:id="526" w:name="_Toc155164987"/>
      <w:bookmarkStart w:id="527" w:name="_Toc135132692"/>
      <w:r>
        <w:rPr>
          <w:rStyle w:val="CharSectno"/>
        </w:rPr>
        <w:t>171A</w:t>
      </w:r>
      <w:r>
        <w:t>.</w:t>
      </w:r>
      <w:r>
        <w:tab/>
        <w:t>Prescribed development applications, DAP to determine and regulations for</w:t>
      </w:r>
      <w:bookmarkEnd w:id="526"/>
      <w:bookmarkEnd w:id="527"/>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tab/>
        <w:t>(2A)</w:t>
      </w:r>
      <w:r>
        <w:tab/>
        <w:t>A development application that relates to land in the Swan Valley cannot be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r>
        <w:tab/>
        <w:t xml:space="preserve">[Section 171A inserted: No. 28 of 2010 s. 43; amended: No. 45 of 2020 s. 81.] </w:t>
      </w:r>
    </w:p>
    <w:p>
      <w:pPr>
        <w:pStyle w:val="Heading5"/>
      </w:pPr>
      <w:bookmarkStart w:id="528" w:name="_Toc155164988"/>
      <w:bookmarkStart w:id="529" w:name="_Toc135132693"/>
      <w:r>
        <w:rPr>
          <w:rStyle w:val="CharSectno"/>
        </w:rPr>
        <w:t>171B</w:t>
      </w:r>
      <w:r>
        <w:t>.</w:t>
      </w:r>
      <w:r>
        <w:tab/>
        <w:t>DAP to carry out delegated functions</w:t>
      </w:r>
      <w:bookmarkEnd w:id="528"/>
      <w:bookmarkEnd w:id="529"/>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r>
        <w:tab/>
        <w:t xml:space="preserve">[Section 171B inserted: No. 28 of 2010 s. 43.] </w:t>
      </w:r>
    </w:p>
    <w:p>
      <w:pPr>
        <w:pStyle w:val="Heading3"/>
      </w:pPr>
      <w:bookmarkStart w:id="530" w:name="_Toc155164989"/>
      <w:bookmarkStart w:id="531" w:name="_Toc135041070"/>
      <w:bookmarkStart w:id="532" w:name="_Toc135041539"/>
      <w:bookmarkStart w:id="533" w:name="_Toc135132694"/>
      <w:r>
        <w:rPr>
          <w:rStyle w:val="CharDivNo"/>
        </w:rPr>
        <w:t>Division 2</w:t>
      </w:r>
      <w:r>
        <w:t> — </w:t>
      </w:r>
      <w:r>
        <w:rPr>
          <w:rStyle w:val="CharDivText"/>
        </w:rPr>
        <w:t>Development Assessment Panels: establishment and administration</w:t>
      </w:r>
      <w:bookmarkEnd w:id="530"/>
      <w:bookmarkEnd w:id="531"/>
      <w:bookmarkEnd w:id="532"/>
      <w:bookmarkEnd w:id="533"/>
    </w:p>
    <w:p>
      <w:pPr>
        <w:pStyle w:val="Footnoteheading"/>
        <w:keepNext/>
      </w:pPr>
      <w:r>
        <w:tab/>
        <w:t xml:space="preserve">[Heading inserted: No. 28 of 2010 s. 43.] </w:t>
      </w:r>
    </w:p>
    <w:p>
      <w:pPr>
        <w:pStyle w:val="Heading5"/>
        <w:spacing w:before="180"/>
      </w:pPr>
      <w:bookmarkStart w:id="534" w:name="_Toc155164990"/>
      <w:bookmarkStart w:id="535" w:name="_Toc135132695"/>
      <w:r>
        <w:rPr>
          <w:rStyle w:val="CharSectno"/>
        </w:rPr>
        <w:t>171C</w:t>
      </w:r>
      <w:r>
        <w:t>.</w:t>
      </w:r>
      <w:r>
        <w:tab/>
        <w:t>Establishment of DAPs</w:t>
      </w:r>
      <w:bookmarkEnd w:id="534"/>
      <w:bookmarkEnd w:id="535"/>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r>
        <w:tab/>
        <w:t xml:space="preserve">[Section 171C inserted: No. 28 of 2010 s. 43.] </w:t>
      </w:r>
    </w:p>
    <w:p>
      <w:pPr>
        <w:pStyle w:val="Heading5"/>
      </w:pPr>
      <w:bookmarkStart w:id="536" w:name="_Toc155164991"/>
      <w:bookmarkStart w:id="537" w:name="_Toc135132696"/>
      <w:r>
        <w:rPr>
          <w:rStyle w:val="CharSectno"/>
        </w:rPr>
        <w:t>171D</w:t>
      </w:r>
      <w:r>
        <w:t>.</w:t>
      </w:r>
      <w:r>
        <w:tab/>
        <w:t>Constitution, procedure and conduct of DAPs</w:t>
      </w:r>
      <w:bookmarkEnd w:id="536"/>
      <w:bookmarkEnd w:id="537"/>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r>
        <w:tab/>
        <w:t xml:space="preserve">[Section 171D inserted: No. 28 of 2010 s. 43.] </w:t>
      </w:r>
    </w:p>
    <w:p>
      <w:pPr>
        <w:pStyle w:val="Heading5"/>
      </w:pPr>
      <w:bookmarkStart w:id="538" w:name="_Toc155164992"/>
      <w:bookmarkStart w:id="539" w:name="_Toc135132697"/>
      <w:r>
        <w:rPr>
          <w:rStyle w:val="CharSectno"/>
        </w:rPr>
        <w:t>171E</w:t>
      </w:r>
      <w:r>
        <w:t>.</w:t>
      </w:r>
      <w:r>
        <w:tab/>
        <w:t>Administration and costs of DAPs</w:t>
      </w:r>
      <w:bookmarkEnd w:id="538"/>
      <w:bookmarkEnd w:id="539"/>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r>
        <w:tab/>
        <w:t xml:space="preserve">[Section 171E inserted: No. 28 of 2010 s. 43.] </w:t>
      </w:r>
    </w:p>
    <w:p>
      <w:pPr>
        <w:pStyle w:val="Heading5"/>
      </w:pPr>
      <w:bookmarkStart w:id="540" w:name="_Toc155164993"/>
      <w:bookmarkStart w:id="541" w:name="_Toc135132698"/>
      <w:r>
        <w:rPr>
          <w:rStyle w:val="CharSectno"/>
        </w:rPr>
        <w:t>171F</w:t>
      </w:r>
      <w:r>
        <w:t>.</w:t>
      </w:r>
      <w:r>
        <w:tab/>
        <w:t>Review of regulations</w:t>
      </w:r>
      <w:bookmarkEnd w:id="540"/>
      <w:bookmarkEnd w:id="541"/>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No. 28 of 2010 s. 43.] </w:t>
      </w:r>
    </w:p>
    <w:p>
      <w:pPr>
        <w:pStyle w:val="Heading2"/>
      </w:pPr>
      <w:bookmarkStart w:id="542" w:name="_Toc155164994"/>
      <w:bookmarkStart w:id="543" w:name="_Toc135041075"/>
      <w:bookmarkStart w:id="544" w:name="_Toc135041544"/>
      <w:bookmarkStart w:id="545" w:name="_Toc135132699"/>
      <w:r>
        <w:rPr>
          <w:rStyle w:val="CharPartNo"/>
        </w:rPr>
        <w:t>Part 11</w:t>
      </w:r>
      <w:r>
        <w:t> — </w:t>
      </w:r>
      <w:r>
        <w:rPr>
          <w:rStyle w:val="CharPartText"/>
        </w:rPr>
        <w:t>Compensation and acquisition</w:t>
      </w:r>
      <w:bookmarkEnd w:id="542"/>
      <w:bookmarkEnd w:id="543"/>
      <w:bookmarkEnd w:id="544"/>
      <w:bookmarkEnd w:id="545"/>
    </w:p>
    <w:p>
      <w:pPr>
        <w:pStyle w:val="Heading3"/>
      </w:pPr>
      <w:bookmarkStart w:id="546" w:name="_Toc155164995"/>
      <w:bookmarkStart w:id="547" w:name="_Toc135041076"/>
      <w:bookmarkStart w:id="548" w:name="_Toc135041545"/>
      <w:bookmarkStart w:id="549" w:name="_Toc135132700"/>
      <w:r>
        <w:rPr>
          <w:rStyle w:val="CharDivNo"/>
        </w:rPr>
        <w:t>Division 1</w:t>
      </w:r>
      <w:r>
        <w:t> — </w:t>
      </w:r>
      <w:r>
        <w:rPr>
          <w:rStyle w:val="CharDivText"/>
        </w:rPr>
        <w:t>General matters in relation to compensation</w:t>
      </w:r>
      <w:bookmarkEnd w:id="546"/>
      <w:bookmarkEnd w:id="547"/>
      <w:bookmarkEnd w:id="548"/>
      <w:bookmarkEnd w:id="549"/>
    </w:p>
    <w:p>
      <w:pPr>
        <w:pStyle w:val="Heading5"/>
      </w:pPr>
      <w:bookmarkStart w:id="550" w:name="_Toc155164996"/>
      <w:bookmarkStart w:id="551" w:name="_Toc135132701"/>
      <w:r>
        <w:rPr>
          <w:rStyle w:val="CharSectno"/>
        </w:rPr>
        <w:t>171</w:t>
      </w:r>
      <w:r>
        <w:t>.</w:t>
      </w:r>
      <w:r>
        <w:tab/>
        <w:t>Entitlement to compensation, limits on</w:t>
      </w:r>
      <w:bookmarkEnd w:id="550"/>
      <w:bookmarkEnd w:id="551"/>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552" w:name="_Toc155164997"/>
      <w:bookmarkStart w:id="553" w:name="_Toc135041078"/>
      <w:bookmarkStart w:id="554" w:name="_Toc135041547"/>
      <w:bookmarkStart w:id="555" w:name="_Toc135132702"/>
      <w:r>
        <w:rPr>
          <w:rStyle w:val="CharDivNo"/>
        </w:rPr>
        <w:t>Division 2</w:t>
      </w:r>
      <w:r>
        <w:t> — </w:t>
      </w:r>
      <w:r>
        <w:rPr>
          <w:rStyle w:val="CharDivText"/>
        </w:rPr>
        <w:t>Compensation where land injuriously affected by planning scheme</w:t>
      </w:r>
      <w:bookmarkEnd w:id="552"/>
      <w:bookmarkEnd w:id="553"/>
      <w:bookmarkEnd w:id="554"/>
      <w:bookmarkEnd w:id="555"/>
    </w:p>
    <w:p>
      <w:pPr>
        <w:pStyle w:val="Heading5"/>
      </w:pPr>
      <w:bookmarkStart w:id="556" w:name="_Toc155164998"/>
      <w:bookmarkStart w:id="557" w:name="_Toc135132703"/>
      <w:r>
        <w:rPr>
          <w:rStyle w:val="CharSectno"/>
        </w:rPr>
        <w:t>172</w:t>
      </w:r>
      <w:r>
        <w:t>.</w:t>
      </w:r>
      <w:r>
        <w:tab/>
        <w:t>Terms used</w:t>
      </w:r>
      <w:bookmarkEnd w:id="556"/>
      <w:bookmarkEnd w:id="557"/>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558" w:name="_Toc155164999"/>
      <w:bookmarkStart w:id="559" w:name="_Toc135132704"/>
      <w:r>
        <w:rPr>
          <w:rStyle w:val="CharSectno"/>
        </w:rPr>
        <w:t>173</w:t>
      </w:r>
      <w:r>
        <w:t>.</w:t>
      </w:r>
      <w:r>
        <w:tab/>
        <w:t>Injurious affection, compensation for</w:t>
      </w:r>
      <w:bookmarkEnd w:id="558"/>
      <w:bookmarkEnd w:id="559"/>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560" w:name="_Toc155165000"/>
      <w:bookmarkStart w:id="561" w:name="_Toc135132705"/>
      <w:r>
        <w:rPr>
          <w:rStyle w:val="CharSectno"/>
        </w:rPr>
        <w:t>174</w:t>
      </w:r>
      <w:r>
        <w:t>.</w:t>
      </w:r>
      <w:r>
        <w:tab/>
        <w:t>When land is injuriously affected</w:t>
      </w:r>
      <w:bookmarkEnd w:id="560"/>
      <w:bookmarkEnd w:id="561"/>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562" w:name="_Toc155165001"/>
      <w:bookmarkStart w:id="563" w:name="_Toc135132706"/>
      <w:r>
        <w:rPr>
          <w:rStyle w:val="CharSectno"/>
        </w:rPr>
        <w:t>175</w:t>
      </w:r>
      <w:r>
        <w:t>.</w:t>
      </w:r>
      <w:r>
        <w:tab/>
        <w:t>No compensation if scheme’s provisions are, or could have been, in certain other laws</w:t>
      </w:r>
      <w:bookmarkEnd w:id="562"/>
      <w:bookmarkEnd w:id="563"/>
    </w:p>
    <w:p>
      <w:pPr>
        <w:pStyle w:val="Subsection"/>
      </w:pPr>
      <w:r>
        <w:tab/>
        <w:t>(1)</w:t>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Subsection"/>
      </w:pPr>
      <w:r>
        <w:tab/>
        <w:t>(2)</w:t>
      </w:r>
      <w:r>
        <w:tab/>
        <w:t xml:space="preserve">When land is alleged to be injuriously affected by the making of the first Swan Valley Planning Scheme, no compensation is payable in respect of the injurious affection if or so far as the relevant provisions of the Swan Valley Planning Scheme were also contained in a relevant planning scheme (as defined in the </w:t>
      </w:r>
      <w:r>
        <w:rPr>
          <w:i/>
        </w:rPr>
        <w:t>Swan Valley Planning Act 2020</w:t>
      </w:r>
      <w:r>
        <w:t xml:space="preserve"> section 9) that applied to the Swan Valley before the scheme start day referred to in that section.</w:t>
      </w:r>
    </w:p>
    <w:p>
      <w:pPr>
        <w:pStyle w:val="Subsection"/>
      </w:pPr>
      <w:r>
        <w:tab/>
        <w:t>(3)</w:t>
      </w:r>
      <w:r>
        <w:tab/>
        <w:t>A reference in this section to provisions includes a reference to maps, plans and diagrams.</w:t>
      </w:r>
    </w:p>
    <w:p>
      <w:pPr>
        <w:pStyle w:val="Footnotesection"/>
      </w:pPr>
      <w:r>
        <w:tab/>
        <w:t>[Section 175 amended: No. 45 of 2020 s. 82.]</w:t>
      </w:r>
    </w:p>
    <w:p>
      <w:pPr>
        <w:pStyle w:val="Heading5"/>
      </w:pPr>
      <w:bookmarkStart w:id="564" w:name="_Toc155165002"/>
      <w:bookmarkStart w:id="565" w:name="_Toc135132707"/>
      <w:r>
        <w:rPr>
          <w:rStyle w:val="CharSectno"/>
        </w:rPr>
        <w:t>176</w:t>
      </w:r>
      <w:r>
        <w:t>.</w:t>
      </w:r>
      <w:r>
        <w:tab/>
        <w:t>Questions as to injurious affection etc., how determined</w:t>
      </w:r>
      <w:bookmarkEnd w:id="564"/>
      <w:bookmarkEnd w:id="565"/>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2012</w:t>
      </w:r>
      <w:r>
        <w:t>, unless the parties agree on some other method of determination.</w:t>
      </w:r>
    </w:p>
    <w:p>
      <w:pPr>
        <w:pStyle w:val="Footnotesection"/>
      </w:pPr>
      <w:r>
        <w:tab/>
        <w:t>[Section 176 amended: No. 23 of 2012 s. 45.]</w:t>
      </w:r>
    </w:p>
    <w:p>
      <w:pPr>
        <w:pStyle w:val="Heading5"/>
        <w:keepLines w:val="0"/>
      </w:pPr>
      <w:bookmarkStart w:id="566" w:name="_Toc155165003"/>
      <w:bookmarkStart w:id="567" w:name="_Toc135132708"/>
      <w:r>
        <w:rPr>
          <w:rStyle w:val="CharSectno"/>
        </w:rPr>
        <w:t>177</w:t>
      </w:r>
      <w:r>
        <w:t>.</w:t>
      </w:r>
      <w:r>
        <w:tab/>
        <w:t>When compensation payable if land reserved</w:t>
      </w:r>
      <w:bookmarkEnd w:id="566"/>
      <w:bookmarkEnd w:id="567"/>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keepNext/>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568" w:name="_Toc155165004"/>
      <w:bookmarkStart w:id="569" w:name="_Toc135132709"/>
      <w:r>
        <w:rPr>
          <w:rStyle w:val="CharSectno"/>
        </w:rPr>
        <w:t>178</w:t>
      </w:r>
      <w:r>
        <w:t>.</w:t>
      </w:r>
      <w:r>
        <w:tab/>
        <w:t>Claim for compensation, time for making</w:t>
      </w:r>
      <w:bookmarkEnd w:id="568"/>
      <w:bookmarkEnd w:id="569"/>
    </w:p>
    <w:p>
      <w:pPr>
        <w:pStyle w:val="Subsection"/>
      </w:pPr>
      <w:r>
        <w:tab/>
        <w:t>(1)</w:t>
      </w:r>
      <w:r>
        <w:tab/>
        <w:t xml:space="preserve">A claim for compensation for injurious affection to land by the making or amendment of a planning scheme is to be made — </w:t>
      </w:r>
    </w:p>
    <w:p>
      <w:pPr>
        <w:pStyle w:val="Indenta"/>
        <w:keepNext/>
      </w:pPr>
      <w:r>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570" w:name="_Toc155165005"/>
      <w:bookmarkStart w:id="571" w:name="_Toc135132710"/>
      <w:r>
        <w:rPr>
          <w:rStyle w:val="CharSectno"/>
        </w:rPr>
        <w:t>179</w:t>
      </w:r>
      <w:r>
        <w:t>.</w:t>
      </w:r>
      <w:r>
        <w:tab/>
        <w:t>Injurious affection due to land being reserved, amount of compensation for</w:t>
      </w:r>
      <w:bookmarkEnd w:id="570"/>
      <w:bookmarkEnd w:id="571"/>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572" w:name="_Toc155165006"/>
      <w:bookmarkStart w:id="573" w:name="_Toc135132711"/>
      <w:r>
        <w:rPr>
          <w:rStyle w:val="CharSectno"/>
        </w:rPr>
        <w:t>180</w:t>
      </w:r>
      <w:r>
        <w:t>.</w:t>
      </w:r>
      <w:r>
        <w:tab/>
        <w:t>Notating title to land after compensation paid</w:t>
      </w:r>
      <w:bookmarkEnd w:id="572"/>
      <w:bookmarkEnd w:id="573"/>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574" w:name="_Toc155165007"/>
      <w:bookmarkStart w:id="575" w:name="_Toc135132712"/>
      <w:r>
        <w:rPr>
          <w:rStyle w:val="CharSectno"/>
        </w:rPr>
        <w:t>181</w:t>
      </w:r>
      <w:r>
        <w:t>.</w:t>
      </w:r>
      <w:r>
        <w:tab/>
        <w:t>Recovering paid compensation if reservation revoked or reduced</w:t>
      </w:r>
      <w:bookmarkEnd w:id="574"/>
      <w:bookmarkEnd w:id="575"/>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keepNext/>
              <w:tabs>
                <w:tab w:val="clear" w:pos="567"/>
                <w:tab w:val="left" w:pos="1157"/>
              </w:tabs>
            </w:pPr>
            <w:r>
              <w:rPr>
                <w:i/>
              </w:rPr>
              <w:t>Example</w:t>
            </w:r>
            <w:r>
              <w:t>:</w:t>
            </w:r>
            <w:r>
              <w:tab/>
              <w:t>Original compensation</w:t>
            </w:r>
            <w:r>
              <w:br/>
            </w:r>
            <w:r>
              <w:tab/>
              <w:t>proportion</w:t>
            </w:r>
          </w:p>
        </w:tc>
        <w:tc>
          <w:tcPr>
            <w:tcW w:w="1134" w:type="dxa"/>
          </w:tcPr>
          <w:p>
            <w:pPr>
              <w:pStyle w:val="TableNAm"/>
              <w:keepNext/>
            </w:pPr>
            <w:r>
              <w:br/>
              <w:t>25%</w:t>
            </w:r>
          </w:p>
        </w:tc>
      </w:tr>
      <w:tr>
        <w:trPr>
          <w:cantSplit/>
        </w:trPr>
        <w:tc>
          <w:tcPr>
            <w:tcW w:w="4252" w:type="dxa"/>
          </w:tcPr>
          <w:p>
            <w:pPr>
              <w:pStyle w:val="TableNAm"/>
              <w:keepNext/>
              <w:tabs>
                <w:tab w:val="clear" w:pos="567"/>
                <w:tab w:val="left" w:pos="1157"/>
              </w:tabs>
            </w:pPr>
            <w:r>
              <w:tab/>
              <w:t xml:space="preserve">      Less</w:t>
            </w:r>
          </w:p>
        </w:tc>
        <w:tc>
          <w:tcPr>
            <w:tcW w:w="1134" w:type="dxa"/>
          </w:tcPr>
          <w:p>
            <w:pPr>
              <w:pStyle w:val="TableNAm"/>
              <w:keepNext/>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keepNext/>
              <w:keepLines/>
              <w:tabs>
                <w:tab w:val="clear" w:pos="567"/>
                <w:tab w:val="left" w:pos="1157"/>
              </w:tabs>
            </w:pPr>
            <w:r>
              <w:tab/>
              <w:t xml:space="preserve">      Less</w:t>
            </w:r>
          </w:p>
        </w:tc>
        <w:tc>
          <w:tcPr>
            <w:tcW w:w="1134" w:type="dxa"/>
          </w:tcPr>
          <w:p>
            <w:pPr>
              <w:pStyle w:val="TableNAm"/>
              <w:keepNext/>
              <w:keepLines/>
            </w:pPr>
          </w:p>
        </w:tc>
      </w:tr>
      <w:tr>
        <w:tc>
          <w:tcPr>
            <w:tcW w:w="4252" w:type="dxa"/>
          </w:tcPr>
          <w:p>
            <w:pPr>
              <w:pStyle w:val="TableNAm"/>
              <w:keepLines/>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keepLines/>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pPr>
      <w:r>
        <w:tab/>
        <w:t>(16A)</w:t>
      </w:r>
      <w:r>
        <w:tab/>
        <w:t xml:space="preserve">The reference in subsection (1)(b) to the planning scheme being amended or revoked includes, in relation to land in the Swan Valley for which compensation for injurious affection was paid before the scheme start day referred to in the </w:t>
      </w:r>
      <w:r>
        <w:rPr>
          <w:i/>
        </w:rPr>
        <w:t>Swan Valley Planning Act 2020</w:t>
      </w:r>
      <w:r>
        <w:t xml:space="preserve"> section 9 — </w:t>
      </w:r>
    </w:p>
    <w:p>
      <w:pPr>
        <w:pStyle w:val="Indenta"/>
      </w:pPr>
      <w:r>
        <w:tab/>
        <w:t>(a)</w:t>
      </w:r>
      <w:r>
        <w:tab/>
        <w:t xml:space="preserve">a reference to that planning scheme ceasing to apply, and the first Swan Valley Planning Scheme beginning to apply instead, under the </w:t>
      </w:r>
      <w:r>
        <w:rPr>
          <w:i/>
        </w:rPr>
        <w:t>Swan Valley Planning Act 2020</w:t>
      </w:r>
      <w:r>
        <w:t xml:space="preserve"> section 9; and</w:t>
      </w:r>
    </w:p>
    <w:p>
      <w:pPr>
        <w:pStyle w:val="Indenta"/>
      </w:pPr>
      <w:r>
        <w:tab/>
        <w:t>(b)</w:t>
      </w:r>
      <w:r>
        <w:tab/>
        <w:t>a reference to the making of a subsequent Swan Valley Planning Scheme or the amendment of the Swan Valley Planning Scheme.</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No. 28 of 2010 s. 63; No. 45 of 2020 s. 83.] </w:t>
      </w:r>
    </w:p>
    <w:p>
      <w:pPr>
        <w:pStyle w:val="Heading5"/>
      </w:pPr>
      <w:bookmarkStart w:id="576" w:name="_Toc155165008"/>
      <w:bookmarkStart w:id="577" w:name="_Toc135132713"/>
      <w:r>
        <w:rPr>
          <w:rStyle w:val="CharSectno"/>
        </w:rPr>
        <w:t>182</w:t>
      </w:r>
      <w:r>
        <w:t>.</w:t>
      </w:r>
      <w:r>
        <w:tab/>
        <w:t>Board of Valuers</w:t>
      </w:r>
      <w:bookmarkEnd w:id="576"/>
      <w:bookmarkEnd w:id="577"/>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 incorporated association under the </w:t>
      </w:r>
      <w:r>
        <w:rPr>
          <w:i/>
        </w:rPr>
        <w:t>Associations Incorporation Act 2015</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Footnotesection"/>
      </w:pPr>
      <w:r>
        <w:tab/>
        <w:t>[Section 182 amended: No. 30 of 2015 s. 226.]</w:t>
      </w:r>
    </w:p>
    <w:p>
      <w:pPr>
        <w:pStyle w:val="Heading5"/>
      </w:pPr>
      <w:bookmarkStart w:id="578" w:name="_Toc155165009"/>
      <w:bookmarkStart w:id="579" w:name="_Toc135132714"/>
      <w:r>
        <w:rPr>
          <w:rStyle w:val="CharSectno"/>
        </w:rPr>
        <w:t>183</w:t>
      </w:r>
      <w:r>
        <w:t>.</w:t>
      </w:r>
      <w:r>
        <w:tab/>
        <w:t>Valuations by Board</w:t>
      </w:r>
      <w:bookmarkEnd w:id="578"/>
      <w:bookmarkEnd w:id="579"/>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580" w:name="_Toc155165010"/>
      <w:bookmarkStart w:id="581" w:name="_Toc135041091"/>
      <w:bookmarkStart w:id="582" w:name="_Toc135041560"/>
      <w:bookmarkStart w:id="583" w:name="_Toc135132715"/>
      <w:r>
        <w:rPr>
          <w:rStyle w:val="CharDivNo"/>
        </w:rPr>
        <w:t>Division 3</w:t>
      </w:r>
      <w:r>
        <w:t> — </w:t>
      </w:r>
      <w:r>
        <w:rPr>
          <w:rStyle w:val="CharDivText"/>
        </w:rPr>
        <w:t>Other compensation</w:t>
      </w:r>
      <w:bookmarkEnd w:id="580"/>
      <w:bookmarkEnd w:id="581"/>
      <w:bookmarkEnd w:id="582"/>
      <w:bookmarkEnd w:id="583"/>
    </w:p>
    <w:p>
      <w:pPr>
        <w:pStyle w:val="Heading5"/>
      </w:pPr>
      <w:bookmarkStart w:id="584" w:name="_Toc155165011"/>
      <w:bookmarkStart w:id="585" w:name="_Toc135132716"/>
      <w:r>
        <w:rPr>
          <w:rStyle w:val="CharSectno"/>
        </w:rPr>
        <w:t>184</w:t>
      </w:r>
      <w:r>
        <w:t>.</w:t>
      </w:r>
      <w:r>
        <w:tab/>
        <w:t>Betterment; compensation for expenses rendered abortive by amendment or repeal of scheme</w:t>
      </w:r>
      <w:bookmarkEnd w:id="584"/>
      <w:bookmarkEnd w:id="585"/>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2012</w:t>
      </w:r>
      <w:r>
        <w:t xml:space="preserve"> or by some other method agreed by the parties.</w:t>
      </w:r>
    </w:p>
    <w:p>
      <w:pPr>
        <w:pStyle w:val="Footnotesection"/>
      </w:pPr>
      <w:r>
        <w:tab/>
        <w:t>[Section 184 amended: No. 23 of 2012 s. 45.]</w:t>
      </w:r>
    </w:p>
    <w:p>
      <w:pPr>
        <w:pStyle w:val="Heading5"/>
        <w:spacing w:before="180"/>
      </w:pPr>
      <w:bookmarkStart w:id="586" w:name="_Toc155165012"/>
      <w:bookmarkStart w:id="587" w:name="_Toc135132717"/>
      <w:r>
        <w:rPr>
          <w:rStyle w:val="CharSectno"/>
        </w:rPr>
        <w:t>185</w:t>
      </w:r>
      <w:r>
        <w:t>.</w:t>
      </w:r>
      <w:r>
        <w:tab/>
        <w:t>Injurious affection due to interim development order</w:t>
      </w:r>
      <w:bookmarkEnd w:id="586"/>
      <w:bookmarkEnd w:id="587"/>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spacing w:before="120"/>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2012</w:t>
      </w:r>
      <w:r>
        <w:t xml:space="preserve"> or by some other method agreed by the parties.</w:t>
      </w:r>
    </w:p>
    <w:p>
      <w:pPr>
        <w:pStyle w:val="Footnotesection"/>
      </w:pPr>
      <w:r>
        <w:tab/>
        <w:t>[Section 185 amended: No. 23 of 2012 s. 45.]</w:t>
      </w:r>
    </w:p>
    <w:p>
      <w:pPr>
        <w:pStyle w:val="Heading5"/>
        <w:spacing w:before="180"/>
      </w:pPr>
      <w:bookmarkStart w:id="588" w:name="_Toc155165013"/>
      <w:bookmarkStart w:id="589" w:name="_Toc135132718"/>
      <w:r>
        <w:rPr>
          <w:rStyle w:val="CharSectno"/>
        </w:rPr>
        <w:t>186</w:t>
      </w:r>
      <w:r>
        <w:t>.</w:t>
      </w:r>
      <w:r>
        <w:tab/>
        <w:t>Injurious affection due to planning control area</w:t>
      </w:r>
      <w:bookmarkEnd w:id="588"/>
      <w:bookmarkEnd w:id="589"/>
    </w:p>
    <w:p>
      <w:pPr>
        <w:pStyle w:val="Subsection"/>
        <w:spacing w:before="120"/>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keepNext/>
        <w:keepLines/>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180"/>
      </w:pPr>
      <w:bookmarkStart w:id="590" w:name="_Toc155165014"/>
      <w:bookmarkStart w:id="591" w:name="_Toc135041095"/>
      <w:bookmarkStart w:id="592" w:name="_Toc135041564"/>
      <w:bookmarkStart w:id="593" w:name="_Toc135132719"/>
      <w:r>
        <w:rPr>
          <w:rStyle w:val="CharDivNo"/>
        </w:rPr>
        <w:t>Division 4</w:t>
      </w:r>
      <w:r>
        <w:t> — </w:t>
      </w:r>
      <w:r>
        <w:rPr>
          <w:rStyle w:val="CharDivText"/>
        </w:rPr>
        <w:t>Purchase or compulsory acquisition</w:t>
      </w:r>
      <w:bookmarkEnd w:id="590"/>
      <w:bookmarkEnd w:id="591"/>
      <w:bookmarkEnd w:id="592"/>
      <w:bookmarkEnd w:id="593"/>
    </w:p>
    <w:p>
      <w:pPr>
        <w:pStyle w:val="Heading5"/>
        <w:spacing w:before="180"/>
      </w:pPr>
      <w:bookmarkStart w:id="594" w:name="_Toc155165015"/>
      <w:bookmarkStart w:id="595" w:name="_Toc135132720"/>
      <w:r>
        <w:rPr>
          <w:rStyle w:val="CharSectno"/>
        </w:rPr>
        <w:t>187</w:t>
      </w:r>
      <w:r>
        <w:t>.</w:t>
      </w:r>
      <w:r>
        <w:tab/>
        <w:t>Acquiring land in lieu of paying compensation</w:t>
      </w:r>
      <w:bookmarkEnd w:id="594"/>
      <w:bookmarkEnd w:id="595"/>
    </w:p>
    <w:p>
      <w:pPr>
        <w:pStyle w:val="Subsection"/>
        <w:spacing w:before="120"/>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No. 8 of 2009 s. 100(4).]</w:t>
      </w:r>
    </w:p>
    <w:p>
      <w:pPr>
        <w:pStyle w:val="Heading5"/>
      </w:pPr>
      <w:bookmarkStart w:id="596" w:name="_Toc155165016"/>
      <w:bookmarkStart w:id="597" w:name="_Toc135132721"/>
      <w:r>
        <w:rPr>
          <w:rStyle w:val="CharSectno"/>
        </w:rPr>
        <w:t>188</w:t>
      </w:r>
      <w:r>
        <w:t>.</w:t>
      </w:r>
      <w:r>
        <w:tab/>
        <w:t>Land to be acquired under s. 187, valuing</w:t>
      </w:r>
      <w:bookmarkEnd w:id="596"/>
      <w:bookmarkEnd w:id="597"/>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keepNext/>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2012</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Commercial Arbitration Act 2012</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2012</w:t>
      </w:r>
      <w:r>
        <w:t>, an arbitration agreement to refer the dispute, and the parties to the agreement are to be taken to be the owner of the land and the responsible authority.</w:t>
      </w:r>
    </w:p>
    <w:p>
      <w:pPr>
        <w:pStyle w:val="Footnotesection"/>
      </w:pPr>
      <w:r>
        <w:tab/>
        <w:t>[Section 188 amended: No. 23 of 2012 s. 45.]</w:t>
      </w:r>
    </w:p>
    <w:p>
      <w:pPr>
        <w:pStyle w:val="Heading5"/>
      </w:pPr>
      <w:bookmarkStart w:id="598" w:name="_Toc155165017"/>
      <w:bookmarkStart w:id="599" w:name="_Toc135132722"/>
      <w:r>
        <w:rPr>
          <w:rStyle w:val="CharSectno"/>
        </w:rPr>
        <w:t>189</w:t>
      </w:r>
      <w:r>
        <w:t>.</w:t>
      </w:r>
      <w:r>
        <w:tab/>
        <w:t>Land in proposed region planning scheme, Commission may purchase</w:t>
      </w:r>
      <w:bookmarkEnd w:id="598"/>
      <w:bookmarkEnd w:id="599"/>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600" w:name="_Toc155165018"/>
      <w:bookmarkStart w:id="601" w:name="_Toc135132723"/>
      <w:r>
        <w:rPr>
          <w:rStyle w:val="CharSectno"/>
        </w:rPr>
        <w:t>190</w:t>
      </w:r>
      <w:r>
        <w:t>.</w:t>
      </w:r>
      <w:r>
        <w:tab/>
        <w:t>Responsible authority may purchase land for planning scheme</w:t>
      </w:r>
      <w:bookmarkEnd w:id="600"/>
      <w:bookmarkEnd w:id="601"/>
    </w:p>
    <w:p>
      <w:pPr>
        <w:pStyle w:val="Subsection"/>
        <w:keepNext/>
        <w:keepLines/>
      </w:pPr>
      <w:r>
        <w:tab/>
        <w:t>(1)</w:t>
      </w:r>
      <w:r>
        <w:tab/>
        <w:t>The responsible authority may, for the purpose of a planning scheme, in the name and on behalf of such responsible authority, purchase any land comprised in the planning scheme from any person who may be willing to sell the same.</w:t>
      </w:r>
    </w:p>
    <w:p>
      <w:pPr>
        <w:pStyle w:val="Subsection"/>
      </w:pPr>
      <w:r>
        <w:tab/>
        <w:t>(2)</w:t>
      </w:r>
      <w:r>
        <w:tab/>
        <w:t xml:space="preserve">If the land to be purchased under subsection (1) (the </w:t>
      </w:r>
      <w:r>
        <w:rPr>
          <w:rStyle w:val="CharDefText"/>
        </w:rPr>
        <w:t>relevant land</w:t>
      </w:r>
      <w:r>
        <w:t>) forms only part of a lot, the responsible authority may also purchase under subsection (1) the rest of the lot, or any part of the rest of the lot, for purposes related to the purchase of the relevant land.</w:t>
      </w:r>
    </w:p>
    <w:p>
      <w:pPr>
        <w:pStyle w:val="Subsection"/>
      </w:pPr>
      <w:r>
        <w:tab/>
        <w:t>(3)</w:t>
      </w:r>
      <w:r>
        <w:tab/>
        <w:t>Subsection (2) applies whether or not the rest of the lot, or the part of the rest of the lot, is comprised in the planning scheme and whether or not its purchase is for the purpose of the scheme.</w:t>
      </w:r>
    </w:p>
    <w:p>
      <w:pPr>
        <w:pStyle w:val="Footnotesection"/>
      </w:pPr>
      <w:r>
        <w:tab/>
        <w:t>[Section 190 amended: No. 26 of 2020 s. 15.]</w:t>
      </w:r>
    </w:p>
    <w:p>
      <w:pPr>
        <w:pStyle w:val="Heading5"/>
      </w:pPr>
      <w:bookmarkStart w:id="602" w:name="_Toc155165019"/>
      <w:bookmarkStart w:id="603" w:name="_Toc135132724"/>
      <w:r>
        <w:rPr>
          <w:rStyle w:val="CharSectno"/>
        </w:rPr>
        <w:t>191</w:t>
      </w:r>
      <w:r>
        <w:t>.</w:t>
      </w:r>
      <w:r>
        <w:tab/>
        <w:t>Compulsory acquisition of land in scheme area</w:t>
      </w:r>
      <w:bookmarkEnd w:id="602"/>
      <w:bookmarkEnd w:id="603"/>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 as if the land were required for a public work (as defined in section 151(1) of that Act).</w:t>
      </w:r>
    </w:p>
    <w:p>
      <w:pPr>
        <w:pStyle w:val="Subsection"/>
      </w:pPr>
      <w:r>
        <w:tab/>
        <w:t>(1A)</w:t>
      </w:r>
      <w:r>
        <w:tab/>
        <w:t xml:space="preserve">If the land to be taken under subsection (1) (the </w:t>
      </w:r>
      <w:r>
        <w:rPr>
          <w:rStyle w:val="CharDefText"/>
        </w:rPr>
        <w:t>relevant land</w:t>
      </w:r>
      <w:r>
        <w:t>) forms only part of a lot, the responsible authority may also take under subsection (1) the rest of the lot, or any part of the rest of the lot, for purposes related to the taking of the relevant land.</w:t>
      </w:r>
    </w:p>
    <w:p>
      <w:pPr>
        <w:pStyle w:val="Subsection"/>
      </w:pPr>
      <w:r>
        <w:tab/>
        <w:t>(1B)</w:t>
      </w:r>
      <w:r>
        <w:tab/>
        <w:t>Subsection (1A) applies whether or not the rest of the lot, or the part of the rest of the lot, is comprised in the planning scheme and whether or not the taking of the rest of the lot, or the part of the rest of the lot, is for the purpose of the scheme.</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Footnotesection"/>
      </w:pPr>
      <w:r>
        <w:tab/>
        <w:t>[Section 191 amended: No. 26 of 2020 s. 16.]</w:t>
      </w:r>
    </w:p>
    <w:p>
      <w:pPr>
        <w:pStyle w:val="Heading5"/>
      </w:pPr>
      <w:bookmarkStart w:id="604" w:name="_Toc155165020"/>
      <w:bookmarkStart w:id="605" w:name="_Toc135132725"/>
      <w:r>
        <w:rPr>
          <w:rStyle w:val="CharSectno"/>
        </w:rPr>
        <w:t>192</w:t>
      </w:r>
      <w:r>
        <w:t>.</w:t>
      </w:r>
      <w:r>
        <w:tab/>
        <w:t>Land etc. to be acquired under s. 191, valuing</w:t>
      </w:r>
      <w:bookmarkEnd w:id="604"/>
      <w:bookmarkEnd w:id="605"/>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keepNext/>
        <w:keepLines/>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606" w:name="_Toc155165021"/>
      <w:bookmarkStart w:id="607" w:name="_Toc135132726"/>
      <w:r>
        <w:rPr>
          <w:rStyle w:val="CharSectno"/>
        </w:rPr>
        <w:t>193</w:t>
      </w:r>
      <w:r>
        <w:t>.</w:t>
      </w:r>
      <w:r>
        <w:tab/>
        <w:t>Responsible authority’s powers as to acquired land</w:t>
      </w:r>
      <w:bookmarkEnd w:id="606"/>
      <w:bookmarkEnd w:id="607"/>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608" w:name="_Toc155165022"/>
      <w:bookmarkStart w:id="609" w:name="_Toc135132727"/>
      <w:r>
        <w:rPr>
          <w:rStyle w:val="CharSectno"/>
        </w:rPr>
        <w:t>194</w:t>
      </w:r>
      <w:r>
        <w:t>.</w:t>
      </w:r>
      <w:r>
        <w:tab/>
        <w:t>Responsible authority may grant easement over acquired land</w:t>
      </w:r>
      <w:bookmarkEnd w:id="608"/>
      <w:bookmarkEnd w:id="609"/>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610" w:name="_Toc155165023"/>
      <w:bookmarkStart w:id="611" w:name="_Toc135132728"/>
      <w:r>
        <w:rPr>
          <w:rStyle w:val="CharSectno"/>
        </w:rPr>
        <w:t>195</w:t>
      </w:r>
      <w:r>
        <w:t>.</w:t>
      </w:r>
      <w:r>
        <w:tab/>
        <w:t>Commission’s powers to acquire land in improvement plan</w:t>
      </w:r>
      <w:bookmarkEnd w:id="610"/>
      <w:bookmarkEnd w:id="611"/>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 xml:space="preserve">Land Administration Act 1997 </w:t>
      </w:r>
      <w:r>
        <w:t>as if the land were required for a public work (as defined in section 151(1) of that Act), subject to subsection (3).</w:t>
      </w:r>
    </w:p>
    <w:p>
      <w:pPr>
        <w:pStyle w:val="Subsection"/>
      </w:pPr>
      <w:r>
        <w:tab/>
        <w:t>(3)</w:t>
      </w:r>
      <w:r>
        <w:tab/>
        <w:t>Sections 191(3) and 192 apply with any necessary modifications to the taking of land under subsection (2) as they apply to the taking of land under section 191.</w:t>
      </w:r>
    </w:p>
    <w:p>
      <w:pPr>
        <w:pStyle w:val="Subsection"/>
      </w:pPr>
      <w:r>
        <w:tab/>
        <w:t>(3A)</w:t>
      </w:r>
      <w:r>
        <w:tab/>
        <w:t>For the purposes of subsection (3), in section 192(1)(a), the reference to the relevant planning scheme is to be read as a reference to the improvement plan.</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No. 28 of 2010 s. 16; No. 26 of 2020 s. 17.] </w:t>
      </w:r>
    </w:p>
    <w:p>
      <w:pPr>
        <w:pStyle w:val="Heading5"/>
      </w:pPr>
      <w:bookmarkStart w:id="612" w:name="_Toc155165024"/>
      <w:bookmarkStart w:id="613" w:name="_Toc135132729"/>
      <w:r>
        <w:rPr>
          <w:rStyle w:val="CharSectno"/>
        </w:rPr>
        <w:t>196</w:t>
      </w:r>
      <w:r>
        <w:t>.</w:t>
      </w:r>
      <w:r>
        <w:tab/>
        <w:t>Commission may sell etc. acquired land</w:t>
      </w:r>
      <w:bookmarkEnd w:id="612"/>
      <w:bookmarkEnd w:id="613"/>
    </w:p>
    <w:p>
      <w:pPr>
        <w:pStyle w:val="Subsection"/>
        <w:keepNext/>
        <w:keepLines/>
      </w:pPr>
      <w:r>
        <w:tab/>
        <w:t>(1)</w:t>
      </w:r>
      <w:r>
        <w:tab/>
        <w:t xml:space="preserve">The Commission is to hold for the purposes of the relevant region planning scheme, Swan Valley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Swan Valley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Swan Valley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Subsection"/>
      </w:pPr>
      <w:r>
        <w:tab/>
        <w:t>(4)</w:t>
      </w:r>
      <w:r>
        <w:tab/>
        <w:t>In relation to a part of a lot purchased or taken by the Commission in accordance with section 190(2) or 191(1A), in subsection (1), the reference to the purposes of the relevant region planning scheme or the Swan Valley Planning Scheme is a reference to the purposes for which the part of the lot was purchased or taken.</w:t>
      </w:r>
    </w:p>
    <w:p>
      <w:pPr>
        <w:pStyle w:val="Footnotesection"/>
      </w:pPr>
      <w:r>
        <w:tab/>
        <w:t xml:space="preserve">[Section 196 amended: No. 28 of 2010 s. 17; No. 26 of 2020 s. 18; No. 45 of 2020 s. 84.] </w:t>
      </w:r>
    </w:p>
    <w:p>
      <w:pPr>
        <w:pStyle w:val="Heading5"/>
      </w:pPr>
      <w:bookmarkStart w:id="614" w:name="_Toc155165025"/>
      <w:bookmarkStart w:id="615" w:name="_Toc135132730"/>
      <w:r>
        <w:rPr>
          <w:rStyle w:val="CharSectno"/>
        </w:rPr>
        <w:t>197</w:t>
      </w:r>
      <w:r>
        <w:t>.</w:t>
      </w:r>
      <w:r>
        <w:tab/>
        <w:t>Declaring land for public work to be instead held etc. for region planning scheme or improvement plan</w:t>
      </w:r>
      <w:bookmarkEnd w:id="614"/>
      <w:bookmarkEnd w:id="615"/>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Swan Valley Planning Scheme or an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Swan Valley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Swan Valley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No. 28 of 2010 s. 18; No. 45 of 2020 s. 85.] </w:t>
      </w:r>
    </w:p>
    <w:p>
      <w:pPr>
        <w:pStyle w:val="Heading5"/>
      </w:pPr>
      <w:bookmarkStart w:id="616" w:name="_Toc155165026"/>
      <w:bookmarkStart w:id="617" w:name="_Toc135132731"/>
      <w:r>
        <w:rPr>
          <w:rStyle w:val="CharSectno"/>
        </w:rPr>
        <w:t>197A</w:t>
      </w:r>
      <w:r>
        <w:t>.</w:t>
      </w:r>
      <w:r>
        <w:tab/>
        <w:t>Planning control areas</w:t>
      </w:r>
      <w:bookmarkEnd w:id="616"/>
      <w:bookmarkEnd w:id="617"/>
    </w:p>
    <w:p>
      <w:pPr>
        <w:pStyle w:val="Subsection"/>
      </w:pPr>
      <w:r>
        <w:tab/>
        <w:t>(1)</w:t>
      </w:r>
      <w:r>
        <w:tab/>
        <w:t>In section 187(1), the reference to the provisions of section 174(1) includes those provisions as applied by section 186(2).</w:t>
      </w:r>
    </w:p>
    <w:p>
      <w:pPr>
        <w:pStyle w:val="Subsection"/>
        <w:keepNext/>
      </w:pPr>
      <w:r>
        <w:tab/>
        <w:t>(2)</w:t>
      </w:r>
      <w:r>
        <w:tab/>
        <w:t xml:space="preserve">The Commission may purchase any of the following land — </w:t>
      </w:r>
    </w:p>
    <w:p>
      <w:pPr>
        <w:pStyle w:val="Indenta"/>
      </w:pPr>
      <w:r>
        <w:tab/>
        <w:t>(a)</w:t>
      </w:r>
      <w:r>
        <w:tab/>
        <w:t>land within a proposed planning control area;</w:t>
      </w:r>
    </w:p>
    <w:p>
      <w:pPr>
        <w:pStyle w:val="Indenta"/>
      </w:pPr>
      <w:r>
        <w:tab/>
        <w:t>(b)</w:t>
      </w:r>
      <w:r>
        <w:tab/>
        <w:t>land that would be brought within a planning control area as a result of a proposed change to the area;</w:t>
      </w:r>
    </w:p>
    <w:p>
      <w:pPr>
        <w:pStyle w:val="Indenta"/>
      </w:pPr>
      <w:r>
        <w:tab/>
        <w:t>(c)</w:t>
      </w:r>
      <w:r>
        <w:tab/>
        <w:t>land within a planning control area.</w:t>
      </w:r>
    </w:p>
    <w:p>
      <w:pPr>
        <w:pStyle w:val="Subsection"/>
      </w:pPr>
      <w:r>
        <w:tab/>
        <w:t>(3)</w:t>
      </w:r>
      <w:r>
        <w:tab/>
        <w:t xml:space="preserve">The Commission may compulsorily take any land within a planning control area under and subject to the </w:t>
      </w:r>
      <w:r>
        <w:rPr>
          <w:i/>
        </w:rPr>
        <w:t xml:space="preserve">Land Administration Act 1997 </w:t>
      </w:r>
      <w:r>
        <w:t>Part 9 as if the land were required for a public work (as defined in section 151(1) of that Act).</w:t>
      </w:r>
    </w:p>
    <w:p>
      <w:pPr>
        <w:pStyle w:val="Subsection"/>
      </w:pPr>
      <w:r>
        <w:tab/>
        <w:t>(4)</w:t>
      </w:r>
      <w:r>
        <w:tab/>
        <w:t>Sections 191(3) and 192 apply with any necessary modifications to the taking of land under subsection (3) as they apply to the taking of land under section 191.</w:t>
      </w:r>
    </w:p>
    <w:p>
      <w:pPr>
        <w:pStyle w:val="Subsection"/>
      </w:pPr>
      <w:r>
        <w:tab/>
        <w:t>(5)</w:t>
      </w:r>
      <w:r>
        <w:tab/>
        <w:t>For the purposes of subsection (4), in section 192(1)(a), the reference to the relevant planning scheme is to be read as a reference to the declaration of the planning control area under section 112.</w:t>
      </w:r>
    </w:p>
    <w:p>
      <w:pPr>
        <w:pStyle w:val="Subsection"/>
      </w:pPr>
      <w:r>
        <w:tab/>
        <w:t>(6)</w:t>
      </w:r>
      <w:r>
        <w:tab/>
        <w:t xml:space="preserve">The Commission — </w:t>
      </w:r>
    </w:p>
    <w:p>
      <w:pPr>
        <w:pStyle w:val="Indenta"/>
      </w:pPr>
      <w:r>
        <w:tab/>
        <w:t>(a)</w:t>
      </w:r>
      <w:r>
        <w:tab/>
        <w:t>must hold any land acquired by the Commission under this section for the purpose, or for any 1 or more of the purposes, for which the land is required as referred to in section 112(1); and</w:t>
      </w:r>
    </w:p>
    <w:p>
      <w:pPr>
        <w:pStyle w:val="Indenta"/>
      </w:pPr>
      <w:r>
        <w:tab/>
        <w:t>(b)</w:t>
      </w:r>
      <w:r>
        <w:tab/>
        <w:t xml:space="preserve">may dispose of or alienate the land — </w:t>
      </w:r>
    </w:p>
    <w:p>
      <w:pPr>
        <w:pStyle w:val="Indenti"/>
      </w:pPr>
      <w:r>
        <w:tab/>
        <w:t>(i)</w:t>
      </w:r>
      <w:r>
        <w:tab/>
        <w:t>for that purpose or 1 or more of those purposes; or</w:t>
      </w:r>
    </w:p>
    <w:p>
      <w:pPr>
        <w:pStyle w:val="Indenti"/>
      </w:pPr>
      <w:r>
        <w:tab/>
        <w:t>(ii)</w:t>
      </w:r>
      <w:r>
        <w:tab/>
        <w:t>if the land is no longer required for that purpose or any of those purposes.</w:t>
      </w:r>
    </w:p>
    <w:p>
      <w:pPr>
        <w:pStyle w:val="Subsection"/>
      </w:pPr>
      <w:r>
        <w:tab/>
        <w:t>(7)</w:t>
      </w:r>
      <w:r>
        <w:tab/>
        <w:t>Land acquired under subsection (3) can be disposed of or alienated under subsection (6)(b)(ii) only with the Governor’s consent.</w:t>
      </w:r>
    </w:p>
    <w:p>
      <w:pPr>
        <w:pStyle w:val="Subsection"/>
      </w:pPr>
      <w:r>
        <w:tab/>
        <w:t>(8)</w:t>
      </w:r>
      <w:r>
        <w:tab/>
        <w:t>Section 196(3) applies to the power to dispose of or alienate land conferred by subsection (6)(b) as it applies to a power conferred by section 196.</w:t>
      </w:r>
    </w:p>
    <w:p>
      <w:pPr>
        <w:pStyle w:val="Subsection"/>
      </w:pPr>
      <w:r>
        <w:tab/>
        <w:t>(9)</w:t>
      </w:r>
      <w:r>
        <w:tab/>
        <w:t>In section 197, references to the purposes of a region planning scheme include the purposes, or any 1 or more of the purposes, for which land within a planning control area is required as referred to in section 112(1).</w:t>
      </w:r>
    </w:p>
    <w:p>
      <w:pPr>
        <w:pStyle w:val="Footnotesection"/>
      </w:pPr>
      <w:r>
        <w:tab/>
        <w:t>[Section 197A inserted: No. 26 of 2020 s. 19.]</w:t>
      </w:r>
    </w:p>
    <w:p>
      <w:pPr>
        <w:pStyle w:val="Heading2"/>
      </w:pPr>
      <w:bookmarkStart w:id="618" w:name="_Toc155165027"/>
      <w:bookmarkStart w:id="619" w:name="_Toc135041108"/>
      <w:bookmarkStart w:id="620" w:name="_Toc135041577"/>
      <w:bookmarkStart w:id="621" w:name="_Toc135132732"/>
      <w:r>
        <w:rPr>
          <w:rStyle w:val="CharPartNo"/>
        </w:rPr>
        <w:t>Part 12</w:t>
      </w:r>
      <w:r>
        <w:t> — </w:t>
      </w:r>
      <w:r>
        <w:rPr>
          <w:rStyle w:val="CharPartText"/>
        </w:rPr>
        <w:t>Financial provisions</w:t>
      </w:r>
      <w:bookmarkEnd w:id="618"/>
      <w:bookmarkEnd w:id="619"/>
      <w:bookmarkEnd w:id="620"/>
      <w:bookmarkEnd w:id="621"/>
    </w:p>
    <w:p>
      <w:pPr>
        <w:pStyle w:val="Heading3"/>
      </w:pPr>
      <w:bookmarkStart w:id="622" w:name="_Toc155165028"/>
      <w:bookmarkStart w:id="623" w:name="_Toc135041109"/>
      <w:bookmarkStart w:id="624" w:name="_Toc135041578"/>
      <w:bookmarkStart w:id="625" w:name="_Toc135132733"/>
      <w:r>
        <w:rPr>
          <w:rStyle w:val="CharDivNo"/>
        </w:rPr>
        <w:t>Division 1</w:t>
      </w:r>
      <w:r>
        <w:t> — </w:t>
      </w:r>
      <w:r>
        <w:rPr>
          <w:rStyle w:val="CharDivText"/>
        </w:rPr>
        <w:t>Metropolitan Region Improvement Fund</w:t>
      </w:r>
      <w:bookmarkEnd w:id="622"/>
      <w:bookmarkEnd w:id="623"/>
      <w:bookmarkEnd w:id="624"/>
      <w:bookmarkEnd w:id="625"/>
    </w:p>
    <w:p>
      <w:pPr>
        <w:pStyle w:val="Heading5"/>
        <w:spacing w:before="240"/>
      </w:pPr>
      <w:bookmarkStart w:id="626" w:name="_Toc155165029"/>
      <w:bookmarkStart w:id="627" w:name="_Toc135132734"/>
      <w:r>
        <w:rPr>
          <w:rStyle w:val="CharSectno"/>
        </w:rPr>
        <w:t>198</w:t>
      </w:r>
      <w:r>
        <w:t>.</w:t>
      </w:r>
      <w:r>
        <w:tab/>
        <w:t>Metropolitan Region Improvement Account</w:t>
      </w:r>
      <w:bookmarkEnd w:id="626"/>
      <w:bookmarkEnd w:id="627"/>
    </w:p>
    <w:p>
      <w:pPr>
        <w:pStyle w:val="Subsection"/>
        <w:spacing w:before="180"/>
      </w:pPr>
      <w:r>
        <w:tab/>
        <w:t>(1)</w:t>
      </w:r>
      <w:r>
        <w:tab/>
        <w:t xml:space="preserve">For the purposes of reviewing, amending, carrying out and giving effect to the Metropolitan Region Scheme, the Swan Valley Planning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No. 77 of 2006 Sch. 1 cl. 127(3) and (5); No. 28 of 2010 s. 19; No. 45 of 2020 s. 86.]</w:t>
      </w:r>
    </w:p>
    <w:p>
      <w:pPr>
        <w:pStyle w:val="Heading5"/>
        <w:spacing w:before="240"/>
      </w:pPr>
      <w:bookmarkStart w:id="628" w:name="_Toc155165030"/>
      <w:bookmarkStart w:id="629" w:name="_Toc135132735"/>
      <w:r>
        <w:rPr>
          <w:rStyle w:val="CharSectno"/>
        </w:rPr>
        <w:t>199</w:t>
      </w:r>
      <w:r>
        <w:t>.</w:t>
      </w:r>
      <w:r>
        <w:tab/>
        <w:t>MRI Account, application of</w:t>
      </w:r>
      <w:bookmarkEnd w:id="628"/>
      <w:bookmarkEnd w:id="629"/>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the Swan Valley Planning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the Swan Valley Planning Scheme, a regional interim development order in respect of land in the metropolitan region or a metropolitan improvement scheme or the establishment and maintenance of any works in connection with the Metropolitan Region Scheme, Swan Valley Planning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Swan Valley Planning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t xml:space="preserve">, the </w:t>
      </w:r>
      <w:r>
        <w:rPr>
          <w:i/>
        </w:rPr>
        <w:t>Hope Valley</w:t>
      </w:r>
      <w:r>
        <w:rPr>
          <w:i/>
        </w:rPr>
        <w:noBreakHyphen/>
        <w:t>Wattleup Redevelopment Act 2000</w:t>
      </w:r>
      <w:r>
        <w:t xml:space="preserve"> or the </w:t>
      </w:r>
      <w:r>
        <w:rPr>
          <w:i/>
        </w:rPr>
        <w:t>Swan Valley Planning Act 2020</w:t>
      </w:r>
      <w:r>
        <w:t>.</w:t>
      </w:r>
    </w:p>
    <w:p>
      <w:pPr>
        <w:pStyle w:val="Footnotesection"/>
      </w:pPr>
      <w:r>
        <w:tab/>
        <w:t xml:space="preserve">[Section 199 amended: No. 77 of 2006 Sch. 1 cl. 127(5); No. 28 of 2010 s. 20; </w:t>
      </w:r>
      <w:r>
        <w:rPr>
          <w:spacing w:val="-4"/>
        </w:rPr>
        <w:t>No. 45 of 2011 s. 1</w:t>
      </w:r>
      <w:r>
        <w:t xml:space="preserve">41(9); No. 45 of 2020 s. 87.] </w:t>
      </w:r>
    </w:p>
    <w:p>
      <w:pPr>
        <w:pStyle w:val="Heading3"/>
      </w:pPr>
      <w:bookmarkStart w:id="630" w:name="_Toc155165031"/>
      <w:bookmarkStart w:id="631" w:name="_Toc135041112"/>
      <w:bookmarkStart w:id="632" w:name="_Toc135041581"/>
      <w:bookmarkStart w:id="633" w:name="_Toc135132736"/>
      <w:r>
        <w:rPr>
          <w:rStyle w:val="CharDivNo"/>
        </w:rPr>
        <w:t>Division 2</w:t>
      </w:r>
      <w:r>
        <w:t> — </w:t>
      </w:r>
      <w:r>
        <w:rPr>
          <w:rStyle w:val="CharDivText"/>
        </w:rPr>
        <w:t>Metropolitan Region Improvement Tax</w:t>
      </w:r>
      <w:bookmarkEnd w:id="630"/>
      <w:bookmarkEnd w:id="631"/>
      <w:bookmarkEnd w:id="632"/>
      <w:bookmarkEnd w:id="633"/>
    </w:p>
    <w:p>
      <w:pPr>
        <w:pStyle w:val="Heading5"/>
      </w:pPr>
      <w:bookmarkStart w:id="634" w:name="_Toc155165032"/>
      <w:bookmarkStart w:id="635" w:name="_Toc135132737"/>
      <w:r>
        <w:rPr>
          <w:rStyle w:val="CharSectno"/>
        </w:rPr>
        <w:t>200</w:t>
      </w:r>
      <w:r>
        <w:t>.</w:t>
      </w:r>
      <w:r>
        <w:tab/>
        <w:t>Owners’ liability to pay tax</w:t>
      </w:r>
      <w:bookmarkEnd w:id="634"/>
      <w:bookmarkEnd w:id="635"/>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636" w:name="_Toc155165033"/>
      <w:bookmarkStart w:id="637" w:name="_Toc135132738"/>
      <w:r>
        <w:rPr>
          <w:rStyle w:val="CharSectno"/>
        </w:rPr>
        <w:t>201</w:t>
      </w:r>
      <w:r>
        <w:t>.</w:t>
      </w:r>
      <w:r>
        <w:rPr>
          <w:vertAlign w:val="superscript"/>
        </w:rPr>
        <w:t> 1MC</w:t>
      </w:r>
      <w:r>
        <w:tab/>
        <w:t>Tax collections, how to be dealt with</w:t>
      </w:r>
      <w:bookmarkEnd w:id="636"/>
      <w:bookmarkEnd w:id="637"/>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No. 77 of 2006 s. 4 and Sch. 1 cl. 127(4).]</w:t>
      </w:r>
    </w:p>
    <w:p>
      <w:pPr>
        <w:pStyle w:val="Ednotesection"/>
      </w:pPr>
      <w:r>
        <w:t>[</w:t>
      </w:r>
      <w:r>
        <w:rPr>
          <w:b/>
          <w:bCs/>
        </w:rPr>
        <w:t xml:space="preserve">201. </w:t>
      </w:r>
      <w:r>
        <w:rPr>
          <w:vertAlign w:val="superscript"/>
        </w:rPr>
        <w:t>1MC</w:t>
      </w:r>
      <w:r>
        <w:tab/>
        <w:t>Modification, to replace section 201, to have effect under the Commonwealth Places (Mirror Taxes) Act 1998 (Commonwealth) s. 8, see Commonwealth Places (Mirror Taxes) (Modification of Applied Laws (WA)) Notice 2007 cl. 25 and endnote 1MC.]</w:t>
      </w:r>
    </w:p>
    <w:p>
      <w:pPr>
        <w:pStyle w:val="Ednotesection"/>
      </w:pPr>
      <w:r>
        <w:t>[</w:t>
      </w:r>
      <w:r>
        <w:rPr>
          <w:b/>
          <w:bCs/>
        </w:rPr>
        <w:t xml:space="preserve">201A. </w:t>
      </w:r>
      <w:r>
        <w:rPr>
          <w:vertAlign w:val="superscript"/>
        </w:rPr>
        <w:t>1M</w:t>
      </w:r>
      <w:r>
        <w:tab/>
        <w:t>Modification, to insert section 201A, to have effect under the Commonwealth Places (Mirror Taxes Administration) Act 1999 s. 7, see Commonwealth Places (Mirror Taxes Administration) Regulations 2007 r. 24 and endnote 1M.]</w:t>
      </w:r>
    </w:p>
    <w:p>
      <w:pPr>
        <w:pStyle w:val="Heading3"/>
      </w:pPr>
      <w:bookmarkStart w:id="638" w:name="_Toc155165034"/>
      <w:bookmarkStart w:id="639" w:name="_Toc135041115"/>
      <w:bookmarkStart w:id="640" w:name="_Toc135041584"/>
      <w:bookmarkStart w:id="641" w:name="_Toc135132739"/>
      <w:r>
        <w:rPr>
          <w:rStyle w:val="CharDivNo"/>
        </w:rPr>
        <w:t>Division 3</w:t>
      </w:r>
      <w:r>
        <w:t> — </w:t>
      </w:r>
      <w:r>
        <w:rPr>
          <w:rStyle w:val="CharDivText"/>
        </w:rPr>
        <w:t>Financial provisions relating to the Commission</w:t>
      </w:r>
      <w:bookmarkEnd w:id="638"/>
      <w:bookmarkEnd w:id="639"/>
      <w:bookmarkEnd w:id="640"/>
      <w:bookmarkEnd w:id="641"/>
    </w:p>
    <w:p>
      <w:pPr>
        <w:pStyle w:val="Heading5"/>
      </w:pPr>
      <w:bookmarkStart w:id="642" w:name="_Toc155165035"/>
      <w:bookmarkStart w:id="643" w:name="_Toc135132740"/>
      <w:r>
        <w:rPr>
          <w:rStyle w:val="CharSectno"/>
        </w:rPr>
        <w:t>202</w:t>
      </w:r>
      <w:r>
        <w:t>.</w:t>
      </w:r>
      <w:r>
        <w:tab/>
        <w:t>Saving</w:t>
      </w:r>
      <w:bookmarkEnd w:id="642"/>
      <w:bookmarkEnd w:id="643"/>
    </w:p>
    <w:p>
      <w:pPr>
        <w:pStyle w:val="Subsection"/>
      </w:pPr>
      <w:r>
        <w:tab/>
      </w:r>
      <w:r>
        <w:tab/>
        <w:t>Nothing in this Division is to be read as derogating from Division 1 and this Division has effect subject to that Division.</w:t>
      </w:r>
    </w:p>
    <w:p>
      <w:pPr>
        <w:pStyle w:val="Heading5"/>
      </w:pPr>
      <w:bookmarkStart w:id="644" w:name="_Toc155165036"/>
      <w:bookmarkStart w:id="645" w:name="_Toc135132741"/>
      <w:r>
        <w:rPr>
          <w:rStyle w:val="CharSectno"/>
        </w:rPr>
        <w:t>203</w:t>
      </w:r>
      <w:r>
        <w:t>.</w:t>
      </w:r>
      <w:r>
        <w:tab/>
        <w:t>Funds of Commission</w:t>
      </w:r>
      <w:bookmarkEnd w:id="644"/>
      <w:bookmarkEnd w:id="645"/>
    </w:p>
    <w:p>
      <w:pPr>
        <w:pStyle w:val="Subsection"/>
        <w:keepNext/>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No. 77 of 2006 Sch. 1 cl. 127(6).]</w:t>
      </w:r>
    </w:p>
    <w:p>
      <w:pPr>
        <w:pStyle w:val="Heading5"/>
      </w:pPr>
      <w:bookmarkStart w:id="646" w:name="_Toc155165037"/>
      <w:bookmarkStart w:id="647" w:name="_Toc135132742"/>
      <w:r>
        <w:rPr>
          <w:rStyle w:val="CharSectno"/>
        </w:rPr>
        <w:t>204</w:t>
      </w:r>
      <w:r>
        <w:t>.</w:t>
      </w:r>
      <w:r>
        <w:tab/>
        <w:t>Minister’s approval needed for some contracts and expenditure</w:t>
      </w:r>
      <w:bookmarkEnd w:id="646"/>
      <w:bookmarkEnd w:id="647"/>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648" w:name="_Toc155165038"/>
      <w:bookmarkStart w:id="649" w:name="_Toc135132743"/>
      <w:r>
        <w:rPr>
          <w:rStyle w:val="CharSectno"/>
        </w:rPr>
        <w:t>205</w:t>
      </w:r>
      <w:r>
        <w:t>.</w:t>
      </w:r>
      <w:r>
        <w:tab/>
        <w:t>Borrowing powers</w:t>
      </w:r>
      <w:bookmarkEnd w:id="648"/>
      <w:bookmarkEnd w:id="649"/>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650" w:name="_Toc155165039"/>
      <w:bookmarkStart w:id="651" w:name="_Toc135132744"/>
      <w:r>
        <w:rPr>
          <w:rStyle w:val="CharSectno"/>
        </w:rPr>
        <w:t>206</w:t>
      </w:r>
      <w:r>
        <w:t>.</w:t>
      </w:r>
      <w:r>
        <w:tab/>
        <w:t>Borrowing from Treasurer</w:t>
      </w:r>
      <w:bookmarkEnd w:id="650"/>
      <w:bookmarkEnd w:id="651"/>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652" w:name="_Toc155165040"/>
      <w:bookmarkStart w:id="653" w:name="_Toc135132745"/>
      <w:r>
        <w:rPr>
          <w:rStyle w:val="CharSectno"/>
        </w:rPr>
        <w:t>207</w:t>
      </w:r>
      <w:r>
        <w:t>.</w:t>
      </w:r>
      <w:r>
        <w:tab/>
        <w:t>Guarantees by Treasurer</w:t>
      </w:r>
      <w:bookmarkEnd w:id="652"/>
      <w:bookmarkEnd w:id="653"/>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No. 77 of 2006 s. 4.]</w:t>
      </w:r>
    </w:p>
    <w:p>
      <w:pPr>
        <w:pStyle w:val="Heading5"/>
        <w:rPr>
          <w:i/>
        </w:rPr>
      </w:pPr>
      <w:bookmarkStart w:id="654" w:name="_Toc155165041"/>
      <w:bookmarkStart w:id="655" w:name="_Toc135132746"/>
      <w:r>
        <w:rPr>
          <w:rStyle w:val="CharSectno"/>
        </w:rPr>
        <w:t>208</w:t>
      </w:r>
      <w:r>
        <w:t>.</w:t>
      </w:r>
      <w:r>
        <w:tab/>
      </w:r>
      <w:r>
        <w:rPr>
          <w:i/>
        </w:rPr>
        <w:t>Financial Management Act 2006</w:t>
      </w:r>
      <w:r>
        <w:t xml:space="preserve"> and </w:t>
      </w:r>
      <w:r>
        <w:rPr>
          <w:i/>
        </w:rPr>
        <w:t>Auditor General Act 2006</w:t>
      </w:r>
      <w:r>
        <w:t>, application of</w:t>
      </w:r>
      <w:bookmarkEnd w:id="654"/>
      <w:bookmarkEnd w:id="655"/>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No. 77 of 2006 Sch. 1 cl. 127(7).]</w:t>
      </w:r>
    </w:p>
    <w:p>
      <w:pPr>
        <w:pStyle w:val="Heading5"/>
      </w:pPr>
      <w:bookmarkStart w:id="656" w:name="_Toc155165042"/>
      <w:bookmarkStart w:id="657" w:name="_Toc135132747"/>
      <w:r>
        <w:rPr>
          <w:rStyle w:val="CharSectno"/>
        </w:rPr>
        <w:t>209</w:t>
      </w:r>
      <w:r>
        <w:t>.</w:t>
      </w:r>
      <w:r>
        <w:tab/>
        <w:t>Commission’s land not subject to rates etc.</w:t>
      </w:r>
      <w:bookmarkEnd w:id="656"/>
      <w:bookmarkEnd w:id="657"/>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658" w:name="_Toc155165043"/>
      <w:bookmarkStart w:id="659" w:name="_Toc135041124"/>
      <w:bookmarkStart w:id="660" w:name="_Toc135041593"/>
      <w:bookmarkStart w:id="661" w:name="_Toc135132748"/>
      <w:r>
        <w:rPr>
          <w:rStyle w:val="CharDivNo"/>
        </w:rPr>
        <w:t>Division 4</w:t>
      </w:r>
      <w:r>
        <w:t> — </w:t>
      </w:r>
      <w:r>
        <w:rPr>
          <w:rStyle w:val="CharDivText"/>
        </w:rPr>
        <w:t>Financial provisions relating to local governments</w:t>
      </w:r>
      <w:bookmarkEnd w:id="658"/>
      <w:bookmarkEnd w:id="659"/>
      <w:bookmarkEnd w:id="660"/>
      <w:bookmarkEnd w:id="661"/>
    </w:p>
    <w:p>
      <w:pPr>
        <w:pStyle w:val="Heading5"/>
      </w:pPr>
      <w:bookmarkStart w:id="662" w:name="_Toc155165044"/>
      <w:bookmarkStart w:id="663" w:name="_Toc135132749"/>
      <w:r>
        <w:rPr>
          <w:rStyle w:val="CharSectno"/>
        </w:rPr>
        <w:t>210</w:t>
      </w:r>
      <w:r>
        <w:t>.</w:t>
      </w:r>
      <w:r>
        <w:tab/>
        <w:t>Apportioning expenses between local governments</w:t>
      </w:r>
      <w:bookmarkEnd w:id="662"/>
      <w:bookmarkEnd w:id="663"/>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664" w:name="_Toc155165045"/>
      <w:bookmarkStart w:id="665" w:name="_Toc135041126"/>
      <w:bookmarkStart w:id="666" w:name="_Toc135041595"/>
      <w:bookmarkStart w:id="667" w:name="_Toc135132750"/>
      <w:r>
        <w:rPr>
          <w:rStyle w:val="CharPartNo"/>
        </w:rPr>
        <w:t>Part 13</w:t>
      </w:r>
      <w:r>
        <w:t> — </w:t>
      </w:r>
      <w:r>
        <w:rPr>
          <w:rStyle w:val="CharPartText"/>
        </w:rPr>
        <w:t>Enforcement and legal proceedings</w:t>
      </w:r>
      <w:bookmarkEnd w:id="664"/>
      <w:bookmarkEnd w:id="665"/>
      <w:bookmarkEnd w:id="666"/>
      <w:bookmarkEnd w:id="667"/>
    </w:p>
    <w:p>
      <w:pPr>
        <w:pStyle w:val="Heading3"/>
      </w:pPr>
      <w:bookmarkStart w:id="668" w:name="_Toc155165046"/>
      <w:bookmarkStart w:id="669" w:name="_Toc135041127"/>
      <w:bookmarkStart w:id="670" w:name="_Toc135041596"/>
      <w:bookmarkStart w:id="671" w:name="_Toc135132751"/>
      <w:r>
        <w:rPr>
          <w:rStyle w:val="CharDivNo"/>
        </w:rPr>
        <w:t>Division 1</w:t>
      </w:r>
      <w:r>
        <w:t> — </w:t>
      </w:r>
      <w:r>
        <w:rPr>
          <w:rStyle w:val="CharDivText"/>
        </w:rPr>
        <w:t>Enforcement</w:t>
      </w:r>
      <w:bookmarkEnd w:id="668"/>
      <w:bookmarkEnd w:id="669"/>
      <w:bookmarkEnd w:id="670"/>
      <w:bookmarkEnd w:id="671"/>
    </w:p>
    <w:p>
      <w:pPr>
        <w:pStyle w:val="Heading5"/>
      </w:pPr>
      <w:bookmarkStart w:id="672" w:name="_Toc155165047"/>
      <w:bookmarkStart w:id="673" w:name="_Toc135132752"/>
      <w:r>
        <w:rPr>
          <w:rStyle w:val="CharSectno"/>
        </w:rPr>
        <w:t>211</w:t>
      </w:r>
      <w:r>
        <w:t>.</w:t>
      </w:r>
      <w:r>
        <w:tab/>
        <w:t>Person aggrieved by local government’s omission may go to Minister; Minister’s powers</w:t>
      </w:r>
      <w:bookmarkEnd w:id="672"/>
      <w:bookmarkEnd w:id="673"/>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674" w:name="_Toc155165048"/>
      <w:bookmarkStart w:id="675" w:name="_Toc135132753"/>
      <w:r>
        <w:rPr>
          <w:rStyle w:val="CharSectno"/>
        </w:rPr>
        <w:t>212</w:t>
      </w:r>
      <w:r>
        <w:t>.</w:t>
      </w:r>
      <w:r>
        <w:tab/>
        <w:t>Breach of order etc. by local government, Minister’s powers as to</w:t>
      </w:r>
      <w:bookmarkEnd w:id="674"/>
      <w:bookmarkEnd w:id="675"/>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this Act,</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keepLines/>
        <w:spacing w:before="180"/>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Subsection"/>
      </w:pPr>
      <w:r>
        <w:tab/>
        <w:t>(8)</w:t>
      </w:r>
      <w:r>
        <w:tab/>
        <w:t xml:space="preserve">The Minister must, as soon as is practicable after a notice is served on a local government under subsection (1) — </w:t>
      </w:r>
    </w:p>
    <w:p>
      <w:pPr>
        <w:pStyle w:val="Indenta"/>
      </w:pPr>
      <w:r>
        <w:tab/>
        <w:t>(a)</w:t>
      </w:r>
      <w:r>
        <w:tab/>
        <w:t>give a copy of the notice to the Commission; and</w:t>
      </w:r>
    </w:p>
    <w:p>
      <w:pPr>
        <w:pStyle w:val="Indenta"/>
      </w:pPr>
      <w:r>
        <w:tab/>
        <w:t>(b)</w:t>
      </w:r>
      <w:r>
        <w:tab/>
        <w:t xml:space="preserve">cause to be laid before each House of Parliament or dealt with under section 268A — </w:t>
      </w:r>
    </w:p>
    <w:p>
      <w:pPr>
        <w:pStyle w:val="Indenti"/>
      </w:pPr>
      <w:r>
        <w:tab/>
        <w:t>(i)</w:t>
      </w:r>
      <w:r>
        <w:tab/>
        <w:t>a copy of the notice; and</w:t>
      </w:r>
    </w:p>
    <w:p>
      <w:pPr>
        <w:pStyle w:val="Indenti"/>
      </w:pPr>
      <w:r>
        <w:tab/>
        <w:t>(ii)</w:t>
      </w:r>
      <w:r>
        <w:tab/>
        <w:t>a copy of the reasons for giving the notice.</w:t>
      </w:r>
    </w:p>
    <w:p>
      <w:pPr>
        <w:pStyle w:val="Footnotesection"/>
      </w:pPr>
      <w:r>
        <w:tab/>
        <w:t xml:space="preserve">[Section 212 amended: No. 28 of 2010 s. 47; No. 26 of 2020 s. 101.] </w:t>
      </w:r>
    </w:p>
    <w:p>
      <w:pPr>
        <w:pStyle w:val="Heading5"/>
        <w:spacing w:before="240"/>
      </w:pPr>
      <w:bookmarkStart w:id="676" w:name="_Toc155165049"/>
      <w:bookmarkStart w:id="677" w:name="_Toc135132754"/>
      <w:r>
        <w:rPr>
          <w:rStyle w:val="CharSectno"/>
        </w:rPr>
        <w:t>213</w:t>
      </w:r>
      <w:r>
        <w:t>.</w:t>
      </w:r>
      <w:r>
        <w:tab/>
        <w:t>Minister’s action under s. 212, effect of</w:t>
      </w:r>
      <w:bookmarkEnd w:id="676"/>
      <w:bookmarkEnd w:id="677"/>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keepNext/>
        <w:spacing w:before="180"/>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678" w:name="_Toc155165050"/>
      <w:bookmarkStart w:id="679" w:name="_Toc135132755"/>
      <w:r>
        <w:rPr>
          <w:rStyle w:val="CharSectno"/>
        </w:rPr>
        <w:t>214</w:t>
      </w:r>
      <w:r>
        <w:t>.</w:t>
      </w:r>
      <w:r>
        <w:tab/>
        <w:t>Illegal development, responsible authority’s powers as to</w:t>
      </w:r>
      <w:bookmarkEnd w:id="678"/>
      <w:bookmarkEnd w:id="679"/>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680" w:name="_Toc155165051"/>
      <w:bookmarkStart w:id="681" w:name="_Toc135132756"/>
      <w:r>
        <w:rPr>
          <w:rStyle w:val="CharSectno"/>
        </w:rPr>
        <w:t>215</w:t>
      </w:r>
      <w:r>
        <w:t>.</w:t>
      </w:r>
      <w:r>
        <w:tab/>
        <w:t>Illegal development, responsible authority’s powers to remove etc.</w:t>
      </w:r>
      <w:bookmarkEnd w:id="680"/>
      <w:bookmarkEnd w:id="681"/>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682" w:name="_Toc155165052"/>
      <w:bookmarkStart w:id="683" w:name="_Toc135132757"/>
      <w:r>
        <w:rPr>
          <w:rStyle w:val="CharSectno"/>
        </w:rPr>
        <w:t>216</w:t>
      </w:r>
      <w:r>
        <w:t>.</w:t>
      </w:r>
      <w:r>
        <w:tab/>
        <w:t>Breach of Act etc. or development approval, injunctions as to</w:t>
      </w:r>
      <w:bookmarkEnd w:id="682"/>
      <w:bookmarkEnd w:id="683"/>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keepNext/>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684" w:name="_Toc155165053"/>
      <w:bookmarkStart w:id="685" w:name="_Toc135132758"/>
      <w:r>
        <w:rPr>
          <w:rStyle w:val="CharSectno"/>
        </w:rPr>
        <w:t>217</w:t>
      </w:r>
      <w:r>
        <w:t>.</w:t>
      </w:r>
      <w:r>
        <w:tab/>
        <w:t>Environmental conditions, Minister’s powers to enforce</w:t>
      </w:r>
      <w:bookmarkEnd w:id="684"/>
      <w:bookmarkEnd w:id="685"/>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Subsection"/>
      </w:pPr>
      <w:r>
        <w:tab/>
        <w:t>(6)</w:t>
      </w:r>
      <w:r>
        <w:tab/>
        <w:t xml:space="preserve">If the assessed scheme to which this section applies is the Swan Valley Planning Scheme or an amendment to that scheme, a reference in this section to the Minister is to be read as a reference to the Minister responsible for the administration of the </w:t>
      </w:r>
      <w:r>
        <w:rPr>
          <w:i/>
        </w:rPr>
        <w:t>Swan Valley Planning Act 2020</w:t>
      </w:r>
      <w:r>
        <w:t>.</w:t>
      </w:r>
    </w:p>
    <w:p>
      <w:pPr>
        <w:pStyle w:val="Footnotesection"/>
      </w:pPr>
      <w:r>
        <w:tab/>
        <w:t>[Section 217 amended: No. 45 of 2020 s. 88.]</w:t>
      </w:r>
    </w:p>
    <w:p>
      <w:pPr>
        <w:pStyle w:val="Heading3"/>
      </w:pPr>
      <w:bookmarkStart w:id="686" w:name="_Toc155165054"/>
      <w:bookmarkStart w:id="687" w:name="_Toc135041135"/>
      <w:bookmarkStart w:id="688" w:name="_Toc135041604"/>
      <w:bookmarkStart w:id="689" w:name="_Toc135132759"/>
      <w:r>
        <w:rPr>
          <w:rStyle w:val="CharDivNo"/>
        </w:rPr>
        <w:t>Division 2</w:t>
      </w:r>
      <w:r>
        <w:t> — </w:t>
      </w:r>
      <w:r>
        <w:rPr>
          <w:rStyle w:val="CharDivText"/>
        </w:rPr>
        <w:t>Offences</w:t>
      </w:r>
      <w:bookmarkEnd w:id="686"/>
      <w:bookmarkEnd w:id="687"/>
      <w:bookmarkEnd w:id="688"/>
      <w:bookmarkEnd w:id="689"/>
    </w:p>
    <w:p>
      <w:pPr>
        <w:pStyle w:val="Heading5"/>
      </w:pPr>
      <w:bookmarkStart w:id="690" w:name="_Toc155165055"/>
      <w:bookmarkStart w:id="691" w:name="_Toc135132760"/>
      <w:r>
        <w:rPr>
          <w:rStyle w:val="CharSectno"/>
        </w:rPr>
        <w:t>218</w:t>
      </w:r>
      <w:r>
        <w:t>.</w:t>
      </w:r>
      <w:r>
        <w:tab/>
        <w:t>Planning scheme or condition on development, contravening etc.</w:t>
      </w:r>
      <w:bookmarkEnd w:id="690"/>
      <w:bookmarkEnd w:id="691"/>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an improvement scheme or the Swan Valley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No. 28 of 2010 s. 21; No. 45 of 2020 s. 89.] </w:t>
      </w:r>
    </w:p>
    <w:p>
      <w:pPr>
        <w:pStyle w:val="Heading5"/>
      </w:pPr>
      <w:bookmarkStart w:id="692" w:name="_Toc155165056"/>
      <w:bookmarkStart w:id="693" w:name="_Toc135132761"/>
      <w:r>
        <w:rPr>
          <w:rStyle w:val="CharSectno"/>
        </w:rPr>
        <w:t>219</w:t>
      </w:r>
      <w:r>
        <w:t>.</w:t>
      </w:r>
      <w:r>
        <w:tab/>
        <w:t>Unauthorised subdivision works</w:t>
      </w:r>
      <w:bookmarkEnd w:id="692"/>
      <w:bookmarkEnd w:id="693"/>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694" w:name="_Toc155165057"/>
      <w:bookmarkStart w:id="695" w:name="_Toc135132762"/>
      <w:r>
        <w:rPr>
          <w:rStyle w:val="CharSectno"/>
        </w:rPr>
        <w:t>220</w:t>
      </w:r>
      <w:r>
        <w:t>.</w:t>
      </w:r>
      <w:r>
        <w:tab/>
        <w:t>Planning control area, unauthorised development in</w:t>
      </w:r>
      <w:bookmarkEnd w:id="694"/>
      <w:bookmarkEnd w:id="695"/>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696" w:name="_Toc155165058"/>
      <w:bookmarkStart w:id="697" w:name="_Toc135132763"/>
      <w:r>
        <w:rPr>
          <w:rStyle w:val="CharSectno"/>
        </w:rPr>
        <w:t>221</w:t>
      </w:r>
      <w:r>
        <w:t>.</w:t>
      </w:r>
      <w:r>
        <w:tab/>
        <w:t>Interim development order, contravening</w:t>
      </w:r>
      <w:bookmarkEnd w:id="696"/>
      <w:bookmarkEnd w:id="697"/>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698" w:name="_Toc155165059"/>
      <w:bookmarkStart w:id="699" w:name="_Toc135132764"/>
      <w:r>
        <w:rPr>
          <w:rStyle w:val="CharSectno"/>
        </w:rPr>
        <w:t>222</w:t>
      </w:r>
      <w:r>
        <w:t>.</w:t>
      </w:r>
      <w:r>
        <w:tab/>
        <w:t>Heritage place, unauthorised development in</w:t>
      </w:r>
      <w:bookmarkEnd w:id="698"/>
      <w:bookmarkEnd w:id="699"/>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700" w:name="_Toc155165060"/>
      <w:bookmarkStart w:id="701" w:name="_Toc135132765"/>
      <w:r>
        <w:rPr>
          <w:rStyle w:val="CharSectno"/>
        </w:rPr>
        <w:t>223</w:t>
      </w:r>
      <w:r>
        <w:t>.</w:t>
      </w:r>
      <w:r>
        <w:tab/>
        <w:t>General penalty</w:t>
      </w:r>
      <w:bookmarkEnd w:id="700"/>
      <w:bookmarkEnd w:id="701"/>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No. 4 of 2011 s. 10.]</w:t>
      </w:r>
    </w:p>
    <w:p>
      <w:pPr>
        <w:pStyle w:val="Heading5"/>
      </w:pPr>
      <w:bookmarkStart w:id="702" w:name="_Toc155165061"/>
      <w:bookmarkStart w:id="703" w:name="_Toc135132766"/>
      <w:r>
        <w:rPr>
          <w:rStyle w:val="CharSectno"/>
        </w:rPr>
        <w:t>224</w:t>
      </w:r>
      <w:r>
        <w:t>.</w:t>
      </w:r>
      <w:r>
        <w:tab/>
        <w:t>Other enforcement provisions not affected</w:t>
      </w:r>
      <w:bookmarkEnd w:id="702"/>
      <w:bookmarkEnd w:id="703"/>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704" w:name="_Toc155165062"/>
      <w:bookmarkStart w:id="705" w:name="_Toc135132767"/>
      <w:r>
        <w:rPr>
          <w:rStyle w:val="CharSectno"/>
        </w:rPr>
        <w:t>225</w:t>
      </w:r>
      <w:r>
        <w:t>.</w:t>
      </w:r>
      <w:r>
        <w:tab/>
        <w:t>Onus of proof in vehicle offence may be shifted</w:t>
      </w:r>
      <w:bookmarkEnd w:id="704"/>
      <w:bookmarkEnd w:id="705"/>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No. 8 of 2009 s. 100(5).]</w:t>
      </w:r>
    </w:p>
    <w:p>
      <w:pPr>
        <w:pStyle w:val="Heading3"/>
      </w:pPr>
      <w:bookmarkStart w:id="706" w:name="_Toc155165063"/>
      <w:bookmarkStart w:id="707" w:name="_Toc135041144"/>
      <w:bookmarkStart w:id="708" w:name="_Toc135041613"/>
      <w:bookmarkStart w:id="709" w:name="_Toc135132768"/>
      <w:r>
        <w:rPr>
          <w:rStyle w:val="CharDivNo"/>
        </w:rPr>
        <w:t>Division 3</w:t>
      </w:r>
      <w:r>
        <w:t> — </w:t>
      </w:r>
      <w:r>
        <w:rPr>
          <w:rStyle w:val="CharDivText"/>
        </w:rPr>
        <w:t>Infringement notices</w:t>
      </w:r>
      <w:bookmarkEnd w:id="706"/>
      <w:bookmarkEnd w:id="707"/>
      <w:bookmarkEnd w:id="708"/>
      <w:bookmarkEnd w:id="709"/>
    </w:p>
    <w:p>
      <w:pPr>
        <w:pStyle w:val="Heading5"/>
      </w:pPr>
      <w:bookmarkStart w:id="710" w:name="_Toc155165064"/>
      <w:bookmarkStart w:id="711" w:name="_Toc135132769"/>
      <w:r>
        <w:rPr>
          <w:rStyle w:val="CharSectno"/>
        </w:rPr>
        <w:t>226</w:t>
      </w:r>
      <w:r>
        <w:t>.</w:t>
      </w:r>
      <w:r>
        <w:tab/>
        <w:t>Terms used</w:t>
      </w:r>
      <w:bookmarkEnd w:id="710"/>
      <w:bookmarkEnd w:id="711"/>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712" w:name="_Toc155165065"/>
      <w:bookmarkStart w:id="713" w:name="_Toc135132770"/>
      <w:r>
        <w:rPr>
          <w:rStyle w:val="CharSectno"/>
        </w:rPr>
        <w:t>227</w:t>
      </w:r>
      <w:r>
        <w:t>.</w:t>
      </w:r>
      <w:r>
        <w:tab/>
        <w:t>Prescribed offences</w:t>
      </w:r>
      <w:bookmarkEnd w:id="712"/>
      <w:bookmarkEnd w:id="713"/>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714" w:name="_Toc155165066"/>
      <w:bookmarkStart w:id="715" w:name="_Toc135132771"/>
      <w:r>
        <w:rPr>
          <w:rStyle w:val="CharSectno"/>
        </w:rPr>
        <w:t>228</w:t>
      </w:r>
      <w:r>
        <w:t>.</w:t>
      </w:r>
      <w:r>
        <w:tab/>
        <w:t>Giving of infringement notice</w:t>
      </w:r>
      <w:bookmarkEnd w:id="714"/>
      <w:bookmarkEnd w:id="715"/>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716" w:name="_Toc155165067"/>
      <w:bookmarkStart w:id="717" w:name="_Toc135132772"/>
      <w:r>
        <w:rPr>
          <w:rStyle w:val="CharSectno"/>
        </w:rPr>
        <w:t>229</w:t>
      </w:r>
      <w:r>
        <w:t>.</w:t>
      </w:r>
      <w:r>
        <w:tab/>
        <w:t>Content of infringement notice</w:t>
      </w:r>
      <w:bookmarkEnd w:id="716"/>
      <w:bookmarkEnd w:id="717"/>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80"/>
      </w:pPr>
      <w:bookmarkStart w:id="718" w:name="_Toc155165068"/>
      <w:bookmarkStart w:id="719" w:name="_Toc135132773"/>
      <w:r>
        <w:rPr>
          <w:rStyle w:val="CharSectno"/>
        </w:rPr>
        <w:t>230</w:t>
      </w:r>
      <w:r>
        <w:t>.</w:t>
      </w:r>
      <w:r>
        <w:tab/>
        <w:t>Extending time to pay modified penalty</w:t>
      </w:r>
      <w:bookmarkEnd w:id="718"/>
      <w:bookmarkEnd w:id="719"/>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80"/>
      </w:pPr>
      <w:bookmarkStart w:id="720" w:name="_Toc155165069"/>
      <w:bookmarkStart w:id="721" w:name="_Toc135132774"/>
      <w:r>
        <w:rPr>
          <w:rStyle w:val="CharSectno"/>
        </w:rPr>
        <w:t>231</w:t>
      </w:r>
      <w:r>
        <w:t>.</w:t>
      </w:r>
      <w:r>
        <w:tab/>
        <w:t>Withdrawal of infringement notice</w:t>
      </w:r>
      <w:bookmarkEnd w:id="720"/>
      <w:bookmarkEnd w:id="721"/>
    </w:p>
    <w:p>
      <w:pPr>
        <w:pStyle w:val="Subsection"/>
        <w:spacing w:before="120"/>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722" w:name="_Toc155165070"/>
      <w:bookmarkStart w:id="723" w:name="_Toc135132775"/>
      <w:r>
        <w:rPr>
          <w:rStyle w:val="CharSectno"/>
        </w:rPr>
        <w:t>232</w:t>
      </w:r>
      <w:r>
        <w:t>.</w:t>
      </w:r>
      <w:r>
        <w:tab/>
        <w:t>Benefit of paying modified penalty</w:t>
      </w:r>
      <w:bookmarkEnd w:id="722"/>
      <w:bookmarkEnd w:id="723"/>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724" w:name="_Toc155165071"/>
      <w:bookmarkStart w:id="725" w:name="_Toc135132776"/>
      <w:r>
        <w:rPr>
          <w:rStyle w:val="CharSectno"/>
        </w:rPr>
        <w:t>233</w:t>
      </w:r>
      <w:r>
        <w:t>.</w:t>
      </w:r>
      <w:r>
        <w:tab/>
        <w:t>Paid modified penalty, application of</w:t>
      </w:r>
      <w:bookmarkEnd w:id="724"/>
      <w:bookmarkEnd w:id="725"/>
    </w:p>
    <w:p>
      <w:pPr>
        <w:pStyle w:val="Subsection"/>
      </w:pPr>
      <w:r>
        <w:tab/>
      </w:r>
      <w:r>
        <w:tab/>
        <w:t>An amount paid as a modified penalty is, subject to section 231(2), to be dealt with as if it were a penalty imposed by a court as a penalty for an offence.</w:t>
      </w:r>
    </w:p>
    <w:p>
      <w:pPr>
        <w:pStyle w:val="Heading5"/>
      </w:pPr>
      <w:bookmarkStart w:id="726" w:name="_Toc155165072"/>
      <w:bookmarkStart w:id="727" w:name="_Toc135132777"/>
      <w:r>
        <w:rPr>
          <w:rStyle w:val="CharSectno"/>
        </w:rPr>
        <w:t>234</w:t>
      </w:r>
      <w:r>
        <w:t>.</w:t>
      </w:r>
      <w:r>
        <w:tab/>
        <w:t>Designated persons, appointment of</w:t>
      </w:r>
      <w:bookmarkEnd w:id="726"/>
      <w:bookmarkEnd w:id="727"/>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spacing w:before="180"/>
      </w:pPr>
      <w:bookmarkStart w:id="728" w:name="_Toc155165073"/>
      <w:bookmarkStart w:id="729" w:name="_Toc135132778"/>
      <w:r>
        <w:rPr>
          <w:rStyle w:val="CharSectno"/>
        </w:rPr>
        <w:t>235</w:t>
      </w:r>
      <w:r>
        <w:t>.</w:t>
      </w:r>
      <w:r>
        <w:tab/>
        <w:t>Notice placing onus on vehicle owner</w:t>
      </w:r>
      <w:bookmarkEnd w:id="728"/>
      <w:bookmarkEnd w:id="729"/>
    </w:p>
    <w:p>
      <w:pPr>
        <w:pStyle w:val="Subsection"/>
        <w:keepNext/>
        <w:keepLines/>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730" w:name="_Toc155165074"/>
      <w:bookmarkStart w:id="731" w:name="_Toc135041155"/>
      <w:bookmarkStart w:id="732" w:name="_Toc135041624"/>
      <w:bookmarkStart w:id="733" w:name="_Toc135132779"/>
      <w:r>
        <w:rPr>
          <w:rStyle w:val="CharPartNo"/>
        </w:rPr>
        <w:t>Part 14</w:t>
      </w:r>
      <w:r>
        <w:t> — </w:t>
      </w:r>
      <w:r>
        <w:rPr>
          <w:rStyle w:val="CharPartText"/>
        </w:rPr>
        <w:t>Applications for review</w:t>
      </w:r>
      <w:bookmarkEnd w:id="730"/>
      <w:bookmarkEnd w:id="731"/>
      <w:bookmarkEnd w:id="732"/>
      <w:bookmarkEnd w:id="733"/>
    </w:p>
    <w:p>
      <w:pPr>
        <w:pStyle w:val="Heading3"/>
      </w:pPr>
      <w:bookmarkStart w:id="734" w:name="_Toc155165075"/>
      <w:bookmarkStart w:id="735" w:name="_Toc135041156"/>
      <w:bookmarkStart w:id="736" w:name="_Toc135041625"/>
      <w:bookmarkStart w:id="737" w:name="_Toc135132780"/>
      <w:r>
        <w:rPr>
          <w:rStyle w:val="CharDivNo"/>
        </w:rPr>
        <w:t>Division 1</w:t>
      </w:r>
      <w:r>
        <w:t> — </w:t>
      </w:r>
      <w:r>
        <w:rPr>
          <w:rStyle w:val="CharDivText"/>
        </w:rPr>
        <w:t>Making and determination of applications for review</w:t>
      </w:r>
      <w:bookmarkEnd w:id="734"/>
      <w:bookmarkEnd w:id="735"/>
      <w:bookmarkEnd w:id="736"/>
      <w:bookmarkEnd w:id="737"/>
    </w:p>
    <w:p>
      <w:pPr>
        <w:pStyle w:val="Heading5"/>
      </w:pPr>
      <w:bookmarkStart w:id="738" w:name="_Toc155165076"/>
      <w:bookmarkStart w:id="739" w:name="_Toc135132781"/>
      <w:r>
        <w:rPr>
          <w:rStyle w:val="CharSectno"/>
        </w:rPr>
        <w:t>236</w:t>
      </w:r>
      <w:r>
        <w:t>.</w:t>
      </w:r>
      <w:r>
        <w:tab/>
        <w:t>When this Part applies</w:t>
      </w:r>
      <w:bookmarkEnd w:id="738"/>
      <w:bookmarkEnd w:id="739"/>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740" w:name="_Toc155165077"/>
      <w:bookmarkStart w:id="741" w:name="_Toc135132782"/>
      <w:r>
        <w:rPr>
          <w:rStyle w:val="CharSectno"/>
        </w:rPr>
        <w:t>237</w:t>
      </w:r>
      <w:r>
        <w:t>.</w:t>
      </w:r>
      <w:r>
        <w:tab/>
        <w:t>Terms used</w:t>
      </w:r>
      <w:bookmarkEnd w:id="740"/>
      <w:bookmarkEnd w:id="741"/>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No. 5 of 2008 s. 84.]</w:t>
      </w:r>
    </w:p>
    <w:p>
      <w:pPr>
        <w:pStyle w:val="Heading5"/>
      </w:pPr>
      <w:bookmarkStart w:id="742" w:name="_Toc155165078"/>
      <w:bookmarkStart w:id="743" w:name="_Toc135132783"/>
      <w:r>
        <w:rPr>
          <w:rStyle w:val="CharSectno"/>
        </w:rPr>
        <w:t>237A</w:t>
      </w:r>
      <w:r>
        <w:t>.</w:t>
      </w:r>
      <w:r>
        <w:tab/>
        <w:t>How SAT to be constituted</w:t>
      </w:r>
      <w:bookmarkEnd w:id="742"/>
      <w:bookmarkEnd w:id="743"/>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 No. 5 of 2008 s. 85.]</w:t>
      </w:r>
    </w:p>
    <w:p>
      <w:pPr>
        <w:pStyle w:val="Heading5"/>
      </w:pPr>
      <w:bookmarkStart w:id="744" w:name="_Toc155165079"/>
      <w:bookmarkStart w:id="745" w:name="_Toc135132784"/>
      <w:r>
        <w:rPr>
          <w:rStyle w:val="CharSectno"/>
        </w:rPr>
        <w:t>238</w:t>
      </w:r>
      <w:r>
        <w:t>.</w:t>
      </w:r>
      <w:r>
        <w:tab/>
        <w:t>SAT members, qualifications of</w:t>
      </w:r>
      <w:bookmarkEnd w:id="744"/>
      <w:bookmarkEnd w:id="745"/>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No. 5 of 2008 s. 86.]</w:t>
      </w:r>
    </w:p>
    <w:p>
      <w:pPr>
        <w:pStyle w:val="Heading5"/>
      </w:pPr>
      <w:bookmarkStart w:id="746" w:name="_Toc155165080"/>
      <w:bookmarkStart w:id="747" w:name="_Toc135132785"/>
      <w:r>
        <w:rPr>
          <w:rStyle w:val="CharSectno"/>
        </w:rPr>
        <w:t>239</w:t>
      </w:r>
      <w:r>
        <w:t>.</w:t>
      </w:r>
      <w:r>
        <w:tab/>
        <w:t>Legal representation, some applicants may elect there will be none</w:t>
      </w:r>
      <w:bookmarkEnd w:id="746"/>
      <w:bookmarkEnd w:id="747"/>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r>
        <w:tab/>
        <w:t>[Section 239 amended: No. 5 of 2008 s. 87.]</w:t>
      </w:r>
    </w:p>
    <w:p>
      <w:pPr>
        <w:pStyle w:val="Heading5"/>
      </w:pPr>
      <w:bookmarkStart w:id="748" w:name="_Toc155165081"/>
      <w:bookmarkStart w:id="749" w:name="_Toc135132786"/>
      <w:r>
        <w:rPr>
          <w:rStyle w:val="CharSectno"/>
        </w:rPr>
        <w:t>240</w:t>
      </w:r>
      <w:r>
        <w:t>.</w:t>
      </w:r>
      <w:r>
        <w:tab/>
        <w:t>SAT to invite Minister for the Environment to make submission before determining certain applications</w:t>
      </w:r>
      <w:bookmarkEnd w:id="748"/>
      <w:bookmarkEnd w:id="749"/>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750" w:name="_Toc155165082"/>
      <w:bookmarkStart w:id="751" w:name="_Toc135132787"/>
      <w:r>
        <w:rPr>
          <w:rStyle w:val="CharSectno"/>
        </w:rPr>
        <w:t>241</w:t>
      </w:r>
      <w:r>
        <w:t>.</w:t>
      </w:r>
      <w:r>
        <w:tab/>
        <w:t>SAT to have regard to certain matters</w:t>
      </w:r>
      <w:bookmarkEnd w:id="750"/>
      <w:bookmarkEnd w:id="751"/>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 and</w:t>
      </w:r>
    </w:p>
    <w:p>
      <w:pPr>
        <w:pStyle w:val="Indenta"/>
      </w:pPr>
      <w:r>
        <w:tab/>
        <w:t>(c)</w:t>
      </w:r>
      <w:r>
        <w:tab/>
        <w:t xml:space="preserve">in the case of an application that relates to the Swan Valley Planning Scheme — the objects set out in the </w:t>
      </w:r>
      <w:r>
        <w:rPr>
          <w:i/>
        </w:rPr>
        <w:t>Swan Valley Planning Act 2020</w:t>
      </w:r>
      <w:r>
        <w:t xml:space="preserve"> section 5.</w:t>
      </w:r>
    </w:p>
    <w:p>
      <w:pPr>
        <w:pStyle w:val="Subsection"/>
      </w:pPr>
      <w:r>
        <w:tab/>
        <w:t>(2)</w:t>
      </w:r>
      <w:r>
        <w:tab/>
        <w:t xml:space="preserve">In the case of an application that relates to land to which the </w:t>
      </w:r>
      <w:r>
        <w:rPr>
          <w:i/>
        </w:rPr>
        <w:t xml:space="preserve">Heritage Act 2018 </w:t>
      </w:r>
      <w:r>
        <w:t xml:space="preserve">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Act 2018</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No. 52 of 2006 s. 6; No. 22 of 2018 s. 186(13); No. 45 of 2020 s. 90.]</w:t>
      </w:r>
    </w:p>
    <w:p>
      <w:pPr>
        <w:pStyle w:val="Heading5"/>
      </w:pPr>
      <w:bookmarkStart w:id="752" w:name="_Toc155165083"/>
      <w:bookmarkStart w:id="753" w:name="_Toc135132788"/>
      <w:r>
        <w:rPr>
          <w:rStyle w:val="CharSectno"/>
        </w:rPr>
        <w:t>242</w:t>
      </w:r>
      <w:r>
        <w:t>.</w:t>
      </w:r>
      <w:r>
        <w:tab/>
        <w:t>Persons who are not parties, submissions from</w:t>
      </w:r>
      <w:bookmarkEnd w:id="752"/>
      <w:bookmarkEnd w:id="753"/>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754" w:name="_Toc155165084"/>
      <w:bookmarkStart w:id="755" w:name="_Toc135132789"/>
      <w:r>
        <w:rPr>
          <w:rStyle w:val="CharSectno"/>
        </w:rPr>
        <w:t>243</w:t>
      </w:r>
      <w:r>
        <w:t>.</w:t>
      </w:r>
      <w:r>
        <w:tab/>
        <w:t>Exclusion of powers to join parties</w:t>
      </w:r>
      <w:bookmarkEnd w:id="754"/>
      <w:bookmarkEnd w:id="755"/>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756" w:name="_Toc155165085"/>
      <w:bookmarkStart w:id="757" w:name="_Toc135132790"/>
      <w:r>
        <w:rPr>
          <w:rStyle w:val="CharSectno"/>
        </w:rPr>
        <w:t>244</w:t>
      </w:r>
      <w:r>
        <w:t>.</w:t>
      </w:r>
      <w:r>
        <w:tab/>
        <w:t>SAT review of some SAT decisions</w:t>
      </w:r>
      <w:bookmarkEnd w:id="756"/>
      <w:bookmarkEnd w:id="757"/>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keepNext/>
      </w:pPr>
      <w:r>
        <w:tab/>
        <w:t>(b)</w:t>
      </w:r>
      <w:r>
        <w:tab/>
        <w:t>on the application of a party is not to be made later than one month after the application is made.</w:t>
      </w:r>
    </w:p>
    <w:p>
      <w:pPr>
        <w:pStyle w:val="Footnotesection"/>
      </w:pPr>
      <w:r>
        <w:tab/>
        <w:t>[Section 244 amended: No. 5 of 2008 s. 88.]</w:t>
      </w:r>
    </w:p>
    <w:p>
      <w:pPr>
        <w:pStyle w:val="Heading5"/>
        <w:spacing w:before="180"/>
      </w:pPr>
      <w:bookmarkStart w:id="758" w:name="_Toc155165086"/>
      <w:bookmarkStart w:id="759" w:name="_Toc135132791"/>
      <w:r>
        <w:rPr>
          <w:rStyle w:val="CharSectno"/>
        </w:rPr>
        <w:t>245</w:t>
      </w:r>
      <w:r>
        <w:t>.</w:t>
      </w:r>
      <w:r>
        <w:tab/>
        <w:t>Submissions by Minister to SAT</w:t>
      </w:r>
      <w:bookmarkEnd w:id="758"/>
      <w:bookmarkEnd w:id="759"/>
    </w:p>
    <w:p>
      <w:pPr>
        <w:pStyle w:val="Subsection"/>
        <w:keepNext/>
        <w:keepLines/>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included in a place of a kind mentioned in the </w:t>
      </w:r>
      <w:r>
        <w:rPr>
          <w:i/>
        </w:rPr>
        <w:t xml:space="preserve">Heritage Act 2018 </w:t>
      </w:r>
      <w:r>
        <w:t xml:space="preserve">section 72(1), </w:t>
      </w:r>
      <w:r>
        <w:rPr>
          <w:rStyle w:val="CharDefText"/>
        </w:rPr>
        <w:t>Minister</w:t>
      </w:r>
      <w:r>
        <w:t xml:space="preserve"> includes the Minister to whom the administration of that Act is committed.</w:t>
      </w:r>
    </w:p>
    <w:p>
      <w:pPr>
        <w:pStyle w:val="Footnotesection"/>
      </w:pPr>
      <w:r>
        <w:tab/>
        <w:t>[Section 245 amended: No. 52 of 2006 s. 6; No. 22 of 2018 s. 186(14).]</w:t>
      </w:r>
    </w:p>
    <w:p>
      <w:pPr>
        <w:pStyle w:val="Heading5"/>
      </w:pPr>
      <w:bookmarkStart w:id="760" w:name="_Toc155165087"/>
      <w:bookmarkStart w:id="761" w:name="_Toc135132792"/>
      <w:r>
        <w:rPr>
          <w:rStyle w:val="CharSectno"/>
        </w:rPr>
        <w:t>246</w:t>
      </w:r>
      <w:r>
        <w:t>.</w:t>
      </w:r>
      <w:r>
        <w:tab/>
        <w:t>Minister may call in application to SAT for review</w:t>
      </w:r>
      <w:bookmarkEnd w:id="760"/>
      <w:bookmarkEnd w:id="761"/>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Act 2018</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 xml:space="preserve">[Section 246 amended: No. 28 of 2010 s. 48; No. 22 of 2018 s. 186(15).] </w:t>
      </w:r>
    </w:p>
    <w:p>
      <w:pPr>
        <w:pStyle w:val="Heading5"/>
      </w:pPr>
      <w:bookmarkStart w:id="762" w:name="_Toc155165088"/>
      <w:bookmarkStart w:id="763" w:name="_Toc135132793"/>
      <w:r>
        <w:rPr>
          <w:rStyle w:val="CharSectno"/>
        </w:rPr>
        <w:t>247</w:t>
      </w:r>
      <w:r>
        <w:t>.</w:t>
      </w:r>
      <w:r>
        <w:tab/>
        <w:t>Determination of application by Minister</w:t>
      </w:r>
      <w:bookmarkEnd w:id="762"/>
      <w:bookmarkEnd w:id="763"/>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spacing w:before="180"/>
      </w:pPr>
      <w:r>
        <w:t>[</w:t>
      </w:r>
      <w:r>
        <w:rPr>
          <w:b/>
          <w:bCs/>
        </w:rPr>
        <w:t>248.</w:t>
      </w:r>
      <w:r>
        <w:tab/>
        <w:t>Deleted: No. 28 of 2010 s. 49.]</w:t>
      </w:r>
    </w:p>
    <w:p>
      <w:pPr>
        <w:pStyle w:val="Heading3"/>
        <w:spacing w:before="180"/>
      </w:pPr>
      <w:bookmarkStart w:id="764" w:name="_Toc155165089"/>
      <w:bookmarkStart w:id="765" w:name="_Toc135041170"/>
      <w:bookmarkStart w:id="766" w:name="_Toc135041639"/>
      <w:bookmarkStart w:id="767" w:name="_Toc135132794"/>
      <w:r>
        <w:rPr>
          <w:rStyle w:val="CharDivNo"/>
        </w:rPr>
        <w:t>Division 2</w:t>
      </w:r>
      <w:r>
        <w:t> — </w:t>
      </w:r>
      <w:r>
        <w:rPr>
          <w:rStyle w:val="CharDivText"/>
        </w:rPr>
        <w:t>Decisions which may be reviewed</w:t>
      </w:r>
      <w:bookmarkEnd w:id="764"/>
      <w:bookmarkEnd w:id="765"/>
      <w:bookmarkEnd w:id="766"/>
      <w:bookmarkEnd w:id="767"/>
    </w:p>
    <w:p>
      <w:pPr>
        <w:pStyle w:val="Heading5"/>
        <w:spacing w:before="180"/>
      </w:pPr>
      <w:bookmarkStart w:id="768" w:name="_Toc155165090"/>
      <w:bookmarkStart w:id="769" w:name="_Toc135132795"/>
      <w:r>
        <w:rPr>
          <w:rStyle w:val="CharSectno"/>
        </w:rPr>
        <w:t>249</w:t>
      </w:r>
      <w:r>
        <w:t>.</w:t>
      </w:r>
      <w:r>
        <w:tab/>
        <w:t>Decision as to development under interim development order</w:t>
      </w:r>
      <w:bookmarkEnd w:id="768"/>
      <w:bookmarkEnd w:id="769"/>
    </w:p>
    <w:p>
      <w:pPr>
        <w:pStyle w:val="Subsection"/>
        <w:spacing w:before="120"/>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spacing w:before="120"/>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the </w:t>
      </w:r>
      <w:r>
        <w:rPr>
          <w:i/>
        </w:rPr>
        <w:t>Heritage Act 2018</w:t>
      </w:r>
      <w:r>
        <w:t xml:space="preserve"> Part 4 or Part 11 Division 4.</w:t>
      </w:r>
    </w:p>
    <w:p>
      <w:pPr>
        <w:pStyle w:val="Subsection"/>
        <w:spacing w:before="120"/>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Footnotesection"/>
        <w:ind w:left="890" w:hanging="890"/>
      </w:pPr>
      <w:r>
        <w:tab/>
        <w:t xml:space="preserve">[Section 249 amended: No. 22 of 2018 s. 186(16).] </w:t>
      </w:r>
    </w:p>
    <w:p>
      <w:pPr>
        <w:pStyle w:val="Heading5"/>
      </w:pPr>
      <w:bookmarkStart w:id="770" w:name="_Toc155165091"/>
      <w:bookmarkStart w:id="771" w:name="_Toc135132796"/>
      <w:r>
        <w:rPr>
          <w:rStyle w:val="CharSectno"/>
        </w:rPr>
        <w:t>250</w:t>
      </w:r>
      <w:r>
        <w:t>.</w:t>
      </w:r>
      <w:r>
        <w:tab/>
        <w:t>Decision as to development in planning control area</w:t>
      </w:r>
      <w:bookmarkEnd w:id="770"/>
      <w:bookmarkEnd w:id="771"/>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Ednotesubsection"/>
      </w:pPr>
      <w:r>
        <w:tab/>
        <w:t>[(2)</w:t>
      </w:r>
      <w:r>
        <w:tab/>
        <w:t>deleted]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Footnotesection"/>
        <w:ind w:left="890" w:hanging="890"/>
      </w:pPr>
      <w:r>
        <w:tab/>
        <w:t xml:space="preserve">[Section 250 amended: No. 22 of 2018 s. 186(17).] </w:t>
      </w:r>
    </w:p>
    <w:p>
      <w:pPr>
        <w:pStyle w:val="Heading5"/>
      </w:pPr>
      <w:bookmarkStart w:id="772" w:name="_Toc155165092"/>
      <w:bookmarkStart w:id="773" w:name="_Toc135132797"/>
      <w:r>
        <w:rPr>
          <w:rStyle w:val="CharSectno"/>
        </w:rPr>
        <w:t>251</w:t>
      </w:r>
      <w:r>
        <w:t>.</w:t>
      </w:r>
      <w:r>
        <w:tab/>
        <w:t>Some decisions made under Part 10</w:t>
      </w:r>
      <w:bookmarkEnd w:id="772"/>
      <w:bookmarkEnd w:id="773"/>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spacing w:before="120"/>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774" w:name="_Toc155165093"/>
      <w:bookmarkStart w:id="775" w:name="_Toc135132798"/>
      <w:r>
        <w:rPr>
          <w:rStyle w:val="CharSectno"/>
        </w:rPr>
        <w:t>252</w:t>
      </w:r>
      <w:r>
        <w:t>.</w:t>
      </w:r>
      <w:r>
        <w:tab/>
        <w:t>Decision made in exercise of discretionary power under planning scheme</w:t>
      </w:r>
      <w:bookmarkEnd w:id="774"/>
      <w:bookmarkEnd w:id="775"/>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an improvement scheme or the Swan Valley Planning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No. 28 of 2010 s. 22; No. 45 of 2020 s. 91.] </w:t>
      </w:r>
    </w:p>
    <w:p>
      <w:pPr>
        <w:pStyle w:val="Heading5"/>
      </w:pPr>
      <w:bookmarkStart w:id="776" w:name="_Toc155165094"/>
      <w:bookmarkStart w:id="777" w:name="_Toc135132799"/>
      <w:r>
        <w:rPr>
          <w:rStyle w:val="CharSectno"/>
        </w:rPr>
        <w:t>253</w:t>
      </w:r>
      <w:r>
        <w:t>.</w:t>
      </w:r>
      <w:r>
        <w:tab/>
        <w:t>Responsible authority not making decision, notice of default to and deemed refusal by</w:t>
      </w:r>
      <w:bookmarkEnd w:id="776"/>
      <w:bookmarkEnd w:id="777"/>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keepNext/>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778" w:name="_Toc155165095"/>
      <w:bookmarkStart w:id="779" w:name="_Toc135041176"/>
      <w:bookmarkStart w:id="780" w:name="_Toc135041645"/>
      <w:bookmarkStart w:id="781" w:name="_Toc135132800"/>
      <w:r>
        <w:rPr>
          <w:rStyle w:val="CharDivNo"/>
        </w:rPr>
        <w:t>Division 3</w:t>
      </w:r>
      <w:r>
        <w:t> — </w:t>
      </w:r>
      <w:r>
        <w:rPr>
          <w:rStyle w:val="CharDivText"/>
        </w:rPr>
        <w:t>Other applications for review</w:t>
      </w:r>
      <w:bookmarkEnd w:id="778"/>
      <w:bookmarkEnd w:id="779"/>
      <w:bookmarkEnd w:id="780"/>
      <w:bookmarkEnd w:id="781"/>
    </w:p>
    <w:p>
      <w:pPr>
        <w:pStyle w:val="Heading5"/>
      </w:pPr>
      <w:bookmarkStart w:id="782" w:name="_Toc155165096"/>
      <w:bookmarkStart w:id="783" w:name="_Toc135132801"/>
      <w:r>
        <w:rPr>
          <w:rStyle w:val="CharSectno"/>
        </w:rPr>
        <w:t>254</w:t>
      </w:r>
      <w:r>
        <w:t>.</w:t>
      </w:r>
      <w:r>
        <w:tab/>
        <w:t>Decision made under EP Act s. 48I</w:t>
      </w:r>
      <w:bookmarkEnd w:id="782"/>
      <w:bookmarkEnd w:id="783"/>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784" w:name="_Toc155165097"/>
      <w:bookmarkStart w:id="785" w:name="_Toc135132802"/>
      <w:r>
        <w:rPr>
          <w:rStyle w:val="CharSectno"/>
        </w:rPr>
        <w:t>255</w:t>
      </w:r>
      <w:r>
        <w:t>.</w:t>
      </w:r>
      <w:r>
        <w:tab/>
        <w:t>Direction given under s. 214</w:t>
      </w:r>
      <w:bookmarkEnd w:id="784"/>
      <w:bookmarkEnd w:id="785"/>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786" w:name="_Toc155165098"/>
      <w:bookmarkStart w:id="787" w:name="_Toc135041179"/>
      <w:bookmarkStart w:id="788" w:name="_Toc135041648"/>
      <w:bookmarkStart w:id="789" w:name="_Toc135132803"/>
      <w:r>
        <w:rPr>
          <w:rStyle w:val="CharPartNo"/>
        </w:rPr>
        <w:t>Part 15</w:t>
      </w:r>
      <w:r>
        <w:rPr>
          <w:rStyle w:val="CharDivNo"/>
        </w:rPr>
        <w:t> </w:t>
      </w:r>
      <w:r>
        <w:t>—</w:t>
      </w:r>
      <w:r>
        <w:rPr>
          <w:rStyle w:val="CharDivText"/>
        </w:rPr>
        <w:t> </w:t>
      </w:r>
      <w:r>
        <w:rPr>
          <w:rStyle w:val="CharPartText"/>
        </w:rPr>
        <w:t>Subsidiary legislation</w:t>
      </w:r>
      <w:bookmarkEnd w:id="786"/>
      <w:bookmarkEnd w:id="787"/>
      <w:bookmarkEnd w:id="788"/>
      <w:bookmarkEnd w:id="789"/>
    </w:p>
    <w:p>
      <w:pPr>
        <w:pStyle w:val="Ednotedivision"/>
      </w:pPr>
      <w:r>
        <w:t>[Heading deleted: No. 26 of 2020 s. 73.]</w:t>
      </w:r>
    </w:p>
    <w:p>
      <w:pPr>
        <w:pStyle w:val="Heading5"/>
      </w:pPr>
      <w:bookmarkStart w:id="790" w:name="_Toc155165099"/>
      <w:bookmarkStart w:id="791" w:name="_Toc135132804"/>
      <w:r>
        <w:rPr>
          <w:rStyle w:val="CharSectno"/>
        </w:rPr>
        <w:t>256</w:t>
      </w:r>
      <w:r>
        <w:t>.</w:t>
      </w:r>
      <w:r>
        <w:tab/>
        <w:t>Regulations for content of local planning schemes</w:t>
      </w:r>
      <w:bookmarkEnd w:id="790"/>
      <w:bookmarkEnd w:id="791"/>
    </w:p>
    <w:p>
      <w:pPr>
        <w:pStyle w:val="Subsection"/>
      </w:pPr>
      <w:r>
        <w:tab/>
        <w:t>(1)</w:t>
      </w:r>
      <w:r>
        <w:tab/>
        <w:t xml:space="preserve">The Governor may, on the recommendation of the Minister,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a recommendation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No. 28 of 2010 s. 64; amended: No. 26 of 2020 s. 74.] </w:t>
      </w:r>
    </w:p>
    <w:p>
      <w:pPr>
        <w:pStyle w:val="Heading5"/>
      </w:pPr>
      <w:bookmarkStart w:id="792" w:name="_Toc155165100"/>
      <w:bookmarkStart w:id="793" w:name="_Toc135132805"/>
      <w:r>
        <w:rPr>
          <w:rStyle w:val="CharSectno"/>
        </w:rPr>
        <w:t>257A</w:t>
      </w:r>
      <w:r>
        <w:t>.</w:t>
      </w:r>
      <w:r>
        <w:tab/>
        <w:t>Model provisions, effect of</w:t>
      </w:r>
      <w:bookmarkEnd w:id="792"/>
      <w:bookmarkEnd w:id="793"/>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r>
        <w:tab/>
        <w:t xml:space="preserve">[Section 257A inserted: No. 28 of 2010 s. 64.] </w:t>
      </w:r>
    </w:p>
    <w:p>
      <w:pPr>
        <w:pStyle w:val="Heading5"/>
      </w:pPr>
      <w:bookmarkStart w:id="794" w:name="_Toc155165101"/>
      <w:bookmarkStart w:id="795" w:name="_Toc135132806"/>
      <w:r>
        <w:rPr>
          <w:rStyle w:val="CharSectno"/>
        </w:rPr>
        <w:t>257B</w:t>
      </w:r>
      <w:r>
        <w:t>.</w:t>
      </w:r>
      <w:r>
        <w:tab/>
        <w:t>Deemed provisions, effect of</w:t>
      </w:r>
      <w:bookmarkEnd w:id="794"/>
      <w:bookmarkEnd w:id="795"/>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No. 28 of 2010 s. 64.] </w:t>
      </w:r>
    </w:p>
    <w:p>
      <w:pPr>
        <w:pStyle w:val="Ednotesection"/>
      </w:pPr>
      <w:r>
        <w:t>[</w:t>
      </w:r>
      <w:r>
        <w:rPr>
          <w:b/>
          <w:bCs/>
        </w:rPr>
        <w:t>257.</w:t>
      </w:r>
      <w:r>
        <w:tab/>
        <w:t>Deleted: No. 28 of 2010 s. 65.]</w:t>
      </w:r>
    </w:p>
    <w:p>
      <w:pPr>
        <w:pStyle w:val="Heading5"/>
      </w:pPr>
      <w:bookmarkStart w:id="796" w:name="_Toc155165102"/>
      <w:bookmarkStart w:id="797" w:name="_Toc135132807"/>
      <w:r>
        <w:rPr>
          <w:rStyle w:val="CharSectno"/>
        </w:rPr>
        <w:t>258</w:t>
      </w:r>
      <w:r>
        <w:t>.</w:t>
      </w:r>
      <w:r>
        <w:tab/>
        <w:t>Regulations for procedure and costs for local planning schemes</w:t>
      </w:r>
      <w:bookmarkEnd w:id="796"/>
      <w:bookmarkEnd w:id="797"/>
    </w:p>
    <w:p>
      <w:pPr>
        <w:pStyle w:val="Subsection"/>
      </w:pPr>
      <w:r>
        <w:tab/>
        <w:t>(1)</w:t>
      </w:r>
      <w:r>
        <w:tab/>
        <w:t xml:space="preserve">The Governor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No. 28 of 2010 s. 66; No. 26 of 2020 s. 75.] </w:t>
      </w:r>
    </w:p>
    <w:p>
      <w:pPr>
        <w:pStyle w:val="Heading5"/>
      </w:pPr>
      <w:bookmarkStart w:id="798" w:name="_Toc155165103"/>
      <w:bookmarkStart w:id="799" w:name="_Toc135132808"/>
      <w:r>
        <w:rPr>
          <w:rStyle w:val="CharSectno"/>
        </w:rPr>
        <w:t>259</w:t>
      </w:r>
      <w:r>
        <w:t>.</w:t>
      </w:r>
      <w:r>
        <w:tab/>
        <w:t>Regulations for environmental review expenses</w:t>
      </w:r>
      <w:bookmarkEnd w:id="798"/>
      <w:bookmarkEnd w:id="799"/>
    </w:p>
    <w:p>
      <w:pPr>
        <w:pStyle w:val="Subsection"/>
      </w:pPr>
      <w:r>
        <w:tab/>
      </w:r>
      <w:r>
        <w:tab/>
        <w:t>The Governor may make regulations with respect to the persons from whom, and the means by which, a responsible authority may recover expenses incurred by it in undertaking an environmental review required by the EP Act under section 48C(1)(a) of the EP Act.</w:t>
      </w:r>
    </w:p>
    <w:p>
      <w:pPr>
        <w:pStyle w:val="Footnotesection"/>
      </w:pPr>
      <w:r>
        <w:tab/>
        <w:t>[Section 259 amended: No. 26 of 2020 s. 76.]</w:t>
      </w:r>
    </w:p>
    <w:p>
      <w:pPr>
        <w:pStyle w:val="Ednotesection"/>
      </w:pPr>
      <w:r>
        <w:t>[</w:t>
      </w:r>
      <w:r>
        <w:rPr>
          <w:b/>
        </w:rPr>
        <w:t>260.</w:t>
      </w:r>
      <w:r>
        <w:tab/>
        <w:t>Deleted: No. 26 of 2020 s. 77.]</w:t>
      </w:r>
    </w:p>
    <w:p>
      <w:pPr>
        <w:pStyle w:val="Ednotedivision"/>
      </w:pPr>
      <w:r>
        <w:t>[Heading deleted: No. 26 of 2020 s. 78.]</w:t>
      </w:r>
    </w:p>
    <w:p>
      <w:pPr>
        <w:pStyle w:val="Heading5"/>
      </w:pPr>
      <w:bookmarkStart w:id="800" w:name="_Toc155165104"/>
      <w:bookmarkStart w:id="801" w:name="_Toc135132809"/>
      <w:r>
        <w:rPr>
          <w:rStyle w:val="CharSectno"/>
        </w:rPr>
        <w:t>261</w:t>
      </w:r>
      <w:r>
        <w:t>.</w:t>
      </w:r>
      <w:r>
        <w:tab/>
        <w:t>Local government fees for planning matters etc., regulations as to</w:t>
      </w:r>
      <w:bookmarkEnd w:id="800"/>
      <w:bookmarkEnd w:id="801"/>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keepNext/>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802" w:name="_Toc155165105"/>
      <w:bookmarkStart w:id="803" w:name="_Toc135132810"/>
      <w:r>
        <w:rPr>
          <w:rStyle w:val="CharSectno"/>
        </w:rPr>
        <w:t>262</w:t>
      </w:r>
      <w:r>
        <w:t>.</w:t>
      </w:r>
      <w:r>
        <w:tab/>
        <w:t>Uniform general local laws</w:t>
      </w:r>
      <w:bookmarkEnd w:id="802"/>
      <w:bookmarkEnd w:id="803"/>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vertAlign w:val="superscript"/>
        </w:rPr>
        <w:t>3</w:t>
      </w:r>
      <w:r>
        <w:t>.</w:t>
      </w:r>
    </w:p>
    <w:p>
      <w:pPr>
        <w:pStyle w:val="Subsection"/>
      </w:pPr>
      <w:r>
        <w:tab/>
        <w:t>(4)</w:t>
      </w:r>
      <w:r>
        <w:tab/>
        <w:t>If a by</w:t>
      </w:r>
      <w:r>
        <w:noBreakHyphen/>
        <w:t xml:space="preserve">law made under section 248 of the </w:t>
      </w:r>
      <w:r>
        <w:rPr>
          <w:i/>
        </w:rPr>
        <w:t>Local Government Act 1960</w:t>
      </w:r>
      <w:r>
        <w:rPr>
          <w:vertAlign w:val="superscript"/>
        </w:rPr>
        <w:t> 3</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3</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No. 28 of 2010 s. 23; </w:t>
      </w:r>
      <w:r>
        <w:rPr>
          <w:spacing w:val="-4"/>
        </w:rPr>
        <w:t>No. 45 of 2011 s. 1</w:t>
      </w:r>
      <w:r>
        <w:t xml:space="preserve">41(10).] </w:t>
      </w:r>
    </w:p>
    <w:p>
      <w:pPr>
        <w:pStyle w:val="Heading5"/>
      </w:pPr>
      <w:bookmarkStart w:id="804" w:name="_Toc155165106"/>
      <w:bookmarkStart w:id="805" w:name="_Toc135132811"/>
      <w:r>
        <w:rPr>
          <w:rStyle w:val="CharSectno"/>
        </w:rPr>
        <w:t>263</w:t>
      </w:r>
      <w:r>
        <w:t>.</w:t>
      </w:r>
      <w:r>
        <w:tab/>
        <w:t>Regulations: general</w:t>
      </w:r>
      <w:bookmarkEnd w:id="804"/>
      <w:bookmarkEnd w:id="80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any other provision of this Act, regulations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sections 256 to 259, the regulation made under sections 256 to 259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No. 28 of 2010 s. 67; No. 26 of 2020 s. 79.] </w:t>
      </w:r>
    </w:p>
    <w:p>
      <w:pPr>
        <w:pStyle w:val="Ednotedivision"/>
      </w:pPr>
      <w:r>
        <w:t>[Heading deleted: No. 26 of 2020 s. 80.]</w:t>
      </w:r>
    </w:p>
    <w:p>
      <w:pPr>
        <w:pStyle w:val="Heading5"/>
      </w:pPr>
      <w:bookmarkStart w:id="806" w:name="_Toc155165107"/>
      <w:bookmarkStart w:id="807" w:name="_Toc135132812"/>
      <w:r>
        <w:rPr>
          <w:rStyle w:val="CharSectno"/>
        </w:rPr>
        <w:t>264</w:t>
      </w:r>
      <w:r>
        <w:t>.</w:t>
      </w:r>
      <w:r>
        <w:tab/>
        <w:t>Regulations may adopt codes and other texts</w:t>
      </w:r>
      <w:bookmarkEnd w:id="806"/>
      <w:bookmarkEnd w:id="807"/>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808" w:name="_Toc155165108"/>
      <w:bookmarkStart w:id="809" w:name="_Toc135041189"/>
      <w:bookmarkStart w:id="810" w:name="_Toc135041658"/>
      <w:bookmarkStart w:id="811" w:name="_Toc135132813"/>
      <w:r>
        <w:rPr>
          <w:rStyle w:val="CharPartNo"/>
        </w:rPr>
        <w:t>Part 16</w:t>
      </w:r>
      <w:r>
        <w:rPr>
          <w:rStyle w:val="CharDivNo"/>
        </w:rPr>
        <w:t> </w:t>
      </w:r>
      <w:r>
        <w:t>—</w:t>
      </w:r>
      <w:r>
        <w:rPr>
          <w:rStyle w:val="CharDivText"/>
        </w:rPr>
        <w:t> </w:t>
      </w:r>
      <w:r>
        <w:rPr>
          <w:rStyle w:val="CharPartText"/>
        </w:rPr>
        <w:t>Miscellaneous</w:t>
      </w:r>
      <w:bookmarkEnd w:id="808"/>
      <w:bookmarkEnd w:id="809"/>
      <w:bookmarkEnd w:id="810"/>
      <w:bookmarkEnd w:id="811"/>
    </w:p>
    <w:p>
      <w:pPr>
        <w:pStyle w:val="Heading5"/>
      </w:pPr>
      <w:bookmarkStart w:id="812" w:name="_Toc155165109"/>
      <w:bookmarkStart w:id="813" w:name="_Toc135132814"/>
      <w:r>
        <w:rPr>
          <w:rStyle w:val="CharSectno"/>
        </w:rPr>
        <w:t>265</w:t>
      </w:r>
      <w:r>
        <w:t>.</w:t>
      </w:r>
      <w:r>
        <w:tab/>
        <w:t>Delegation by Minister</w:t>
      </w:r>
      <w:bookmarkEnd w:id="812"/>
      <w:bookmarkEnd w:id="813"/>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814" w:name="_Toc155165110"/>
      <w:bookmarkStart w:id="815" w:name="_Toc135132815"/>
      <w:r>
        <w:rPr>
          <w:rStyle w:val="CharSectno"/>
        </w:rPr>
        <w:t>266</w:t>
      </w:r>
      <w:r>
        <w:t>.</w:t>
      </w:r>
      <w:r>
        <w:tab/>
        <w:t xml:space="preserve">Duties and liabilities of persons performing functions under this Act or </w:t>
      </w:r>
      <w:r>
        <w:rPr>
          <w:i/>
        </w:rPr>
        <w:t>Swan Valley Planning Act 2020</w:t>
      </w:r>
      <w:bookmarkEnd w:id="814"/>
      <w:bookmarkEnd w:id="815"/>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 or the </w:t>
      </w:r>
      <w:r>
        <w:rPr>
          <w:i/>
        </w:rPr>
        <w:t>Swan Valley Planning Act 2020</w:t>
      </w:r>
      <w:r>
        <w:t>;</w:t>
      </w:r>
    </w:p>
    <w:p>
      <w:pPr>
        <w:pStyle w:val="Defstart"/>
      </w:pPr>
      <w:r>
        <w:tab/>
      </w:r>
      <w:r>
        <w:rPr>
          <w:rStyle w:val="CharDefText"/>
        </w:rPr>
        <w:t>meeting</w:t>
      </w:r>
      <w:r>
        <w:t xml:space="preserve"> means a meeting held in connection with the carrying out of this Act or the </w:t>
      </w:r>
      <w:r>
        <w:rPr>
          <w:i/>
        </w:rPr>
        <w:t>Swan Valley Planning Act 2020</w:t>
      </w:r>
      <w:r>
        <w: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 xml:space="preserve">a member of a committee established under Schedule 2 or the </w:t>
      </w:r>
      <w:r>
        <w:rPr>
          <w:i/>
        </w:rPr>
        <w:t>Swan Valley Planning Act 2020</w:t>
      </w:r>
      <w:r>
        <w:t xml:space="preserve"> section 33;</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 xml:space="preserve">in connection with the carrying out of this Act or the </w:t>
      </w:r>
      <w:r>
        <w:rPr>
          <w:i/>
        </w:rPr>
        <w:t>Swan Valley Planning Act 2020</w:t>
      </w:r>
      <w:r>
        <w:t xml:space="preserve"> or under a legal duty; or</w:t>
      </w:r>
    </w:p>
    <w:p>
      <w:pPr>
        <w:pStyle w:val="Indenta"/>
      </w:pPr>
      <w:r>
        <w:tab/>
        <w:t>(b)</w:t>
      </w:r>
      <w:r>
        <w:tab/>
        <w:t xml:space="preserve">for the purposes of any proceedings arising out of this Act or the </w:t>
      </w:r>
      <w:r>
        <w:rPr>
          <w:i/>
        </w:rPr>
        <w:t>Swan Valley Planning Act 2020</w:t>
      </w:r>
      <w:r>
        <w:t xml:space="preserve">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r>
        <w:tab/>
        <w:t xml:space="preserve">[Section 266 amended: No. 28 of 2010 s. 44; No. 45 of 2020 s. 92.] </w:t>
      </w:r>
    </w:p>
    <w:p>
      <w:pPr>
        <w:pStyle w:val="Heading5"/>
      </w:pPr>
      <w:bookmarkStart w:id="816" w:name="_Toc155165111"/>
      <w:bookmarkStart w:id="817" w:name="_Toc135132816"/>
      <w:r>
        <w:rPr>
          <w:rStyle w:val="CharSectno"/>
        </w:rPr>
        <w:t>267A</w:t>
      </w:r>
      <w:r>
        <w:t>.</w:t>
      </w:r>
      <w:r>
        <w:tab/>
        <w:t>Crown and State land, who may sign documents as to</w:t>
      </w:r>
      <w:bookmarkEnd w:id="816"/>
      <w:bookmarkEnd w:id="817"/>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pPr>
      <w:r>
        <w:tab/>
        <w:t>[Section 267A inserted: No. 8 of 2010 s. 25.]</w:t>
      </w:r>
    </w:p>
    <w:p>
      <w:pPr>
        <w:pStyle w:val="Heading5"/>
      </w:pPr>
      <w:bookmarkStart w:id="818" w:name="_Toc155165112"/>
      <w:bookmarkStart w:id="819" w:name="_Toc135132817"/>
      <w:r>
        <w:rPr>
          <w:rStyle w:val="CharSectno"/>
        </w:rPr>
        <w:t>267</w:t>
      </w:r>
      <w:r>
        <w:t>.</w:t>
      </w:r>
      <w:r>
        <w:tab/>
        <w:t>Protection from personal liability</w:t>
      </w:r>
      <w:bookmarkEnd w:id="818"/>
      <w:bookmarkEnd w:id="819"/>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r>
        <w:tab/>
        <w:t>[Section 267 amended: No. 8 of 2010 s. 26.]</w:t>
      </w:r>
    </w:p>
    <w:p>
      <w:pPr>
        <w:pStyle w:val="Heading5"/>
      </w:pPr>
      <w:bookmarkStart w:id="820" w:name="_Toc155165113"/>
      <w:bookmarkStart w:id="821" w:name="_Toc135132818"/>
      <w:r>
        <w:rPr>
          <w:rStyle w:val="CharSectno"/>
        </w:rPr>
        <w:t>268A</w:t>
      </w:r>
      <w:r>
        <w:t>.</w:t>
      </w:r>
      <w:r>
        <w:tab/>
        <w:t>Laying documents before House of Parliament that is not sitting</w:t>
      </w:r>
      <w:bookmarkEnd w:id="820"/>
      <w:bookmarkEnd w:id="821"/>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No. 28 of 2010 s. 50; amended: </w:t>
      </w:r>
      <w:r>
        <w:rPr>
          <w:spacing w:val="-4"/>
        </w:rPr>
        <w:t>No. 45 of 2011 s. 1</w:t>
      </w:r>
      <w:r>
        <w:t xml:space="preserve">41(11).] </w:t>
      </w:r>
    </w:p>
    <w:p>
      <w:pPr>
        <w:pStyle w:val="Heading5"/>
      </w:pPr>
      <w:bookmarkStart w:id="822" w:name="_Toc155165114"/>
      <w:bookmarkStart w:id="823" w:name="_Toc135132819"/>
      <w:r>
        <w:rPr>
          <w:rStyle w:val="CharSectno"/>
        </w:rPr>
        <w:t>268</w:t>
      </w:r>
      <w:r>
        <w:t>.</w:t>
      </w:r>
      <w:r>
        <w:tab/>
        <w:t>Review of Act</w:t>
      </w:r>
      <w:bookmarkEnd w:id="822"/>
      <w:bookmarkEnd w:id="823"/>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Heading2"/>
      </w:pPr>
      <w:bookmarkStart w:id="824" w:name="_Toc155165115"/>
      <w:bookmarkStart w:id="825" w:name="_Toc135041196"/>
      <w:bookmarkStart w:id="826" w:name="_Toc135041665"/>
      <w:bookmarkStart w:id="827" w:name="_Toc135132820"/>
      <w:r>
        <w:rPr>
          <w:rStyle w:val="CharPartNo"/>
        </w:rPr>
        <w:t>Part 17</w:t>
      </w:r>
      <w:r>
        <w:t> — </w:t>
      </w:r>
      <w:r>
        <w:rPr>
          <w:rStyle w:val="CharPartText"/>
        </w:rPr>
        <w:t>Special provisions for COVID</w:t>
      </w:r>
      <w:r>
        <w:rPr>
          <w:rStyle w:val="CharPartText"/>
        </w:rPr>
        <w:noBreakHyphen/>
        <w:t>19 pandemic relating to development applications</w:t>
      </w:r>
      <w:bookmarkEnd w:id="824"/>
      <w:bookmarkEnd w:id="825"/>
      <w:bookmarkEnd w:id="826"/>
      <w:bookmarkEnd w:id="827"/>
    </w:p>
    <w:p>
      <w:pPr>
        <w:pStyle w:val="Footnoteheading"/>
      </w:pPr>
      <w:r>
        <w:tab/>
        <w:t>[Heading inserted: No. 26 of 2020 s. 4.]</w:t>
      </w:r>
    </w:p>
    <w:p>
      <w:pPr>
        <w:pStyle w:val="Heading3"/>
      </w:pPr>
      <w:bookmarkStart w:id="828" w:name="_Toc155165116"/>
      <w:bookmarkStart w:id="829" w:name="_Toc135041197"/>
      <w:bookmarkStart w:id="830" w:name="_Toc135041666"/>
      <w:bookmarkStart w:id="831" w:name="_Toc135132821"/>
      <w:r>
        <w:rPr>
          <w:rStyle w:val="CharDivNo"/>
        </w:rPr>
        <w:t>Division 1</w:t>
      </w:r>
      <w:r>
        <w:t> — </w:t>
      </w:r>
      <w:r>
        <w:rPr>
          <w:rStyle w:val="CharDivText"/>
        </w:rPr>
        <w:t>Preliminary</w:t>
      </w:r>
      <w:bookmarkEnd w:id="828"/>
      <w:bookmarkEnd w:id="829"/>
      <w:bookmarkEnd w:id="830"/>
      <w:bookmarkEnd w:id="831"/>
    </w:p>
    <w:p>
      <w:pPr>
        <w:pStyle w:val="Footnoteheading"/>
      </w:pPr>
      <w:r>
        <w:tab/>
        <w:t>[Heading inserted: No. 26 of 2020 s. 4.]</w:t>
      </w:r>
    </w:p>
    <w:p>
      <w:pPr>
        <w:pStyle w:val="Heading5"/>
      </w:pPr>
      <w:bookmarkStart w:id="832" w:name="_Toc155165117"/>
      <w:bookmarkStart w:id="833" w:name="_Toc135132822"/>
      <w:r>
        <w:rPr>
          <w:rStyle w:val="CharSectno"/>
        </w:rPr>
        <w:t>269</w:t>
      </w:r>
      <w:r>
        <w:t>.</w:t>
      </w:r>
      <w:r>
        <w:tab/>
        <w:t>Terms used</w:t>
      </w:r>
      <w:bookmarkEnd w:id="832"/>
      <w:bookmarkEnd w:id="833"/>
    </w:p>
    <w:p>
      <w:pPr>
        <w:pStyle w:val="Subsection"/>
      </w:pPr>
      <w:r>
        <w:tab/>
        <w:t>(1)</w:t>
      </w:r>
      <w:r>
        <w:tab/>
        <w:t xml:space="preserve">In this Part — </w:t>
      </w:r>
    </w:p>
    <w:p>
      <w:pPr>
        <w:pStyle w:val="Defstart"/>
      </w:pPr>
      <w:r>
        <w:tab/>
      </w:r>
      <w:r>
        <w:rPr>
          <w:rStyle w:val="CharDefText"/>
        </w:rPr>
        <w:t>applicable legal instrument</w:t>
      </w:r>
      <w:r>
        <w:t>, in relation to a development application, means a legal instrument under which the application could, apart from this Part, be determined;</w:t>
      </w:r>
    </w:p>
    <w:p>
      <w:pPr>
        <w:pStyle w:val="Defstart"/>
      </w:pPr>
      <w:r>
        <w:tab/>
      </w:r>
      <w:r>
        <w:rPr>
          <w:rStyle w:val="CharDefText"/>
        </w:rPr>
        <w:t>development</w:t>
      </w:r>
      <w:r>
        <w:t xml:space="preserve">, in relation to a development application that is an application for approval under the </w:t>
      </w:r>
      <w:r>
        <w:rPr>
          <w:i/>
        </w:rPr>
        <w:t>Swan and Canning Rivers Management Act 2006</w:t>
      </w:r>
      <w:r>
        <w:t xml:space="preserve"> section 72(1) or (4) or to a determination of such an application, has the meaning given in section 3(1) of that Act;</w:t>
      </w:r>
    </w:p>
    <w:p>
      <w:pPr>
        <w:pStyle w:val="Defstart"/>
      </w:pPr>
      <w:r>
        <w:tab/>
      </w:r>
      <w:r>
        <w:rPr>
          <w:rStyle w:val="CharDefText"/>
        </w:rPr>
        <w:t>development application</w:t>
      </w:r>
      <w:r>
        <w:t xml:space="preserve"> — </w:t>
      </w:r>
    </w:p>
    <w:p>
      <w:pPr>
        <w:pStyle w:val="Defpara"/>
      </w:pPr>
      <w:r>
        <w:tab/>
        <w:t>(a)</w:t>
      </w:r>
      <w:r>
        <w:tab/>
        <w:t>means a development application as defined in section 4(1); and</w:t>
      </w:r>
    </w:p>
    <w:p>
      <w:pPr>
        <w:pStyle w:val="Defpara"/>
      </w:pPr>
      <w:r>
        <w:tab/>
        <w:t>(b)</w:t>
      </w:r>
      <w:r>
        <w:tab/>
        <w:t>includes (to avoid doubt) a development application as defined in section 4(1) that is to be determined, or could be determined, by a Development Assessment Panel; and</w:t>
      </w:r>
    </w:p>
    <w:p>
      <w:pPr>
        <w:pStyle w:val="Defpara"/>
      </w:pPr>
      <w:r>
        <w:tab/>
        <w:t>(c)</w:t>
      </w:r>
      <w:r>
        <w:tab/>
        <w:t>includes an application under Part 7 for approval of development in a planning control area; and</w:t>
      </w:r>
    </w:p>
    <w:p>
      <w:pPr>
        <w:pStyle w:val="Defpara"/>
      </w:pPr>
      <w:r>
        <w:tab/>
        <w:t>(d)</w:t>
      </w:r>
      <w:r>
        <w:tab/>
        <w:t xml:space="preserve">includes an application for approval under the </w:t>
      </w:r>
      <w:r>
        <w:rPr>
          <w:i/>
        </w:rPr>
        <w:t>Swan and Canning Rivers Management Act 2006</w:t>
      </w:r>
      <w:r>
        <w:t xml:space="preserve"> section 72(1) or (4);</w:t>
      </w:r>
    </w:p>
    <w:p>
      <w:pPr>
        <w:pStyle w:val="Defstart"/>
      </w:pPr>
      <w:r>
        <w:tab/>
      </w:r>
      <w:r>
        <w:rPr>
          <w:rStyle w:val="CharDefText"/>
        </w:rPr>
        <w:t>extended recovery period</w:t>
      </w:r>
      <w:r>
        <w:t xml:space="preserve"> means the period that — </w:t>
      </w:r>
    </w:p>
    <w:p>
      <w:pPr>
        <w:pStyle w:val="Defpara"/>
      </w:pPr>
      <w:r>
        <w:tab/>
        <w:t>(a)</w:t>
      </w:r>
      <w:r>
        <w:tab/>
        <w:t xml:space="preserve">begins when the </w:t>
      </w:r>
      <w:r>
        <w:rPr>
          <w:i/>
        </w:rPr>
        <w:t>Planning and Development Amendment Act 2022</w:t>
      </w:r>
      <w:r>
        <w:t xml:space="preserve"> section 4 comes into operation; and</w:t>
      </w:r>
    </w:p>
    <w:p>
      <w:pPr>
        <w:pStyle w:val="Defpara"/>
      </w:pPr>
      <w:r>
        <w:tab/>
        <w:t>(b)</w:t>
      </w:r>
      <w:r>
        <w:tab/>
        <w:t>ends immediately before 5 pm on 29 December 2023;</w:t>
      </w:r>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keepNext/>
      </w:pPr>
      <w:r>
        <w:tab/>
      </w:r>
      <w:r>
        <w:rPr>
          <w:rStyle w:val="CharDefText"/>
        </w:rPr>
        <w:t>legal instrument</w:t>
      </w:r>
      <w:r>
        <w:t xml:space="preserve"> means any of the following — </w:t>
      </w:r>
    </w:p>
    <w:p>
      <w:pPr>
        <w:pStyle w:val="Defpara"/>
      </w:pPr>
      <w:r>
        <w:tab/>
        <w:t>(a)</w:t>
      </w:r>
      <w:r>
        <w:tab/>
        <w:t>this Act, other than this Part, any Part 17 regulations and any orders under section 284;</w:t>
      </w:r>
    </w:p>
    <w:p>
      <w:pPr>
        <w:pStyle w:val="Defpara"/>
      </w:pPr>
      <w:r>
        <w:tab/>
        <w:t>(b)</w:t>
      </w:r>
      <w:r>
        <w:tab/>
        <w:t xml:space="preserve">any of the following enactments — </w:t>
      </w:r>
    </w:p>
    <w:p>
      <w:pPr>
        <w:pStyle w:val="Defsubpara"/>
      </w:pPr>
      <w:r>
        <w:tab/>
        <w:t>(i)</w:t>
      </w:r>
      <w:r>
        <w:tab/>
        <w:t xml:space="preserve">the </w:t>
      </w:r>
      <w:r>
        <w:rPr>
          <w:i/>
        </w:rPr>
        <w:t>Contaminated Sites Act 2003</w:t>
      </w:r>
      <w:r>
        <w:t>;</w:t>
      </w:r>
    </w:p>
    <w:p>
      <w:pPr>
        <w:pStyle w:val="Defsubpara"/>
      </w:pPr>
      <w:r>
        <w:tab/>
        <w:t>(ii)</w:t>
      </w:r>
      <w:r>
        <w:tab/>
        <w:t xml:space="preserve">the </w:t>
      </w:r>
      <w:r>
        <w:rPr>
          <w:i/>
        </w:rPr>
        <w:t>Heritage Act 2018</w:t>
      </w:r>
      <w:r>
        <w:t>;</w:t>
      </w:r>
    </w:p>
    <w:p>
      <w:pPr>
        <w:pStyle w:val="Defsubpara"/>
      </w:pPr>
      <w:r>
        <w:tab/>
        <w:t>(iii)</w:t>
      </w:r>
      <w:r>
        <w:tab/>
        <w:t xml:space="preserve">the </w:t>
      </w:r>
      <w:r>
        <w:rPr>
          <w:i/>
        </w:rPr>
        <w:t>Swan and Canning Rivers Management Act 2006</w:t>
      </w:r>
      <w:r>
        <w:t>;</w:t>
      </w:r>
    </w:p>
    <w:p>
      <w:pPr>
        <w:pStyle w:val="Defsubpara"/>
      </w:pPr>
      <w:r>
        <w:tab/>
        <w:t>(iv)</w:t>
      </w:r>
      <w:r>
        <w:tab/>
        <w:t xml:space="preserve">the </w:t>
      </w:r>
      <w:r>
        <w:rPr>
          <w:i/>
        </w:rPr>
        <w:t>Swan Valley Planning Act 2020</w:t>
      </w:r>
      <w:r>
        <w:t>;</w:t>
      </w:r>
    </w:p>
    <w:p>
      <w:pPr>
        <w:pStyle w:val="Defsubpara"/>
      </w:pPr>
      <w:r>
        <w:tab/>
        <w:t>(v)</w:t>
      </w:r>
      <w:r>
        <w:tab/>
        <w:t xml:space="preserve">the </w:t>
      </w:r>
      <w:r>
        <w:rPr>
          <w:i/>
        </w:rPr>
        <w:t>Local Government Act 1995</w:t>
      </w:r>
      <w:r>
        <w:t>;</w:t>
      </w:r>
    </w:p>
    <w:p>
      <w:pPr>
        <w:pStyle w:val="Defpara"/>
      </w:pPr>
      <w:r>
        <w:tab/>
        <w:t>(c)</w:t>
      </w:r>
      <w:r>
        <w:tab/>
        <w:t xml:space="preserve">any enactment, other than the following — </w:t>
      </w:r>
    </w:p>
    <w:p>
      <w:pPr>
        <w:pStyle w:val="Defsubpara"/>
      </w:pPr>
      <w:r>
        <w:tab/>
        <w:t>(i)</w:t>
      </w:r>
      <w:r>
        <w:tab/>
        <w:t>this Act;</w:t>
      </w:r>
    </w:p>
    <w:p>
      <w:pPr>
        <w:pStyle w:val="Defsubpara"/>
      </w:pPr>
      <w:r>
        <w:tab/>
        <w:t>(ii)</w:t>
      </w:r>
      <w:r>
        <w:tab/>
        <w:t>an enactment covered by paragraph (b);</w:t>
      </w:r>
    </w:p>
    <w:p>
      <w:pPr>
        <w:pStyle w:val="Defsubpara"/>
      </w:pPr>
      <w:r>
        <w:tab/>
        <w:t>(iii)</w:t>
      </w:r>
      <w:r>
        <w:tab/>
        <w:t>the EP Act;</w:t>
      </w:r>
    </w:p>
    <w:p>
      <w:pPr>
        <w:pStyle w:val="Defpara"/>
      </w:pPr>
      <w:r>
        <w:tab/>
        <w:t>(d)</w:t>
      </w:r>
      <w:r>
        <w:tab/>
        <w:t>a planning scheme or an interim development order;</w:t>
      </w:r>
    </w:p>
    <w:p>
      <w:pPr>
        <w:pStyle w:val="Defpara"/>
      </w:pPr>
      <w:r>
        <w:tab/>
        <w:t>(e)</w:t>
      </w:r>
      <w:r>
        <w:tab/>
        <w:t>any other scheme, code, policy, plan, local law, by</w:t>
      </w:r>
      <w:r>
        <w:noBreakHyphen/>
        <w:t>law, rule, condition, notice or other instrument made under any enactment covered by paragraph (a), (b) or (c);</w:t>
      </w:r>
    </w:p>
    <w:p>
      <w:pPr>
        <w:pStyle w:val="Defstart"/>
      </w:pPr>
      <w:r>
        <w:tab/>
      </w:r>
      <w:r>
        <w:rPr>
          <w:rStyle w:val="CharDefText"/>
        </w:rPr>
        <w:t>mining</w:t>
      </w:r>
      <w:r>
        <w:t xml:space="preserve"> has the meaning given in the </w:t>
      </w:r>
      <w:r>
        <w:rPr>
          <w:i/>
        </w:rPr>
        <w:t>Mining Act 1978</w:t>
      </w:r>
      <w:r>
        <w:t xml:space="preserve"> section 8(1);</w:t>
      </w:r>
    </w:p>
    <w:p>
      <w:pPr>
        <w:pStyle w:val="Defstart"/>
      </w:pPr>
      <w:r>
        <w:tab/>
      </w:r>
      <w:r>
        <w:rPr>
          <w:rStyle w:val="CharDefText"/>
        </w:rPr>
        <w:t>normal decision</w:t>
      </w:r>
      <w:r>
        <w:rPr>
          <w:rStyle w:val="CharDefText"/>
        </w:rPr>
        <w:noBreakHyphen/>
        <w:t>maker</w:t>
      </w:r>
      <w:r>
        <w:t>, in relation to a development application, means a person or body who could, apart from this Part, determine the application under an applicable legal instrument;</w:t>
      </w:r>
    </w:p>
    <w:p>
      <w:pPr>
        <w:pStyle w:val="Defstart"/>
      </w:pPr>
      <w:r>
        <w:tab/>
      </w:r>
      <w:r>
        <w:rPr>
          <w:rStyle w:val="CharDefText"/>
        </w:rPr>
        <w:t>Part 17 regulations</w:t>
      </w:r>
      <w:r>
        <w:t xml:space="preserve"> means regulations under section 286(1);</w:t>
      </w:r>
    </w:p>
    <w:p>
      <w:pPr>
        <w:pStyle w:val="Defstart"/>
      </w:pPr>
      <w:r>
        <w:tab/>
      </w:r>
      <w:r>
        <w:rPr>
          <w:rStyle w:val="CharDefText"/>
        </w:rPr>
        <w:t>recovery period</w:t>
      </w:r>
      <w:r>
        <w:t xml:space="preserve"> means the period of 18 months beginning on the day on which the </w:t>
      </w:r>
      <w:r>
        <w:rPr>
          <w:i/>
        </w:rPr>
        <w:t xml:space="preserve">Planning and Development Amendment Act 2020 </w:t>
      </w:r>
      <w:r>
        <w:t>section 4 comes into operation;</w:t>
      </w:r>
    </w:p>
    <w:p>
      <w:pPr>
        <w:pStyle w:val="Defstart"/>
        <w:keepNext/>
      </w:pPr>
      <w:r>
        <w:tab/>
      </w:r>
      <w:r>
        <w:rPr>
          <w:rStyle w:val="CharDefText"/>
        </w:rPr>
        <w:t>significant development</w:t>
      </w:r>
      <w:r>
        <w:t xml:space="preserve">, subject to subsections (2) and (3), means — </w:t>
      </w:r>
    </w:p>
    <w:p>
      <w:pPr>
        <w:pStyle w:val="Defpara"/>
        <w:keepNext/>
      </w:pPr>
      <w:r>
        <w:tab/>
        <w:t>(a)</w:t>
      </w:r>
      <w:r>
        <w:tab/>
        <w:t xml:space="preserve">development that has an estimated cost of — </w:t>
      </w:r>
    </w:p>
    <w:p>
      <w:pPr>
        <w:pStyle w:val="Defsubpara"/>
      </w:pPr>
      <w:r>
        <w:tab/>
        <w:t>(i)</w:t>
      </w:r>
      <w:r>
        <w:tab/>
        <w:t>in the case of a development that is wholly or partly in the metropolitan region — $20 million or more;</w:t>
      </w:r>
    </w:p>
    <w:p>
      <w:pPr>
        <w:pStyle w:val="Defsubpara"/>
      </w:pPr>
      <w:r>
        <w:tab/>
      </w:r>
      <w:r>
        <w:tab/>
        <w:t>or</w:t>
      </w:r>
    </w:p>
    <w:p>
      <w:pPr>
        <w:pStyle w:val="Defsubpara"/>
      </w:pPr>
      <w:r>
        <w:tab/>
        <w:t>(ii)</w:t>
      </w:r>
      <w:r>
        <w:tab/>
        <w:t>in any other case — $5 million or more;</w:t>
      </w:r>
    </w:p>
    <w:p>
      <w:pPr>
        <w:pStyle w:val="Defpara"/>
      </w:pPr>
      <w:r>
        <w:tab/>
      </w:r>
      <w:r>
        <w:tab/>
        <w:t>or</w:t>
      </w:r>
    </w:p>
    <w:p>
      <w:pPr>
        <w:pStyle w:val="Defpara"/>
      </w:pPr>
      <w:r>
        <w:tab/>
        <w:t>(b)</w:t>
      </w:r>
      <w:r>
        <w:tab/>
        <w:t>development that is of a class or kind prescribed by Part 17 regulations for the purposes of this paragraph;</w:t>
      </w:r>
    </w:p>
    <w:p>
      <w:pPr>
        <w:pStyle w:val="Defstart"/>
      </w:pPr>
      <w:r>
        <w:tab/>
      </w:r>
      <w:r>
        <w:rPr>
          <w:rStyle w:val="CharDefText"/>
        </w:rPr>
        <w:t>substantially commenced</w:t>
      </w:r>
      <w:r>
        <w:t xml:space="preserve">, subject to subsection (4), has the meaning given in the </w:t>
      </w:r>
      <w:r>
        <w:rPr>
          <w:i/>
        </w:rPr>
        <w:t>Planning and Development (Local Planning Schemes) Regulations 2015</w:t>
      </w:r>
      <w:r>
        <w:t xml:space="preserve"> Schedule 2 clause 1 as in force at the beginning of the recovery period;</w:t>
      </w:r>
    </w:p>
    <w:p>
      <w:pPr>
        <w:pStyle w:val="Defstart"/>
      </w:pPr>
      <w:r>
        <w:tab/>
      </w:r>
      <w:r>
        <w:rPr>
          <w:rStyle w:val="CharDefText"/>
        </w:rPr>
        <w:t>warehouse</w:t>
      </w:r>
      <w:r>
        <w:t xml:space="preserve"> means a building or outdoor facility, or a part of a building or outdoor facility, used for 1 or both of the following — </w:t>
      </w:r>
    </w:p>
    <w:p>
      <w:pPr>
        <w:pStyle w:val="Defpara"/>
      </w:pPr>
      <w:r>
        <w:tab/>
        <w:t>(a)</w:t>
      </w:r>
      <w:r>
        <w:tab/>
        <w:t>the storage of goods, equipment, plant or materials;</w:t>
      </w:r>
    </w:p>
    <w:p>
      <w:pPr>
        <w:pStyle w:val="Defpara"/>
      </w:pPr>
      <w:r>
        <w:tab/>
        <w:t>(b)</w:t>
      </w:r>
      <w:r>
        <w:tab/>
        <w:t>the display or sale by wholesale of goods.</w:t>
      </w:r>
    </w:p>
    <w:p>
      <w:pPr>
        <w:pStyle w:val="Subsection"/>
      </w:pPr>
      <w:r>
        <w:tab/>
        <w:t>(2)</w:t>
      </w:r>
      <w:r>
        <w:tab/>
        <w:t xml:space="preserve">Development that is of a class or kind prescribed by Part 17 regulations for the purposes of this subsection — </w:t>
      </w:r>
    </w:p>
    <w:p>
      <w:pPr>
        <w:pStyle w:val="Indenta"/>
      </w:pPr>
      <w:r>
        <w:tab/>
        <w:t>(a)</w:t>
      </w:r>
      <w:r>
        <w:tab/>
        <w:t>is not to be regarded as significant development or as being part of any significant development; and</w:t>
      </w:r>
    </w:p>
    <w:p>
      <w:pPr>
        <w:pStyle w:val="Indenta"/>
      </w:pPr>
      <w:r>
        <w:tab/>
        <w:t>(b)</w:t>
      </w:r>
      <w:r>
        <w:tab/>
        <w:t>is not to be taken into account in determining whether any larger development of which the development forms part is significant development.</w:t>
      </w:r>
    </w:p>
    <w:p>
      <w:pPr>
        <w:pStyle w:val="Subsection"/>
      </w:pPr>
      <w:r>
        <w:tab/>
        <w:t>(3)</w:t>
      </w:r>
      <w:r>
        <w:tab/>
        <w:t xml:space="preserve">Development of a warehouse — </w:t>
      </w:r>
    </w:p>
    <w:p>
      <w:pPr>
        <w:pStyle w:val="Indenta"/>
      </w:pPr>
      <w:r>
        <w:tab/>
        <w:t>(a)</w:t>
      </w:r>
      <w:r>
        <w:tab/>
        <w:t>is not to be regarded as significant development or as being part of any significant development; and</w:t>
      </w:r>
    </w:p>
    <w:p>
      <w:pPr>
        <w:pStyle w:val="Indenta"/>
      </w:pPr>
      <w:r>
        <w:tab/>
        <w:t>(b)</w:t>
      </w:r>
      <w:r>
        <w:tab/>
        <w:t>is not to be taken into account in determining whether any larger development of which the development forms part is significant development.</w:t>
      </w:r>
    </w:p>
    <w:p>
      <w:pPr>
        <w:pStyle w:val="Subsection"/>
      </w:pPr>
      <w:r>
        <w:tab/>
        <w:t>(4)</w:t>
      </w:r>
      <w:r>
        <w:tab/>
        <w:t xml:space="preserve">For the purposes of the definition of </w:t>
      </w:r>
      <w:r>
        <w:rPr>
          <w:b/>
          <w:i/>
        </w:rPr>
        <w:t>substantially commenced</w:t>
      </w:r>
      <w:r>
        <w:t xml:space="preserve"> in subsection (1), the definition of that term in the </w:t>
      </w:r>
      <w:r>
        <w:rPr>
          <w:i/>
        </w:rPr>
        <w:t xml:space="preserve">Planning and Development (Local Planning Schemes) Regulations 2015 </w:t>
      </w:r>
      <w:r>
        <w:t>Schedule 2 clause 1 applies as if the reference to a development approved under a planning scheme or under an interim development order were a reference to a development approved by the Commission under section 274.</w:t>
      </w:r>
    </w:p>
    <w:p>
      <w:pPr>
        <w:pStyle w:val="Footnotesection"/>
      </w:pPr>
      <w:r>
        <w:tab/>
        <w:t>[Section 269 inserted: No. 26 of 2020 s. 4; amended: No. 45 of 2020 s. 93; No. 17 of 2022 s. 4.]</w:t>
      </w:r>
    </w:p>
    <w:p>
      <w:pPr>
        <w:pStyle w:val="Heading5"/>
      </w:pPr>
      <w:bookmarkStart w:id="834" w:name="_Toc155165118"/>
      <w:bookmarkStart w:id="835" w:name="_Toc135132823"/>
      <w:r>
        <w:rPr>
          <w:rStyle w:val="CharSectno"/>
        </w:rPr>
        <w:t>270</w:t>
      </w:r>
      <w:r>
        <w:t>.</w:t>
      </w:r>
      <w:r>
        <w:tab/>
        <w:t>Effect of Part</w:t>
      </w:r>
      <w:bookmarkEnd w:id="834"/>
      <w:bookmarkEnd w:id="835"/>
    </w:p>
    <w:p>
      <w:pPr>
        <w:pStyle w:val="Subsection"/>
      </w:pPr>
      <w:r>
        <w:tab/>
        <w:t>(1)</w:t>
      </w:r>
      <w:r>
        <w:tab/>
        <w:t>This Part has effect despite any legal instrument.</w:t>
      </w:r>
    </w:p>
    <w:p>
      <w:pPr>
        <w:pStyle w:val="Subsection"/>
      </w:pPr>
      <w:r>
        <w:tab/>
        <w:t>(2)</w:t>
      </w:r>
      <w:r>
        <w:tab/>
        <w:t xml:space="preserve">However, this Part does not apply in relation to any of the following — </w:t>
      </w:r>
    </w:p>
    <w:p>
      <w:pPr>
        <w:pStyle w:val="Indenta"/>
      </w:pPr>
      <w:r>
        <w:tab/>
        <w:t>(a)</w:t>
      </w:r>
      <w:r>
        <w:tab/>
        <w:t xml:space="preserve">land to which an approved redevelopment scheme under the </w:t>
      </w:r>
      <w:r>
        <w:rPr>
          <w:i/>
        </w:rPr>
        <w:t>Metropolitan Redevelopment Authority Act 2011</w:t>
      </w:r>
      <w:r>
        <w:t xml:space="preserve"> applies;</w:t>
      </w:r>
    </w:p>
    <w:p>
      <w:pPr>
        <w:pStyle w:val="Indenta"/>
      </w:pPr>
      <w:r>
        <w:tab/>
        <w:t>(b)</w:t>
      </w:r>
      <w:r>
        <w:tab/>
        <w:t xml:space="preserve">land in the redevelopment area as defined in the </w:t>
      </w:r>
      <w:r>
        <w:rPr>
          <w:i/>
        </w:rPr>
        <w:t>Hope Valley</w:t>
      </w:r>
      <w:r>
        <w:rPr>
          <w:i/>
        </w:rPr>
        <w:noBreakHyphen/>
        <w:t>Wattleup Redevelopment Act 2000</w:t>
      </w:r>
      <w:r>
        <w:t>;</w:t>
      </w:r>
    </w:p>
    <w:p>
      <w:pPr>
        <w:pStyle w:val="Indenta"/>
      </w:pPr>
      <w:r>
        <w:tab/>
        <w:t>(c)</w:t>
      </w:r>
      <w:r>
        <w:tab/>
        <w:t>land to which a Government agreement applies;</w:t>
      </w:r>
    </w:p>
    <w:p>
      <w:pPr>
        <w:pStyle w:val="Indenta"/>
      </w:pPr>
      <w:r>
        <w:tab/>
        <w:t>(d)</w:t>
      </w:r>
      <w:r>
        <w:tab/>
        <w:t xml:space="preserve">mining, or proposed mining, that is, or would be, authorised under the </w:t>
      </w:r>
      <w:r>
        <w:rPr>
          <w:i/>
        </w:rPr>
        <w:t>Mining Act 1978</w:t>
      </w:r>
      <w:r>
        <w:t>.</w:t>
      </w:r>
    </w:p>
    <w:p>
      <w:pPr>
        <w:pStyle w:val="Subsection"/>
      </w:pPr>
      <w:r>
        <w:tab/>
        <w:t>(3)</w:t>
      </w:r>
      <w:r>
        <w:tab/>
        <w:t>To avoid doubt, this Part is subject to section 5 of the EP Act.</w:t>
      </w:r>
    </w:p>
    <w:p>
      <w:pPr>
        <w:pStyle w:val="Footnotesection"/>
      </w:pPr>
      <w:r>
        <w:tab/>
        <w:t>[Section 270 inserted: No. 26 of 2020 s. 4.]</w:t>
      </w:r>
    </w:p>
    <w:p>
      <w:pPr>
        <w:pStyle w:val="Heading3"/>
      </w:pPr>
      <w:bookmarkStart w:id="836" w:name="_Toc155165119"/>
      <w:bookmarkStart w:id="837" w:name="_Toc135041200"/>
      <w:bookmarkStart w:id="838" w:name="_Toc135041669"/>
      <w:bookmarkStart w:id="839" w:name="_Toc135132824"/>
      <w:r>
        <w:rPr>
          <w:rStyle w:val="CharDivNo"/>
        </w:rPr>
        <w:t>Division 2</w:t>
      </w:r>
      <w:r>
        <w:t> — </w:t>
      </w:r>
      <w:r>
        <w:rPr>
          <w:rStyle w:val="CharDivText"/>
        </w:rPr>
        <w:t>Commission to determine certain development applications</w:t>
      </w:r>
      <w:bookmarkEnd w:id="836"/>
      <w:bookmarkEnd w:id="837"/>
      <w:bookmarkEnd w:id="838"/>
      <w:bookmarkEnd w:id="839"/>
    </w:p>
    <w:p>
      <w:pPr>
        <w:pStyle w:val="Footnoteheading"/>
        <w:keepNext/>
      </w:pPr>
      <w:r>
        <w:tab/>
        <w:t>[Heading inserted: No. 26 of 2020 s. 4.]</w:t>
      </w:r>
    </w:p>
    <w:p>
      <w:pPr>
        <w:pStyle w:val="Heading4"/>
      </w:pPr>
      <w:bookmarkStart w:id="840" w:name="_Toc155165120"/>
      <w:bookmarkStart w:id="841" w:name="_Toc135041201"/>
      <w:bookmarkStart w:id="842" w:name="_Toc135041670"/>
      <w:bookmarkStart w:id="843" w:name="_Toc135132825"/>
      <w:r>
        <w:rPr>
          <w:rStyle w:val="CharSDivNo"/>
        </w:rPr>
        <w:t>Subdivision 1</w:t>
      </w:r>
      <w:r>
        <w:t> — </w:t>
      </w:r>
      <w:r>
        <w:rPr>
          <w:rStyle w:val="CharSDivText"/>
        </w:rPr>
        <w:t>Applications and referrals</w:t>
      </w:r>
      <w:bookmarkEnd w:id="840"/>
      <w:bookmarkEnd w:id="841"/>
      <w:bookmarkEnd w:id="842"/>
      <w:bookmarkEnd w:id="843"/>
    </w:p>
    <w:p>
      <w:pPr>
        <w:pStyle w:val="Footnoteheading"/>
        <w:keepNext/>
      </w:pPr>
      <w:r>
        <w:tab/>
        <w:t>[Heading inserted: No. 26 of 2020 s. 4.]</w:t>
      </w:r>
    </w:p>
    <w:p>
      <w:pPr>
        <w:pStyle w:val="Heading5"/>
      </w:pPr>
      <w:bookmarkStart w:id="844" w:name="_Toc155165121"/>
      <w:bookmarkStart w:id="845" w:name="_Toc135132826"/>
      <w:r>
        <w:rPr>
          <w:rStyle w:val="CharSectno"/>
        </w:rPr>
        <w:t>271</w:t>
      </w:r>
      <w:r>
        <w:t>.</w:t>
      </w:r>
      <w:r>
        <w:tab/>
        <w:t>Development applications that may be made directly to Commission during recovery period or extended recovery period</w:t>
      </w:r>
      <w:bookmarkEnd w:id="844"/>
      <w:bookmarkEnd w:id="845"/>
    </w:p>
    <w:p>
      <w:pPr>
        <w:pStyle w:val="Subsection"/>
        <w:keepNext/>
      </w:pPr>
      <w:r>
        <w:tab/>
        <w:t>(1)</w:t>
      </w:r>
      <w:r>
        <w:tab/>
        <w:t>During the recovery period, a person may make a development application to the Commission for determination under section 274 if the application is for approval of significant development.</w:t>
      </w:r>
    </w:p>
    <w:p>
      <w:pPr>
        <w:pStyle w:val="Subsection"/>
      </w:pPr>
      <w:r>
        <w:tab/>
        <w:t>(2)</w:t>
      </w:r>
      <w:r>
        <w:tab/>
        <w:t>During the extended recovery period, a person may make a development application to the Commission for determination under section 274 if the application is for approval of significant development.</w:t>
      </w:r>
    </w:p>
    <w:p>
      <w:pPr>
        <w:pStyle w:val="Footnotesection"/>
      </w:pPr>
      <w:r>
        <w:tab/>
        <w:t>[Section 271 inserted: No. 26 of 2020 s. 4; amended: No. 17 of 2022 s. 5.]</w:t>
      </w:r>
    </w:p>
    <w:p>
      <w:pPr>
        <w:pStyle w:val="Heading5"/>
      </w:pPr>
      <w:bookmarkStart w:id="846" w:name="_Toc155165122"/>
      <w:bookmarkStart w:id="847" w:name="_Toc135132827"/>
      <w:r>
        <w:rPr>
          <w:rStyle w:val="CharSectno"/>
        </w:rPr>
        <w:t>272</w:t>
      </w:r>
      <w:r>
        <w:t>.</w:t>
      </w:r>
      <w:r>
        <w:tab/>
        <w:t>Development applications that may be referred to Commission by Premier during recovery period or extended recovery period</w:t>
      </w:r>
      <w:bookmarkEnd w:id="846"/>
      <w:bookmarkEnd w:id="847"/>
    </w:p>
    <w:p>
      <w:pPr>
        <w:pStyle w:val="Subsection"/>
      </w:pPr>
      <w:r>
        <w:tab/>
        <w:t>(1)</w:t>
      </w:r>
      <w:r>
        <w:tab/>
        <w:t>During the recovery period, the prospective applicant in relation to a development application that has not yet been made may notify the Minister that they want the application to be determined under section 274.</w:t>
      </w:r>
    </w:p>
    <w:p>
      <w:pPr>
        <w:pStyle w:val="Subsection"/>
      </w:pPr>
      <w:r>
        <w:tab/>
        <w:t>(2)</w:t>
      </w:r>
      <w:r>
        <w:tab/>
        <w:t xml:space="preserve">Subsection (3) applies if the Minister — </w:t>
      </w:r>
    </w:p>
    <w:p>
      <w:pPr>
        <w:pStyle w:val="Indenta"/>
      </w:pPr>
      <w:r>
        <w:tab/>
        <w:t>(a)</w:t>
      </w:r>
      <w:r>
        <w:tab/>
        <w:t>is notified under subsection (1); and</w:t>
      </w:r>
    </w:p>
    <w:p>
      <w:pPr>
        <w:pStyle w:val="Indenta"/>
      </w:pPr>
      <w:r>
        <w:tab/>
        <w:t>(b)</w:t>
      </w:r>
      <w:r>
        <w:tab/>
        <w:t>considers that the development application raises issues of such State or regional importance that it would be appropriate for the application to be determined under section 274.</w:t>
      </w:r>
    </w:p>
    <w:p>
      <w:pPr>
        <w:pStyle w:val="Subsection"/>
      </w:pPr>
      <w:r>
        <w:tab/>
        <w:t>(3)</w:t>
      </w:r>
      <w:r>
        <w:tab/>
        <w:t>During the recovery period, the Premier, on the Minister’s recommendation, may refer the development application to the Commission for determination under section 274.</w:t>
      </w:r>
    </w:p>
    <w:p>
      <w:pPr>
        <w:pStyle w:val="Subsection"/>
      </w:pPr>
      <w:r>
        <w:tab/>
        <w:t>(3A)</w:t>
      </w:r>
      <w:r>
        <w:tab/>
        <w:t>During the extended recovery period, the prospective applicant in relation to a development application that has not yet been made may notify the Minister that they want the application to be determined under section 274.</w:t>
      </w:r>
    </w:p>
    <w:p>
      <w:pPr>
        <w:pStyle w:val="Subsection"/>
      </w:pPr>
      <w:r>
        <w:tab/>
        <w:t>(3B)</w:t>
      </w:r>
      <w:r>
        <w:tab/>
        <w:t xml:space="preserve">Subsection (3C) applies if the Minister — </w:t>
      </w:r>
    </w:p>
    <w:p>
      <w:pPr>
        <w:pStyle w:val="Indenta"/>
      </w:pPr>
      <w:r>
        <w:tab/>
        <w:t>(a)</w:t>
      </w:r>
      <w:r>
        <w:tab/>
        <w:t>is notified under subsection (3A); and</w:t>
      </w:r>
    </w:p>
    <w:p>
      <w:pPr>
        <w:pStyle w:val="Indenta"/>
      </w:pPr>
      <w:r>
        <w:tab/>
        <w:t>(b)</w:t>
      </w:r>
      <w:r>
        <w:tab/>
        <w:t>considers that the development application raises issues of such State or regional importance that it would be appropriate for the application to be determined under section 274.</w:t>
      </w:r>
    </w:p>
    <w:p>
      <w:pPr>
        <w:pStyle w:val="Subsection"/>
      </w:pPr>
      <w:r>
        <w:tab/>
        <w:t>(3C)</w:t>
      </w:r>
      <w:r>
        <w:tab/>
        <w:t>During the extended recovery period, the Premier, on the Minister’s recommendation, may refer the development application to the Commission for determination under section 274.</w:t>
      </w:r>
    </w:p>
    <w:p>
      <w:pPr>
        <w:pStyle w:val="Subsection"/>
        <w:keepNext/>
      </w:pPr>
      <w:r>
        <w:tab/>
        <w:t>(4)</w:t>
      </w:r>
      <w:r>
        <w:tab/>
        <w:t xml:space="preserve">Subsection (5) applies if — </w:t>
      </w:r>
    </w:p>
    <w:p>
      <w:pPr>
        <w:pStyle w:val="Indenta"/>
      </w:pPr>
      <w:r>
        <w:tab/>
        <w:t>(a)</w:t>
      </w:r>
      <w:r>
        <w:tab/>
        <w:t>before or during the extended recovery period, a person makes a development application (otherwise than to the Commission under section 271); and</w:t>
      </w:r>
    </w:p>
    <w:p>
      <w:pPr>
        <w:pStyle w:val="Indenta"/>
      </w:pPr>
      <w:r>
        <w:tab/>
        <w:t>(b)</w:t>
      </w:r>
      <w:r>
        <w:tab/>
        <w:t>the Minister considers that the development application raises issues of such State or regional importance that it would be appropriate for the application to be determined under section 274.</w:t>
      </w:r>
    </w:p>
    <w:p>
      <w:pPr>
        <w:pStyle w:val="Subsection"/>
      </w:pPr>
      <w:r>
        <w:tab/>
        <w:t>(5)</w:t>
      </w:r>
      <w:r>
        <w:tab/>
        <w:t xml:space="preserve">During the extended recovery period, the Premier, on the Minister’s recommendation, may — </w:t>
      </w:r>
    </w:p>
    <w:p>
      <w:pPr>
        <w:pStyle w:val="Indenta"/>
      </w:pPr>
      <w:r>
        <w:tab/>
        <w:t>(a)</w:t>
      </w:r>
      <w:r>
        <w:tab/>
        <w:t>direct any person or body who is dealing with the development application to refer the application to the Commission for determination under section 274; or</w:t>
      </w:r>
    </w:p>
    <w:p>
      <w:pPr>
        <w:pStyle w:val="Indenta"/>
      </w:pPr>
      <w:r>
        <w:tab/>
        <w:t>(b)</w:t>
      </w:r>
      <w:r>
        <w:tab/>
        <w:t>if the Commission is dealing with the development application — direct the Commission to determine the application under section 274.</w:t>
      </w:r>
    </w:p>
    <w:p>
      <w:pPr>
        <w:pStyle w:val="Subsection"/>
      </w:pPr>
      <w:r>
        <w:tab/>
        <w:t>(6)</w:t>
      </w:r>
      <w:r>
        <w:tab/>
        <w:t>However, the Premier cannot give a direction under subsection (5) if the development application has already been determined, or been taken to be determined, by a normal decision</w:t>
      </w:r>
      <w:r>
        <w:noBreakHyphen/>
        <w:t>maker (whether or not the determination is to be reviewed by the State Administrative Tribunal or otherwise challenged).</w:t>
      </w:r>
    </w:p>
    <w:p>
      <w:pPr>
        <w:pStyle w:val="Subsection"/>
      </w:pPr>
      <w:r>
        <w:tab/>
        <w:t>(7)</w:t>
      </w:r>
      <w:r>
        <w:tab/>
        <w:t xml:space="preserve">The Premier, within 14 days after the day on which a direction is given under subsection (5), must cause a copy of it to be published in the </w:t>
      </w:r>
      <w:r>
        <w:rPr>
          <w:i/>
        </w:rPr>
        <w:t>Gazette</w:t>
      </w:r>
      <w:r>
        <w:t xml:space="preserve"> and, as soon as is practicable, must cause a copy of it to be laid before each House of Parliament or dealt with under section 268A.</w:t>
      </w:r>
    </w:p>
    <w:p>
      <w:pPr>
        <w:pStyle w:val="Subsection"/>
      </w:pPr>
      <w:r>
        <w:tab/>
        <w:t>(8)</w:t>
      </w:r>
      <w:r>
        <w:tab/>
        <w:t>Section 268A applies as if references in that section to the Minister were to the Premier.</w:t>
      </w:r>
    </w:p>
    <w:p>
      <w:pPr>
        <w:pStyle w:val="Footnotesection"/>
      </w:pPr>
      <w:r>
        <w:tab/>
        <w:t>[Section 272 inserted: No. 26 of 2020 s. 4; amended: No. 17 of 2022 s. 6.]</w:t>
      </w:r>
    </w:p>
    <w:p>
      <w:pPr>
        <w:pStyle w:val="Heading5"/>
      </w:pPr>
      <w:bookmarkStart w:id="848" w:name="_Toc155165123"/>
      <w:bookmarkStart w:id="849" w:name="_Toc135132828"/>
      <w:r>
        <w:rPr>
          <w:rStyle w:val="CharSectno"/>
        </w:rPr>
        <w:t>273</w:t>
      </w:r>
      <w:r>
        <w:t>.</w:t>
      </w:r>
      <w:r>
        <w:tab/>
        <w:t>Supplementary provisions for applications and referrals</w:t>
      </w:r>
      <w:bookmarkEnd w:id="848"/>
      <w:bookmarkEnd w:id="849"/>
    </w:p>
    <w:p>
      <w:pPr>
        <w:pStyle w:val="Subsection"/>
      </w:pPr>
      <w:r>
        <w:tab/>
        <w:t>(1)</w:t>
      </w:r>
      <w:r>
        <w:tab/>
        <w:t>A development application that is made under section 271 must be made in the manner and form required by the Commission and, without limitation, include any documents or information required by the Commission.</w:t>
      </w:r>
    </w:p>
    <w:p>
      <w:pPr>
        <w:pStyle w:val="Subsection"/>
      </w:pPr>
      <w:r>
        <w:tab/>
        <w:t>(2)</w:t>
      </w:r>
      <w:r>
        <w:tab/>
        <w:t>A notification under section 272(1) or (3A) must be made in the manner and form required by the Minister and, without limitation, include any documents or information required by the Minister.</w:t>
      </w:r>
    </w:p>
    <w:p>
      <w:pPr>
        <w:pStyle w:val="Subsection"/>
      </w:pPr>
      <w:r>
        <w:tab/>
        <w:t>(3)</w:t>
      </w:r>
      <w:r>
        <w:tab/>
        <w:t xml:space="preserve">A person or body who is given a direction under section 272(5) to refer a development application to the Commission — </w:t>
      </w:r>
    </w:p>
    <w:p>
      <w:pPr>
        <w:pStyle w:val="Indenta"/>
      </w:pPr>
      <w:r>
        <w:tab/>
        <w:t>(a)</w:t>
      </w:r>
      <w:r>
        <w:tab/>
        <w:t>must refer the development application within the period specified in the direction; and</w:t>
      </w:r>
    </w:p>
    <w:p>
      <w:pPr>
        <w:pStyle w:val="Indenta"/>
      </w:pPr>
      <w:r>
        <w:tab/>
        <w:t>(b)</w:t>
      </w:r>
      <w:r>
        <w:tab/>
        <w:t>in referring the development application, must provide the Commission with the application and any documents or information that accompanied the application.</w:t>
      </w:r>
    </w:p>
    <w:p>
      <w:pPr>
        <w:pStyle w:val="Subsection"/>
      </w:pPr>
      <w:r>
        <w:tab/>
        <w:t>(4)</w:t>
      </w:r>
      <w:r>
        <w:tab/>
        <w:t xml:space="preserve">Without limiting section 270(1), in imposing requirements under subsection (1) or (2), the Commission or Minister is not bound or restricted by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tab/>
        <w:t>(c)</w:t>
      </w:r>
      <w:r>
        <w:tab/>
        <w:t>the consideration or determination of the development application.</w:t>
      </w:r>
    </w:p>
    <w:p>
      <w:pPr>
        <w:pStyle w:val="Footnotesection"/>
      </w:pPr>
      <w:r>
        <w:tab/>
        <w:t>[Section 273 inserted: No. 26 of 2020 s. 4; amended: No. 17 of 2022 s. 7.]</w:t>
      </w:r>
    </w:p>
    <w:p>
      <w:pPr>
        <w:pStyle w:val="Heading4"/>
      </w:pPr>
      <w:bookmarkStart w:id="850" w:name="_Toc155165124"/>
      <w:bookmarkStart w:id="851" w:name="_Toc135041205"/>
      <w:bookmarkStart w:id="852" w:name="_Toc135041674"/>
      <w:bookmarkStart w:id="853" w:name="_Toc135132829"/>
      <w:r>
        <w:rPr>
          <w:rStyle w:val="CharSDivNo"/>
        </w:rPr>
        <w:t>Subdivision 2</w:t>
      </w:r>
      <w:r>
        <w:t> — </w:t>
      </w:r>
      <w:r>
        <w:rPr>
          <w:rStyle w:val="CharSDivText"/>
        </w:rPr>
        <w:t>Determinations</w:t>
      </w:r>
      <w:bookmarkEnd w:id="850"/>
      <w:bookmarkEnd w:id="851"/>
      <w:bookmarkEnd w:id="852"/>
      <w:bookmarkEnd w:id="853"/>
    </w:p>
    <w:p>
      <w:pPr>
        <w:pStyle w:val="Footnoteheading"/>
      </w:pPr>
      <w:r>
        <w:tab/>
        <w:t>[Heading inserted: No. 26 of 2020 s. 4.]</w:t>
      </w:r>
    </w:p>
    <w:p>
      <w:pPr>
        <w:pStyle w:val="Heading5"/>
      </w:pPr>
      <w:bookmarkStart w:id="854" w:name="_Toc155165125"/>
      <w:bookmarkStart w:id="855" w:name="_Toc135132830"/>
      <w:r>
        <w:rPr>
          <w:rStyle w:val="CharSectno"/>
        </w:rPr>
        <w:t>274</w:t>
      </w:r>
      <w:r>
        <w:t>.</w:t>
      </w:r>
      <w:r>
        <w:tab/>
        <w:t>Determination of development applications by Commission</w:t>
      </w:r>
      <w:bookmarkEnd w:id="854"/>
      <w:bookmarkEnd w:id="855"/>
    </w:p>
    <w:p>
      <w:pPr>
        <w:pStyle w:val="Subsection"/>
      </w:pPr>
      <w:r>
        <w:tab/>
        <w:t>(1)</w:t>
      </w:r>
      <w:r>
        <w:tab/>
        <w:t xml:space="preserve">A development application must be determined under this section (and not any applicable legal instrument) if — </w:t>
      </w:r>
    </w:p>
    <w:p>
      <w:pPr>
        <w:pStyle w:val="Indenta"/>
      </w:pPr>
      <w:r>
        <w:tab/>
        <w:t>(a)</w:t>
      </w:r>
      <w:r>
        <w:tab/>
        <w:t>the development application is made or referred to the Commission under section 271 or 272(3), (3C) or (5); or</w:t>
      </w:r>
    </w:p>
    <w:p>
      <w:pPr>
        <w:pStyle w:val="Indenta"/>
      </w:pPr>
      <w:r>
        <w:tab/>
        <w:t>(b)</w:t>
      </w:r>
      <w:r>
        <w:tab/>
        <w:t>the Commission is directed under section 272(5) to determine the development application under this section.</w:t>
      </w:r>
    </w:p>
    <w:p>
      <w:pPr>
        <w:pStyle w:val="Subsection"/>
      </w:pPr>
      <w:r>
        <w:tab/>
        <w:t>(2)</w:t>
      </w:r>
      <w:r>
        <w:tab/>
        <w:t xml:space="preserve">The Commission must consider the development application and determine it by — </w:t>
      </w:r>
    </w:p>
    <w:p>
      <w:pPr>
        <w:pStyle w:val="Indenta"/>
      </w:pPr>
      <w:r>
        <w:tab/>
        <w:t>(a)</w:t>
      </w:r>
      <w:r>
        <w:tab/>
        <w:t>granting approval for the development without conditions; or</w:t>
      </w:r>
    </w:p>
    <w:p>
      <w:pPr>
        <w:pStyle w:val="Indenta"/>
      </w:pPr>
      <w:r>
        <w:tab/>
        <w:t>(b)</w:t>
      </w:r>
      <w:r>
        <w:tab/>
        <w:t>granting approval for the development with conditions; or</w:t>
      </w:r>
    </w:p>
    <w:p>
      <w:pPr>
        <w:pStyle w:val="Indenta"/>
      </w:pPr>
      <w:r>
        <w:tab/>
        <w:t>(c)</w:t>
      </w:r>
      <w:r>
        <w:tab/>
        <w:t>refusing approval for the development.</w:t>
      </w:r>
    </w:p>
    <w:p>
      <w:pPr>
        <w:pStyle w:val="Subsection"/>
      </w:pPr>
      <w:r>
        <w:tab/>
        <w:t>(3)</w:t>
      </w:r>
      <w:r>
        <w:tab/>
        <w:t>The Commission must determine the development application as soon as is reasonably practicable but, subject to that, does not have to determine the application before the end of the recovery period or the extended recovery period.</w:t>
      </w:r>
    </w:p>
    <w:p>
      <w:pPr>
        <w:pStyle w:val="Subsection"/>
      </w:pPr>
      <w:r>
        <w:tab/>
        <w:t>(4)</w:t>
      </w:r>
      <w:r>
        <w:tab/>
        <w:t xml:space="preserve">For the purposes of subsection (2)(a) and (b) — </w:t>
      </w:r>
    </w:p>
    <w:p>
      <w:pPr>
        <w:pStyle w:val="Indenta"/>
      </w:pPr>
      <w:r>
        <w:tab/>
        <w:t>(a)</w:t>
      </w:r>
      <w:r>
        <w:tab/>
        <w:t xml:space="preserve">approval can be granted — </w:t>
      </w:r>
    </w:p>
    <w:p>
      <w:pPr>
        <w:pStyle w:val="Indenti"/>
      </w:pPr>
      <w:r>
        <w:tab/>
        <w:t>(i)</w:t>
      </w:r>
      <w:r>
        <w:tab/>
        <w:t>for the development for which approval is sought; or</w:t>
      </w:r>
    </w:p>
    <w:p>
      <w:pPr>
        <w:pStyle w:val="Indenti"/>
      </w:pPr>
      <w:r>
        <w:tab/>
        <w:t>(ii)</w:t>
      </w:r>
      <w:r>
        <w:tab/>
        <w:t>for that development, except for a part or aspect of that development specified in the approval; or</w:t>
      </w:r>
    </w:p>
    <w:p>
      <w:pPr>
        <w:pStyle w:val="Indenti"/>
      </w:pPr>
      <w:r>
        <w:tab/>
        <w:t>(iii)</w:t>
      </w:r>
      <w:r>
        <w:tab/>
        <w:t>for a part or aspect of that development specified in the approval;</w:t>
      </w:r>
    </w:p>
    <w:p>
      <w:pPr>
        <w:pStyle w:val="Indenta"/>
      </w:pPr>
      <w:r>
        <w:tab/>
      </w:r>
      <w:r>
        <w:tab/>
        <w:t>but</w:t>
      </w:r>
    </w:p>
    <w:p>
      <w:pPr>
        <w:pStyle w:val="Indenta"/>
      </w:pPr>
      <w:r>
        <w:tab/>
        <w:t>(b)</w:t>
      </w:r>
      <w:r>
        <w:tab/>
        <w:t xml:space="preserve">approval cannot be granted as referred to in paragraph (a)(ii) or (iii) — </w:t>
      </w:r>
    </w:p>
    <w:p>
      <w:pPr>
        <w:pStyle w:val="Indenti"/>
      </w:pPr>
      <w:r>
        <w:tab/>
        <w:t>(i)</w:t>
      </w:r>
      <w:r>
        <w:tab/>
        <w:t>in the case of a development application made under section 271 — for development that is not significant development; or</w:t>
      </w:r>
    </w:p>
    <w:p>
      <w:pPr>
        <w:pStyle w:val="Indenti"/>
      </w:pPr>
      <w:r>
        <w:tab/>
        <w:t>(ii)</w:t>
      </w:r>
      <w:r>
        <w:tab/>
        <w:t>in any other case — for development that is substantially different from the development for which approval is sought.</w:t>
      </w:r>
    </w:p>
    <w:p>
      <w:pPr>
        <w:pStyle w:val="Subsection"/>
      </w:pPr>
      <w:r>
        <w:tab/>
        <w:t>(5)</w:t>
      </w:r>
      <w:r>
        <w:tab/>
        <w:t xml:space="preserve">For the purposes of subsection (2)(b), the Commission may impose any conditions that the Commission considers appropriate, including (without limitation) the following — </w:t>
      </w:r>
    </w:p>
    <w:p>
      <w:pPr>
        <w:pStyle w:val="Indenta"/>
      </w:pPr>
      <w:r>
        <w:tab/>
        <w:t>(a)</w:t>
      </w:r>
      <w:r>
        <w:tab/>
        <w:t>a condition limiting the time period for which approval is granted;</w:t>
      </w:r>
    </w:p>
    <w:p>
      <w:pPr>
        <w:pStyle w:val="Indenta"/>
      </w:pPr>
      <w:r>
        <w:tab/>
        <w:t>(b)</w:t>
      </w:r>
      <w:r>
        <w:tab/>
        <w:t>a condition requiring further details of the development specified in the approval to be, before the development is commenced, submitted to, and approved by, the Commission.</w:t>
      </w:r>
    </w:p>
    <w:p>
      <w:pPr>
        <w:pStyle w:val="Subsection"/>
      </w:pPr>
      <w:r>
        <w:tab/>
        <w:t>(6)</w:t>
      </w:r>
      <w:r>
        <w:tab/>
        <w:t>The Commission can impose a condition of the kind referred to in subsection (5)(b) only if the Commission considers that the further details to be approved would not substantially change the approved development.</w:t>
      </w:r>
    </w:p>
    <w:p>
      <w:pPr>
        <w:pStyle w:val="Subsection"/>
      </w:pPr>
      <w:r>
        <w:tab/>
        <w:t>(7)</w:t>
      </w:r>
      <w:r>
        <w:tab/>
        <w:t xml:space="preserve">When the Commission determines the development application, the Commission must — </w:t>
      </w:r>
    </w:p>
    <w:p>
      <w:pPr>
        <w:pStyle w:val="Indenta"/>
      </w:pPr>
      <w:r>
        <w:tab/>
        <w:t>(a)</w:t>
      </w:r>
      <w:r>
        <w:tab/>
        <w:t>give the applicant written notice of the determination, including the Commission’s reasons for the determination; and</w:t>
      </w:r>
    </w:p>
    <w:p>
      <w:pPr>
        <w:pStyle w:val="Indenta"/>
      </w:pPr>
      <w:r>
        <w:tab/>
        <w:t>(b)</w:t>
      </w:r>
      <w:r>
        <w:tab/>
        <w:t>make copies of the determination and reasons publicly available on a website maintained by, or on behalf of, the Commission.</w:t>
      </w:r>
    </w:p>
    <w:p>
      <w:pPr>
        <w:pStyle w:val="Footnotesection"/>
      </w:pPr>
      <w:r>
        <w:tab/>
        <w:t>[Section 274 inserted: No. 26 of 2020 s. 4; amended: No. 17 of 2022 s. 8.]</w:t>
      </w:r>
    </w:p>
    <w:p>
      <w:pPr>
        <w:pStyle w:val="Heading5"/>
      </w:pPr>
      <w:bookmarkStart w:id="856" w:name="_Toc155165126"/>
      <w:bookmarkStart w:id="857" w:name="_Toc135132831"/>
      <w:r>
        <w:rPr>
          <w:rStyle w:val="CharSectno"/>
        </w:rPr>
        <w:t>275</w:t>
      </w:r>
      <w:r>
        <w:t>.</w:t>
      </w:r>
      <w:r>
        <w:tab/>
        <w:t>Application of legal instruments and matters to which Commission must have due regard</w:t>
      </w:r>
      <w:bookmarkEnd w:id="856"/>
      <w:bookmarkEnd w:id="857"/>
    </w:p>
    <w:p>
      <w:pPr>
        <w:pStyle w:val="Subsection"/>
      </w:pPr>
      <w:r>
        <w:tab/>
        <w:t>(1)</w:t>
      </w:r>
      <w:r>
        <w:tab/>
        <w:t>This section applies if the Commission is required to consider and determine a development application under section 274.</w:t>
      </w:r>
    </w:p>
    <w:p>
      <w:pPr>
        <w:pStyle w:val="Subsection"/>
      </w:pPr>
      <w:r>
        <w:tab/>
        <w:t>(2)</w:t>
      </w:r>
      <w:r>
        <w:tab/>
        <w:t xml:space="preserve">Subsections (3) and (4) apply in relation to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tab/>
        <w:t>(c)</w:t>
      </w:r>
      <w:r>
        <w:tab/>
        <w:t>the consideration or determination of the development application.</w:t>
      </w:r>
    </w:p>
    <w:p>
      <w:pPr>
        <w:pStyle w:val="Subsection"/>
      </w:pPr>
      <w:r>
        <w:tab/>
        <w:t>(3)</w:t>
      </w:r>
      <w:r>
        <w:tab/>
        <w:t xml:space="preserve">Without limiting section 270(1), for the purposes of the Commission’s consideration and determination of the development application — </w:t>
      </w:r>
    </w:p>
    <w:p>
      <w:pPr>
        <w:pStyle w:val="Indenta"/>
      </w:pPr>
      <w:r>
        <w:tab/>
        <w:t>(a)</w:t>
      </w:r>
      <w:r>
        <w:tab/>
        <w:t>the legal instrument does not apply; and</w:t>
      </w:r>
    </w:p>
    <w:p>
      <w:pPr>
        <w:pStyle w:val="Indenta"/>
      </w:pPr>
      <w:r>
        <w:tab/>
        <w:t>(b)</w:t>
      </w:r>
      <w:r>
        <w:tab/>
        <w:t>the Commission is not otherwise bound or restricted by the legal instrument.</w:t>
      </w:r>
    </w:p>
    <w:p>
      <w:pPr>
        <w:pStyle w:val="Subsection"/>
        <w:keepNext/>
      </w:pPr>
      <w:r>
        <w:tab/>
        <w:t>(4)</w:t>
      </w:r>
      <w:r>
        <w:tab/>
        <w:t xml:space="preserve">However, in considering and determining the development application, the Commission may do any of the following — </w:t>
      </w:r>
    </w:p>
    <w:p>
      <w:pPr>
        <w:pStyle w:val="Indenta"/>
      </w:pPr>
      <w:r>
        <w:tab/>
        <w:t>(a)</w:t>
      </w:r>
      <w:r>
        <w:tab/>
        <w:t>anything that a normal decision</w:t>
      </w:r>
      <w:r>
        <w:noBreakHyphen/>
        <w:t>maker, or any other person or body dealing with the development application, could, apart from this Part, have done under the legal instrument;</w:t>
      </w:r>
    </w:p>
    <w:p>
      <w:pPr>
        <w:pStyle w:val="Indenta"/>
      </w:pPr>
      <w:r>
        <w:tab/>
        <w:t>(b)</w:t>
      </w:r>
      <w:r>
        <w:tab/>
        <w:t>request any person or body to perform (in whole or in part and with or without modifications) any functions that the person or body would, apart from this Part, have had in relation to the development application under the legal instrument;</w:t>
      </w:r>
    </w:p>
    <w:p>
      <w:pPr>
        <w:pStyle w:val="Indenta"/>
      </w:pPr>
      <w:r>
        <w:tab/>
        <w:t>(c)</w:t>
      </w:r>
      <w:r>
        <w:tab/>
        <w:t>otherwise involve, or consult, a person or body referred to in paragraph (b);</w:t>
      </w:r>
    </w:p>
    <w:p>
      <w:pPr>
        <w:pStyle w:val="Indenta"/>
      </w:pPr>
      <w:r>
        <w:tab/>
        <w:t>(d)</w:t>
      </w:r>
      <w:r>
        <w:tab/>
        <w:t>otherwise apply (with or without modifications), or have regard to, the legal instrument.</w:t>
      </w:r>
    </w:p>
    <w:p>
      <w:pPr>
        <w:pStyle w:val="Subsection"/>
      </w:pPr>
      <w:r>
        <w:tab/>
        <w:t>(5)</w:t>
      </w:r>
      <w:r>
        <w:tab/>
        <w:t xml:space="preserve">Without limiting subsection (3), the Commission — </w:t>
      </w:r>
    </w:p>
    <w:p>
      <w:pPr>
        <w:pStyle w:val="Indenta"/>
      </w:pPr>
      <w:r>
        <w:tab/>
        <w:t>(a)</w:t>
      </w:r>
      <w:r>
        <w:tab/>
        <w:t>in considering and determining the development application, is not limited to planning considerations and may have regard to any other matter affecting the public interest; and</w:t>
      </w:r>
    </w:p>
    <w:p>
      <w:pPr>
        <w:pStyle w:val="Indenta"/>
      </w:pPr>
      <w:r>
        <w:tab/>
        <w:t>(b)</w:t>
      </w:r>
      <w:r>
        <w:tab/>
        <w:t xml:space="preserve">may grant approval for development even if — </w:t>
      </w:r>
    </w:p>
    <w:p>
      <w:pPr>
        <w:pStyle w:val="Indenti"/>
      </w:pPr>
      <w:r>
        <w:tab/>
        <w:t>(i)</w:t>
      </w:r>
      <w:r>
        <w:tab/>
        <w:t>there has been a contravention by any person or body of a legal instrument referred to in subsection (2); or</w:t>
      </w:r>
    </w:p>
    <w:p>
      <w:pPr>
        <w:pStyle w:val="Indenti"/>
      </w:pPr>
      <w:r>
        <w:tab/>
        <w:t>(ii)</w:t>
      </w:r>
      <w:r>
        <w:tab/>
        <w:t>there would, apart from this Part, have been such a contravention.</w:t>
      </w:r>
    </w:p>
    <w:p>
      <w:pPr>
        <w:pStyle w:val="Subsection"/>
      </w:pPr>
      <w:r>
        <w:tab/>
        <w:t>(6)</w:t>
      </w:r>
      <w:r>
        <w:tab/>
        <w:t xml:space="preserve">In considering and determining the development application, the Commission must have due regard to — </w:t>
      </w:r>
    </w:p>
    <w:p>
      <w:pPr>
        <w:pStyle w:val="Indenta"/>
      </w:pPr>
      <w:r>
        <w:tab/>
        <w:t>(a)</w:t>
      </w:r>
      <w:r>
        <w:tab/>
        <w:t>the purpose and intent of any planning scheme that has effect in the locality to which the development application relates; and</w:t>
      </w:r>
    </w:p>
    <w:p>
      <w:pPr>
        <w:pStyle w:val="Indenta"/>
      </w:pPr>
      <w:r>
        <w:tab/>
        <w:t>(b)</w:t>
      </w:r>
      <w:r>
        <w:tab/>
        <w:t>the need to ensure the orderly and proper planning, and the preservation of amenity, of that locality; and</w:t>
      </w:r>
    </w:p>
    <w:p>
      <w:pPr>
        <w:pStyle w:val="Indenta"/>
      </w:pPr>
      <w:r>
        <w:tab/>
        <w:t>(c)</w:t>
      </w:r>
      <w:r>
        <w:tab/>
        <w:t>the need to facilitate development in response to the economic effects of the COVID</w:t>
      </w:r>
      <w:r>
        <w:noBreakHyphen/>
        <w:t>19 pandemic; and</w:t>
      </w:r>
    </w:p>
    <w:p>
      <w:pPr>
        <w:pStyle w:val="Indenta"/>
      </w:pPr>
      <w:r>
        <w:tab/>
        <w:t>(d)</w:t>
      </w:r>
      <w:r>
        <w:tab/>
        <w:t>any relevant State planning policies and any other relevant policies of the Commission.</w:t>
      </w:r>
    </w:p>
    <w:p>
      <w:pPr>
        <w:pStyle w:val="Footnotesection"/>
      </w:pPr>
      <w:r>
        <w:tab/>
        <w:t>[Section 275 inserted: No. 26 of 2020 s. 4.]</w:t>
      </w:r>
    </w:p>
    <w:p>
      <w:pPr>
        <w:pStyle w:val="Heading5"/>
      </w:pPr>
      <w:bookmarkStart w:id="858" w:name="_Toc155165127"/>
      <w:bookmarkStart w:id="859" w:name="_Toc135132832"/>
      <w:r>
        <w:rPr>
          <w:rStyle w:val="CharSectno"/>
        </w:rPr>
        <w:t>276</w:t>
      </w:r>
      <w:r>
        <w:t>.</w:t>
      </w:r>
      <w:r>
        <w:tab/>
        <w:t>Consultation, submissions and other input</w:t>
      </w:r>
      <w:bookmarkEnd w:id="858"/>
      <w:bookmarkEnd w:id="859"/>
    </w:p>
    <w:p>
      <w:pPr>
        <w:pStyle w:val="Subsection"/>
      </w:pPr>
      <w:r>
        <w:tab/>
        <w:t>(1)</w:t>
      </w:r>
      <w:r>
        <w:tab/>
        <w:t>This section applies for the purposes of the Commission’s consideration of a development application under section 274 (but does not limit what the Commission may or must do under section 275).</w:t>
      </w:r>
    </w:p>
    <w:p>
      <w:pPr>
        <w:pStyle w:val="Subsection"/>
      </w:pPr>
      <w:r>
        <w:tab/>
        <w:t>(2)</w:t>
      </w:r>
      <w:r>
        <w:tab/>
        <w:t xml:space="preserve">The Commission must — </w:t>
      </w:r>
    </w:p>
    <w:p>
      <w:pPr>
        <w:pStyle w:val="Indenta"/>
      </w:pPr>
      <w:r>
        <w:tab/>
        <w:t>(a)</w:t>
      </w:r>
      <w:r>
        <w:tab/>
        <w:t>consult the Minister; and</w:t>
      </w:r>
    </w:p>
    <w:p>
      <w:pPr>
        <w:pStyle w:val="Indenta"/>
      </w:pPr>
      <w:r>
        <w:tab/>
        <w:t>(b)</w:t>
      </w:r>
      <w:r>
        <w:tab/>
        <w:t>if required by the Minister — give the Minister a reasonable opportunity to make submissions to the Commission; and</w:t>
      </w:r>
    </w:p>
    <w:p>
      <w:pPr>
        <w:pStyle w:val="Indenta"/>
      </w:pPr>
      <w:r>
        <w:tab/>
        <w:t>(c)</w:t>
      </w:r>
      <w:r>
        <w:tab/>
        <w:t>have due regard to any submissions made by the Minister.</w:t>
      </w:r>
    </w:p>
    <w:p>
      <w:pPr>
        <w:pStyle w:val="Subsection"/>
      </w:pPr>
      <w:r>
        <w:tab/>
        <w:t>(3)</w:t>
      </w:r>
      <w:r>
        <w:tab/>
        <w:t xml:space="preserve">The Commission must — </w:t>
      </w:r>
    </w:p>
    <w:p>
      <w:pPr>
        <w:pStyle w:val="Indenta"/>
      </w:pPr>
      <w:r>
        <w:tab/>
        <w:t>(a)</w:t>
      </w:r>
      <w:r>
        <w:tab/>
        <w:t xml:space="preserve">consult the CEO (as defined in the </w:t>
      </w:r>
      <w:r>
        <w:rPr>
          <w:i/>
        </w:rPr>
        <w:t>Contaminated Sites Act 2003</w:t>
      </w:r>
      <w:r>
        <w:t xml:space="preserve"> section 3(1)) if the development is of land referred to in section 58(1)(a)(i) of that Act in respect of which a memorial is registered under section 58 of that Act; and</w:t>
      </w:r>
    </w:p>
    <w:p>
      <w:pPr>
        <w:pStyle w:val="Indenta"/>
        <w:keepNext/>
      </w:pPr>
      <w:r>
        <w:tab/>
        <w:t>(b)</w:t>
      </w:r>
      <w:r>
        <w:tab/>
        <w:t xml:space="preserve">consult the Heritage Council if the development would, or would be likely to, affect any of the following — </w:t>
      </w:r>
    </w:p>
    <w:p>
      <w:pPr>
        <w:pStyle w:val="Indenti"/>
      </w:pPr>
      <w:r>
        <w:tab/>
        <w:t>(i)</w:t>
      </w:r>
      <w:r>
        <w:tab/>
        <w:t xml:space="preserve">a place that is a registered place under the </w:t>
      </w:r>
      <w:r>
        <w:rPr>
          <w:i/>
        </w:rPr>
        <w:t>Heritage Act 2018</w:t>
      </w:r>
      <w:r>
        <w:t>;</w:t>
      </w:r>
    </w:p>
    <w:p>
      <w:pPr>
        <w:pStyle w:val="Indenti"/>
      </w:pPr>
      <w:r>
        <w:tab/>
        <w:t>(ii)</w:t>
      </w:r>
      <w:r>
        <w:tab/>
        <w:t xml:space="preserve">a place that is the subject of a protection order under the </w:t>
      </w:r>
      <w:r>
        <w:rPr>
          <w:i/>
        </w:rPr>
        <w:t>Heritage Act 2018</w:t>
      </w:r>
      <w:r>
        <w:t xml:space="preserve"> Part 4 Division 1;</w:t>
      </w:r>
    </w:p>
    <w:p>
      <w:pPr>
        <w:pStyle w:val="Indenti"/>
      </w:pPr>
      <w:r>
        <w:tab/>
        <w:t>(iii)</w:t>
      </w:r>
      <w:r>
        <w:tab/>
        <w:t xml:space="preserve">a place that is the subject of a heritage agreement made by the Heritage Council under the </w:t>
      </w:r>
      <w:r>
        <w:rPr>
          <w:i/>
        </w:rPr>
        <w:t>Heritage Act 2018</w:t>
      </w:r>
      <w:r>
        <w:t xml:space="preserve"> Part 7;</w:t>
      </w:r>
    </w:p>
    <w:p>
      <w:pPr>
        <w:pStyle w:val="Indenta"/>
      </w:pPr>
      <w:r>
        <w:tab/>
      </w:r>
      <w:r>
        <w:tab/>
        <w:t>and</w:t>
      </w:r>
    </w:p>
    <w:p>
      <w:pPr>
        <w:pStyle w:val="Indenta"/>
      </w:pPr>
      <w:r>
        <w:tab/>
        <w:t>(c)</w:t>
      </w:r>
      <w:r>
        <w:tab/>
        <w:t xml:space="preserve">consult the Swan River Trust if the development — </w:t>
      </w:r>
    </w:p>
    <w:p>
      <w:pPr>
        <w:pStyle w:val="Indenti"/>
      </w:pPr>
      <w:r>
        <w:tab/>
        <w:t>(i)</w:t>
      </w:r>
      <w:r>
        <w:tab/>
        <w:t xml:space="preserve">is of land that is wholly or partly in the development control area as defined in the </w:t>
      </w:r>
      <w:r>
        <w:rPr>
          <w:i/>
        </w:rPr>
        <w:t>Swan and Canning Rivers Management Act 2006</w:t>
      </w:r>
      <w:r>
        <w:t>; or</w:t>
      </w:r>
    </w:p>
    <w:p>
      <w:pPr>
        <w:pStyle w:val="Indenti"/>
      </w:pPr>
      <w:r>
        <w:tab/>
        <w:t>(ii)</w:t>
      </w:r>
      <w:r>
        <w:tab/>
        <w:t>is of land that abuts that development control area; or</w:t>
      </w:r>
    </w:p>
    <w:p>
      <w:pPr>
        <w:pStyle w:val="Indenti"/>
      </w:pPr>
      <w:r>
        <w:tab/>
        <w:t>(iii)</w:t>
      </w:r>
      <w:r>
        <w:tab/>
        <w:t>would, or would be likely to, affect any waters in that development control area;</w:t>
      </w:r>
    </w:p>
    <w:p>
      <w:pPr>
        <w:pStyle w:val="Indenta"/>
      </w:pPr>
      <w:r>
        <w:tab/>
      </w:r>
      <w:r>
        <w:tab/>
        <w:t>and</w:t>
      </w:r>
    </w:p>
    <w:p>
      <w:pPr>
        <w:pStyle w:val="Indenta"/>
      </w:pPr>
      <w:r>
        <w:tab/>
        <w:t>(d)</w:t>
      </w:r>
      <w:r>
        <w:tab/>
        <w:t>have due regard to any submission made, or advice given, to the Commission in the course of a consultation under paragraph (a), (b) or (c).</w:t>
      </w:r>
    </w:p>
    <w:p>
      <w:pPr>
        <w:pStyle w:val="Subsection"/>
      </w:pPr>
      <w:r>
        <w:tab/>
        <w:t>(4)</w:t>
      </w:r>
      <w:r>
        <w:tab/>
        <w:t xml:space="preserve">The Commission must — </w:t>
      </w:r>
    </w:p>
    <w:p>
      <w:pPr>
        <w:pStyle w:val="Indenta"/>
      </w:pPr>
      <w:r>
        <w:tab/>
        <w:t>(a)</w:t>
      </w:r>
      <w:r>
        <w:tab/>
        <w:t>give any local government to whose district the development application relates an opportunity to make submissions to the Commission within a period specified by the Commission; and</w:t>
      </w:r>
    </w:p>
    <w:p>
      <w:pPr>
        <w:pStyle w:val="Indenta"/>
      </w:pPr>
      <w:r>
        <w:tab/>
        <w:t>(b)</w:t>
      </w:r>
      <w:r>
        <w:tab/>
        <w:t>have due regard to any submissions made by the local government within that period.</w:t>
      </w:r>
    </w:p>
    <w:p>
      <w:pPr>
        <w:pStyle w:val="Subsection"/>
        <w:keepNext/>
      </w:pPr>
      <w:r>
        <w:tab/>
        <w:t>(5)</w:t>
      </w:r>
      <w:r>
        <w:tab/>
        <w:t xml:space="preserve">The Commission may require the applicant to do any of the following within a period specified by the Commission — </w:t>
      </w:r>
    </w:p>
    <w:p>
      <w:pPr>
        <w:pStyle w:val="Indenta"/>
      </w:pPr>
      <w:r>
        <w:tab/>
        <w:t>(a)</w:t>
      </w:r>
      <w:r>
        <w:tab/>
        <w:t>provide the Commission with any document or information;</w:t>
      </w:r>
    </w:p>
    <w:p>
      <w:pPr>
        <w:pStyle w:val="Indenta"/>
      </w:pPr>
      <w:r>
        <w:tab/>
        <w:t>(b)</w:t>
      </w:r>
      <w:r>
        <w:tab/>
        <w:t>do anything else that the Commission considers appropriate.</w:t>
      </w:r>
    </w:p>
    <w:p>
      <w:pPr>
        <w:pStyle w:val="Subsection"/>
      </w:pPr>
      <w:r>
        <w:tab/>
        <w:t>(6)</w:t>
      </w:r>
      <w:r>
        <w:tab/>
        <w:t xml:space="preserve">The Commission must — </w:t>
      </w:r>
    </w:p>
    <w:p>
      <w:pPr>
        <w:pStyle w:val="Indenta"/>
      </w:pPr>
      <w:r>
        <w:tab/>
        <w:t>(a)</w:t>
      </w:r>
      <w:r>
        <w:tab/>
        <w:t>consult any person or body not referred to in subsections (2) to (5) whom the Commission considers it appropriate to consult; and</w:t>
      </w:r>
    </w:p>
    <w:p>
      <w:pPr>
        <w:pStyle w:val="Indenta"/>
      </w:pPr>
      <w:r>
        <w:tab/>
        <w:t>(b)</w:t>
      </w:r>
      <w:r>
        <w:tab/>
        <w:t>in the manner the Commission considers appropriate, advertise the development application, inviting submissions from members of the public generally or from a class or group of members of the public that the Commission considers appropriate; and</w:t>
      </w:r>
    </w:p>
    <w:p>
      <w:pPr>
        <w:pStyle w:val="Indenta"/>
      </w:pPr>
      <w:r>
        <w:tab/>
        <w:t>(c)</w:t>
      </w:r>
      <w:r>
        <w:tab/>
        <w:t>have due regard to any submissions made by members of the public in response to the invitation under paragraph (b).</w:t>
      </w:r>
    </w:p>
    <w:p>
      <w:pPr>
        <w:pStyle w:val="Subsection"/>
      </w:pPr>
      <w:r>
        <w:tab/>
        <w:t>(7)</w:t>
      </w:r>
      <w:r>
        <w:tab/>
        <w:t>The Commission may do anything else that is not covered by subsections (2) to (6) and that the Commission considers it appropriate to do in order to obtain a document, information, an opinion or any other contribution from any person or body.</w:t>
      </w:r>
    </w:p>
    <w:p>
      <w:pPr>
        <w:pStyle w:val="Subsection"/>
      </w:pPr>
      <w:r>
        <w:tab/>
        <w:t>(8)</w:t>
      </w:r>
      <w:r>
        <w:tab/>
        <w:t xml:space="preserve">If the Commission does anything under subsection (6)(a) or (b) or (7), the Commission must, as it considers appropriate, set a limit on the time within which, as the case requires — </w:t>
      </w:r>
    </w:p>
    <w:p>
      <w:pPr>
        <w:pStyle w:val="Indenta"/>
      </w:pPr>
      <w:r>
        <w:tab/>
        <w:t>(a)</w:t>
      </w:r>
      <w:r>
        <w:tab/>
        <w:t>a person or body who is being consulted by the Commission may respond to the Commission on any matter; or</w:t>
      </w:r>
    </w:p>
    <w:p>
      <w:pPr>
        <w:pStyle w:val="Indenta"/>
      </w:pPr>
      <w:r>
        <w:tab/>
        <w:t>(b)</w:t>
      </w:r>
      <w:r>
        <w:tab/>
        <w:t>members of the public may make submissions; or</w:t>
      </w:r>
    </w:p>
    <w:p>
      <w:pPr>
        <w:pStyle w:val="Indenta"/>
      </w:pPr>
      <w:r>
        <w:tab/>
        <w:t>(c)</w:t>
      </w:r>
      <w:r>
        <w:tab/>
        <w:t>a person or body may provide any document, information, opinion or other contribution.</w:t>
      </w:r>
    </w:p>
    <w:p>
      <w:pPr>
        <w:pStyle w:val="Footnotesection"/>
      </w:pPr>
      <w:r>
        <w:tab/>
        <w:t>[Section 276 inserted: No. 26 of 2020 s. 4.]</w:t>
      </w:r>
    </w:p>
    <w:p>
      <w:pPr>
        <w:pStyle w:val="Heading5"/>
      </w:pPr>
      <w:bookmarkStart w:id="860" w:name="_Toc155165128"/>
      <w:bookmarkStart w:id="861" w:name="_Toc135132833"/>
      <w:r>
        <w:rPr>
          <w:rStyle w:val="CharSectno"/>
        </w:rPr>
        <w:t>277</w:t>
      </w:r>
      <w:r>
        <w:t>.</w:t>
      </w:r>
      <w:r>
        <w:tab/>
        <w:t>Effect of Commission determination under s. 274</w:t>
      </w:r>
      <w:bookmarkEnd w:id="860"/>
      <w:bookmarkEnd w:id="861"/>
    </w:p>
    <w:p>
      <w:pPr>
        <w:pStyle w:val="Subsection"/>
      </w:pPr>
      <w:r>
        <w:tab/>
        <w:t>(1)</w:t>
      </w:r>
      <w:r>
        <w:tab/>
        <w:t>This section applies if the Commission determines a development application under section 274.</w:t>
      </w:r>
    </w:p>
    <w:p>
      <w:pPr>
        <w:pStyle w:val="Subsection"/>
      </w:pPr>
      <w:r>
        <w:tab/>
        <w:t>(2)</w:t>
      </w:r>
      <w:r>
        <w:tab/>
        <w:t>The Commission’s determination has effect, and is valid, for all purposes as if it had been made by a normal decision</w:t>
      </w:r>
      <w:r>
        <w:noBreakHyphen/>
        <w:t>maker under an applicable legal instrument.</w:t>
      </w:r>
    </w:p>
    <w:p>
      <w:pPr>
        <w:pStyle w:val="PermNoteHeading"/>
      </w:pPr>
      <w:r>
        <w:tab/>
        <w:t>Example for this subsection:</w:t>
      </w:r>
    </w:p>
    <w:p>
      <w:pPr>
        <w:pStyle w:val="PermNoteText"/>
      </w:pPr>
      <w:r>
        <w:tab/>
        <w:t>1.</w:t>
      </w:r>
      <w:r>
        <w:tab/>
        <w:t>If the development application would, apart from this Part, have been determined by a local government for the purposes of a local planning scheme, the Commission’s determination has the same effect for the purposes of the local planning scheme as if the determination had been made by the local government.</w:t>
      </w:r>
    </w:p>
    <w:p>
      <w:pPr>
        <w:pStyle w:val="PermNoteText"/>
      </w:pPr>
      <w:r>
        <w:tab/>
        <w:t>2.</w:t>
      </w:r>
      <w:r>
        <w:tab/>
        <w:t xml:space="preserve">Accordingly, if the determination is to grant approval for development — </w:t>
      </w:r>
    </w:p>
    <w:p>
      <w:pPr>
        <w:pStyle w:val="PermNotePara"/>
      </w:pPr>
      <w:r>
        <w:tab/>
        <w:t>(a)</w:t>
      </w:r>
      <w:r>
        <w:tab/>
        <w:t>the development may be commenced and carried out as if the approval had been granted by the local government; and</w:t>
      </w:r>
    </w:p>
    <w:p>
      <w:pPr>
        <w:pStyle w:val="PermNotePara"/>
      </w:pPr>
      <w:r>
        <w:tab/>
        <w:t>(b)</w:t>
      </w:r>
      <w:r>
        <w:tab/>
        <w:t>any conditions imposed by the Commission on the approval must be complied with as if they were conditions imposed on the approval by the local government; and</w:t>
      </w:r>
    </w:p>
    <w:p>
      <w:pPr>
        <w:pStyle w:val="PermNotePara"/>
      </w:pPr>
      <w:r>
        <w:tab/>
        <w:t>(c)</w:t>
      </w:r>
      <w:r>
        <w:tab/>
        <w:t>section 218(c) applies in relation to a failure to comply with any of those conditions.</w:t>
      </w:r>
    </w:p>
    <w:p>
      <w:pPr>
        <w:pStyle w:val="Subsection"/>
      </w:pPr>
      <w:r>
        <w:tab/>
        <w:t>(3)</w:t>
      </w:r>
      <w:r>
        <w:tab/>
        <w:t>Subsection (2) applies even if the Commission’s determination could not have been made by a normal decision</w:t>
      </w:r>
      <w:r>
        <w:noBreakHyphen/>
        <w:t>maker under an applicable legal instrument.</w:t>
      </w:r>
    </w:p>
    <w:p>
      <w:pPr>
        <w:pStyle w:val="Subsection"/>
      </w:pPr>
      <w:r>
        <w:tab/>
        <w:t>(4)</w:t>
      </w:r>
      <w:r>
        <w:tab/>
        <w:t>Without limiting subsections (2) and (3), a decision, or other act or omission, of a person or body is not unlawful or invalid just because the Commission’s determination could not have been made by a normal decision</w:t>
      </w:r>
      <w:r>
        <w:noBreakHyphen/>
        <w:t>maker under an applicable legal instrument.</w:t>
      </w:r>
    </w:p>
    <w:p>
      <w:pPr>
        <w:pStyle w:val="Subsection"/>
      </w:pPr>
      <w:r>
        <w:tab/>
        <w:t>(5)</w:t>
      </w:r>
      <w:r>
        <w:tab/>
        <w:t>Subsections (2) to (4) are subject to sections 278 and 279 and Divisions 3 and 4.</w:t>
      </w:r>
    </w:p>
    <w:p>
      <w:pPr>
        <w:pStyle w:val="Subsection"/>
      </w:pPr>
      <w:r>
        <w:tab/>
        <w:t>(6)</w:t>
      </w:r>
      <w:r>
        <w:tab/>
        <w:t>Subject to Division 3, if the Commission’s determination is to grant approval for development, the determination does not affect the operation of any legal instrument that requires the obtaining, in relation to the development, of any other type of approval, consent, licence, permit, registration or other authority (however described).</w:t>
      </w:r>
    </w:p>
    <w:p>
      <w:pPr>
        <w:pStyle w:val="PermNoteHeading"/>
      </w:pPr>
      <w:r>
        <w:tab/>
        <w:t>Examples for this subsection:</w:t>
      </w:r>
    </w:p>
    <w:p>
      <w:pPr>
        <w:pStyle w:val="PermNoteText"/>
      </w:pPr>
      <w:r>
        <w:tab/>
        <w:t>1.</w:t>
      </w:r>
      <w:r>
        <w:tab/>
      </w:r>
      <w:del w:id="862" w:author="Master Repository Process" w:date="2024-01-03T09:01:00Z">
        <w:r>
          <w:delText>A consent</w:delText>
        </w:r>
      </w:del>
      <w:ins w:id="863" w:author="Master Repository Process" w:date="2024-01-03T09:01:00Z">
        <w:r>
          <w:t>An ACH permit or an approved or authorised ACH management plan</w:t>
        </w:r>
      </w:ins>
      <w:r>
        <w:t xml:space="preserve"> under the </w:t>
      </w:r>
      <w:r>
        <w:rPr>
          <w:i/>
        </w:rPr>
        <w:t xml:space="preserve">Aboriginal </w:t>
      </w:r>
      <w:ins w:id="864" w:author="Master Repository Process" w:date="2024-01-03T09:01:00Z">
        <w:r>
          <w:rPr>
            <w:i/>
          </w:rPr>
          <w:t xml:space="preserve">Cultural </w:t>
        </w:r>
      </w:ins>
      <w:r>
        <w:rPr>
          <w:i/>
        </w:rPr>
        <w:t>Heritage Act </w:t>
      </w:r>
      <w:del w:id="865" w:author="Master Repository Process" w:date="2024-01-03T09:01:00Z">
        <w:r>
          <w:rPr>
            <w:i/>
          </w:rPr>
          <w:delText>1972</w:delText>
        </w:r>
        <w:r>
          <w:delText xml:space="preserve"> section 18</w:delText>
        </w:r>
      </w:del>
      <w:ins w:id="866" w:author="Master Repository Process" w:date="2024-01-03T09:01:00Z">
        <w:r>
          <w:rPr>
            <w:i/>
          </w:rPr>
          <w:t>2021</w:t>
        </w:r>
        <w:r>
          <w:t xml:space="preserve"> Part 6</w:t>
        </w:r>
      </w:ins>
      <w:r>
        <w:t>.</w:t>
      </w:r>
    </w:p>
    <w:p>
      <w:pPr>
        <w:pStyle w:val="PermNoteText"/>
      </w:pPr>
      <w:r>
        <w:tab/>
        <w:t>2.</w:t>
      </w:r>
      <w:r>
        <w:tab/>
        <w:t xml:space="preserve">A building permit or demolition permit under the </w:t>
      </w:r>
      <w:r>
        <w:rPr>
          <w:i/>
        </w:rPr>
        <w:t>Building Act 2011</w:t>
      </w:r>
      <w:r>
        <w:t>.</w:t>
      </w:r>
    </w:p>
    <w:p>
      <w:pPr>
        <w:pStyle w:val="PermNoteText"/>
      </w:pPr>
      <w:r>
        <w:tab/>
        <w:t>3.</w:t>
      </w:r>
      <w:r>
        <w:tab/>
        <w:t xml:space="preserve">A licence under the </w:t>
      </w:r>
      <w:r>
        <w:rPr>
          <w:i/>
        </w:rPr>
        <w:t>Liquor Control Act 1988</w:t>
      </w:r>
      <w:r>
        <w:t>.</w:t>
      </w:r>
    </w:p>
    <w:p>
      <w:pPr>
        <w:pStyle w:val="Subsection"/>
        <w:keepNext/>
      </w:pPr>
      <w:r>
        <w:tab/>
        <w:t>(7)</w:t>
      </w:r>
      <w:r>
        <w:tab/>
        <w:t>If the Commission’s determination is to grant approval for development, references in subsections (2) to (6) to the Commission’s determination are to the determination as amended from time to time under section 279 or by an order under section 284.</w:t>
      </w:r>
    </w:p>
    <w:p>
      <w:pPr>
        <w:pStyle w:val="Footnotesection"/>
      </w:pPr>
      <w:r>
        <w:tab/>
        <w:t>[Section 277 inserted: No. 26 of 2020 s. </w:t>
      </w:r>
      <w:del w:id="867" w:author="Master Repository Process" w:date="2024-01-03T09:01:00Z">
        <w:r>
          <w:delText>4.]</w:delText>
        </w:r>
      </w:del>
      <w:ins w:id="868" w:author="Master Repository Process" w:date="2024-01-03T09:01:00Z">
        <w:r>
          <w:t>4; amended: No. 27 of 2021 s. 350(2).]</w:t>
        </w:r>
      </w:ins>
    </w:p>
    <w:p>
      <w:pPr>
        <w:pStyle w:val="Heading5"/>
      </w:pPr>
      <w:bookmarkStart w:id="869" w:name="_Toc155165129"/>
      <w:bookmarkStart w:id="870" w:name="_Toc135132834"/>
      <w:r>
        <w:rPr>
          <w:rStyle w:val="CharSectno"/>
        </w:rPr>
        <w:t>278</w:t>
      </w:r>
      <w:r>
        <w:t>.</w:t>
      </w:r>
      <w:r>
        <w:tab/>
        <w:t>Substantial commencement of development approved by Commission under s. 274</w:t>
      </w:r>
      <w:bookmarkEnd w:id="869"/>
      <w:bookmarkEnd w:id="870"/>
    </w:p>
    <w:p>
      <w:pPr>
        <w:pStyle w:val="Subsection"/>
      </w:pPr>
      <w:r>
        <w:tab/>
        <w:t>(1)</w:t>
      </w:r>
      <w:r>
        <w:tab/>
        <w:t>This section applies if the Commission grants approval for development under section 274.</w:t>
      </w:r>
    </w:p>
    <w:p>
      <w:pPr>
        <w:pStyle w:val="Subsection"/>
      </w:pPr>
      <w:r>
        <w:tab/>
        <w:t>(2)</w:t>
      </w:r>
      <w:r>
        <w:tab/>
        <w:t xml:space="preserve">The development must be substantially commenced — </w:t>
      </w:r>
    </w:p>
    <w:p>
      <w:pPr>
        <w:pStyle w:val="Indenta"/>
      </w:pPr>
      <w:r>
        <w:tab/>
        <w:t>(a)</w:t>
      </w:r>
      <w:r>
        <w:tab/>
        <w:t>within the period specified in the approval for the purposes of this subsection; or</w:t>
      </w:r>
    </w:p>
    <w:p>
      <w:pPr>
        <w:pStyle w:val="Indenta"/>
      </w:pPr>
      <w:r>
        <w:tab/>
        <w:t>(b)</w:t>
      </w:r>
      <w:r>
        <w:tab/>
        <w:t>if no period is specified in the approval — within the period of 24 months beginning on the day on which the approval is granted.</w:t>
      </w:r>
    </w:p>
    <w:p>
      <w:pPr>
        <w:pStyle w:val="Subsection"/>
      </w:pPr>
      <w:r>
        <w:tab/>
        <w:t>(3)</w:t>
      </w:r>
      <w:r>
        <w:tab/>
        <w:t>The approval lapses if the development is not substantially commenced within the period referred to in subsection (2).</w:t>
      </w:r>
    </w:p>
    <w:p>
      <w:pPr>
        <w:pStyle w:val="PermNoteHeading"/>
      </w:pPr>
      <w:r>
        <w:tab/>
        <w:t>Note for this subsection:</w:t>
      </w:r>
    </w:p>
    <w:p>
      <w:pPr>
        <w:pStyle w:val="PermNoteText"/>
      </w:pPr>
      <w:r>
        <w:tab/>
      </w:r>
      <w:r>
        <w:tab/>
        <w:t>The period referred to in subsection (2) can be extended by an amendment to the approval made under section 279 or made by an order under section 284 — see, in particular, subsections (4) and (5) and sections 279(2)(aa) and (6A) and 284(2)(aa).</w:t>
      </w:r>
    </w:p>
    <w:p>
      <w:pPr>
        <w:pStyle w:val="Subsection"/>
      </w:pPr>
      <w:r>
        <w:tab/>
        <w:t>(4)</w:t>
      </w:r>
      <w:r>
        <w:tab/>
        <w:t>The application referred to in section 279(6A) can be made or determined even if the approval has lapsed under subsection (3) and, if the application is granted after the approval has lapsed, the approval comes back into effect accordingly when the application is granted.</w:t>
      </w:r>
    </w:p>
    <w:p>
      <w:pPr>
        <w:pStyle w:val="Subsection"/>
        <w:keepNext/>
      </w:pPr>
      <w:r>
        <w:tab/>
        <w:t>(5)</w:t>
      </w:r>
      <w:r>
        <w:tab/>
        <w:t>An order under section 284 may make an amendment of the kind referred to in section 284(2)(aa) even if the approval has lapsed under subsection (3), in which event the approval comes back into effect accordingly when the amendment is made.</w:t>
      </w:r>
    </w:p>
    <w:p>
      <w:pPr>
        <w:pStyle w:val="Footnotesection"/>
      </w:pPr>
      <w:r>
        <w:tab/>
        <w:t>[Section 278 inserted: No. 26 of 2020 s. 4; amended: No. 17 of 2022 s. 9.]</w:t>
      </w:r>
    </w:p>
    <w:p>
      <w:pPr>
        <w:pStyle w:val="Heading5"/>
      </w:pPr>
      <w:bookmarkStart w:id="871" w:name="_Toc155165130"/>
      <w:bookmarkStart w:id="872" w:name="_Toc135132835"/>
      <w:r>
        <w:rPr>
          <w:rStyle w:val="CharSectno"/>
        </w:rPr>
        <w:t>279</w:t>
      </w:r>
      <w:r>
        <w:t>.</w:t>
      </w:r>
      <w:r>
        <w:tab/>
        <w:t>Amendment or cancellation of approval granted by Commission under s. 274</w:t>
      </w:r>
      <w:bookmarkEnd w:id="871"/>
      <w:bookmarkEnd w:id="872"/>
    </w:p>
    <w:p>
      <w:pPr>
        <w:pStyle w:val="Subsection"/>
      </w:pPr>
      <w:r>
        <w:tab/>
        <w:t>(1)</w:t>
      </w:r>
      <w:r>
        <w:tab/>
        <w:t>This section applies if the Commission grants approval for development under section 274 in respect of any land.</w:t>
      </w:r>
    </w:p>
    <w:p>
      <w:pPr>
        <w:pStyle w:val="Subsection"/>
      </w:pPr>
      <w:r>
        <w:tab/>
        <w:t>(2)</w:t>
      </w:r>
      <w:r>
        <w:tab/>
        <w:t xml:space="preserve">An owner of the land, or a person who is of a class or kind prescribed by Part 17 regulations for the purposes of this subsection, may apply to the Commission for the Commission — </w:t>
      </w:r>
    </w:p>
    <w:p>
      <w:pPr>
        <w:pStyle w:val="Indenta"/>
      </w:pPr>
      <w:r>
        <w:tab/>
        <w:t>(aa)</w:t>
      </w:r>
      <w:r>
        <w:tab/>
        <w:t xml:space="preserve">for the purposes of section 278(2), to amend the approval — </w:t>
      </w:r>
    </w:p>
    <w:p>
      <w:pPr>
        <w:pStyle w:val="Indenti"/>
      </w:pPr>
      <w:r>
        <w:tab/>
        <w:t>(i)</w:t>
      </w:r>
      <w:r>
        <w:tab/>
        <w:t>to extend the period specified in the approval; or</w:t>
      </w:r>
    </w:p>
    <w:p>
      <w:pPr>
        <w:pStyle w:val="Indenti"/>
      </w:pPr>
      <w:r>
        <w:tab/>
        <w:t>(ii)</w:t>
      </w:r>
      <w:r>
        <w:tab/>
        <w:t>if no period is specified in the approval — to specify a period that is longer than the period of 24 months referred to in section 278(2)(b);</w:t>
      </w:r>
    </w:p>
    <w:p>
      <w:pPr>
        <w:pStyle w:val="Indenta"/>
      </w:pPr>
      <w:r>
        <w:tab/>
      </w:r>
      <w:r>
        <w:tab/>
        <w:t>or</w:t>
      </w:r>
    </w:p>
    <w:p>
      <w:pPr>
        <w:pStyle w:val="Indenta"/>
      </w:pPr>
      <w:r>
        <w:tab/>
        <w:t>(a)</w:t>
      </w:r>
      <w:r>
        <w:tab/>
        <w:t>to amend or remove any of the conditions imposed on the approval; or</w:t>
      </w:r>
    </w:p>
    <w:p>
      <w:pPr>
        <w:pStyle w:val="Indenta"/>
      </w:pPr>
      <w:r>
        <w:tab/>
        <w:t>(b)</w:t>
      </w:r>
      <w:r>
        <w:tab/>
        <w:t>to amend any part or aspect of the approved development; or</w:t>
      </w:r>
    </w:p>
    <w:p>
      <w:pPr>
        <w:pStyle w:val="Indenta"/>
      </w:pPr>
      <w:r>
        <w:tab/>
        <w:t>(c)</w:t>
      </w:r>
      <w:r>
        <w:tab/>
        <w:t>to amend the approval in any other way; or</w:t>
      </w:r>
    </w:p>
    <w:p>
      <w:pPr>
        <w:pStyle w:val="Indenta"/>
      </w:pPr>
      <w:r>
        <w:tab/>
        <w:t>(d)</w:t>
      </w:r>
      <w:r>
        <w:tab/>
        <w:t>to cancel the approval.</w:t>
      </w:r>
    </w:p>
    <w:p>
      <w:pPr>
        <w:pStyle w:val="Subsection"/>
      </w:pPr>
      <w:r>
        <w:tab/>
        <w:t>(3)</w:t>
      </w:r>
      <w:r>
        <w:tab/>
        <w:t xml:space="preserve">An amendment of the kind referred to in subsection (2)(b) — </w:t>
      </w:r>
    </w:p>
    <w:p>
      <w:pPr>
        <w:pStyle w:val="Indenta"/>
      </w:pPr>
      <w:r>
        <w:tab/>
        <w:t>(a)</w:t>
      </w:r>
      <w:r>
        <w:tab/>
        <w:t>cannot substantially change the approved development; and</w:t>
      </w:r>
    </w:p>
    <w:p>
      <w:pPr>
        <w:pStyle w:val="Indenta"/>
      </w:pPr>
      <w:r>
        <w:tab/>
        <w:t>(b)</w:t>
      </w:r>
      <w:r>
        <w:tab/>
        <w:t>in the case of approval granted on a development application made under section 271 — cannot result in the approved development no longer being significant development.</w:t>
      </w:r>
    </w:p>
    <w:p>
      <w:pPr>
        <w:pStyle w:val="Ednotesubsection"/>
        <w:keepNext/>
      </w:pPr>
      <w:r>
        <w:tab/>
        <w:t>[(4)</w:t>
      </w:r>
      <w:r>
        <w:tab/>
        <w:t>deleted]</w:t>
      </w:r>
    </w:p>
    <w:p>
      <w:pPr>
        <w:pStyle w:val="Subsection"/>
        <w:keepNext/>
      </w:pPr>
      <w:r>
        <w:tab/>
        <w:t>(5)</w:t>
      </w:r>
      <w:r>
        <w:tab/>
        <w:t xml:space="preserve">The Commission must consider an application made under subsection (2) and determine it by — </w:t>
      </w:r>
    </w:p>
    <w:p>
      <w:pPr>
        <w:pStyle w:val="Indenta"/>
      </w:pPr>
      <w:r>
        <w:tab/>
        <w:t>(a)</w:t>
      </w:r>
      <w:r>
        <w:tab/>
        <w:t>granting it (with or without conditions); or</w:t>
      </w:r>
    </w:p>
    <w:p>
      <w:pPr>
        <w:pStyle w:val="Indenta"/>
      </w:pPr>
      <w:r>
        <w:tab/>
        <w:t>(b)</w:t>
      </w:r>
      <w:r>
        <w:tab/>
        <w:t>refusing it.</w:t>
      </w:r>
    </w:p>
    <w:p>
      <w:pPr>
        <w:pStyle w:val="Subsection"/>
      </w:pPr>
      <w:r>
        <w:tab/>
        <w:t>(6)</w:t>
      </w:r>
      <w:r>
        <w:tab/>
        <w:t>Sections 273(1), 274(3) and (5) to (7), 275 and 276 apply with any necessary modifications to an application made under subsection (2) as they apply to a development application made under section 271.</w:t>
      </w:r>
    </w:p>
    <w:p>
      <w:pPr>
        <w:pStyle w:val="Subsection"/>
      </w:pPr>
      <w:r>
        <w:tab/>
        <w:t>(6A)</w:t>
      </w:r>
      <w:r>
        <w:tab/>
        <w:t>No more than 1 application can be made under subsection (2) for an amendment of the kind referred to in subsection (2)(aa) and, accordingly, the Commission can make an amendment of that kind only once under this section.</w:t>
      </w:r>
    </w:p>
    <w:p>
      <w:pPr>
        <w:pStyle w:val="Subsection"/>
      </w:pPr>
      <w:r>
        <w:tab/>
        <w:t>(7)</w:t>
      </w:r>
      <w:r>
        <w:tab/>
        <w:t xml:space="preserve">Subject to Division 4, no person or body, apart from the Commission acting under this section, can do any of the following in relation to the approval referred to in subsection (1) — </w:t>
      </w:r>
    </w:p>
    <w:p>
      <w:pPr>
        <w:pStyle w:val="Indenta"/>
      </w:pPr>
      <w:r>
        <w:tab/>
        <w:t>(aa)</w:t>
      </w:r>
      <w:r>
        <w:tab/>
        <w:t>make an amendment of the kind referred to in subsection (2)(aa);</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tab/>
        <w:t>(d)</w:t>
      </w:r>
      <w:r>
        <w:tab/>
        <w:t>amend the approval in any other way;</w:t>
      </w:r>
    </w:p>
    <w:p>
      <w:pPr>
        <w:pStyle w:val="Indenta"/>
      </w:pPr>
      <w:r>
        <w:tab/>
        <w:t>(e)</w:t>
      </w:r>
      <w:r>
        <w:tab/>
        <w:t>cancel the approval.</w:t>
      </w:r>
    </w:p>
    <w:p>
      <w:pPr>
        <w:pStyle w:val="Subsection"/>
        <w:keepNext/>
      </w:pPr>
      <w:r>
        <w:tab/>
        <w:t>(8)</w:t>
      </w:r>
      <w:r>
        <w:tab/>
        <w:t>In subsections (2) and (7), references to the conditions imposed on the approval, the approved development or the approval are to the conditions, development or approval as amended from time to time under this section or by an order under section 284.</w:t>
      </w:r>
    </w:p>
    <w:p>
      <w:pPr>
        <w:pStyle w:val="Footnotesection"/>
      </w:pPr>
      <w:r>
        <w:tab/>
        <w:t>[Section 279 inserted: No. 26 of 2020 s. 4; amended: No. 17 of 2022 s. 10.]</w:t>
      </w:r>
    </w:p>
    <w:p>
      <w:pPr>
        <w:pStyle w:val="Heading3"/>
      </w:pPr>
      <w:bookmarkStart w:id="873" w:name="_Toc155165131"/>
      <w:bookmarkStart w:id="874" w:name="_Toc135041212"/>
      <w:bookmarkStart w:id="875" w:name="_Toc135041681"/>
      <w:bookmarkStart w:id="876" w:name="_Toc135132836"/>
      <w:r>
        <w:rPr>
          <w:rStyle w:val="CharDivNo"/>
        </w:rPr>
        <w:t>Division 3</w:t>
      </w:r>
      <w:r>
        <w:t> — </w:t>
      </w:r>
      <w:r>
        <w:rPr>
          <w:rStyle w:val="CharDivText"/>
        </w:rPr>
        <w:t>Avoiding conflicts with approvals granted by Commission under section 274</w:t>
      </w:r>
      <w:bookmarkEnd w:id="873"/>
      <w:bookmarkEnd w:id="874"/>
      <w:bookmarkEnd w:id="875"/>
      <w:bookmarkEnd w:id="876"/>
    </w:p>
    <w:p>
      <w:pPr>
        <w:pStyle w:val="Footnoteheading"/>
        <w:keepNext/>
      </w:pPr>
      <w:r>
        <w:tab/>
        <w:t>[Heading inserted: No. 26 of 2020 s. 4.]</w:t>
      </w:r>
    </w:p>
    <w:p>
      <w:pPr>
        <w:pStyle w:val="Heading5"/>
      </w:pPr>
      <w:bookmarkStart w:id="877" w:name="_Toc155165132"/>
      <w:bookmarkStart w:id="878" w:name="_Toc135132837"/>
      <w:r>
        <w:rPr>
          <w:rStyle w:val="CharSectno"/>
        </w:rPr>
        <w:t>280</w:t>
      </w:r>
      <w:r>
        <w:t>.</w:t>
      </w:r>
      <w:r>
        <w:tab/>
        <w:t>General provisions for Division</w:t>
      </w:r>
      <w:bookmarkEnd w:id="877"/>
      <w:bookmarkEnd w:id="878"/>
    </w:p>
    <w:p>
      <w:pPr>
        <w:pStyle w:val="Subsection"/>
      </w:pPr>
      <w:r>
        <w:tab/>
        <w:t>(1)</w:t>
      </w:r>
      <w:r>
        <w:tab/>
        <w:t xml:space="preserve">For the purposes of this Division, the performance of a function </w:t>
      </w:r>
      <w:r>
        <w:rPr>
          <w:rStyle w:val="CharDefText"/>
        </w:rPr>
        <w:t>conflicts</w:t>
      </w:r>
      <w:r>
        <w:t xml:space="preserve"> with an approval for development granted by the Commission under section 274 if the performance of the function, or the way in which the function is performed — </w:t>
      </w:r>
    </w:p>
    <w:p>
      <w:pPr>
        <w:pStyle w:val="Indenta"/>
      </w:pPr>
      <w:r>
        <w:tab/>
        <w:t>(a)</w:t>
      </w:r>
      <w:r>
        <w:tab/>
        <w:t>prevents the approved development from proceeding in accordance with the approval; or</w:t>
      </w:r>
    </w:p>
    <w:p>
      <w:pPr>
        <w:pStyle w:val="Indenta"/>
      </w:pPr>
      <w:r>
        <w:tab/>
        <w:t>(b)</w:t>
      </w:r>
      <w:r>
        <w:tab/>
        <w:t>prevents any of the conditions imposed on the approval from being complied with; or</w:t>
      </w:r>
    </w:p>
    <w:p>
      <w:pPr>
        <w:pStyle w:val="Indenta"/>
      </w:pPr>
      <w:r>
        <w:tab/>
        <w:t>(c)</w:t>
      </w:r>
      <w:r>
        <w:tab/>
        <w:t>otherwise substantially undermines, or substantially conflicts with, the approval.</w:t>
      </w:r>
    </w:p>
    <w:p>
      <w:pPr>
        <w:pStyle w:val="PermNoteHeading"/>
      </w:pPr>
      <w:r>
        <w:tab/>
        <w:t>Examples for this subsection:</w:t>
      </w:r>
    </w:p>
    <w:p>
      <w:pPr>
        <w:pStyle w:val="PermNoteText"/>
      </w:pPr>
      <w:r>
        <w:tab/>
        <w:t>1.</w:t>
      </w:r>
      <w:r>
        <w:tab/>
        <w:t>An authority refuses to grant a permit under another Act that is necessary for the approved development to proceed in accordance with the Commission’s approval.</w:t>
      </w:r>
    </w:p>
    <w:p>
      <w:pPr>
        <w:pStyle w:val="PermNoteText"/>
      </w:pPr>
      <w:r>
        <w:tab/>
        <w:t>2.</w:t>
      </w:r>
      <w:r>
        <w:tab/>
        <w:t>An authority grants a permit under another Act that is necessary for the approved development to proceed in accordance with the Commission’s approval but the permit is granted subject to conditions that prevent the approved development from proceeding in accordance with the Commission’s approval.</w:t>
      </w:r>
    </w:p>
    <w:p>
      <w:pPr>
        <w:pStyle w:val="Subsection"/>
      </w:pPr>
      <w:r>
        <w:tab/>
        <w:t>(1A)</w:t>
      </w:r>
      <w:r>
        <w:tab/>
        <w:t>In subsection (1)(a) to (c), references to the approved development, the conditions imposed on the approval or the approval are to the development, conditions or approval as amended from time to time under section 279 or by an order under section 284.</w:t>
      </w:r>
    </w:p>
    <w:p>
      <w:pPr>
        <w:pStyle w:val="Subsection"/>
        <w:keepNext/>
      </w:pPr>
      <w:r>
        <w:tab/>
        <w:t>(2)</w:t>
      </w:r>
      <w:r>
        <w:tab/>
        <w:t xml:space="preserve">In this Division, references to performing a function include references to the following — </w:t>
      </w:r>
    </w:p>
    <w:p>
      <w:pPr>
        <w:pStyle w:val="Indenta"/>
      </w:pPr>
      <w:r>
        <w:tab/>
        <w:t>(a)</w:t>
      </w:r>
      <w:r>
        <w:tab/>
        <w:t>refusing or failing to perform a function or otherwise not performing a function;</w:t>
      </w:r>
    </w:p>
    <w:p>
      <w:pPr>
        <w:pStyle w:val="Indenta"/>
      </w:pPr>
      <w:r>
        <w:tab/>
        <w:t>(b)</w:t>
      </w:r>
      <w:r>
        <w:tab/>
        <w:t>being taken to perform a function;</w:t>
      </w:r>
    </w:p>
    <w:p>
      <w:pPr>
        <w:pStyle w:val="Indenta"/>
      </w:pPr>
      <w:r>
        <w:tab/>
        <w:t>(c)</w:t>
      </w:r>
      <w:r>
        <w:tab/>
        <w:t>being taken to refuse or fail to perform a function or otherwise not to perform a function.</w:t>
      </w:r>
    </w:p>
    <w:p>
      <w:pPr>
        <w:pStyle w:val="Subsection"/>
      </w:pPr>
      <w:r>
        <w:tab/>
        <w:t>(3)</w:t>
      </w:r>
      <w:r>
        <w:tab/>
        <w:t>A notification or application to the Minister under section 281 or 282 must be made in the manner and form required by the Minister and, without limitation, include any documents or information required by the Minister.</w:t>
      </w:r>
    </w:p>
    <w:p>
      <w:pPr>
        <w:pStyle w:val="Subsection"/>
      </w:pPr>
      <w:r>
        <w:tab/>
        <w:t>(4)</w:t>
      </w:r>
      <w:r>
        <w:tab/>
        <w:t>The Minister can give a direction under section 281 or 282 only with the agreement of the Premier.</w:t>
      </w:r>
    </w:p>
    <w:p>
      <w:pPr>
        <w:pStyle w:val="Subsection"/>
      </w:pPr>
      <w:r>
        <w:tab/>
        <w:t>(5)</w:t>
      </w:r>
      <w:r>
        <w:tab/>
        <w:t xml:space="preserve">The performance of a function by a person or body (the </w:t>
      </w:r>
      <w:r>
        <w:rPr>
          <w:rStyle w:val="CharDefText"/>
        </w:rPr>
        <w:t>decision</w:t>
      </w:r>
      <w:r>
        <w:rPr>
          <w:rStyle w:val="CharDefText"/>
        </w:rPr>
        <w:noBreakHyphen/>
        <w:t>maker</w:t>
      </w:r>
      <w:r>
        <w:t>) in compliance with a direction given to the decision</w:t>
      </w:r>
      <w:r>
        <w:noBreakHyphen/>
        <w:t>maker under section 281 or 282 has effect, and is valid, for all purposes.</w:t>
      </w:r>
    </w:p>
    <w:p>
      <w:pPr>
        <w:pStyle w:val="Subsection"/>
      </w:pPr>
      <w:r>
        <w:tab/>
        <w:t>(6)</w:t>
      </w:r>
      <w:r>
        <w:tab/>
        <w:t>Subsection (5) applies even if, apart from this Division, the decision</w:t>
      </w:r>
      <w:r>
        <w:noBreakHyphen/>
        <w:t>maker could not have performed the function as required by the direction.</w:t>
      </w:r>
    </w:p>
    <w:p>
      <w:pPr>
        <w:pStyle w:val="Subsection"/>
      </w:pPr>
      <w:r>
        <w:tab/>
        <w:t>(7)</w:t>
      </w:r>
      <w:r>
        <w:tab/>
        <w:t>Without limiting subsections (5) and (6), a decision, or other act or omission, of a person or body is not unlawful or invalid just because the decision</w:t>
      </w:r>
      <w:r>
        <w:noBreakHyphen/>
        <w:t>maker could not, apart from this Division, have performed the function as required by the direction.</w:t>
      </w:r>
    </w:p>
    <w:p>
      <w:pPr>
        <w:pStyle w:val="Subsection"/>
      </w:pPr>
      <w:r>
        <w:tab/>
        <w:t>(8)</w:t>
      </w:r>
      <w:r>
        <w:tab/>
        <w:t>This Division does not apply to the performance, or proposed performance, of a function under section 279 or Division 4.</w:t>
      </w:r>
    </w:p>
    <w:p>
      <w:pPr>
        <w:pStyle w:val="Footnotesection"/>
      </w:pPr>
      <w:r>
        <w:tab/>
        <w:t>[Section 280 inserted: No. 26 of 2020 s. 4; amended: No. 17 of 2022 s. 11.]</w:t>
      </w:r>
    </w:p>
    <w:p>
      <w:pPr>
        <w:pStyle w:val="Heading5"/>
      </w:pPr>
      <w:bookmarkStart w:id="879" w:name="_Toc155165133"/>
      <w:bookmarkStart w:id="880" w:name="_Toc135132838"/>
      <w:r>
        <w:rPr>
          <w:rStyle w:val="CharSectno"/>
        </w:rPr>
        <w:t>281</w:t>
      </w:r>
      <w:r>
        <w:t>.</w:t>
      </w:r>
      <w:r>
        <w:tab/>
        <w:t>Decision</w:t>
      </w:r>
      <w:r>
        <w:noBreakHyphen/>
        <w:t>maker proposing to perform function in conflict with approval</w:t>
      </w:r>
      <w:bookmarkEnd w:id="879"/>
      <w:bookmarkEnd w:id="880"/>
    </w:p>
    <w:p>
      <w:pPr>
        <w:pStyle w:val="Subsection"/>
        <w:keepNext/>
      </w:pPr>
      <w:r>
        <w:tab/>
        <w:t>(1)</w:t>
      </w:r>
      <w:r>
        <w:tab/>
        <w:t xml:space="preserve">This section applies if — </w:t>
      </w:r>
    </w:p>
    <w:p>
      <w:pPr>
        <w:pStyle w:val="Indenta"/>
      </w:pPr>
      <w:r>
        <w:tab/>
        <w:t>(a)</w:t>
      </w:r>
      <w:r>
        <w:tab/>
        <w:t>the Commission grants approval for development under section 274; and</w:t>
      </w:r>
    </w:p>
    <w:p>
      <w:pPr>
        <w:pStyle w:val="Indenta"/>
      </w:pPr>
      <w:r>
        <w:tab/>
        <w:t>(b)</w:t>
      </w:r>
      <w:r>
        <w:tab/>
        <w:t xml:space="preserve">a person or body (the </w:t>
      </w:r>
      <w:r>
        <w:rPr>
          <w:rStyle w:val="CharDefText"/>
        </w:rPr>
        <w:t>decision</w:t>
      </w:r>
      <w:r>
        <w:rPr>
          <w:rStyle w:val="CharDefText"/>
        </w:rPr>
        <w:noBreakHyphen/>
        <w:t>maker</w:t>
      </w:r>
      <w:r>
        <w:t>) proposes to perform a function under a legal instrument; and</w:t>
      </w:r>
    </w:p>
    <w:p>
      <w:pPr>
        <w:pStyle w:val="Indenta"/>
      </w:pPr>
      <w:r>
        <w:tab/>
        <w:t>(c)</w:t>
      </w:r>
      <w:r>
        <w:tab/>
        <w:t>the performance of the function as proposed would conflict with the approval.</w:t>
      </w:r>
    </w:p>
    <w:p>
      <w:pPr>
        <w:pStyle w:val="Subsection"/>
      </w:pPr>
      <w:r>
        <w:tab/>
        <w:t>(2)</w:t>
      </w:r>
      <w:r>
        <w:tab/>
        <w:t>The decision</w:t>
      </w:r>
      <w:r>
        <w:noBreakHyphen/>
        <w:t xml:space="preserve">maker must not perform the function as proposed unless — </w:t>
      </w:r>
    </w:p>
    <w:p>
      <w:pPr>
        <w:pStyle w:val="Indenta"/>
      </w:pPr>
      <w:r>
        <w:tab/>
        <w:t>(a)</w:t>
      </w:r>
      <w:r>
        <w:tab/>
        <w:t>the decision</w:t>
      </w:r>
      <w:r>
        <w:noBreakHyphen/>
        <w:t>maker has notified the Minister of the proposed performance of the function and the conflict; and</w:t>
      </w:r>
    </w:p>
    <w:p>
      <w:pPr>
        <w:pStyle w:val="Indenta"/>
      </w:pPr>
      <w:r>
        <w:tab/>
        <w:t>(b)</w:t>
      </w:r>
      <w:r>
        <w:tab/>
        <w:t xml:space="preserve">either — </w:t>
      </w:r>
    </w:p>
    <w:p>
      <w:pPr>
        <w:pStyle w:val="Indenti"/>
      </w:pPr>
      <w:r>
        <w:tab/>
        <w:t>(i)</w:t>
      </w:r>
      <w:r>
        <w:tab/>
        <w:t>the decision</w:t>
      </w:r>
      <w:r>
        <w:noBreakHyphen/>
        <w:t>maker performs the function in compliance with a direction given to the decision</w:t>
      </w:r>
      <w:r>
        <w:noBreakHyphen/>
        <w:t>maker under this section; or</w:t>
      </w:r>
    </w:p>
    <w:p>
      <w:pPr>
        <w:pStyle w:val="Indenti"/>
      </w:pPr>
      <w:r>
        <w:tab/>
        <w:t>(ii)</w:t>
      </w:r>
      <w:r>
        <w:tab/>
        <w:t>the Minister has notified the decision</w:t>
      </w:r>
      <w:r>
        <w:noBreakHyphen/>
        <w:t>maker under subsection (8).</w:t>
      </w:r>
    </w:p>
    <w:p>
      <w:pPr>
        <w:pStyle w:val="Subsection"/>
      </w:pPr>
      <w:r>
        <w:tab/>
        <w:t>(3)</w:t>
      </w:r>
      <w:r>
        <w:tab/>
        <w:t xml:space="preserve">If the Minister is notified under subsection (2)(a), the Minister may give a direction under this section if the Minister considers — </w:t>
      </w:r>
    </w:p>
    <w:p>
      <w:pPr>
        <w:pStyle w:val="Indenta"/>
      </w:pPr>
      <w:r>
        <w:tab/>
        <w:t>(a)</w:t>
      </w:r>
      <w:r>
        <w:tab/>
        <w:t xml:space="preserve">that — </w:t>
      </w:r>
    </w:p>
    <w:p>
      <w:pPr>
        <w:pStyle w:val="Indenti"/>
      </w:pPr>
      <w:r>
        <w:tab/>
        <w:t>(i)</w:t>
      </w:r>
      <w:r>
        <w:tab/>
        <w:t>the approved development is significant development; or</w:t>
      </w:r>
    </w:p>
    <w:p>
      <w:pPr>
        <w:pStyle w:val="Indenti"/>
      </w:pPr>
      <w:r>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keepNext/>
      </w:pPr>
      <w:r>
        <w:tab/>
        <w:t>(4)</w:t>
      </w:r>
      <w:r>
        <w:tab/>
        <w:t>A direction under this section is a direction to the decision</w:t>
      </w:r>
      <w:r>
        <w:noBreakHyphen/>
        <w:t xml:space="preserve">maker to do 1 or more of the following for the purpose of resolving the conflict — </w:t>
      </w:r>
    </w:p>
    <w:p>
      <w:pPr>
        <w:pStyle w:val="Indenta"/>
      </w:pPr>
      <w:r>
        <w:tab/>
        <w:t>(a)</w:t>
      </w:r>
      <w:r>
        <w:tab/>
        <w:t>not perform the function as proposed;</w:t>
      </w:r>
    </w:p>
    <w:p>
      <w:pPr>
        <w:pStyle w:val="Indenta"/>
      </w:pPr>
      <w:r>
        <w:tab/>
        <w:t>(b)</w:t>
      </w:r>
      <w:r>
        <w:tab/>
        <w:t>perform the function in accordance with the direction;</w:t>
      </w:r>
    </w:p>
    <w:p>
      <w:pPr>
        <w:pStyle w:val="Indenta"/>
      </w:pPr>
      <w:r>
        <w:tab/>
        <w:t>(c)</w:t>
      </w:r>
      <w:r>
        <w:tab/>
        <w:t>reconsider the performance of the function in accordance with the direction and give effect to the outcome of the reconsideration;</w:t>
      </w:r>
    </w:p>
    <w:p>
      <w:pPr>
        <w:pStyle w:val="Indenta"/>
      </w:pPr>
      <w:r>
        <w:tab/>
        <w:t>(d)</w:t>
      </w:r>
      <w:r>
        <w:tab/>
        <w:t>take any steps specified in the direction for giving effect to the direction.</w:t>
      </w:r>
    </w:p>
    <w:p>
      <w:pPr>
        <w:pStyle w:val="Subsection"/>
      </w:pPr>
      <w:r>
        <w:tab/>
        <w:t>(5)</w:t>
      </w:r>
      <w:r>
        <w:tab/>
        <w:t>The direction may specify a period within which anything required to be done under the direction must be done.</w:t>
      </w:r>
    </w:p>
    <w:p>
      <w:pPr>
        <w:pStyle w:val="Subsection"/>
      </w:pPr>
      <w:r>
        <w:tab/>
        <w:t>(6)</w:t>
      </w:r>
      <w:r>
        <w:tab/>
        <w:t>The decision</w:t>
      </w:r>
      <w:r>
        <w:noBreakHyphen/>
        <w:t xml:space="preserve">maker must comply with the direction — </w:t>
      </w:r>
    </w:p>
    <w:p>
      <w:pPr>
        <w:pStyle w:val="Indenta"/>
      </w:pPr>
      <w:r>
        <w:tab/>
        <w:t>(a)</w:t>
      </w:r>
      <w:r>
        <w:tab/>
        <w:t>even if that involves doing something, or omitting to do something, that, apart from this subsection, the decision</w:t>
      </w:r>
      <w:r>
        <w:noBreakHyphen/>
        <w:t>maker could not do, or could not omit to do, under any legal instrument; and</w:t>
      </w:r>
    </w:p>
    <w:p>
      <w:pPr>
        <w:pStyle w:val="Indenta"/>
      </w:pPr>
      <w:r>
        <w:tab/>
        <w:t>(b)</w:t>
      </w:r>
      <w:r>
        <w:tab/>
        <w:t>without limiting paragraph (a), despite any time limit that would, apart from this subsection, apply under any legal instrument in relation to anything to which the direction relates.</w:t>
      </w:r>
    </w:p>
    <w:p>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Subsection"/>
      </w:pPr>
      <w:r>
        <w:tab/>
        <w:t>(8)</w:t>
      </w:r>
      <w:r>
        <w:tab/>
        <w:t>If the Minister decides not to give a direction under this section, the Minister must notify the decision</w:t>
      </w:r>
      <w:r>
        <w:noBreakHyphen/>
        <w:t>maker of the Minister’s decision.</w:t>
      </w:r>
    </w:p>
    <w:p>
      <w:pPr>
        <w:pStyle w:val="Footnotesection"/>
      </w:pPr>
      <w:r>
        <w:tab/>
        <w:t>[Section 281 inserted: No. 26 of 2020 s. 4.]</w:t>
      </w:r>
    </w:p>
    <w:p>
      <w:pPr>
        <w:pStyle w:val="Heading5"/>
      </w:pPr>
      <w:bookmarkStart w:id="881" w:name="_Toc155165134"/>
      <w:bookmarkStart w:id="882" w:name="_Toc135132839"/>
      <w:r>
        <w:rPr>
          <w:rStyle w:val="CharSectno"/>
        </w:rPr>
        <w:t>282</w:t>
      </w:r>
      <w:r>
        <w:t>.</w:t>
      </w:r>
      <w:r>
        <w:tab/>
        <w:t>Owner of land or other prescribed person may apply for direction if performance of function conflicts with approval</w:t>
      </w:r>
      <w:bookmarkEnd w:id="881"/>
      <w:bookmarkEnd w:id="882"/>
    </w:p>
    <w:p>
      <w:pPr>
        <w:pStyle w:val="Subsection"/>
        <w:keepNext/>
      </w:pPr>
      <w:r>
        <w:tab/>
        <w:t>(1)</w:t>
      </w:r>
      <w:r>
        <w:tab/>
        <w:t xml:space="preserve">This section applies if — </w:t>
      </w:r>
    </w:p>
    <w:p>
      <w:pPr>
        <w:pStyle w:val="Indenta"/>
      </w:pPr>
      <w:r>
        <w:tab/>
        <w:t>(a)</w:t>
      </w:r>
      <w:r>
        <w:tab/>
        <w:t>the Commission grants approval for development under section 274; and</w:t>
      </w:r>
    </w:p>
    <w:p>
      <w:pPr>
        <w:pStyle w:val="Indenta"/>
      </w:pPr>
      <w:r>
        <w:tab/>
        <w:t>(b)</w:t>
      </w:r>
      <w:r>
        <w:tab/>
        <w:t xml:space="preserve">a person or body (the </w:t>
      </w:r>
      <w:r>
        <w:rPr>
          <w:rStyle w:val="CharDefText"/>
        </w:rPr>
        <w:t>decision</w:t>
      </w:r>
      <w:r>
        <w:rPr>
          <w:rStyle w:val="CharDefText"/>
        </w:rPr>
        <w:noBreakHyphen/>
        <w:t>maker</w:t>
      </w:r>
      <w:r>
        <w:t>) performs a function under a legal instrument; and</w:t>
      </w:r>
    </w:p>
    <w:p>
      <w:pPr>
        <w:pStyle w:val="Indenta"/>
      </w:pPr>
      <w:r>
        <w:tab/>
        <w:t>(c)</w:t>
      </w:r>
      <w:r>
        <w:tab/>
        <w:t>the performance of the function has not been the subject of a notification or direction under section 281; and</w:t>
      </w:r>
    </w:p>
    <w:p>
      <w:pPr>
        <w:pStyle w:val="Indenta"/>
      </w:pPr>
      <w:r>
        <w:tab/>
        <w:t>(d)</w:t>
      </w:r>
      <w:r>
        <w:tab/>
        <w:t xml:space="preserve">the performance of the function conflicts with the approval. </w:t>
      </w:r>
    </w:p>
    <w:p>
      <w:pPr>
        <w:pStyle w:val="Subsection"/>
      </w:pPr>
      <w:r>
        <w:tab/>
        <w:t>(2)</w:t>
      </w:r>
      <w:r>
        <w:tab/>
        <w:t>An owner of land in respect of which the approval is granted, or a person who is of a class or kind prescribed by Part 17 regulations for the purposes of this subsection, may apply to the Minister for a direction under this section to resolve the conflict.</w:t>
      </w:r>
    </w:p>
    <w:p>
      <w:pPr>
        <w:pStyle w:val="Subsection"/>
      </w:pPr>
      <w:r>
        <w:tab/>
        <w:t>(3)</w:t>
      </w:r>
      <w:r>
        <w:tab/>
        <w:t xml:space="preserve">If an application is made under subsection (2), the Minister may give a direction under this section if the Minister considers — </w:t>
      </w:r>
    </w:p>
    <w:p>
      <w:pPr>
        <w:pStyle w:val="Indenta"/>
      </w:pPr>
      <w:r>
        <w:tab/>
        <w:t>(a)</w:t>
      </w:r>
      <w:r>
        <w:tab/>
        <w:t xml:space="preserve">that — </w:t>
      </w:r>
    </w:p>
    <w:p>
      <w:pPr>
        <w:pStyle w:val="Indenti"/>
      </w:pPr>
      <w:r>
        <w:tab/>
        <w:t>(i)</w:t>
      </w:r>
      <w:r>
        <w:tab/>
        <w:t>the approved development is significant development; or</w:t>
      </w:r>
    </w:p>
    <w:p>
      <w:pPr>
        <w:pStyle w:val="Indenti"/>
      </w:pPr>
      <w:r>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pPr>
      <w:r>
        <w:tab/>
        <w:t>(4)</w:t>
      </w:r>
      <w:r>
        <w:tab/>
        <w:t>A direction under this section is a direction to the decision</w:t>
      </w:r>
      <w:r>
        <w:noBreakHyphen/>
        <w:t xml:space="preserve">maker to do 1 or more of the following for the purpose of resolving the conflict — </w:t>
      </w:r>
    </w:p>
    <w:p>
      <w:pPr>
        <w:pStyle w:val="Indenta"/>
      </w:pPr>
      <w:r>
        <w:tab/>
        <w:t>(a)</w:t>
      </w:r>
      <w:r>
        <w:tab/>
        <w:t>cancel the performance of the function;</w:t>
      </w:r>
    </w:p>
    <w:p>
      <w:pPr>
        <w:pStyle w:val="Indenta"/>
      </w:pPr>
      <w:r>
        <w:tab/>
        <w:t>(b)</w:t>
      </w:r>
      <w:r>
        <w:tab/>
        <w:t>perform the function again but in accordance with the direction;</w:t>
      </w:r>
    </w:p>
    <w:p>
      <w:pPr>
        <w:pStyle w:val="Indenta"/>
      </w:pPr>
      <w:r>
        <w:tab/>
        <w:t>(c)</w:t>
      </w:r>
      <w:r>
        <w:tab/>
        <w:t>reconsider the performance of the function in accordance with the direction and give effect to the outcome of the reconsideration;</w:t>
      </w:r>
    </w:p>
    <w:p>
      <w:pPr>
        <w:pStyle w:val="Indenta"/>
      </w:pPr>
      <w:r>
        <w:tab/>
        <w:t>(d)</w:t>
      </w:r>
      <w:r>
        <w:tab/>
        <w:t>take any steps specified in the direction for giving effect to the direction.</w:t>
      </w:r>
    </w:p>
    <w:p>
      <w:pPr>
        <w:pStyle w:val="Subsection"/>
      </w:pPr>
      <w:r>
        <w:tab/>
        <w:t>(5)</w:t>
      </w:r>
      <w:r>
        <w:tab/>
        <w:t>The direction may specify a period within which anything required to be done under the direction must be done.</w:t>
      </w:r>
    </w:p>
    <w:p>
      <w:pPr>
        <w:pStyle w:val="Subsection"/>
      </w:pPr>
      <w:r>
        <w:tab/>
        <w:t>(6)</w:t>
      </w:r>
      <w:r>
        <w:tab/>
        <w:t>The decision</w:t>
      </w:r>
      <w:r>
        <w:noBreakHyphen/>
        <w:t xml:space="preserve">maker must comply with the direction — </w:t>
      </w:r>
    </w:p>
    <w:p>
      <w:pPr>
        <w:pStyle w:val="Indenta"/>
      </w:pPr>
      <w:r>
        <w:tab/>
        <w:t>(a)</w:t>
      </w:r>
      <w:r>
        <w:tab/>
        <w:t>even if that involves doing something, or omitting to do something, that, apart from this subsection, the decision</w:t>
      </w:r>
      <w:r>
        <w:noBreakHyphen/>
        <w:t>maker could not do, or could not omit to do, under any legal instrument; and</w:t>
      </w:r>
    </w:p>
    <w:p>
      <w:pPr>
        <w:pStyle w:val="Indenta"/>
      </w:pPr>
      <w:r>
        <w:tab/>
        <w:t>(b)</w:t>
      </w:r>
      <w:r>
        <w:tab/>
        <w:t>without limiting paragraph (a), despite any time limit that would, apart from this subsection, apply under any legal instrument in relation to anything to which the direction relates.</w:t>
      </w:r>
    </w:p>
    <w:p>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Footnotesection"/>
      </w:pPr>
      <w:r>
        <w:tab/>
        <w:t>[Section 282 inserted: No. 26 of 2020 s. 4.]</w:t>
      </w:r>
    </w:p>
    <w:p>
      <w:pPr>
        <w:pStyle w:val="Heading3"/>
      </w:pPr>
      <w:bookmarkStart w:id="883" w:name="_Toc155165135"/>
      <w:bookmarkStart w:id="884" w:name="_Toc135041216"/>
      <w:bookmarkStart w:id="885" w:name="_Toc135041685"/>
      <w:bookmarkStart w:id="886" w:name="_Toc135132840"/>
      <w:r>
        <w:rPr>
          <w:rStyle w:val="CharDivNo"/>
        </w:rPr>
        <w:t>Division 4</w:t>
      </w:r>
      <w:r>
        <w:t> — </w:t>
      </w:r>
      <w:r>
        <w:rPr>
          <w:rStyle w:val="CharDivText"/>
        </w:rPr>
        <w:t>Oversight of Commission</w:t>
      </w:r>
      <w:bookmarkEnd w:id="883"/>
      <w:bookmarkEnd w:id="884"/>
      <w:bookmarkEnd w:id="885"/>
      <w:bookmarkEnd w:id="886"/>
    </w:p>
    <w:p>
      <w:pPr>
        <w:pStyle w:val="Footnoteheading"/>
      </w:pPr>
      <w:r>
        <w:tab/>
        <w:t>[Heading inserted: No. 26 of 2020 s. 4.]</w:t>
      </w:r>
    </w:p>
    <w:p>
      <w:pPr>
        <w:pStyle w:val="Heading5"/>
      </w:pPr>
      <w:bookmarkStart w:id="887" w:name="_Toc155165136"/>
      <w:bookmarkStart w:id="888" w:name="_Toc135132841"/>
      <w:r>
        <w:rPr>
          <w:rStyle w:val="CharSectno"/>
        </w:rPr>
        <w:t>283</w:t>
      </w:r>
      <w:r>
        <w:t>.</w:t>
      </w:r>
      <w:r>
        <w:tab/>
        <w:t>State Administrative Tribunal</w:t>
      </w:r>
      <w:bookmarkEnd w:id="887"/>
      <w:bookmarkEnd w:id="888"/>
    </w:p>
    <w:p>
      <w:pPr>
        <w:pStyle w:val="Subsection"/>
      </w:pPr>
      <w:r>
        <w:tab/>
        <w:t>(1)</w:t>
      </w:r>
      <w:r>
        <w:tab/>
        <w:t>This section applies if the Commission determines a development application under section 274 or an application under section 279.</w:t>
      </w:r>
    </w:p>
    <w:p>
      <w:pPr>
        <w:pStyle w:val="Subsection"/>
      </w:pPr>
      <w:r>
        <w:tab/>
        <w:t>(2)</w:t>
      </w:r>
      <w:r>
        <w:tab/>
        <w:t xml:space="preserve">The applicant may apply to the State Administrative Tribunal (the </w:t>
      </w:r>
      <w:r>
        <w:rPr>
          <w:rStyle w:val="CharDefText"/>
        </w:rPr>
        <w:t>Tribunal</w:t>
      </w:r>
      <w:r>
        <w:t>) for a review of the Commission’s decision to make the determination.</w:t>
      </w:r>
    </w:p>
    <w:p>
      <w:pPr>
        <w:pStyle w:val="Subsection"/>
      </w:pPr>
      <w:r>
        <w:tab/>
        <w:t>(3)</w:t>
      </w:r>
      <w:r>
        <w:tab/>
        <w:t xml:space="preserve">For the purposes of the Tribunal’s jurisdiction under this section, the member, or at least 1 of the members, who constitute the Tribunal must be a judicial member (as defined in the </w:t>
      </w:r>
      <w:r>
        <w:rPr>
          <w:i/>
        </w:rPr>
        <w:t>State Administrative Tribunal Act 2004</w:t>
      </w:r>
      <w:r>
        <w:t xml:space="preserve"> section 3(1)).</w:t>
      </w:r>
    </w:p>
    <w:p>
      <w:pPr>
        <w:pStyle w:val="Subsection"/>
      </w:pPr>
      <w:r>
        <w:tab/>
        <w:t>(4)</w:t>
      </w:r>
      <w:r>
        <w:tab/>
        <w:t>For a review under this section, the Commission is the decision</w:t>
      </w:r>
      <w:r>
        <w:noBreakHyphen/>
        <w:t xml:space="preserve">maker for the purposes of the </w:t>
      </w:r>
      <w:r>
        <w:rPr>
          <w:i/>
        </w:rPr>
        <w:t>State Administrative Tribunal Act 2004</w:t>
      </w:r>
      <w:r>
        <w:t>.</w:t>
      </w:r>
    </w:p>
    <w:p>
      <w:pPr>
        <w:pStyle w:val="Subsection"/>
      </w:pPr>
      <w:r>
        <w:tab/>
        <w:t>(5)</w:t>
      </w:r>
      <w:r>
        <w:tab/>
        <w:t>In conducting a review under this section, the Tribunal must give the Minister a reasonable opportunity to make submissions to the Tribunal on any matter relating to the review.</w:t>
      </w:r>
    </w:p>
    <w:p>
      <w:pPr>
        <w:pStyle w:val="Subsection"/>
      </w:pPr>
      <w:r>
        <w:tab/>
        <w:t>(6)</w:t>
      </w:r>
      <w:r>
        <w:tab/>
        <w:t>Sections 242 and 243 apply to a review under this section as they apply to a review in accordance with Part 14.</w:t>
      </w:r>
    </w:p>
    <w:p>
      <w:pPr>
        <w:pStyle w:val="Subsection"/>
        <w:keepNext/>
      </w:pPr>
      <w:r>
        <w:tab/>
        <w:t>(7)</w:t>
      </w:r>
      <w:r>
        <w:tab/>
        <w:t>Except as set out in this section, the Tribunal has no jurisdiction in relation to anything done under this Part or any Part 17 regulations, including (without limitation) anything done in compliance with a direction under section 281 or 282.</w:t>
      </w:r>
    </w:p>
    <w:p>
      <w:pPr>
        <w:pStyle w:val="Footnotesection"/>
      </w:pPr>
      <w:r>
        <w:tab/>
        <w:t>[Section 283 inserted: No. 26 of 2020 s. 4.]</w:t>
      </w:r>
    </w:p>
    <w:p>
      <w:pPr>
        <w:pStyle w:val="Heading5"/>
      </w:pPr>
      <w:bookmarkStart w:id="889" w:name="_Toc155165137"/>
      <w:bookmarkStart w:id="890" w:name="_Toc135132842"/>
      <w:r>
        <w:rPr>
          <w:rStyle w:val="CharSectno"/>
        </w:rPr>
        <w:t>284</w:t>
      </w:r>
      <w:r>
        <w:t>.</w:t>
      </w:r>
      <w:r>
        <w:tab/>
        <w:t>Governor may amend or cancel approval granted by Commission under s. 274</w:t>
      </w:r>
      <w:bookmarkEnd w:id="889"/>
      <w:bookmarkEnd w:id="890"/>
    </w:p>
    <w:p>
      <w:pPr>
        <w:pStyle w:val="Subsection"/>
      </w:pPr>
      <w:r>
        <w:tab/>
        <w:t>(1)</w:t>
      </w:r>
      <w:r>
        <w:tab/>
        <w:t>This section applies if the Commission grants approval for development under section 274.</w:t>
      </w:r>
    </w:p>
    <w:p>
      <w:pPr>
        <w:pStyle w:val="Subsection"/>
      </w:pPr>
      <w:r>
        <w:tab/>
        <w:t>(2)</w:t>
      </w:r>
      <w:r>
        <w:tab/>
        <w:t xml:space="preserve">The Governor may, by order, do any of the following — </w:t>
      </w:r>
    </w:p>
    <w:p>
      <w:pPr>
        <w:pStyle w:val="Indenta"/>
      </w:pPr>
      <w:r>
        <w:tab/>
        <w:t>(aa)</w:t>
      </w:r>
      <w:r>
        <w:tab/>
        <w:t xml:space="preserve">for the purposes of section 278(2), amend the approval — </w:t>
      </w:r>
    </w:p>
    <w:p>
      <w:pPr>
        <w:pStyle w:val="Indenti"/>
      </w:pPr>
      <w:r>
        <w:tab/>
        <w:t>(i)</w:t>
      </w:r>
      <w:r>
        <w:tab/>
        <w:t>to extend the period specified in the approval; or</w:t>
      </w:r>
    </w:p>
    <w:p>
      <w:pPr>
        <w:pStyle w:val="Indenti"/>
      </w:pPr>
      <w:r>
        <w:tab/>
        <w:t>(ii)</w:t>
      </w:r>
      <w:r>
        <w:tab/>
        <w:t>if no period is specified in the approval — to specify a period that is longer than the period of 24 months referred to in section 278(2)(b);</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tab/>
        <w:t>(d)</w:t>
      </w:r>
      <w:r>
        <w:tab/>
        <w:t>amend the approval in any other way;</w:t>
      </w:r>
    </w:p>
    <w:p>
      <w:pPr>
        <w:pStyle w:val="Indenta"/>
      </w:pPr>
      <w:r>
        <w:tab/>
        <w:t>(e)</w:t>
      </w:r>
      <w:r>
        <w:tab/>
        <w:t>cancel the approval.</w:t>
      </w:r>
    </w:p>
    <w:p>
      <w:pPr>
        <w:pStyle w:val="Subsection"/>
        <w:keepNext/>
      </w:pPr>
      <w:r>
        <w:tab/>
        <w:t>(3)</w:t>
      </w:r>
      <w:r>
        <w:tab/>
        <w:t xml:space="preserve">An amendment of the kind referred to in subsection (2)(c) — </w:t>
      </w:r>
    </w:p>
    <w:p>
      <w:pPr>
        <w:pStyle w:val="Indenta"/>
      </w:pPr>
      <w:r>
        <w:tab/>
        <w:t>(a)</w:t>
      </w:r>
      <w:r>
        <w:tab/>
        <w:t>cannot substantially change the approved development; and</w:t>
      </w:r>
    </w:p>
    <w:p>
      <w:pPr>
        <w:pStyle w:val="Indenta"/>
      </w:pPr>
      <w:r>
        <w:tab/>
        <w:t>(b)</w:t>
      </w:r>
      <w:r>
        <w:tab/>
        <w:t>in the case of approval granted on a development application made under section 271 — cannot result in the approved development no longer being significant development.</w:t>
      </w:r>
    </w:p>
    <w:p>
      <w:pPr>
        <w:pStyle w:val="Subsection"/>
      </w:pPr>
      <w:r>
        <w:tab/>
        <w:t>(4)</w:t>
      </w:r>
      <w:r>
        <w:tab/>
        <w:t>In subsection (2), references to the conditions imposed on the approval, the approved development or the approval are to the conditions, development or approval as amended from time to time under section 279 or by an order under this section.</w:t>
      </w:r>
    </w:p>
    <w:p>
      <w:pPr>
        <w:pStyle w:val="Subsection"/>
      </w:pPr>
      <w:r>
        <w:tab/>
        <w:t>(5)</w:t>
      </w:r>
      <w:r>
        <w:tab/>
        <w:t>An order under this section may include directions for giving effect to the order.</w:t>
      </w:r>
    </w:p>
    <w:p>
      <w:pPr>
        <w:pStyle w:val="Subsection"/>
      </w:pPr>
      <w:r>
        <w:tab/>
        <w:t>(6)</w:t>
      </w:r>
      <w:r>
        <w:tab/>
        <w:t>The Commission cannot do anything under section 279 that would override, or otherwise be inconsistent with, the provisions of an order under this section.</w:t>
      </w:r>
    </w:p>
    <w:p>
      <w:pPr>
        <w:pStyle w:val="Subsection"/>
      </w:pPr>
      <w:r>
        <w:tab/>
        <w:t>(7)</w:t>
      </w:r>
      <w:r>
        <w:tab/>
        <w:t xml:space="preserve">An order under this section is subsidiary legislation for the purposes of the </w:t>
      </w:r>
      <w:r>
        <w:rPr>
          <w:i/>
        </w:rPr>
        <w:t>Interpretation Act 1984</w:t>
      </w:r>
      <w:r>
        <w:t>.</w:t>
      </w:r>
    </w:p>
    <w:p>
      <w:pPr>
        <w:pStyle w:val="Subsection"/>
      </w:pPr>
      <w:r>
        <w:tab/>
        <w:t>(8)</w:t>
      </w:r>
      <w:r>
        <w:tab/>
        <w:t xml:space="preserve">The </w:t>
      </w:r>
      <w:r>
        <w:rPr>
          <w:i/>
        </w:rPr>
        <w:t>Interpretation Act 1984</w:t>
      </w:r>
      <w:r>
        <w:t xml:space="preserve"> section 42 applies to an order under this section as if it were a regulation.</w:t>
      </w:r>
    </w:p>
    <w:p>
      <w:pPr>
        <w:pStyle w:val="Footnotesection"/>
      </w:pPr>
      <w:r>
        <w:tab/>
        <w:t>[Section 284 inserted: No. 26 of 2020 s. 4; amended: No. 17 of 2022 s. 12.]</w:t>
      </w:r>
    </w:p>
    <w:p>
      <w:pPr>
        <w:pStyle w:val="Heading3"/>
      </w:pPr>
      <w:bookmarkStart w:id="891" w:name="_Toc155165138"/>
      <w:bookmarkStart w:id="892" w:name="_Toc135041219"/>
      <w:bookmarkStart w:id="893" w:name="_Toc135041688"/>
      <w:bookmarkStart w:id="894" w:name="_Toc135132843"/>
      <w:r>
        <w:rPr>
          <w:rStyle w:val="CharDivNo"/>
        </w:rPr>
        <w:t>Division 5</w:t>
      </w:r>
      <w:r>
        <w:t> — </w:t>
      </w:r>
      <w:r>
        <w:rPr>
          <w:rStyle w:val="CharDivText"/>
        </w:rPr>
        <w:t>Final matters</w:t>
      </w:r>
      <w:bookmarkEnd w:id="891"/>
      <w:bookmarkEnd w:id="892"/>
      <w:bookmarkEnd w:id="893"/>
      <w:bookmarkEnd w:id="894"/>
    </w:p>
    <w:p>
      <w:pPr>
        <w:pStyle w:val="Footnoteheading"/>
        <w:keepNext/>
      </w:pPr>
      <w:r>
        <w:tab/>
        <w:t>[Heading inserted: No. 26 of 2020 s. 4.]</w:t>
      </w:r>
    </w:p>
    <w:p>
      <w:pPr>
        <w:pStyle w:val="Heading5"/>
      </w:pPr>
      <w:bookmarkStart w:id="895" w:name="_Toc155165139"/>
      <w:bookmarkStart w:id="896" w:name="_Toc135132844"/>
      <w:r>
        <w:rPr>
          <w:rStyle w:val="CharSectno"/>
        </w:rPr>
        <w:t>285</w:t>
      </w:r>
      <w:r>
        <w:t>.</w:t>
      </w:r>
      <w:r>
        <w:tab/>
        <w:t>Fees</w:t>
      </w:r>
      <w:bookmarkEnd w:id="895"/>
      <w:bookmarkEnd w:id="896"/>
    </w:p>
    <w:p>
      <w:pPr>
        <w:pStyle w:val="Subsection"/>
        <w:keepNext/>
      </w:pPr>
      <w:r>
        <w:tab/>
        <w:t>(1)</w:t>
      </w:r>
      <w:r>
        <w:tab/>
        <w:t xml:space="preserve">The Minister may, by notice published in the </w:t>
      </w:r>
      <w:r>
        <w:rPr>
          <w:i/>
        </w:rPr>
        <w:t>Gazette</w:t>
      </w:r>
      <w:r>
        <w:t xml:space="preserve"> — </w:t>
      </w:r>
    </w:p>
    <w:p>
      <w:pPr>
        <w:pStyle w:val="Indenta"/>
      </w:pPr>
      <w:r>
        <w:tab/>
        <w:t>(a)</w:t>
      </w:r>
      <w:r>
        <w:tab/>
        <w:t>set fees to be charged in respect of any matter under, or relating to, this Part or any Part 17 regulations; and</w:t>
      </w:r>
    </w:p>
    <w:p>
      <w:pPr>
        <w:pStyle w:val="Indenta"/>
      </w:pPr>
      <w:r>
        <w:tab/>
        <w:t>(b)</w:t>
      </w:r>
      <w:r>
        <w:tab/>
        <w:t>make provision for determining the persons by whom the fees are payable.</w:t>
      </w:r>
    </w:p>
    <w:p>
      <w:pPr>
        <w:pStyle w:val="Subsection"/>
      </w:pPr>
      <w:r>
        <w:tab/>
        <w:t>(2)</w:t>
      </w:r>
      <w:r>
        <w:tab/>
        <w:t>Despite section 274(3), the Commission is not required to consider or determine a development application, or to do any other thing under this Part or Part 17 regulations, unless any fee relating to the application or other thing has been paid.</w:t>
      </w:r>
    </w:p>
    <w:p>
      <w:pPr>
        <w:pStyle w:val="Subsection"/>
        <w:keepNext/>
      </w:pPr>
      <w:r>
        <w:tab/>
        <w:t>(3)</w:t>
      </w:r>
      <w:r>
        <w:tab/>
        <w:t>Section 20 does not apply in relation to this Part.</w:t>
      </w:r>
    </w:p>
    <w:p>
      <w:pPr>
        <w:pStyle w:val="Footnotesection"/>
      </w:pPr>
      <w:r>
        <w:tab/>
        <w:t>[Section 285 inserted: No. 26 of 2020 s. 4.]</w:t>
      </w:r>
    </w:p>
    <w:p>
      <w:pPr>
        <w:pStyle w:val="Heading5"/>
      </w:pPr>
      <w:bookmarkStart w:id="897" w:name="_Toc155165140"/>
      <w:bookmarkStart w:id="898" w:name="_Toc135132845"/>
      <w:r>
        <w:rPr>
          <w:rStyle w:val="CharSectno"/>
        </w:rPr>
        <w:t>286</w:t>
      </w:r>
      <w:r>
        <w:t>.</w:t>
      </w:r>
      <w:r>
        <w:tab/>
        <w:t>Regulations</w:t>
      </w:r>
      <w:bookmarkEnd w:id="897"/>
      <w:bookmarkEnd w:id="898"/>
    </w:p>
    <w:p>
      <w:pPr>
        <w:pStyle w:val="Subsection"/>
      </w:pPr>
      <w:r>
        <w:tab/>
        <w:t>(1)</w:t>
      </w:r>
      <w:r>
        <w:tab/>
        <w:t>The Governor may make regulations prescribing all matters that are required or permitted by this Part to be prescribed or are necessary or convenient to be prescribed for giving effect to the purposes of this Part.</w:t>
      </w:r>
    </w:p>
    <w:p>
      <w:pPr>
        <w:pStyle w:val="Subsection"/>
      </w:pPr>
      <w:r>
        <w:tab/>
        <w:t>(2)</w:t>
      </w:r>
      <w:r>
        <w:tab/>
        <w:t xml:space="preserve">Without limiting subsection (1), Part 17 regulations may prescribe powers, duties, procedures or any other matters for the purposes of, or in relation to — </w:t>
      </w:r>
    </w:p>
    <w:p>
      <w:pPr>
        <w:pStyle w:val="Indenta"/>
      </w:pPr>
      <w:r>
        <w:tab/>
        <w:t>(a)</w:t>
      </w:r>
      <w:r>
        <w:tab/>
        <w:t>applications, notifications, referrals or directions under this Part; or</w:t>
      </w:r>
    </w:p>
    <w:p>
      <w:pPr>
        <w:pStyle w:val="Indenta"/>
      </w:pPr>
      <w:r>
        <w:tab/>
        <w:t>(b)</w:t>
      </w:r>
      <w:r>
        <w:tab/>
        <w:t>the consideration or determination of applications or notifications under this Part.</w:t>
      </w:r>
    </w:p>
    <w:p>
      <w:pPr>
        <w:pStyle w:val="Footnotesection"/>
      </w:pPr>
      <w:r>
        <w:tab/>
        <w:t>[Section 286 inserted: No. 26 of 2020 s. 4.]</w:t>
      </w:r>
    </w:p>
    <w:p>
      <w:pPr>
        <w:pStyle w:val="Heading2"/>
      </w:pPr>
      <w:bookmarkStart w:id="899" w:name="_Toc155165141"/>
      <w:bookmarkStart w:id="900" w:name="_Toc135041222"/>
      <w:bookmarkStart w:id="901" w:name="_Toc135041691"/>
      <w:bookmarkStart w:id="902" w:name="_Toc135132846"/>
      <w:r>
        <w:rPr>
          <w:rStyle w:val="CharPartNo"/>
        </w:rPr>
        <w:t>Part 18</w:t>
      </w:r>
      <w:r>
        <w:rPr>
          <w:rStyle w:val="CharDivNo"/>
        </w:rPr>
        <w:t> </w:t>
      </w:r>
      <w:r>
        <w:t>—</w:t>
      </w:r>
      <w:r>
        <w:rPr>
          <w:rStyle w:val="CharDivText"/>
        </w:rPr>
        <w:t> </w:t>
      </w:r>
      <w:r>
        <w:rPr>
          <w:rStyle w:val="CharPartText"/>
        </w:rPr>
        <w:t>Extension of time for endorsement of diagram or plan of survey due to COVID</w:t>
      </w:r>
      <w:r>
        <w:rPr>
          <w:rStyle w:val="CharPartText"/>
        </w:rPr>
        <w:noBreakHyphen/>
        <w:t>19 pandemic</w:t>
      </w:r>
      <w:bookmarkEnd w:id="899"/>
      <w:bookmarkEnd w:id="900"/>
      <w:bookmarkEnd w:id="901"/>
      <w:bookmarkEnd w:id="902"/>
    </w:p>
    <w:p>
      <w:pPr>
        <w:pStyle w:val="Footnoteheading"/>
      </w:pPr>
      <w:r>
        <w:tab/>
        <w:t>[Heading inserted: No. 26 of 2020 s. 4.]</w:t>
      </w:r>
    </w:p>
    <w:p>
      <w:pPr>
        <w:pStyle w:val="Heading5"/>
      </w:pPr>
      <w:bookmarkStart w:id="903" w:name="_Toc155165142"/>
      <w:bookmarkStart w:id="904" w:name="_Toc135132847"/>
      <w:r>
        <w:rPr>
          <w:rStyle w:val="CharSectno"/>
        </w:rPr>
        <w:t>287</w:t>
      </w:r>
      <w:r>
        <w:t>.</w:t>
      </w:r>
      <w:r>
        <w:tab/>
        <w:t>Term used: COVID</w:t>
      </w:r>
      <w:r>
        <w:noBreakHyphen/>
        <w:t>19 emergency start date</w:t>
      </w:r>
      <w:bookmarkEnd w:id="903"/>
      <w:bookmarkEnd w:id="904"/>
    </w:p>
    <w:p>
      <w:pPr>
        <w:pStyle w:val="Subsection"/>
      </w:pPr>
      <w:r>
        <w:tab/>
      </w:r>
      <w:r>
        <w:tab/>
        <w:t xml:space="preserve">In this Part — </w:t>
      </w:r>
    </w:p>
    <w:p>
      <w:pPr>
        <w:pStyle w:val="Defstart"/>
      </w:pPr>
      <w:r>
        <w:tab/>
      </w:r>
      <w:r>
        <w:rPr>
          <w:rStyle w:val="CharDefText"/>
        </w:rPr>
        <w:t>COVID</w:t>
      </w:r>
      <w:r>
        <w:rPr>
          <w:rStyle w:val="CharDefText"/>
        </w:rPr>
        <w:noBreakHyphen/>
        <w:t>19 emergency start date</w:t>
      </w:r>
      <w:r>
        <w:t xml:space="preserve"> means 16 March 2020, being the day on which the state of emergency declaration under the </w:t>
      </w:r>
      <w:r>
        <w:rPr>
          <w:i/>
        </w:rPr>
        <w:t>Emergency Management Act 2005</w:t>
      </w:r>
      <w:r>
        <w:t xml:space="preserve"> section 56 in relation to the COVID</w:t>
      </w:r>
      <w:r>
        <w:noBreakHyphen/>
        <w:t>19 pandemic came into effect.</w:t>
      </w:r>
    </w:p>
    <w:p>
      <w:pPr>
        <w:pStyle w:val="Footnotesection"/>
      </w:pPr>
      <w:r>
        <w:tab/>
        <w:t>[Section 287 inserted: No. 26 of 2020 s. 4.]</w:t>
      </w:r>
    </w:p>
    <w:p>
      <w:pPr>
        <w:pStyle w:val="Heading5"/>
      </w:pPr>
      <w:bookmarkStart w:id="905" w:name="_Toc155165143"/>
      <w:bookmarkStart w:id="906" w:name="_Toc135132848"/>
      <w:r>
        <w:rPr>
          <w:rStyle w:val="CharSectno"/>
        </w:rPr>
        <w:t>288</w:t>
      </w:r>
      <w:r>
        <w:t>.</w:t>
      </w:r>
      <w:r>
        <w:tab/>
        <w:t>Extension of time for endorsement of diagram or plan of survey of approved subdivision</w:t>
      </w:r>
      <w:bookmarkEnd w:id="905"/>
      <w:bookmarkEnd w:id="906"/>
    </w:p>
    <w:p>
      <w:pPr>
        <w:pStyle w:val="Subsection"/>
      </w:pPr>
      <w:r>
        <w:tab/>
        <w:t>(1)</w:t>
      </w:r>
      <w:r>
        <w:tab/>
        <w:t xml:space="preserve">This section applies to — </w:t>
      </w:r>
    </w:p>
    <w:p>
      <w:pPr>
        <w:pStyle w:val="Indenta"/>
      </w:pPr>
      <w:r>
        <w:tab/>
        <w:t>(a)</w:t>
      </w:r>
      <w:r>
        <w:tab/>
        <w:t>a plan of subdivision approved by the Commission under section 143(1)(a) or (c) before the COVID</w:t>
      </w:r>
      <w:r>
        <w:noBreakHyphen/>
        <w:t xml:space="preserve">19 emergency start date if, immediately before that date — </w:t>
      </w:r>
    </w:p>
    <w:p>
      <w:pPr>
        <w:pStyle w:val="Indenti"/>
      </w:pPr>
      <w:r>
        <w:tab/>
        <w:t>(i)</w:t>
      </w:r>
      <w:r>
        <w:tab/>
        <w:t>the Commission had not endorsed its approval on the diagram or plan of survey of the subdivision under section 145(4); and</w:t>
      </w:r>
    </w:p>
    <w:p>
      <w:pPr>
        <w:pStyle w:val="Indenti"/>
      </w:pPr>
      <w:r>
        <w:tab/>
        <w:t>(ii)</w:t>
      </w:r>
      <w:r>
        <w:tab/>
        <w:t>the approval of the plan of subdivision had not ceased to have effect under section 145(7);</w:t>
      </w:r>
    </w:p>
    <w:p>
      <w:pPr>
        <w:pStyle w:val="Indenta"/>
      </w:pPr>
      <w:r>
        <w:tab/>
      </w:r>
      <w:r>
        <w:tab/>
        <w:t>or</w:t>
      </w:r>
    </w:p>
    <w:p>
      <w:pPr>
        <w:pStyle w:val="Indenta"/>
      </w:pPr>
      <w:r>
        <w:tab/>
        <w:t>(b)</w:t>
      </w:r>
      <w:r>
        <w:tab/>
        <w:t>a plan of subdivision approved by the Commission under section 143(1)(a) or (c) on or after the COVID</w:t>
      </w:r>
      <w:r>
        <w:noBreakHyphen/>
        <w:t>19 emergency start date if the application for the Commission’s approval of the plan of subdivision was made before that date.</w:t>
      </w:r>
    </w:p>
    <w:p>
      <w:pPr>
        <w:pStyle w:val="Subsection"/>
      </w:pPr>
      <w:r>
        <w:tab/>
        <w:t>(2)</w:t>
      </w:r>
      <w:r>
        <w:tab/>
        <w:t xml:space="preserve">Despite any provision of Part 10 Division 2, the period within which the person to whom the approval of the plan of subdivision was given under section 143(1)(a) or (c) must submit, and request approval of, a diagram or plan of survey of the subdivision under section 145(1) is, and is taken always to have been — </w:t>
      </w:r>
    </w:p>
    <w:p>
      <w:pPr>
        <w:pStyle w:val="Indenta"/>
      </w:pPr>
      <w:r>
        <w:tab/>
        <w:t>(a)</w:t>
      </w:r>
      <w:r>
        <w:tab/>
        <w:t>in relation to a plan of subdivision creating more than 5 lots — the period of 6 years beginning on the day on which the Commission approved the plan of subdivision; and</w:t>
      </w:r>
    </w:p>
    <w:p>
      <w:pPr>
        <w:pStyle w:val="Indenta"/>
      </w:pPr>
      <w:r>
        <w:tab/>
        <w:t>(b)</w:t>
      </w:r>
      <w:r>
        <w:tab/>
        <w:t>in any other case — the period of 5 years beginning on the day on which the Commission approved the plan of subdivision.</w:t>
      </w:r>
    </w:p>
    <w:p>
      <w:pPr>
        <w:pStyle w:val="Subsection"/>
      </w:pPr>
      <w:r>
        <w:tab/>
        <w:t>(3)</w:t>
      </w:r>
      <w:r>
        <w:tab/>
        <w:t xml:space="preserve">The Commission cannot, after the coming into operation of the </w:t>
      </w:r>
      <w:r>
        <w:rPr>
          <w:i/>
        </w:rPr>
        <w:t xml:space="preserve">Planning and Development Amendment Act 2020 </w:t>
      </w:r>
      <w:r>
        <w:t>Part 12 Division 1, grant an extension under section 145A in relation to the plan of subdivision.</w:t>
      </w:r>
    </w:p>
    <w:p>
      <w:pPr>
        <w:pStyle w:val="Footnotesection"/>
        <w:rPr>
          <w:rStyle w:val="CharDivText"/>
        </w:rPr>
      </w:pPr>
      <w:r>
        <w:tab/>
        <w:t>[Section 288 inserted: No. 26 of 2020 s. 4.]</w:t>
      </w:r>
    </w:p>
    <w:p>
      <w:pPr>
        <w:pStyle w:val="Heading2"/>
      </w:pPr>
      <w:bookmarkStart w:id="907" w:name="_Toc155165144"/>
      <w:bookmarkStart w:id="908" w:name="_Toc135041225"/>
      <w:bookmarkStart w:id="909" w:name="_Toc135041694"/>
      <w:bookmarkStart w:id="910" w:name="_Toc135132849"/>
      <w:r>
        <w:rPr>
          <w:rStyle w:val="CharPartNo"/>
        </w:rPr>
        <w:t>Part 19</w:t>
      </w:r>
      <w:r>
        <w:t> — </w:t>
      </w:r>
      <w:r>
        <w:rPr>
          <w:rStyle w:val="CharPartText"/>
        </w:rPr>
        <w:t>Transitional provisions</w:t>
      </w:r>
      <w:bookmarkEnd w:id="907"/>
      <w:bookmarkEnd w:id="908"/>
      <w:bookmarkEnd w:id="909"/>
      <w:bookmarkEnd w:id="910"/>
    </w:p>
    <w:p>
      <w:pPr>
        <w:pStyle w:val="Footnoteheading"/>
      </w:pPr>
      <w:r>
        <w:tab/>
        <w:t>[Heading inserted: No. 26 of 2020 s. 105; amended: No. 17 of 2022 s. 13.]</w:t>
      </w:r>
    </w:p>
    <w:p>
      <w:pPr>
        <w:pStyle w:val="Heading3"/>
      </w:pPr>
      <w:bookmarkStart w:id="911" w:name="_Toc155165145"/>
      <w:bookmarkStart w:id="912" w:name="_Toc135041226"/>
      <w:bookmarkStart w:id="913" w:name="_Toc135041695"/>
      <w:bookmarkStart w:id="914" w:name="_Toc135132850"/>
      <w:r>
        <w:rPr>
          <w:rStyle w:val="CharDivNo"/>
        </w:rPr>
        <w:t>Division 1</w:t>
      </w:r>
      <w:r>
        <w:t> — </w:t>
      </w:r>
      <w:r>
        <w:rPr>
          <w:rStyle w:val="CharDivText"/>
        </w:rPr>
        <w:t xml:space="preserve">Provisions for </w:t>
      </w:r>
      <w:r>
        <w:rPr>
          <w:rStyle w:val="CharDivText"/>
          <w:i/>
        </w:rPr>
        <w:t>Planning and Development Amendment Act 2020</w:t>
      </w:r>
      <w:bookmarkEnd w:id="911"/>
      <w:bookmarkEnd w:id="912"/>
      <w:bookmarkEnd w:id="913"/>
      <w:bookmarkEnd w:id="914"/>
    </w:p>
    <w:p>
      <w:pPr>
        <w:pStyle w:val="Footnoteheading"/>
      </w:pPr>
      <w:r>
        <w:tab/>
        <w:t>[Heading inserted: No. 17 of 2022 s. 14.]</w:t>
      </w:r>
    </w:p>
    <w:p>
      <w:pPr>
        <w:pStyle w:val="Heading5"/>
      </w:pPr>
      <w:bookmarkStart w:id="915" w:name="_Toc155165146"/>
      <w:bookmarkStart w:id="916" w:name="_Toc135132851"/>
      <w:r>
        <w:rPr>
          <w:rStyle w:val="CharSectno"/>
        </w:rPr>
        <w:t>289</w:t>
      </w:r>
      <w:r>
        <w:t>.</w:t>
      </w:r>
      <w:r>
        <w:tab/>
        <w:t>LDAP or JDAP continues as district DAP</w:t>
      </w:r>
      <w:bookmarkEnd w:id="915"/>
      <w:bookmarkEnd w:id="916"/>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3 comes into operation;</w:t>
      </w:r>
    </w:p>
    <w:p>
      <w:pPr>
        <w:pStyle w:val="Defstart"/>
      </w:pPr>
      <w:r>
        <w:tab/>
      </w:r>
      <w:r>
        <w:rPr>
          <w:rStyle w:val="CharDefText"/>
        </w:rPr>
        <w:t>JDAP</w:t>
      </w:r>
      <w:r>
        <w:t xml:space="preserve"> has the meaning given in section 4(1) as in force immediately before commencement day;</w:t>
      </w:r>
    </w:p>
    <w:p>
      <w:pPr>
        <w:pStyle w:val="Defstart"/>
      </w:pPr>
      <w:r>
        <w:tab/>
      </w:r>
      <w:r>
        <w:rPr>
          <w:rStyle w:val="CharDefText"/>
        </w:rPr>
        <w:t>LDAP</w:t>
      </w:r>
      <w:r>
        <w:t xml:space="preserve"> has the meaning given in section 4(1) as in force immediately before commencement day.</w:t>
      </w:r>
    </w:p>
    <w:p>
      <w:pPr>
        <w:pStyle w:val="Subsection"/>
      </w:pPr>
      <w:r>
        <w:tab/>
        <w:t>(2)</w:t>
      </w:r>
      <w:r>
        <w:tab/>
        <w:t>If, immediately before commencement day, there is an LDAP for a district, the LDAP is taken, on and after commencement day, to be a district DAP established under section 171C(1)(a) for the district.</w:t>
      </w:r>
    </w:p>
    <w:p>
      <w:pPr>
        <w:pStyle w:val="Subsection"/>
      </w:pPr>
      <w:r>
        <w:tab/>
        <w:t>(3)</w:t>
      </w:r>
      <w:r>
        <w:tab/>
        <w:t>If, immediately before commencement day, there is a JDAP for 2 or more districts, the JDAP is taken, on and after commencement day, to be a district DAP established under section 171C(1)(a) for those districts.</w:t>
      </w:r>
    </w:p>
    <w:p>
      <w:pPr>
        <w:pStyle w:val="Subsection"/>
      </w:pPr>
      <w:r>
        <w:tab/>
        <w:t>(4)</w:t>
      </w:r>
      <w:r>
        <w:tab/>
        <w:t>An order establishing an LDAP or a JDAP to which subsection (2) or (3) applies continues to have effect on and after commencement day as if it were an order establishing a district DAP under section 171C(1)(a) and may be amended or revoked accordingly.</w:t>
      </w:r>
    </w:p>
    <w:p>
      <w:pPr>
        <w:pStyle w:val="Footnotesection"/>
      </w:pPr>
      <w:r>
        <w:tab/>
        <w:t>[Section 289 inserted: No. 26 of 2020 s. 105.]</w:t>
      </w:r>
    </w:p>
    <w:p>
      <w:pPr>
        <w:pStyle w:val="Heading5"/>
      </w:pPr>
      <w:bookmarkStart w:id="917" w:name="_Toc155165147"/>
      <w:bookmarkStart w:id="918" w:name="_Toc135132852"/>
      <w:r>
        <w:rPr>
          <w:rStyle w:val="CharSectno"/>
        </w:rPr>
        <w:t>290</w:t>
      </w:r>
      <w:r>
        <w:t>.</w:t>
      </w:r>
      <w:r>
        <w:tab/>
        <w:t>Preparation and approval of planning schemes where process commenced before commencement day</w:t>
      </w:r>
      <w:bookmarkEnd w:id="917"/>
      <w:bookmarkEnd w:id="918"/>
    </w:p>
    <w:p>
      <w:pPr>
        <w:pStyle w:val="Subsection"/>
      </w:pPr>
      <w:r>
        <w:tab/>
        <w:t>(1)</w:t>
      </w:r>
      <w:r>
        <w:tab/>
        <w:t xml:space="preserve">In this section — </w:t>
      </w:r>
    </w:p>
    <w:p>
      <w:pPr>
        <w:pStyle w:val="Defstart"/>
      </w:pPr>
      <w:r>
        <w:tab/>
      </w:r>
      <w:r>
        <w:rPr>
          <w:rStyle w:val="CharDefText"/>
        </w:rPr>
        <w:t>amended Act</w:t>
      </w:r>
      <w:r>
        <w:t xml:space="preserve"> means this Act as amended by the </w:t>
      </w:r>
      <w:r>
        <w:rPr>
          <w:i/>
        </w:rPr>
        <w:t>Planning and Development Amendment Act 2020</w:t>
      </w:r>
      <w:r>
        <w:t xml:space="preserve"> Part 6 Division 1;</w:t>
      </w:r>
    </w:p>
    <w:p>
      <w:pPr>
        <w:pStyle w:val="Defstart"/>
      </w:pPr>
      <w:r>
        <w:tab/>
      </w:r>
      <w:r>
        <w:rPr>
          <w:rStyle w:val="CharDefText"/>
        </w:rPr>
        <w:t>commencement day</w:t>
      </w:r>
      <w:r>
        <w:t xml:space="preserve"> means the day on which the </w:t>
      </w:r>
      <w:r>
        <w:rPr>
          <w:i/>
        </w:rPr>
        <w:t>Planning and Development Amendment Act 2020</w:t>
      </w:r>
      <w:r>
        <w:t xml:space="preserve"> Part 6 Division 1 comes into operation;</w:t>
      </w:r>
    </w:p>
    <w:p>
      <w:pPr>
        <w:pStyle w:val="Defstart"/>
      </w:pPr>
      <w:r>
        <w:tab/>
      </w:r>
      <w:r>
        <w:rPr>
          <w:rStyle w:val="CharDefText"/>
        </w:rPr>
        <w:t>former Act</w:t>
      </w:r>
      <w:r>
        <w:t xml:space="preserve"> means this Act as in force immediately before commencement day;</w:t>
      </w:r>
    </w:p>
    <w:p>
      <w:pPr>
        <w:pStyle w:val="Defstart"/>
      </w:pPr>
      <w:r>
        <w:tab/>
      </w:r>
      <w:r>
        <w:rPr>
          <w:rStyle w:val="CharDefText"/>
        </w:rPr>
        <w:t>preparation and approval process</w:t>
      </w:r>
      <w:r>
        <w:t xml:space="preserve">, in relation to a planning scheme or amendment to a planning scheme — </w:t>
      </w:r>
    </w:p>
    <w:p>
      <w:pPr>
        <w:pStyle w:val="Defpara"/>
      </w:pPr>
      <w:r>
        <w:tab/>
        <w:t>(a)</w:t>
      </w:r>
      <w:r>
        <w:tab/>
        <w:t>means the process for the preparation or adoption, submission and approval of the scheme or amendment; and</w:t>
      </w:r>
    </w:p>
    <w:p>
      <w:pPr>
        <w:pStyle w:val="Defpara"/>
      </w:pPr>
      <w:r>
        <w:tab/>
        <w:t>(b)</w:t>
      </w:r>
      <w:r>
        <w:tab/>
        <w:t>includes, without limitation, any consultation, referral, advertisement, hearings, reports and consideration of submissions that occur as part of that process.</w:t>
      </w:r>
    </w:p>
    <w:p>
      <w:pPr>
        <w:pStyle w:val="Subsection"/>
      </w:pPr>
      <w:r>
        <w:tab/>
        <w:t>(2)</w:t>
      </w:r>
      <w:r>
        <w:tab/>
        <w:t xml:space="preserve">The regulations may make provision for how the preparation and approval process for a planning scheme or an amendment to a planning scheme is to be completed if — </w:t>
      </w:r>
    </w:p>
    <w:p>
      <w:pPr>
        <w:pStyle w:val="Indenta"/>
      </w:pPr>
      <w:r>
        <w:tab/>
        <w:t>(a)</w:t>
      </w:r>
      <w:r>
        <w:tab/>
        <w:t>1 or more steps in the preparation and approval process for the scheme or amendment are taken before commencement day under the former Act; but</w:t>
      </w:r>
    </w:p>
    <w:p>
      <w:pPr>
        <w:pStyle w:val="Indenta"/>
      </w:pPr>
      <w:r>
        <w:tab/>
        <w:t>(b)</w:t>
      </w:r>
      <w:r>
        <w:tab/>
        <w:t>the scheme or amendment is not approved under the former Act before commencement day.</w:t>
      </w:r>
    </w:p>
    <w:p>
      <w:pPr>
        <w:pStyle w:val="Subsection"/>
      </w:pPr>
      <w:r>
        <w:tab/>
        <w:t>(3)</w:t>
      </w:r>
      <w:r>
        <w:tab/>
        <w:t>Without limiting subsection (2), the regulations may provide that any requirement of the preparation and approval process under the amended Act is taken to be satisfied in relation to a planning scheme or amendment referred to in that subsection in circumstances prescribed by the regulations.</w:t>
      </w:r>
    </w:p>
    <w:p>
      <w:pPr>
        <w:pStyle w:val="Footnotesection"/>
      </w:pPr>
      <w:r>
        <w:tab/>
        <w:t>[Section 290 inserted: No. 26 of 2020 s. 105.]</w:t>
      </w:r>
    </w:p>
    <w:p>
      <w:pPr>
        <w:pStyle w:val="Heading5"/>
      </w:pPr>
      <w:bookmarkStart w:id="919" w:name="_Toc155165148"/>
      <w:bookmarkStart w:id="920" w:name="_Toc135132853"/>
      <w:r>
        <w:rPr>
          <w:rStyle w:val="CharSectno"/>
        </w:rPr>
        <w:t>291</w:t>
      </w:r>
      <w:r>
        <w:t>.</w:t>
      </w:r>
      <w:r>
        <w:tab/>
        <w:t>R</w:t>
      </w:r>
      <w:r>
        <w:noBreakHyphen/>
        <w:t>Codes taken to be planning codes</w:t>
      </w:r>
      <w:bookmarkEnd w:id="919"/>
      <w:bookmarkEnd w:id="920"/>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section 65 comes into operation;</w:t>
      </w:r>
    </w:p>
    <w:p>
      <w:pPr>
        <w:pStyle w:val="Defstart"/>
      </w:pPr>
      <w:r>
        <w:tab/>
      </w:r>
      <w:r>
        <w:rPr>
          <w:rStyle w:val="CharDefText"/>
        </w:rPr>
        <w:t>R</w:t>
      </w:r>
      <w:r>
        <w:rPr>
          <w:rStyle w:val="CharDefText"/>
        </w:rPr>
        <w:noBreakHyphen/>
        <w:t>Codes</w:t>
      </w:r>
      <w:r>
        <w:t xml:space="preserve"> means the Residential Design Codes prepared as a State planning policy under section 26(1), as in force immediately before commencement day.</w:t>
      </w:r>
    </w:p>
    <w:p>
      <w:pPr>
        <w:pStyle w:val="Subsection"/>
      </w:pPr>
      <w:r>
        <w:tab/>
        <w:t>(2)</w:t>
      </w:r>
      <w:r>
        <w:tab/>
        <w:t>On and after commencement day, the R</w:t>
      </w:r>
      <w:r>
        <w:noBreakHyphen/>
        <w:t>Codes are taken to be planning codes.</w:t>
      </w:r>
    </w:p>
    <w:p>
      <w:pPr>
        <w:pStyle w:val="Subsection"/>
      </w:pPr>
      <w:r>
        <w:tab/>
        <w:t>(3)</w:t>
      </w:r>
      <w:r>
        <w:tab/>
        <w:t>Subsection (2) does not prevent the R</w:t>
      </w:r>
      <w:r>
        <w:noBreakHyphen/>
        <w:t>Codes from being amended or repealed under Part 3A.</w:t>
      </w:r>
    </w:p>
    <w:p>
      <w:pPr>
        <w:pStyle w:val="Subsection"/>
      </w:pPr>
      <w:r>
        <w:tab/>
        <w:t>(4)</w:t>
      </w:r>
      <w:r>
        <w:tab/>
        <w:t>A provision included before commencement day in a local planning scheme under section 77(1)(b), or an improvement scheme under section 77(1)(b) as it applies under section 122B(1), in relation to the R</w:t>
      </w:r>
      <w:r>
        <w:noBreakHyphen/>
        <w:t>Codes as State planning policies continues to apply on and after commencement day in relation to the R</w:t>
      </w:r>
      <w:r>
        <w:noBreakHyphen/>
        <w:t>Codes as planning codes.</w:t>
      </w:r>
    </w:p>
    <w:p>
      <w:pPr>
        <w:pStyle w:val="Footnotesection"/>
      </w:pPr>
      <w:r>
        <w:tab/>
        <w:t>[Section 291 inserted: No. 26 of 2020 s. 105.]</w:t>
      </w:r>
    </w:p>
    <w:p>
      <w:pPr>
        <w:pStyle w:val="Heading5"/>
      </w:pPr>
      <w:bookmarkStart w:id="921" w:name="_Toc155165149"/>
      <w:bookmarkStart w:id="922" w:name="_Toc135132854"/>
      <w:r>
        <w:rPr>
          <w:rStyle w:val="CharSectno"/>
        </w:rPr>
        <w:t>292</w:t>
      </w:r>
      <w:r>
        <w:t>.</w:t>
      </w:r>
      <w:r>
        <w:tab/>
        <w:t>Regulations made by Minister continue in force</w:t>
      </w:r>
      <w:bookmarkEnd w:id="921"/>
      <w:bookmarkEnd w:id="922"/>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8 comes into operation.</w:t>
      </w:r>
    </w:p>
    <w:p>
      <w:pPr>
        <w:pStyle w:val="Subsection"/>
      </w:pPr>
      <w:r>
        <w:tab/>
        <w:t>(2)</w:t>
      </w:r>
      <w:r>
        <w:tab/>
        <w:t>Regulations made by the Minister under section 256 before commencement day continue to have effect on and after commencement day as if they were made by the Governor under section 256 and may be amended or repealed accordingly.</w:t>
      </w:r>
    </w:p>
    <w:p>
      <w:pPr>
        <w:pStyle w:val="Subsection"/>
      </w:pPr>
      <w:r>
        <w:tab/>
        <w:t>(3)</w:t>
      </w:r>
      <w:r>
        <w:tab/>
        <w:t>Regulations made by the Minister under section 258 before commencement day continue to have effect on and after commencement day as if they were made by the Governor under section 258 and may be amended or repealed accordingly.</w:t>
      </w:r>
    </w:p>
    <w:p>
      <w:pPr>
        <w:pStyle w:val="Subsection"/>
      </w:pPr>
      <w:r>
        <w:tab/>
        <w:t>(4)</w:t>
      </w:r>
      <w:r>
        <w:tab/>
        <w:t>Regulations made by the Minister under section 259 before commencement day continue to have effect on and after commencement day as if they were made by the Governor under section 259 and may be amended or repealed accordingly.</w:t>
      </w:r>
    </w:p>
    <w:p>
      <w:pPr>
        <w:pStyle w:val="Footnotesection"/>
      </w:pPr>
      <w:r>
        <w:tab/>
        <w:t>[Section 292 inserted: No. 26 of 2020 s. 105.]</w:t>
      </w:r>
    </w:p>
    <w:p>
      <w:pPr>
        <w:pStyle w:val="Heading5"/>
      </w:pPr>
      <w:bookmarkStart w:id="923" w:name="_Toc155165150"/>
      <w:bookmarkStart w:id="924" w:name="_Toc135132855"/>
      <w:r>
        <w:rPr>
          <w:rStyle w:val="CharSectno"/>
        </w:rPr>
        <w:t>293</w:t>
      </w:r>
      <w:r>
        <w:t>.</w:t>
      </w:r>
      <w:r>
        <w:tab/>
        <w:t>Electronic planning maps prepared before commencement day</w:t>
      </w:r>
      <w:bookmarkEnd w:id="923"/>
      <w:bookmarkEnd w:id="924"/>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Part 14 comes into operation.</w:t>
      </w:r>
    </w:p>
    <w:p>
      <w:pPr>
        <w:pStyle w:val="Subsection"/>
      </w:pPr>
      <w:r>
        <w:tab/>
        <w:t>(2)</w:t>
      </w:r>
      <w:r>
        <w:tab/>
        <w:t>This section applies if, before commencement day, a map that forms part of a planning instrument (as defined in section 267B(1)) has been prepared as an electronic map.</w:t>
      </w:r>
    </w:p>
    <w:p>
      <w:pPr>
        <w:pStyle w:val="Subsection"/>
      </w:pPr>
      <w:r>
        <w:tab/>
        <w:t>(3)</w:t>
      </w:r>
      <w:r>
        <w:tab/>
        <w:t>The Commission may, in writing, approve the electronic map if the Commission is satisfied that it substantially complies with the requirements for electronic planning maps under section 267B(3) to (5).</w:t>
      </w:r>
    </w:p>
    <w:p>
      <w:pPr>
        <w:pStyle w:val="Subsection"/>
      </w:pPr>
      <w:r>
        <w:tab/>
        <w:t>(4)</w:t>
      </w:r>
      <w:r>
        <w:tab/>
        <w:t>On and after commencement day, a map approved under subsection (3) is taken to be an electronic planning map prepared in accordance with section 267B.</w:t>
      </w:r>
    </w:p>
    <w:p>
      <w:pPr>
        <w:pStyle w:val="Subsection"/>
      </w:pPr>
      <w:r>
        <w:tab/>
        <w:t>(5)</w:t>
      </w:r>
      <w:r>
        <w:tab/>
        <w:t>A reference in subsection (2) or (3) to a subsection of section 267B is, before commencement day, a reference to that subsection as it will be in force on commencement day.</w:t>
      </w:r>
    </w:p>
    <w:p>
      <w:pPr>
        <w:pStyle w:val="Footnotesection"/>
      </w:pPr>
      <w:r>
        <w:tab/>
        <w:t>[Section 293 inserted: No. 26 of 2020 s. 105.]</w:t>
      </w:r>
    </w:p>
    <w:p>
      <w:pPr>
        <w:pStyle w:val="Heading5"/>
      </w:pPr>
      <w:bookmarkStart w:id="925" w:name="_Toc155165151"/>
      <w:bookmarkStart w:id="926" w:name="_Toc135132856"/>
      <w:r>
        <w:rPr>
          <w:rStyle w:val="CharSectno"/>
        </w:rPr>
        <w:t>294</w:t>
      </w:r>
      <w:r>
        <w:t>.</w:t>
      </w:r>
      <w:r>
        <w:tab/>
        <w:t>Transitional regulations</w:t>
      </w:r>
      <w:bookmarkEnd w:id="925"/>
      <w:bookmarkEnd w:id="926"/>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keepNext/>
      </w:pPr>
      <w:r>
        <w:tab/>
      </w:r>
      <w:r>
        <w:rPr>
          <w:rStyle w:val="CharDefText"/>
        </w:rPr>
        <w:t>transitional matter</w:t>
      </w:r>
      <w:r>
        <w:t xml:space="preserve"> — </w:t>
      </w:r>
    </w:p>
    <w:p>
      <w:pPr>
        <w:pStyle w:val="Defpara"/>
      </w:pPr>
      <w:r>
        <w:tab/>
        <w:t>(a)</w:t>
      </w:r>
      <w:r>
        <w:tab/>
        <w:t xml:space="preserve">means a matter or issue of a transitional nature that arises as a result of any of the amendments to this Act made by the </w:t>
      </w:r>
      <w:r>
        <w:rPr>
          <w:i/>
        </w:rPr>
        <w:t>Planning and Development Amendment Act 2020</w:t>
      </w:r>
      <w:r>
        <w:t>; and</w:t>
      </w:r>
    </w:p>
    <w:p>
      <w:pPr>
        <w:pStyle w:val="Defpara"/>
      </w:pPr>
      <w:r>
        <w:tab/>
        <w:t>(b)</w:t>
      </w:r>
      <w:r>
        <w:tab/>
        <w:t>includes a saving or application matter.</w:t>
      </w:r>
    </w:p>
    <w:p>
      <w:pPr>
        <w:pStyle w:val="Subsection"/>
      </w:pPr>
      <w:r>
        <w:tab/>
        <w:t>(2)</w:t>
      </w:r>
      <w:r>
        <w:tab/>
        <w:t>If there is not sufficient provision in this Act for dealing with a transitional matter, regulations may prescribe all matters that are required, or are necessary or convenient, to be prescribed for dealing with the matter.</w:t>
      </w:r>
    </w:p>
    <w:p>
      <w:pPr>
        <w:pStyle w:val="Subsection"/>
      </w:pPr>
      <w:r>
        <w:tab/>
        <w:t>(3)</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the day on which the </w:t>
      </w:r>
      <w:r>
        <w:rPr>
          <w:i/>
        </w:rPr>
        <w:t>Planning and Development Amendment Act 2020</w:t>
      </w:r>
      <w:r>
        <w:t xml:space="preserve"> Part 17 comes into operation, the regulations have effect according to their terms.</w:t>
      </w:r>
    </w:p>
    <w:p>
      <w:pPr>
        <w:pStyle w:val="Subsection"/>
      </w:pPr>
      <w:r>
        <w:tab/>
        <w:t>(4)</w:t>
      </w:r>
      <w:r>
        <w:tab/>
        <w:t xml:space="preserve">If regulations made under subsection (2) contain a provision of a kind described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294 inserted: No. 26 of 2020 s. 105.]</w:t>
      </w:r>
    </w:p>
    <w:p>
      <w:pPr>
        <w:pStyle w:val="Heading3"/>
      </w:pPr>
      <w:bookmarkStart w:id="927" w:name="_Toc155165152"/>
      <w:bookmarkStart w:id="928" w:name="_Toc135041233"/>
      <w:bookmarkStart w:id="929" w:name="_Toc135041702"/>
      <w:bookmarkStart w:id="930" w:name="_Toc135132857"/>
      <w:r>
        <w:rPr>
          <w:rStyle w:val="CharDivNo"/>
        </w:rPr>
        <w:t>Division 2</w:t>
      </w:r>
      <w:r>
        <w:t> — </w:t>
      </w:r>
      <w:r>
        <w:rPr>
          <w:rStyle w:val="CharDivText"/>
        </w:rPr>
        <w:t xml:space="preserve">Provisions for </w:t>
      </w:r>
      <w:r>
        <w:rPr>
          <w:rStyle w:val="CharDivText"/>
          <w:i/>
        </w:rPr>
        <w:t>Planning and Development Amendment Act 2022</w:t>
      </w:r>
      <w:bookmarkEnd w:id="927"/>
      <w:bookmarkEnd w:id="928"/>
      <w:bookmarkEnd w:id="929"/>
      <w:bookmarkEnd w:id="930"/>
    </w:p>
    <w:p>
      <w:pPr>
        <w:pStyle w:val="Footnoteheading"/>
        <w:keepNext/>
      </w:pPr>
      <w:r>
        <w:tab/>
        <w:t>[Heading inserted: No. 17 of 2022 s. 15.]</w:t>
      </w:r>
    </w:p>
    <w:p>
      <w:pPr>
        <w:pStyle w:val="Heading5"/>
      </w:pPr>
      <w:bookmarkStart w:id="931" w:name="_Toc155165153"/>
      <w:bookmarkStart w:id="932" w:name="_Toc135132858"/>
      <w:r>
        <w:rPr>
          <w:rStyle w:val="CharSectno"/>
        </w:rPr>
        <w:t>295</w:t>
      </w:r>
      <w:r>
        <w:t>.</w:t>
      </w:r>
      <w:r>
        <w:tab/>
        <w:t>Amendments to development approvals</w:t>
      </w:r>
      <w:bookmarkEnd w:id="931"/>
      <w:bookmarkEnd w:id="932"/>
    </w:p>
    <w:p>
      <w:pPr>
        <w:pStyle w:val="Subsection"/>
      </w:pPr>
      <w:r>
        <w:tab/>
      </w:r>
      <w:r>
        <w:tab/>
        <w:t xml:space="preserve">The amendments made by the </w:t>
      </w:r>
      <w:r>
        <w:rPr>
          <w:i/>
        </w:rPr>
        <w:t>Planning and Development Amendment Act 2022</w:t>
      </w:r>
      <w:r>
        <w:t xml:space="preserve"> sections 9 to 12 apply to an approval for development whether granted by the Commission before, on or after the day on which those sections come into operation.</w:t>
      </w:r>
    </w:p>
    <w:p>
      <w:pPr>
        <w:pStyle w:val="Footnotesection"/>
      </w:pPr>
      <w:r>
        <w:tab/>
        <w:t>[Section 295 inserted: No. 17 of 2022 s. 15.]</w:t>
      </w:r>
    </w:p>
    <w:p>
      <w:pPr>
        <w:pStyle w:val="Heading5"/>
      </w:pPr>
      <w:bookmarkStart w:id="933" w:name="_Toc155165154"/>
      <w:bookmarkStart w:id="934" w:name="_Toc135132859"/>
      <w:r>
        <w:rPr>
          <w:rStyle w:val="CharSectno"/>
        </w:rPr>
        <w:t>296</w:t>
      </w:r>
      <w:r>
        <w:t>.</w:t>
      </w:r>
      <w:r>
        <w:tab/>
        <w:t>Fees</w:t>
      </w:r>
      <w:bookmarkEnd w:id="933"/>
      <w:bookmarkEnd w:id="934"/>
    </w:p>
    <w:p>
      <w:pPr>
        <w:pStyle w:val="Subsection"/>
      </w:pPr>
      <w:r>
        <w:tab/>
        <w:t>(1)</w:t>
      </w:r>
      <w:r>
        <w:tab/>
        <w:t xml:space="preserve">The development applications (as defined in section 269(1)) to which the </w:t>
      </w:r>
      <w:r>
        <w:rPr>
          <w:i/>
        </w:rPr>
        <w:t>Planning and Development (Part 17 Fees) Notice 2020</w:t>
      </w:r>
      <w:r>
        <w:t xml:space="preserve"> clause 4(1)(a) and (2) apply (subject to clause 4(5)) include a development application (as defined in section 269(1)) to be determined by the Commission under section 274 as a result of an amendment made to Part 17 by the </w:t>
      </w:r>
      <w:r>
        <w:rPr>
          <w:i/>
        </w:rPr>
        <w:t>Planning and Development Amendment Act 2022</w:t>
      </w:r>
      <w:r>
        <w:t>.</w:t>
      </w:r>
    </w:p>
    <w:p>
      <w:pPr>
        <w:pStyle w:val="Subsection"/>
      </w:pPr>
      <w:r>
        <w:tab/>
        <w:t>(2)</w:t>
      </w:r>
      <w:r>
        <w:tab/>
        <w:t xml:space="preserve">The applications made under section 279(2) to which the </w:t>
      </w:r>
      <w:r>
        <w:rPr>
          <w:i/>
        </w:rPr>
        <w:t>Planning and Development (Part 17 Fees) Notice 2020</w:t>
      </w:r>
      <w:r>
        <w:t xml:space="preserve"> clause 4(1)(b) applies include an application made under section 279(2) for an amendment of the kind referred to in section 279(2)(aa) as inserted by the </w:t>
      </w:r>
      <w:r>
        <w:rPr>
          <w:i/>
        </w:rPr>
        <w:t>Planning and Development Amendment Act 2022</w:t>
      </w:r>
      <w:r>
        <w:t>.</w:t>
      </w:r>
    </w:p>
    <w:p>
      <w:pPr>
        <w:pStyle w:val="Subsection"/>
      </w:pPr>
      <w:r>
        <w:tab/>
        <w:t>(3)</w:t>
      </w:r>
      <w:r>
        <w:tab/>
        <w:t xml:space="preserve">This section does not limit or otherwise affect the Minister’s power to amend, repeal or replace the </w:t>
      </w:r>
      <w:r>
        <w:rPr>
          <w:i/>
        </w:rPr>
        <w:t xml:space="preserve">Planning and Development (Part 17 Fees) Notice 2020 </w:t>
      </w:r>
      <w:r>
        <w:t>by a further notice published under section 285.</w:t>
      </w:r>
    </w:p>
    <w:p>
      <w:pPr>
        <w:pStyle w:val="Footnotesection"/>
      </w:pPr>
      <w:r>
        <w:tab/>
        <w:t>[Section 296 inserted: No. 17 of 2022 s. 15.]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935" w:name="_Toc155165155"/>
      <w:bookmarkStart w:id="936" w:name="_Toc135041236"/>
      <w:bookmarkStart w:id="937" w:name="_Toc135041705"/>
      <w:bookmarkStart w:id="938" w:name="_Toc135132860"/>
      <w:r>
        <w:rPr>
          <w:rStyle w:val="CharSchNo"/>
        </w:rPr>
        <w:t>Schedule 1</w:t>
      </w:r>
      <w:r>
        <w:rPr>
          <w:rStyle w:val="CharSDivNo"/>
        </w:rPr>
        <w:t> </w:t>
      </w:r>
      <w:r>
        <w:t>—</w:t>
      </w:r>
      <w:r>
        <w:rPr>
          <w:rStyle w:val="CharSDivText"/>
        </w:rPr>
        <w:t> </w:t>
      </w:r>
      <w:r>
        <w:rPr>
          <w:rStyle w:val="CharSchText"/>
        </w:rPr>
        <w:t>Constitution and proceedings of the Board</w:t>
      </w:r>
      <w:bookmarkEnd w:id="935"/>
      <w:bookmarkEnd w:id="936"/>
      <w:bookmarkEnd w:id="937"/>
      <w:bookmarkEnd w:id="938"/>
    </w:p>
    <w:p>
      <w:pPr>
        <w:pStyle w:val="yShoulderClause"/>
      </w:pPr>
      <w:r>
        <w:t>[s. 12]</w:t>
      </w:r>
    </w:p>
    <w:p>
      <w:pPr>
        <w:pStyle w:val="yHeading5"/>
      </w:pPr>
      <w:bookmarkStart w:id="939" w:name="_Toc155165156"/>
      <w:bookmarkStart w:id="940" w:name="_Toc135132861"/>
      <w:r>
        <w:rPr>
          <w:rStyle w:val="CharSClsNo"/>
        </w:rPr>
        <w:t>1</w:t>
      </w:r>
      <w:r>
        <w:t>.</w:t>
      </w:r>
      <w:r>
        <w:tab/>
        <w:t>Term used: appointed member</w:t>
      </w:r>
      <w:bookmarkEnd w:id="939"/>
      <w:bookmarkEnd w:id="940"/>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pPr>
      <w:bookmarkStart w:id="941" w:name="_Toc155165157"/>
      <w:bookmarkStart w:id="942" w:name="_Toc135132862"/>
      <w:r>
        <w:rPr>
          <w:rStyle w:val="CharSClsNo"/>
        </w:rPr>
        <w:t>2</w:t>
      </w:r>
      <w:r>
        <w:t>.</w:t>
      </w:r>
      <w:r>
        <w:tab/>
        <w:t>Term of office</w:t>
      </w:r>
      <w:bookmarkEnd w:id="941"/>
      <w:bookmarkEnd w:id="942"/>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pPr>
      <w:bookmarkStart w:id="943" w:name="_Toc155165158"/>
      <w:bookmarkStart w:id="944" w:name="_Toc135132863"/>
      <w:r>
        <w:rPr>
          <w:rStyle w:val="CharSClsNo"/>
        </w:rPr>
        <w:t>3</w:t>
      </w:r>
      <w:r>
        <w:t>.</w:t>
      </w:r>
      <w:r>
        <w:tab/>
        <w:t>Appointments to be part-time unless stated otherwise</w:t>
      </w:r>
      <w:bookmarkEnd w:id="943"/>
      <w:bookmarkEnd w:id="944"/>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pPr>
      <w:bookmarkStart w:id="945" w:name="_Toc155165159"/>
      <w:bookmarkStart w:id="946" w:name="_Toc135132864"/>
      <w:r>
        <w:rPr>
          <w:rStyle w:val="CharSClsNo"/>
        </w:rPr>
        <w:t>4</w:t>
      </w:r>
      <w:r>
        <w:t>.</w:t>
      </w:r>
      <w:r>
        <w:tab/>
        <w:t>Vacancies in and removal from office</w:t>
      </w:r>
      <w:bookmarkEnd w:id="945"/>
      <w:bookmarkEnd w:id="946"/>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pPr>
      <w:bookmarkStart w:id="947" w:name="_Toc155165160"/>
      <w:bookmarkStart w:id="948" w:name="_Toc135132865"/>
      <w:r>
        <w:rPr>
          <w:rStyle w:val="CharSClsNo"/>
        </w:rPr>
        <w:t>5</w:t>
      </w:r>
      <w:r>
        <w:t>.</w:t>
      </w:r>
      <w:r>
        <w:tab/>
        <w:t>Leave of absence</w:t>
      </w:r>
      <w:bookmarkEnd w:id="947"/>
      <w:bookmarkEnd w:id="948"/>
    </w:p>
    <w:p>
      <w:pPr>
        <w:pStyle w:val="ySubsection"/>
      </w:pPr>
      <w:r>
        <w:tab/>
      </w:r>
      <w:r>
        <w:tab/>
        <w:t>The Minister may grant leave of absence to a member on such terms and conditions as the Minister thinks fit.</w:t>
      </w:r>
    </w:p>
    <w:p>
      <w:pPr>
        <w:pStyle w:val="yHeading5"/>
        <w:spacing w:before="180"/>
      </w:pPr>
      <w:bookmarkStart w:id="949" w:name="_Toc155165161"/>
      <w:bookmarkStart w:id="950" w:name="_Toc135132866"/>
      <w:r>
        <w:rPr>
          <w:rStyle w:val="CharSClsNo"/>
        </w:rPr>
        <w:t>6</w:t>
      </w:r>
      <w:r>
        <w:t>.</w:t>
      </w:r>
      <w:r>
        <w:tab/>
        <w:t>Deputy chairperson</w:t>
      </w:r>
      <w:bookmarkEnd w:id="949"/>
      <w:bookmarkEnd w:id="950"/>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pPr>
      <w:bookmarkStart w:id="951" w:name="_Toc155165162"/>
      <w:bookmarkStart w:id="952" w:name="_Toc135132867"/>
      <w:r>
        <w:rPr>
          <w:rStyle w:val="CharSClsNo"/>
        </w:rPr>
        <w:t>7</w:t>
      </w:r>
      <w:r>
        <w:t>.</w:t>
      </w:r>
      <w:r>
        <w:tab/>
        <w:t>Deputy members</w:t>
      </w:r>
      <w:bookmarkEnd w:id="951"/>
      <w:bookmarkEnd w:id="952"/>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pPr>
      <w:bookmarkStart w:id="953" w:name="_Toc155165163"/>
      <w:bookmarkStart w:id="954" w:name="_Toc135132868"/>
      <w:r>
        <w:rPr>
          <w:rStyle w:val="CharSClsNo"/>
        </w:rPr>
        <w:t>8</w:t>
      </w:r>
      <w:r>
        <w:t>.</w:t>
      </w:r>
      <w:r>
        <w:tab/>
        <w:t>Meetings</w:t>
      </w:r>
      <w:bookmarkEnd w:id="953"/>
      <w:bookmarkEnd w:id="954"/>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pPr>
      <w:bookmarkStart w:id="955" w:name="_Toc155165164"/>
      <w:bookmarkStart w:id="956" w:name="_Toc135132869"/>
      <w:r>
        <w:rPr>
          <w:rStyle w:val="CharSClsNo"/>
        </w:rPr>
        <w:t>9</w:t>
      </w:r>
      <w:r>
        <w:t>.</w:t>
      </w:r>
      <w:r>
        <w:tab/>
        <w:t>Resolution without meeting</w:t>
      </w:r>
      <w:bookmarkEnd w:id="955"/>
      <w:bookmarkEnd w:id="956"/>
    </w:p>
    <w:p>
      <w:pPr>
        <w:pStyle w:val="ySubsection"/>
      </w:pPr>
      <w:r>
        <w:tab/>
      </w:r>
      <w:r>
        <w:tab/>
        <w:t>A written resolution signed by each member or assented to by each member by letter or facsimile is as effectual as if it had been passed at a meeting of the board.</w:t>
      </w:r>
    </w:p>
    <w:p>
      <w:pPr>
        <w:pStyle w:val="yHeading5"/>
      </w:pPr>
      <w:bookmarkStart w:id="957" w:name="_Toc155165165"/>
      <w:bookmarkStart w:id="958" w:name="_Toc135132870"/>
      <w:r>
        <w:rPr>
          <w:rStyle w:val="CharSClsNo"/>
        </w:rPr>
        <w:t>10</w:t>
      </w:r>
      <w:r>
        <w:t>.</w:t>
      </w:r>
      <w:r>
        <w:tab/>
        <w:t>Telephone or similar meetings</w:t>
      </w:r>
      <w:bookmarkEnd w:id="957"/>
      <w:bookmarkEnd w:id="958"/>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pPr>
      <w:bookmarkStart w:id="959" w:name="_Toc155165166"/>
      <w:bookmarkStart w:id="960" w:name="_Toc135132871"/>
      <w:r>
        <w:rPr>
          <w:rStyle w:val="CharSClsNo"/>
        </w:rPr>
        <w:t>11</w:t>
      </w:r>
      <w:r>
        <w:t>.</w:t>
      </w:r>
      <w:r>
        <w:tab/>
        <w:t>Minutes of meetings</w:t>
      </w:r>
      <w:bookmarkEnd w:id="959"/>
      <w:bookmarkEnd w:id="960"/>
    </w:p>
    <w:p>
      <w:pPr>
        <w:pStyle w:val="ySubsection"/>
      </w:pPr>
      <w:r>
        <w:tab/>
      </w:r>
      <w:r>
        <w:tab/>
        <w:t>The board is to cause accurate records to be kept of the proceedings at its meetings.</w:t>
      </w:r>
    </w:p>
    <w:p>
      <w:pPr>
        <w:pStyle w:val="yHeading5"/>
      </w:pPr>
      <w:bookmarkStart w:id="961" w:name="_Toc155165167"/>
      <w:bookmarkStart w:id="962" w:name="_Toc135132872"/>
      <w:r>
        <w:rPr>
          <w:rStyle w:val="CharSClsNo"/>
        </w:rPr>
        <w:t>12</w:t>
      </w:r>
      <w:r>
        <w:t>.</w:t>
      </w:r>
      <w:r>
        <w:tab/>
        <w:t>Procedures</w:t>
      </w:r>
      <w:bookmarkEnd w:id="961"/>
      <w:bookmarkEnd w:id="962"/>
    </w:p>
    <w:p>
      <w:pPr>
        <w:pStyle w:val="ySubsection"/>
      </w:pPr>
      <w:r>
        <w:tab/>
      </w:r>
      <w:r>
        <w:tab/>
        <w:t>Subject to this Act, the board is to determine its own procedures.</w:t>
      </w:r>
    </w:p>
    <w:p>
      <w:pPr>
        <w:pStyle w:val="yScheduleHeading"/>
      </w:pPr>
      <w:bookmarkStart w:id="963" w:name="_Toc155165168"/>
      <w:bookmarkStart w:id="964" w:name="_Toc135041249"/>
      <w:bookmarkStart w:id="965" w:name="_Toc135041718"/>
      <w:bookmarkStart w:id="966" w:name="_Toc135132873"/>
      <w:r>
        <w:rPr>
          <w:rStyle w:val="CharSchNo"/>
        </w:rPr>
        <w:t>Schedule 2</w:t>
      </w:r>
      <w:r>
        <w:rPr>
          <w:rStyle w:val="CharSDivNo"/>
        </w:rPr>
        <w:t> </w:t>
      </w:r>
      <w:r>
        <w:t>—</w:t>
      </w:r>
      <w:r>
        <w:rPr>
          <w:rStyle w:val="CharSDivText"/>
        </w:rPr>
        <w:t> </w:t>
      </w:r>
      <w:r>
        <w:rPr>
          <w:rStyle w:val="CharSchText"/>
        </w:rPr>
        <w:t>Committees</w:t>
      </w:r>
      <w:bookmarkEnd w:id="963"/>
      <w:bookmarkEnd w:id="964"/>
      <w:bookmarkEnd w:id="965"/>
      <w:bookmarkEnd w:id="966"/>
    </w:p>
    <w:p>
      <w:pPr>
        <w:pStyle w:val="yShoulderClause"/>
      </w:pPr>
      <w:r>
        <w:t>[s. 19]</w:t>
      </w:r>
    </w:p>
    <w:p>
      <w:pPr>
        <w:pStyle w:val="yHeading5"/>
      </w:pPr>
      <w:bookmarkStart w:id="967" w:name="_Toc155165169"/>
      <w:bookmarkStart w:id="968" w:name="_Toc135132874"/>
      <w:r>
        <w:rPr>
          <w:rStyle w:val="CharSClsNo"/>
        </w:rPr>
        <w:t>1</w:t>
      </w:r>
      <w:r>
        <w:t>.</w:t>
      </w:r>
      <w:r>
        <w:tab/>
        <w:t>Committees, general provisions as to</w:t>
      </w:r>
      <w:bookmarkEnd w:id="967"/>
      <w:bookmarkEnd w:id="968"/>
    </w:p>
    <w:p>
      <w:pPr>
        <w:pStyle w:val="ySubsection"/>
      </w:pPr>
      <w:r>
        <w:tab/>
        <w:t>(1)</w:t>
      </w:r>
      <w:r>
        <w:tab/>
        <w:t xml:space="preserve">In addition to the committees established under clauses 3 to 9 and the </w:t>
      </w:r>
      <w:r>
        <w:rPr>
          <w:i/>
        </w:rPr>
        <w:t>Swan Valley Planning Act 2020</w:t>
      </w:r>
      <w:r>
        <w:t xml:space="preserve"> section 33, the Commission may from time to time establish other committees.</w:t>
      </w:r>
    </w:p>
    <w:p>
      <w:pPr>
        <w:pStyle w:val="ySubsection"/>
      </w:pPr>
      <w:r>
        <w:tab/>
        <w:t>(2)</w:t>
      </w:r>
      <w:r>
        <w:tab/>
        <w:t xml:space="preserve">Subject to this Schedule and the </w:t>
      </w:r>
      <w:r>
        <w:rPr>
          <w:i/>
        </w:rPr>
        <w:t>Swan Valley Planning Act 2020</w:t>
      </w:r>
      <w:r>
        <w:t xml:space="preserv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 xml:space="preserve">Subject to the directions of the Commission and to the terms of any delegation under section 16 or the </w:t>
      </w:r>
      <w:r>
        <w:rPr>
          <w:i/>
        </w:rPr>
        <w:t>Swan Valley Planning Act 2020</w:t>
      </w:r>
      <w:r>
        <w:t xml:space="preserve"> section 34, a committee may determine its own procedures.</w:t>
      </w:r>
    </w:p>
    <w:p>
      <w:pPr>
        <w:pStyle w:val="yFootnotesection"/>
      </w:pPr>
      <w:r>
        <w:tab/>
        <w:t>[Clause 1 amended: No. 45 of 2020 s. 94.]</w:t>
      </w:r>
    </w:p>
    <w:p>
      <w:pPr>
        <w:pStyle w:val="yHeading5"/>
      </w:pPr>
      <w:bookmarkStart w:id="969" w:name="_Toc155165170"/>
      <w:bookmarkStart w:id="970" w:name="_Toc135132875"/>
      <w:r>
        <w:rPr>
          <w:rStyle w:val="CharSClsNo"/>
        </w:rPr>
        <w:t>2</w:t>
      </w:r>
      <w:r>
        <w:t>.</w:t>
      </w:r>
      <w:r>
        <w:tab/>
        <w:t>Deputy members for local government representatives</w:t>
      </w:r>
      <w:bookmarkEnd w:id="969"/>
      <w:bookmarkEnd w:id="970"/>
    </w:p>
    <w:p>
      <w:pPr>
        <w:pStyle w:val="ySubsection"/>
      </w:pPr>
      <w:r>
        <w:tab/>
        <w:t>(1)</w:t>
      </w:r>
      <w:r>
        <w:tab/>
        <w:t xml:space="preserve">The Commission, with the approval of the Minister, may appoint a person to be a deputy of a member of a committee appointed under clause 4(2)(f), 5(2)(f), 6(2)(j), 7(2)(h) or (i) or 8(2)(d) or under the </w:t>
      </w:r>
      <w:r>
        <w:rPr>
          <w:i/>
        </w:rPr>
        <w:t>Swan Valley Planning Act 2020</w:t>
      </w:r>
      <w:r>
        <w:t xml:space="preserve"> section 33(2)(c).</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Footnotesection"/>
      </w:pPr>
      <w:r>
        <w:tab/>
        <w:t>[Clause 2 amended: No. 45 of 2020 s. 95.]</w:t>
      </w:r>
    </w:p>
    <w:p>
      <w:pPr>
        <w:pStyle w:val="yHeading5"/>
      </w:pPr>
      <w:bookmarkStart w:id="971" w:name="_Toc155165171"/>
      <w:bookmarkStart w:id="972" w:name="_Toc135132876"/>
      <w:r>
        <w:rPr>
          <w:rStyle w:val="CharSClsNo"/>
        </w:rPr>
        <w:t>3</w:t>
      </w:r>
      <w:r>
        <w:t>.</w:t>
      </w:r>
      <w:r>
        <w:tab/>
        <w:t>Executive, Finance and Property Committee</w:t>
      </w:r>
      <w:bookmarkEnd w:id="971"/>
      <w:bookmarkEnd w:id="972"/>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pPr>
      <w:bookmarkStart w:id="973" w:name="_Toc155165172"/>
      <w:bookmarkStart w:id="974" w:name="_Toc135132877"/>
      <w:r>
        <w:rPr>
          <w:rStyle w:val="CharSClsNo"/>
        </w:rPr>
        <w:t>4</w:t>
      </w:r>
      <w:r>
        <w:t>.</w:t>
      </w:r>
      <w:r>
        <w:tab/>
        <w:t>Statutory Planning Committee</w:t>
      </w:r>
      <w:bookmarkEnd w:id="973"/>
      <w:bookmarkEnd w:id="974"/>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w:t>
      </w:r>
      <w:r>
        <w:rPr>
          <w:szCs w:val="22"/>
        </w:rPr>
        <w:t xml:space="preserve">Part 3 </w:t>
      </w:r>
      <w:r>
        <w:t xml:space="preserve">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w:t>
      </w:r>
      <w:r>
        <w:rPr>
          <w:szCs w:val="22"/>
        </w:rPr>
        <w:t>Part 3</w:t>
      </w:r>
      <w:r>
        <w:t xml:space="preserve">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Footnotesection"/>
      </w:pPr>
      <w:r>
        <w:tab/>
        <w:t>[Clause 4 amended: No. 30 of 2018 s. 170.]</w:t>
      </w:r>
    </w:p>
    <w:p>
      <w:pPr>
        <w:pStyle w:val="yHeading5"/>
      </w:pPr>
      <w:bookmarkStart w:id="975" w:name="_Toc155165173"/>
      <w:bookmarkStart w:id="976" w:name="_Toc135132878"/>
      <w:r>
        <w:rPr>
          <w:rStyle w:val="CharSClsNo"/>
        </w:rPr>
        <w:t>5</w:t>
      </w:r>
      <w:r>
        <w:t>.</w:t>
      </w:r>
      <w:r>
        <w:tab/>
        <w:t>Sustainable Transport Committee</w:t>
      </w:r>
      <w:bookmarkEnd w:id="975"/>
      <w:bookmarkEnd w:id="976"/>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Ednotesection"/>
        <w:rPr>
          <w:b/>
        </w:rPr>
      </w:pPr>
      <w:r>
        <w:t>[</w:t>
      </w:r>
      <w:r>
        <w:rPr>
          <w:b/>
        </w:rPr>
        <w:t>6.</w:t>
      </w:r>
      <w:r>
        <w:tab/>
        <w:t>Deleted by No. 13 of 2019 s. 76(2).]</w:t>
      </w:r>
    </w:p>
    <w:p>
      <w:pPr>
        <w:pStyle w:val="yHeading5"/>
      </w:pPr>
      <w:bookmarkStart w:id="977" w:name="_Toc155165174"/>
      <w:bookmarkStart w:id="978" w:name="_Toc135132879"/>
      <w:r>
        <w:rPr>
          <w:rStyle w:val="CharSClsNo"/>
        </w:rPr>
        <w:t>7</w:t>
      </w:r>
      <w:r>
        <w:t>.</w:t>
      </w:r>
      <w:r>
        <w:tab/>
        <w:t>Coastal Planning and Coordination Council</w:t>
      </w:r>
      <w:bookmarkEnd w:id="977"/>
      <w:bookmarkEnd w:id="978"/>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No. 8 of 2009 s. 100(6).]</w:t>
      </w:r>
    </w:p>
    <w:p>
      <w:pPr>
        <w:pStyle w:val="yHeading5"/>
      </w:pPr>
      <w:bookmarkStart w:id="979" w:name="_Toc155165175"/>
      <w:bookmarkStart w:id="980" w:name="_Toc135132880"/>
      <w:r>
        <w:rPr>
          <w:rStyle w:val="CharSClsNo"/>
        </w:rPr>
        <w:t>8</w:t>
      </w:r>
      <w:r>
        <w:t>.</w:t>
      </w:r>
      <w:r>
        <w:tab/>
        <w:t>Regional planning committees</w:t>
      </w:r>
      <w:bookmarkEnd w:id="979"/>
      <w:bookmarkEnd w:id="980"/>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pPr>
      <w:bookmarkStart w:id="981" w:name="_Toc155165176"/>
      <w:bookmarkStart w:id="982" w:name="_Toc135132881"/>
      <w:r>
        <w:rPr>
          <w:rStyle w:val="CharSClsNo"/>
        </w:rPr>
        <w:t>9</w:t>
      </w:r>
      <w:r>
        <w:t>.</w:t>
      </w:r>
      <w:r>
        <w:tab/>
        <w:t>District planning committees</w:t>
      </w:r>
      <w:bookmarkEnd w:id="981"/>
      <w:bookmarkEnd w:id="982"/>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1"/>
          <w:headerReference w:type="default" r:id="rId22"/>
          <w:endnotePr>
            <w:numFmt w:val="decimal"/>
          </w:endnotePr>
          <w:pgSz w:w="11907" w:h="16840" w:code="9"/>
          <w:pgMar w:top="2381" w:right="2410" w:bottom="3544" w:left="2410" w:header="720" w:footer="3544" w:gutter="0"/>
          <w:cols w:space="720"/>
          <w:docGrid w:linePitch="326"/>
        </w:sectPr>
      </w:pPr>
    </w:p>
    <w:p>
      <w:pPr>
        <w:pStyle w:val="yScheduleHeading"/>
      </w:pPr>
      <w:bookmarkStart w:id="984" w:name="_Toc155165177"/>
      <w:bookmarkStart w:id="985" w:name="_Toc135041258"/>
      <w:bookmarkStart w:id="986" w:name="_Toc135041727"/>
      <w:bookmarkStart w:id="987" w:name="_Toc135132882"/>
      <w:r>
        <w:rPr>
          <w:rStyle w:val="CharSchNo"/>
        </w:rPr>
        <w:t>Schedule 3</w:t>
      </w:r>
      <w:r>
        <w:rPr>
          <w:rStyle w:val="CharSDivNo"/>
        </w:rPr>
        <w:t> </w:t>
      </w:r>
      <w:r>
        <w:t>—</w:t>
      </w:r>
      <w:r>
        <w:rPr>
          <w:rStyle w:val="CharSDivText"/>
        </w:rPr>
        <w:t> </w:t>
      </w:r>
      <w:r>
        <w:rPr>
          <w:rStyle w:val="CharSchText"/>
        </w:rPr>
        <w:t>Metropolitan region</w:t>
      </w:r>
      <w:bookmarkEnd w:id="984"/>
      <w:bookmarkEnd w:id="985"/>
      <w:bookmarkEnd w:id="986"/>
      <w:bookmarkEnd w:id="987"/>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4</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No. 60 of 2006 s. 147(8).]</w:t>
      </w:r>
    </w:p>
    <w:p>
      <w:pPr>
        <w:pStyle w:val="yScheduleHeading"/>
      </w:pPr>
      <w:bookmarkStart w:id="988" w:name="_Toc155165178"/>
      <w:bookmarkStart w:id="989" w:name="_Toc135041259"/>
      <w:bookmarkStart w:id="990" w:name="_Toc135041728"/>
      <w:bookmarkStart w:id="991" w:name="_Toc135132883"/>
      <w:r>
        <w:rPr>
          <w:rStyle w:val="CharSchNo"/>
        </w:rPr>
        <w:t>Schedule 4</w:t>
      </w:r>
      <w:r>
        <w:rPr>
          <w:rStyle w:val="CharSDivNo"/>
        </w:rPr>
        <w:t> </w:t>
      </w:r>
      <w:r>
        <w:t>—</w:t>
      </w:r>
      <w:r>
        <w:rPr>
          <w:rStyle w:val="CharSDivText"/>
        </w:rPr>
        <w:t> </w:t>
      </w:r>
      <w:r>
        <w:rPr>
          <w:rStyle w:val="CharSchText"/>
        </w:rPr>
        <w:t>Other regions</w:t>
      </w:r>
      <w:bookmarkEnd w:id="988"/>
      <w:bookmarkEnd w:id="989"/>
      <w:bookmarkEnd w:id="990"/>
      <w:bookmarkEnd w:id="991"/>
    </w:p>
    <w:p>
      <w:pPr>
        <w:pStyle w:val="yShoulderClause"/>
      </w:pPr>
      <w:r>
        <w:t>[s. 4, 11]</w:t>
      </w:r>
    </w:p>
    <w:p>
      <w:pPr>
        <w:pStyle w:val="yMiscellaneousHeading"/>
        <w:tabs>
          <w:tab w:val="left" w:pos="912"/>
        </w:tabs>
        <w:jc w:val="both"/>
        <w:rPr>
          <w:b/>
          <w:i/>
        </w:rPr>
      </w:pPr>
      <w:r>
        <w:rPr>
          <w:b/>
          <w:i/>
        </w:rPr>
        <w:t>Item</w:t>
      </w:r>
      <w:r>
        <w:rPr>
          <w:b/>
          <w:i/>
        </w:rPr>
        <w:tab/>
        <w:t>Region</w:t>
      </w:r>
    </w:p>
    <w:p>
      <w:pPr>
        <w:pStyle w:val="yHeading5"/>
      </w:pPr>
      <w:bookmarkStart w:id="992" w:name="_Toc155165179"/>
      <w:bookmarkStart w:id="993" w:name="_Toc135132884"/>
      <w:r>
        <w:rPr>
          <w:rStyle w:val="CharSClsNo"/>
        </w:rPr>
        <w:t>1</w:t>
      </w:r>
      <w:r>
        <w:t>.</w:t>
      </w:r>
      <w:r>
        <w:tab/>
        <w:t>Gascoyne Region</w:t>
      </w:r>
      <w:bookmarkEnd w:id="992"/>
      <w:bookmarkEnd w:id="993"/>
    </w:p>
    <w:p>
      <w:pPr>
        <w:pStyle w:val="ySubsection"/>
      </w:pPr>
      <w:r>
        <w:rPr>
          <w:b/>
        </w:rPr>
        <w:tab/>
      </w:r>
      <w:r>
        <w:rPr>
          <w:b/>
        </w:rPr>
        <w:tab/>
      </w:r>
      <w:r>
        <w:t>The districts of Carnarvon, Exmouth, Shark Bay and Upper Gascoyne.</w:t>
      </w:r>
    </w:p>
    <w:p>
      <w:pPr>
        <w:pStyle w:val="yHeading5"/>
      </w:pPr>
      <w:bookmarkStart w:id="994" w:name="_Toc155165180"/>
      <w:bookmarkStart w:id="995" w:name="_Toc135132885"/>
      <w:r>
        <w:rPr>
          <w:rStyle w:val="CharSClsNo"/>
        </w:rPr>
        <w:t>2</w:t>
      </w:r>
      <w:r>
        <w:t>.</w:t>
      </w:r>
      <w:r>
        <w:rPr>
          <w:b w:val="0"/>
        </w:rPr>
        <w:tab/>
      </w:r>
      <w:r>
        <w:t>Goldfields</w:t>
      </w:r>
      <w:r>
        <w:noBreakHyphen/>
        <w:t>Esperance Region</w:t>
      </w:r>
      <w:bookmarkEnd w:id="994"/>
      <w:bookmarkEnd w:id="995"/>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pPr>
      <w:bookmarkStart w:id="996" w:name="_Toc155165181"/>
      <w:bookmarkStart w:id="997" w:name="_Toc135132886"/>
      <w:r>
        <w:rPr>
          <w:rStyle w:val="CharSClsNo"/>
        </w:rPr>
        <w:t>3</w:t>
      </w:r>
      <w:r>
        <w:t>.</w:t>
      </w:r>
      <w:r>
        <w:tab/>
        <w:t>Great Southern Region</w:t>
      </w:r>
      <w:bookmarkEnd w:id="996"/>
      <w:bookmarkEnd w:id="997"/>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pPr>
      <w:bookmarkStart w:id="998" w:name="_Toc155165182"/>
      <w:bookmarkStart w:id="999" w:name="_Toc135132887"/>
      <w:r>
        <w:rPr>
          <w:rStyle w:val="CharSClsNo"/>
        </w:rPr>
        <w:t>4</w:t>
      </w:r>
      <w:r>
        <w:t>.</w:t>
      </w:r>
      <w:r>
        <w:tab/>
        <w:t>Kimberley Region</w:t>
      </w:r>
      <w:bookmarkEnd w:id="998"/>
      <w:bookmarkEnd w:id="999"/>
    </w:p>
    <w:p>
      <w:pPr>
        <w:pStyle w:val="ySubsection"/>
      </w:pPr>
      <w:r>
        <w:rPr>
          <w:b/>
        </w:rPr>
        <w:tab/>
      </w:r>
      <w:r>
        <w:rPr>
          <w:b/>
        </w:rPr>
        <w:tab/>
      </w:r>
      <w:r>
        <w:t>The districts of Broome, Derby</w:t>
      </w:r>
      <w:r>
        <w:noBreakHyphen/>
        <w:t>West Kimberley, Hall’s Creek and Wyndham</w:t>
      </w:r>
      <w:r>
        <w:noBreakHyphen/>
        <w:t>East Kimberley.</w:t>
      </w:r>
    </w:p>
    <w:p>
      <w:pPr>
        <w:pStyle w:val="yHeading5"/>
      </w:pPr>
      <w:bookmarkStart w:id="1000" w:name="_Toc155165183"/>
      <w:bookmarkStart w:id="1001" w:name="_Toc135132888"/>
      <w:r>
        <w:rPr>
          <w:rStyle w:val="CharSClsNo"/>
        </w:rPr>
        <w:t>5</w:t>
      </w:r>
      <w:r>
        <w:t>.</w:t>
      </w:r>
      <w:r>
        <w:tab/>
        <w:t>Mid West Region</w:t>
      </w:r>
      <w:bookmarkEnd w:id="1000"/>
      <w:bookmarkEnd w:id="1001"/>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pPr>
      <w:bookmarkStart w:id="1002" w:name="_Toc155165184"/>
      <w:bookmarkStart w:id="1003" w:name="_Toc135132889"/>
      <w:r>
        <w:rPr>
          <w:rStyle w:val="CharSClsNo"/>
        </w:rPr>
        <w:t>6</w:t>
      </w:r>
      <w:r>
        <w:t>.</w:t>
      </w:r>
      <w:r>
        <w:tab/>
        <w:t>Peel Region</w:t>
      </w:r>
      <w:bookmarkEnd w:id="1002"/>
      <w:bookmarkEnd w:id="1003"/>
    </w:p>
    <w:p>
      <w:pPr>
        <w:pStyle w:val="ySubsection"/>
      </w:pPr>
      <w:r>
        <w:rPr>
          <w:b/>
        </w:rPr>
        <w:tab/>
      </w:r>
      <w:r>
        <w:rPr>
          <w:b/>
        </w:rPr>
        <w:tab/>
      </w:r>
      <w:r>
        <w:t>The districts of Mandurah, Boddington, Murray and Waroona.</w:t>
      </w:r>
    </w:p>
    <w:p>
      <w:pPr>
        <w:pStyle w:val="yHeading5"/>
      </w:pPr>
      <w:bookmarkStart w:id="1004" w:name="_Toc155165185"/>
      <w:bookmarkStart w:id="1005" w:name="_Toc135132890"/>
      <w:r>
        <w:rPr>
          <w:rStyle w:val="CharSClsNo"/>
        </w:rPr>
        <w:t>7</w:t>
      </w:r>
      <w:r>
        <w:t>.</w:t>
      </w:r>
      <w:r>
        <w:tab/>
        <w:t>Pilbara Region</w:t>
      </w:r>
      <w:bookmarkEnd w:id="1004"/>
      <w:bookmarkEnd w:id="1005"/>
    </w:p>
    <w:p>
      <w:pPr>
        <w:pStyle w:val="ySubsection"/>
      </w:pPr>
      <w:r>
        <w:tab/>
      </w:r>
      <w:r>
        <w:tab/>
        <w:t>The districts of Port Hedland, Ashburton, East Pilbara and Roebourne</w:t>
      </w:r>
      <w:r>
        <w:rPr>
          <w:vertAlign w:val="superscript"/>
        </w:rPr>
        <w:t> 5</w:t>
      </w:r>
      <w:r>
        <w:t>.</w:t>
      </w:r>
    </w:p>
    <w:p>
      <w:pPr>
        <w:pStyle w:val="yHeading5"/>
      </w:pPr>
      <w:bookmarkStart w:id="1006" w:name="_Toc155165186"/>
      <w:bookmarkStart w:id="1007" w:name="_Toc135132891"/>
      <w:r>
        <w:rPr>
          <w:rStyle w:val="CharSClsNo"/>
        </w:rPr>
        <w:t>8</w:t>
      </w:r>
      <w:r>
        <w:t>.</w:t>
      </w:r>
      <w:r>
        <w:tab/>
        <w:t>South West Region</w:t>
      </w:r>
      <w:bookmarkEnd w:id="1006"/>
      <w:bookmarkEnd w:id="1007"/>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pPr>
      <w:bookmarkStart w:id="1008" w:name="_Toc155165187"/>
      <w:bookmarkStart w:id="1009" w:name="_Toc135132892"/>
      <w:r>
        <w:rPr>
          <w:rStyle w:val="CharSClsNo"/>
        </w:rPr>
        <w:t>9</w:t>
      </w:r>
      <w:r>
        <w:t>.</w:t>
      </w:r>
      <w:r>
        <w:tab/>
        <w:t>Wheatbelt Region</w:t>
      </w:r>
      <w:bookmarkEnd w:id="1008"/>
      <w:bookmarkEnd w:id="1009"/>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1010" w:name="_Toc155165188"/>
      <w:bookmarkStart w:id="1011" w:name="_Toc135041269"/>
      <w:bookmarkStart w:id="1012" w:name="_Toc135041738"/>
      <w:bookmarkStart w:id="1013" w:name="_Toc135132893"/>
      <w:r>
        <w:rPr>
          <w:rStyle w:val="CharSchNo"/>
        </w:rPr>
        <w:t>Schedule 5</w:t>
      </w:r>
      <w:r>
        <w:rPr>
          <w:rStyle w:val="CharSDivNo"/>
        </w:rPr>
        <w:t> </w:t>
      </w:r>
      <w:r>
        <w:t>—</w:t>
      </w:r>
      <w:r>
        <w:rPr>
          <w:rStyle w:val="CharSDivText"/>
        </w:rPr>
        <w:t> </w:t>
      </w:r>
      <w:r>
        <w:rPr>
          <w:rStyle w:val="CharSchText"/>
        </w:rPr>
        <w:t>Local governments — metropolitan region</w:t>
      </w:r>
      <w:bookmarkEnd w:id="1010"/>
      <w:bookmarkEnd w:id="1011"/>
      <w:bookmarkEnd w:id="1012"/>
      <w:bookmarkEnd w:id="1013"/>
    </w:p>
    <w:p>
      <w:pPr>
        <w:pStyle w:val="yShoulderClause"/>
      </w:pPr>
      <w:r>
        <w:t>[Sch. 2, cl. 9(1)(b)]</w:t>
      </w:r>
    </w:p>
    <w:p>
      <w:pPr>
        <w:pStyle w:val="yHeading5"/>
      </w:pPr>
      <w:bookmarkStart w:id="1014" w:name="_Toc155165189"/>
      <w:bookmarkStart w:id="1015" w:name="_Toc135132894"/>
      <w:r>
        <w:rPr>
          <w:rStyle w:val="CharSClsNo"/>
        </w:rPr>
        <w:t>1</w:t>
      </w:r>
      <w:r>
        <w:t>.</w:t>
      </w:r>
      <w:r>
        <w:tab/>
        <w:t>SOUTH</w:t>
      </w:r>
      <w:r>
        <w:noBreakHyphen/>
        <w:t>WEST GROUP</w:t>
      </w:r>
      <w:bookmarkEnd w:id="1014"/>
      <w:bookmarkEnd w:id="1015"/>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pPr>
      <w:bookmarkStart w:id="1016" w:name="_Toc155165190"/>
      <w:bookmarkStart w:id="1017" w:name="_Toc135132895"/>
      <w:r>
        <w:rPr>
          <w:rStyle w:val="CharSClsNo"/>
        </w:rPr>
        <w:t>2</w:t>
      </w:r>
      <w:r>
        <w:t>.</w:t>
      </w:r>
      <w:r>
        <w:tab/>
        <w:t>WESTERN SUBURBS GROUP</w:t>
      </w:r>
      <w:bookmarkEnd w:id="1016"/>
      <w:bookmarkEnd w:id="1017"/>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pPr>
      <w:bookmarkStart w:id="1018" w:name="_Toc155165191"/>
      <w:bookmarkStart w:id="1019" w:name="_Toc135132896"/>
      <w:r>
        <w:rPr>
          <w:rStyle w:val="CharSClsNo"/>
        </w:rPr>
        <w:t>3</w:t>
      </w:r>
      <w:r>
        <w:t>.</w:t>
      </w:r>
      <w:r>
        <w:tab/>
        <w:t>NORTH</w:t>
      </w:r>
      <w:r>
        <w:noBreakHyphen/>
        <w:t>WEST GROUP</w:t>
      </w:r>
      <w:bookmarkEnd w:id="1018"/>
      <w:bookmarkEnd w:id="1019"/>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r>
        <w:rPr>
          <w:vertAlign w:val="superscript"/>
        </w:rPr>
        <w:t> 6</w:t>
      </w:r>
    </w:p>
    <w:p>
      <w:pPr>
        <w:pStyle w:val="ySubsection"/>
        <w:tabs>
          <w:tab w:val="clear" w:pos="879"/>
          <w:tab w:val="left" w:pos="2268"/>
        </w:tabs>
      </w:pPr>
      <w:r>
        <w:tab/>
      </w:r>
      <w:r>
        <w:tab/>
        <w:t>City of Joondalup</w:t>
      </w:r>
    </w:p>
    <w:p>
      <w:pPr>
        <w:pStyle w:val="yHeading5"/>
      </w:pPr>
      <w:bookmarkStart w:id="1020" w:name="_Toc155165192"/>
      <w:bookmarkStart w:id="1021" w:name="_Toc135132897"/>
      <w:r>
        <w:rPr>
          <w:rStyle w:val="CharSClsNo"/>
        </w:rPr>
        <w:t>4</w:t>
      </w:r>
      <w:r>
        <w:t>.</w:t>
      </w:r>
      <w:r>
        <w:tab/>
        <w:t>SOUTH</w:t>
      </w:r>
      <w:r>
        <w:noBreakHyphen/>
        <w:t>EAST GROUP</w:t>
      </w:r>
      <w:bookmarkEnd w:id="1020"/>
      <w:bookmarkEnd w:id="1021"/>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pPr>
      <w:bookmarkStart w:id="1022" w:name="_Toc155165193"/>
      <w:bookmarkStart w:id="1023" w:name="_Toc135132898"/>
      <w:r>
        <w:rPr>
          <w:rStyle w:val="CharSClsNo"/>
        </w:rPr>
        <w:t>5</w:t>
      </w:r>
      <w:r>
        <w:t>.</w:t>
      </w:r>
      <w:r>
        <w:tab/>
        <w:t>EASTERN GROUP</w:t>
      </w:r>
      <w:bookmarkEnd w:id="1022"/>
      <w:bookmarkEnd w:id="1023"/>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pPr>
      <w:bookmarkStart w:id="1024" w:name="_Toc155165194"/>
      <w:bookmarkStart w:id="1025" w:name="_Toc135041275"/>
      <w:bookmarkStart w:id="1026" w:name="_Toc135041744"/>
      <w:bookmarkStart w:id="1027" w:name="_Toc135132899"/>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1024"/>
      <w:bookmarkEnd w:id="1025"/>
      <w:bookmarkEnd w:id="1026"/>
      <w:bookmarkEnd w:id="1027"/>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important regional roads and other roads that are necessary because of highways or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r>
        <w:trPr>
          <w:cantSplit/>
          <w:trHeight w:val="20"/>
        </w:trPr>
        <w:tc>
          <w:tcPr>
            <w:tcW w:w="993" w:type="dxa"/>
          </w:tcPr>
          <w:p>
            <w:pPr>
              <w:pStyle w:val="yTableNAm"/>
            </w:pPr>
            <w:r>
              <w:t>20.</w:t>
            </w:r>
          </w:p>
        </w:tc>
        <w:tc>
          <w:tcPr>
            <w:tcW w:w="4800" w:type="dxa"/>
          </w:tcPr>
          <w:p>
            <w:pPr>
              <w:pStyle w:val="yTableNAm"/>
            </w:pPr>
            <w:r>
              <w:t>Public transport</w:t>
            </w:r>
          </w:p>
        </w:tc>
      </w:tr>
    </w:tbl>
    <w:p>
      <w:pPr>
        <w:pStyle w:val="yFootnotesection"/>
        <w:rPr>
          <w:rStyle w:val="CharSchNo"/>
          <w:b/>
          <w:snapToGrid/>
        </w:rPr>
      </w:pPr>
      <w:r>
        <w:rPr>
          <w:rStyle w:val="CharSchNo"/>
        </w:rPr>
        <w:tab/>
        <w:t>[Schedule 6 amended: No. 26 of 2020 s. 103.]</w:t>
      </w:r>
    </w:p>
    <w:p>
      <w:pPr>
        <w:pStyle w:val="yFootnotesection"/>
        <w:rPr>
          <w:rStyle w:val="CharSchNo"/>
          <w:b/>
        </w:rPr>
        <w:sectPr>
          <w:headerReference w:type="even" r:id="rId23"/>
          <w:headerReference w:type="default" r:id="rId24"/>
          <w:endnotePr>
            <w:numFmt w:val="decimal"/>
          </w:endnotePr>
          <w:pgSz w:w="11907" w:h="16840" w:code="9"/>
          <w:pgMar w:top="2381" w:right="2410" w:bottom="3544" w:left="2410" w:header="720" w:footer="3544" w:gutter="0"/>
          <w:cols w:space="720"/>
          <w:docGrid w:linePitch="326"/>
        </w:sectPr>
      </w:pPr>
    </w:p>
    <w:p>
      <w:pPr>
        <w:pStyle w:val="yScheduleHeading"/>
      </w:pPr>
      <w:bookmarkStart w:id="1028" w:name="_Toc155165195"/>
      <w:bookmarkStart w:id="1029" w:name="_Toc135041276"/>
      <w:bookmarkStart w:id="1030" w:name="_Toc135041745"/>
      <w:bookmarkStart w:id="1031" w:name="_Toc135132900"/>
      <w:r>
        <w:rPr>
          <w:rStyle w:val="CharSchNo"/>
        </w:rPr>
        <w:t>Schedule 7</w:t>
      </w:r>
      <w:r>
        <w:rPr>
          <w:rStyle w:val="CharSDivNo"/>
        </w:rPr>
        <w:t> </w:t>
      </w:r>
      <w:r>
        <w:t>—</w:t>
      </w:r>
      <w:r>
        <w:rPr>
          <w:rStyle w:val="CharSDivText"/>
        </w:rPr>
        <w:t> </w:t>
      </w:r>
      <w:r>
        <w:rPr>
          <w:rStyle w:val="CharSchText"/>
        </w:rPr>
        <w:t>Matters which may be dealt with by planning scheme</w:t>
      </w:r>
      <w:bookmarkEnd w:id="1028"/>
      <w:bookmarkEnd w:id="1029"/>
      <w:bookmarkEnd w:id="1030"/>
      <w:bookmarkEnd w:id="1031"/>
    </w:p>
    <w:p>
      <w:pPr>
        <w:pStyle w:val="yShoulderClause"/>
      </w:pPr>
      <w:r>
        <w:t>[s. 69, 256(1)]</w:t>
      </w:r>
    </w:p>
    <w:p>
      <w:pPr>
        <w:pStyle w:val="yHeading5"/>
      </w:pPr>
      <w:bookmarkStart w:id="1032" w:name="_Toc155165196"/>
      <w:bookmarkStart w:id="1033" w:name="_Toc135132901"/>
      <w:r>
        <w:rPr>
          <w:rStyle w:val="CharSClsNo"/>
        </w:rPr>
        <w:t>1</w:t>
      </w:r>
      <w:r>
        <w:t>.</w:t>
      </w:r>
      <w:r>
        <w:tab/>
        <w:t>Generality preserved</w:t>
      </w:r>
      <w:bookmarkEnd w:id="1032"/>
      <w:bookmarkEnd w:id="1033"/>
    </w:p>
    <w:p>
      <w:pPr>
        <w:pStyle w:val="ySubsection"/>
      </w:pPr>
      <w:r>
        <w:tab/>
      </w:r>
      <w:r>
        <w:tab/>
        <w:t>The mention of a particular matter in this Schedule does not prejudice or affect the generality of any other matter.</w:t>
      </w:r>
    </w:p>
    <w:p>
      <w:pPr>
        <w:pStyle w:val="yHeading5"/>
      </w:pPr>
      <w:bookmarkStart w:id="1034" w:name="_Toc155165197"/>
      <w:bookmarkStart w:id="1035" w:name="_Toc135132902"/>
      <w:r>
        <w:rPr>
          <w:rStyle w:val="CharSClsNo"/>
        </w:rPr>
        <w:t>2</w:t>
      </w:r>
      <w:r>
        <w:t>.</w:t>
      </w:r>
      <w:r>
        <w:tab/>
        <w:t>Subdivision</w:t>
      </w:r>
      <w:bookmarkEnd w:id="1034"/>
      <w:bookmarkEnd w:id="1035"/>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pPr>
      <w:bookmarkStart w:id="1036" w:name="_Toc155165198"/>
      <w:bookmarkStart w:id="1037" w:name="_Toc135132903"/>
      <w:r>
        <w:rPr>
          <w:rStyle w:val="CharSClsNo"/>
        </w:rPr>
        <w:t>3</w:t>
      </w:r>
      <w:r>
        <w:t>.</w:t>
      </w:r>
      <w:r>
        <w:tab/>
        <w:t>Reconstruction</w:t>
      </w:r>
      <w:bookmarkEnd w:id="1036"/>
      <w:bookmarkEnd w:id="1037"/>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pPr>
      <w:bookmarkStart w:id="1038" w:name="_Toc155165199"/>
      <w:bookmarkStart w:id="1039" w:name="_Toc135132904"/>
      <w:r>
        <w:rPr>
          <w:rStyle w:val="CharSClsNo"/>
        </w:rPr>
        <w:t>4</w:t>
      </w:r>
      <w:r>
        <w:t>.</w:t>
      </w:r>
      <w:r>
        <w:tab/>
        <w:t>Preservation and conservation</w:t>
      </w:r>
      <w:bookmarkEnd w:id="1038"/>
      <w:bookmarkEnd w:id="1039"/>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pPr>
      <w:bookmarkStart w:id="1040" w:name="_Toc155165200"/>
      <w:bookmarkStart w:id="1041" w:name="_Toc135132905"/>
      <w:r>
        <w:rPr>
          <w:rStyle w:val="CharSClsNo"/>
        </w:rPr>
        <w:t>5</w:t>
      </w:r>
      <w:r>
        <w:t>.</w:t>
      </w:r>
      <w:r>
        <w:tab/>
        <w:t>Roads, public works, community infrastructure, reservation of land, provision of facilities</w:t>
      </w:r>
      <w:bookmarkEnd w:id="1040"/>
      <w:bookmarkEnd w:id="1041"/>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(2A)</w:t>
      </w:r>
      <w:r>
        <w:tab/>
        <w:t>Community infrastructure, including community centres, libraries, schools and other educational facilities, child care centres (including outside school hours care services) and sporting facilities.</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Subsection"/>
      </w:pPr>
      <w:r>
        <w:tab/>
        <w:t>(5)</w:t>
      </w:r>
      <w:r>
        <w:tab/>
        <w:t>The designation of classes or kinds of development as public work.</w:t>
      </w:r>
    </w:p>
    <w:p>
      <w:pPr>
        <w:pStyle w:val="yFootnotesection"/>
      </w:pPr>
      <w:r>
        <w:tab/>
        <w:t>[Clause 5 amended: No. 26 of 2020 s. 13 and 88(1).]</w:t>
      </w:r>
    </w:p>
    <w:p>
      <w:pPr>
        <w:pStyle w:val="yHeading5"/>
      </w:pPr>
      <w:bookmarkStart w:id="1042" w:name="_Toc155165201"/>
      <w:bookmarkStart w:id="1043" w:name="_Toc135132906"/>
      <w:r>
        <w:rPr>
          <w:rStyle w:val="CharSClsNo"/>
        </w:rPr>
        <w:t>6</w:t>
      </w:r>
      <w:r>
        <w:t>.</w:t>
      </w:r>
      <w:r>
        <w:tab/>
        <w:t>Zoning</w:t>
      </w:r>
      <w:bookmarkEnd w:id="1042"/>
      <w:bookmarkEnd w:id="1043"/>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pPr>
      <w:bookmarkStart w:id="1044" w:name="_Toc155165202"/>
      <w:bookmarkStart w:id="1045" w:name="_Toc135132907"/>
      <w:r>
        <w:rPr>
          <w:rStyle w:val="CharSClsNo"/>
        </w:rPr>
        <w:t>7</w:t>
      </w:r>
      <w:r>
        <w:t>.</w:t>
      </w:r>
      <w:r>
        <w:tab/>
        <w:t>Controls for land management</w:t>
      </w:r>
      <w:bookmarkEnd w:id="1044"/>
      <w:bookmarkEnd w:id="1045"/>
    </w:p>
    <w:p>
      <w:pPr>
        <w:pStyle w:val="ySubsection"/>
        <w:spacing w:before="120"/>
      </w:pPr>
      <w:r>
        <w:tab/>
      </w:r>
      <w:r>
        <w:tab/>
        <w:t>Controls for land or site management for matters to which this Act relates.</w:t>
      </w:r>
    </w:p>
    <w:p>
      <w:pPr>
        <w:pStyle w:val="yHeading5"/>
      </w:pPr>
      <w:bookmarkStart w:id="1046" w:name="_Toc155165203"/>
      <w:bookmarkStart w:id="1047" w:name="_Toc135132908"/>
      <w:r>
        <w:rPr>
          <w:rStyle w:val="CharSClsNo"/>
        </w:rPr>
        <w:t>8</w:t>
      </w:r>
      <w:r>
        <w:t>.</w:t>
      </w:r>
      <w:r>
        <w:tab/>
        <w:t>Development standards</w:t>
      </w:r>
      <w:bookmarkEnd w:id="1046"/>
      <w:bookmarkEnd w:id="1047"/>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pPr>
      <w:bookmarkStart w:id="1048" w:name="_Toc155165204"/>
      <w:bookmarkStart w:id="1049" w:name="_Toc135132909"/>
      <w:r>
        <w:rPr>
          <w:rStyle w:val="CharSClsNo"/>
        </w:rPr>
        <w:t>9</w:t>
      </w:r>
      <w:r>
        <w:t>.</w:t>
      </w:r>
      <w:r>
        <w:tab/>
        <w:t>Development controls</w:t>
      </w:r>
      <w:bookmarkEnd w:id="1048"/>
      <w:bookmarkEnd w:id="1049"/>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pPr>
      <w:bookmarkStart w:id="1050" w:name="_Toc155165205"/>
      <w:bookmarkStart w:id="1051" w:name="_Toc135132910"/>
      <w:r>
        <w:rPr>
          <w:rStyle w:val="CharSClsNo"/>
        </w:rPr>
        <w:t>10</w:t>
      </w:r>
      <w:r>
        <w:t>.</w:t>
      </w:r>
      <w:r>
        <w:tab/>
        <w:t>Acquisition and purchase of land</w:t>
      </w:r>
      <w:bookmarkEnd w:id="1050"/>
      <w:bookmarkEnd w:id="1051"/>
    </w:p>
    <w:p>
      <w:pPr>
        <w:pStyle w:val="ySubsection"/>
        <w:spacing w:before="140"/>
      </w:pPr>
      <w:r>
        <w:tab/>
      </w:r>
      <w:r>
        <w:tab/>
        <w:t>Acquisition or purchase of land or buildings and any step necessary to give effect to the acquisition or purchase.</w:t>
      </w:r>
    </w:p>
    <w:p>
      <w:pPr>
        <w:pStyle w:val="yHeading5"/>
        <w:spacing w:before="200"/>
      </w:pPr>
      <w:bookmarkStart w:id="1052" w:name="_Toc155165206"/>
      <w:bookmarkStart w:id="1053" w:name="_Toc135132911"/>
      <w:r>
        <w:rPr>
          <w:rStyle w:val="CharSClsNo"/>
        </w:rPr>
        <w:t>11</w:t>
      </w:r>
      <w:r>
        <w:t>.</w:t>
      </w:r>
      <w:r>
        <w:tab/>
        <w:t>Powers</w:t>
      </w:r>
      <w:bookmarkEnd w:id="1052"/>
      <w:bookmarkEnd w:id="1053"/>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Subsection"/>
      </w:pPr>
      <w:r>
        <w:tab/>
        <w:t>(5)</w:t>
      </w:r>
      <w:r>
        <w:tab/>
        <w:t>The financial management of any expenses recovered as referred to in subclause (4).</w:t>
      </w:r>
    </w:p>
    <w:p>
      <w:pPr>
        <w:pStyle w:val="yFootnotesection"/>
      </w:pPr>
      <w:r>
        <w:tab/>
        <w:t>[Clause 11 amended: No. 26 of 2020 s. 88(2).]</w:t>
      </w:r>
    </w:p>
    <w:p>
      <w:pPr>
        <w:pStyle w:val="yHeading5"/>
        <w:spacing w:before="200"/>
      </w:pPr>
      <w:bookmarkStart w:id="1054" w:name="_Toc155165207"/>
      <w:bookmarkStart w:id="1055" w:name="_Toc135132912"/>
      <w:r>
        <w:rPr>
          <w:rStyle w:val="CharSClsNo"/>
        </w:rPr>
        <w:t>12</w:t>
      </w:r>
      <w:r>
        <w:t>.</w:t>
      </w:r>
      <w:r>
        <w:tab/>
        <w:t>Agreements and cooperation</w:t>
      </w:r>
      <w:bookmarkEnd w:id="1054"/>
      <w:bookmarkEnd w:id="1055"/>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pPr>
      <w:bookmarkStart w:id="1056" w:name="_Toc155165208"/>
      <w:bookmarkStart w:id="1057" w:name="_Toc135132913"/>
      <w:r>
        <w:rPr>
          <w:rStyle w:val="CharSClsNo"/>
        </w:rPr>
        <w:t>13</w:t>
      </w:r>
      <w:r>
        <w:t>.</w:t>
      </w:r>
      <w:r>
        <w:tab/>
        <w:t>Carrying out scheme</w:t>
      </w:r>
      <w:bookmarkEnd w:id="1056"/>
      <w:bookmarkEnd w:id="1057"/>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No. 28 of 2010 s. 68.]</w:t>
      </w:r>
    </w:p>
    <w:p>
      <w:pPr>
        <w:pStyle w:val="yHeading5"/>
      </w:pPr>
      <w:bookmarkStart w:id="1058" w:name="_Toc155165209"/>
      <w:bookmarkStart w:id="1059" w:name="_Toc135132914"/>
      <w:r>
        <w:rPr>
          <w:rStyle w:val="CharSClsNo"/>
        </w:rPr>
        <w:t>14</w:t>
      </w:r>
      <w:r>
        <w:t>.</w:t>
      </w:r>
      <w:r>
        <w:tab/>
        <w:t>Review by SAT</w:t>
      </w:r>
      <w:bookmarkEnd w:id="1058"/>
      <w:bookmarkEnd w:id="1059"/>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pPr>
      <w:bookmarkStart w:id="1060" w:name="_Toc155165210"/>
      <w:bookmarkStart w:id="1061" w:name="_Toc135132915"/>
      <w:r>
        <w:rPr>
          <w:rStyle w:val="CharSClsNo"/>
        </w:rPr>
        <w:t>15</w:t>
      </w:r>
      <w:r>
        <w:t>.</w:t>
      </w:r>
      <w:r>
        <w:tab/>
        <w:t>Policies and ancillary matters</w:t>
      </w:r>
      <w:bookmarkEnd w:id="1060"/>
      <w:bookmarkEnd w:id="1061"/>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1062" w:name="_Toc155165211"/>
      <w:bookmarkStart w:id="1063" w:name="_Toc135041292"/>
      <w:bookmarkStart w:id="1064" w:name="_Toc135041761"/>
      <w:bookmarkStart w:id="1065" w:name="_Toc135132916"/>
      <w:r>
        <w:rPr>
          <w:rStyle w:val="CharSchNo"/>
        </w:rPr>
        <w:t>Schedule 8</w:t>
      </w:r>
      <w:r>
        <w:rPr>
          <w:rStyle w:val="CharSDivNo"/>
        </w:rPr>
        <w:t> </w:t>
      </w:r>
      <w:r>
        <w:t>—</w:t>
      </w:r>
      <w:r>
        <w:rPr>
          <w:rStyle w:val="CharSDivText"/>
        </w:rPr>
        <w:t> </w:t>
      </w:r>
      <w:r>
        <w:rPr>
          <w:rStyle w:val="CharSchText"/>
        </w:rPr>
        <w:t>Matters for which local laws may be made by Governor</w:t>
      </w:r>
      <w:bookmarkEnd w:id="1062"/>
      <w:bookmarkEnd w:id="1063"/>
      <w:bookmarkEnd w:id="1064"/>
      <w:bookmarkEnd w:id="1065"/>
    </w:p>
    <w:p>
      <w:pPr>
        <w:pStyle w:val="yShoulderClause"/>
        <w:spacing w:before="60"/>
      </w:pPr>
      <w:r>
        <w:t>[s. 262(1)]</w:t>
      </w:r>
    </w:p>
    <w:p>
      <w:pPr>
        <w:pStyle w:val="yHeading5"/>
      </w:pPr>
      <w:bookmarkStart w:id="1066" w:name="_Toc155165212"/>
      <w:bookmarkStart w:id="1067" w:name="_Toc135132917"/>
      <w:r>
        <w:rPr>
          <w:rStyle w:val="CharSClsNo"/>
        </w:rPr>
        <w:t>1</w:t>
      </w:r>
      <w:r>
        <w:t>.</w:t>
      </w:r>
      <w:r>
        <w:tab/>
        <w:t>Purchase and reservation of land</w:t>
      </w:r>
      <w:bookmarkEnd w:id="1066"/>
      <w:bookmarkEnd w:id="1067"/>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pPr>
      <w:bookmarkStart w:id="1068" w:name="_Toc155165213"/>
      <w:bookmarkStart w:id="1069" w:name="_Toc135132918"/>
      <w:r>
        <w:rPr>
          <w:rStyle w:val="CharSClsNo"/>
        </w:rPr>
        <w:t>2</w:t>
      </w:r>
      <w:r>
        <w:t>.</w:t>
      </w:r>
      <w:r>
        <w:tab/>
        <w:t>Limiting and regulating building</w:t>
      </w:r>
      <w:bookmarkEnd w:id="1068"/>
      <w:bookmarkEnd w:id="1069"/>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pPr>
      <w:bookmarkStart w:id="1070" w:name="_Toc155165214"/>
      <w:bookmarkStart w:id="1071" w:name="_Toc135132919"/>
      <w:r>
        <w:rPr>
          <w:rStyle w:val="CharSClsNo"/>
        </w:rPr>
        <w:t>3</w:t>
      </w:r>
      <w:r>
        <w:t>.</w:t>
      </w:r>
      <w:r>
        <w:tab/>
        <w:t>Classification and zoning</w:t>
      </w:r>
      <w:bookmarkEnd w:id="1070"/>
      <w:bookmarkEnd w:id="1071"/>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pPr>
      <w:bookmarkStart w:id="1072" w:name="_Toc155165215"/>
      <w:bookmarkStart w:id="1073" w:name="_Toc135132920"/>
      <w:r>
        <w:rPr>
          <w:rStyle w:val="CharSClsNo"/>
        </w:rPr>
        <w:t>4</w:t>
      </w:r>
      <w:r>
        <w:t>.</w:t>
      </w:r>
      <w:r>
        <w:tab/>
        <w:t>Prohibiting unauthorised uses</w:t>
      </w:r>
      <w:bookmarkEnd w:id="1072"/>
      <w:bookmarkEnd w:id="1073"/>
    </w:p>
    <w:p>
      <w:pPr>
        <w:pStyle w:val="ySubsection"/>
      </w:pPr>
      <w:r>
        <w:tab/>
      </w:r>
      <w:r>
        <w:tab/>
        <w:t>Prohibiting any district or part of it from being used for any purpose other than that for which it has been classified.</w:t>
      </w:r>
    </w:p>
    <w:p>
      <w:pPr>
        <w:pStyle w:val="yHeading5"/>
      </w:pPr>
      <w:bookmarkStart w:id="1074" w:name="_Toc155165216"/>
      <w:bookmarkStart w:id="1075" w:name="_Toc135132921"/>
      <w:r>
        <w:rPr>
          <w:rStyle w:val="CharSClsNo"/>
        </w:rPr>
        <w:t>5</w:t>
      </w:r>
      <w:r>
        <w:t>.</w:t>
      </w:r>
      <w:r>
        <w:tab/>
        <w:t>Prescribing characteristics of buildings</w:t>
      </w:r>
      <w:bookmarkEnd w:id="1074"/>
      <w:bookmarkEnd w:id="1075"/>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pPr>
      <w:bookmarkStart w:id="1076" w:name="_Toc155165217"/>
      <w:bookmarkStart w:id="1077" w:name="_Toc135132922"/>
      <w:r>
        <w:rPr>
          <w:rStyle w:val="CharSClsNo"/>
        </w:rPr>
        <w:t>6</w:t>
      </w:r>
      <w:r>
        <w:t>.</w:t>
      </w:r>
      <w:r>
        <w:tab/>
        <w:t>Prohibiting trade etc. or erection or use of building</w:t>
      </w:r>
      <w:bookmarkEnd w:id="1076"/>
      <w:bookmarkEnd w:id="1077"/>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pPr>
      <w:bookmarkStart w:id="1078" w:name="_Toc155165218"/>
      <w:bookmarkStart w:id="1079" w:name="_Toc135132923"/>
      <w:r>
        <w:rPr>
          <w:rStyle w:val="CharSClsNo"/>
        </w:rPr>
        <w:t>7</w:t>
      </w:r>
      <w:r>
        <w:t>.</w:t>
      </w:r>
      <w:r>
        <w:tab/>
        <w:t>Requirements of new subdivisions</w:t>
      </w:r>
      <w:bookmarkEnd w:id="1078"/>
      <w:bookmarkEnd w:id="1079"/>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pPr>
      <w:bookmarkStart w:id="1080" w:name="_Toc155165219"/>
      <w:bookmarkStart w:id="1081" w:name="_Toc135132924"/>
      <w:r>
        <w:rPr>
          <w:rStyle w:val="CharSClsNo"/>
        </w:rPr>
        <w:t>8</w:t>
      </w:r>
      <w:r>
        <w:t>.</w:t>
      </w:r>
      <w:r>
        <w:tab/>
        <w:t>Building lines</w:t>
      </w:r>
      <w:bookmarkEnd w:id="1080"/>
      <w:bookmarkEnd w:id="1081"/>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pPr>
      <w:bookmarkStart w:id="1082" w:name="_Toc155165220"/>
      <w:bookmarkStart w:id="1083" w:name="_Toc135132925"/>
      <w:r>
        <w:rPr>
          <w:rStyle w:val="CharSClsNo"/>
        </w:rPr>
        <w:t>9</w:t>
      </w:r>
      <w:r>
        <w:t>.</w:t>
      </w:r>
      <w:r>
        <w:tab/>
        <w:t>Open space etc.</w:t>
      </w:r>
      <w:bookmarkEnd w:id="1082"/>
      <w:bookmarkEnd w:id="1083"/>
    </w:p>
    <w:p>
      <w:pPr>
        <w:pStyle w:val="ySubsection"/>
      </w:pPr>
      <w:r>
        <w:tab/>
      </w:r>
      <w:r>
        <w:tab/>
        <w:t>Limiting of open spaces, recreation grounds, or sites for public buildings, by purchase or agreement between owners of lands and the local government.</w:t>
      </w:r>
    </w:p>
    <w:p>
      <w:pPr>
        <w:pStyle w:val="yHeading5"/>
      </w:pPr>
      <w:bookmarkStart w:id="1084" w:name="_Toc155165221"/>
      <w:bookmarkStart w:id="1085" w:name="_Toc135132926"/>
      <w:r>
        <w:rPr>
          <w:rStyle w:val="CharSClsNo"/>
        </w:rPr>
        <w:t>10</w:t>
      </w:r>
      <w:r>
        <w:t>.</w:t>
      </w:r>
      <w:r>
        <w:tab/>
        <w:t>Heights of walls etc. at road corners</w:t>
      </w:r>
      <w:bookmarkEnd w:id="1084"/>
      <w:bookmarkEnd w:id="1085"/>
    </w:p>
    <w:p>
      <w:pPr>
        <w:pStyle w:val="ySubsection"/>
      </w:pPr>
      <w:r>
        <w:tab/>
      </w:r>
      <w:r>
        <w:tab/>
        <w:t>Limiting the height, at the corner of any road (as defined in clause 7(2)) of any wall, fence, hedge, tree, or shrub or other obstruction not being an authorised building.</w:t>
      </w:r>
    </w:p>
    <w:p>
      <w:pPr>
        <w:pStyle w:val="yHeading5"/>
      </w:pPr>
      <w:bookmarkStart w:id="1086" w:name="_Toc155165222"/>
      <w:bookmarkStart w:id="1087" w:name="_Toc135132927"/>
      <w:r>
        <w:rPr>
          <w:rStyle w:val="CharSClsNo"/>
        </w:rPr>
        <w:t>11</w:t>
      </w:r>
      <w:r>
        <w:t>.</w:t>
      </w:r>
      <w:r>
        <w:tab/>
        <w:t>Implementing of local laws</w:t>
      </w:r>
      <w:bookmarkEnd w:id="1086"/>
      <w:bookmarkEnd w:id="1087"/>
    </w:p>
    <w:p>
      <w:pPr>
        <w:pStyle w:val="ySubsection"/>
      </w:pPr>
      <w:r>
        <w:tab/>
      </w:r>
      <w:r>
        <w:tab/>
        <w:t>Providing for the authority or authorities responsible for carrying the local laws into effect and enforcing their observance.</w:t>
      </w:r>
    </w:p>
    <w:p>
      <w:pPr>
        <w:pStyle w:val="yScheduleHeading"/>
      </w:pPr>
      <w:bookmarkStart w:id="1088" w:name="_Toc155165223"/>
      <w:bookmarkStart w:id="1089" w:name="_Toc135041304"/>
      <w:bookmarkStart w:id="1090" w:name="_Toc135041773"/>
      <w:bookmarkStart w:id="1091" w:name="_Toc135132928"/>
      <w:r>
        <w:rPr>
          <w:rStyle w:val="CharSchNo"/>
        </w:rPr>
        <w:t>Schedule 9</w:t>
      </w:r>
      <w:r>
        <w:rPr>
          <w:rStyle w:val="CharSDivNo"/>
        </w:rPr>
        <w:t> </w:t>
      </w:r>
      <w:r>
        <w:t>—</w:t>
      </w:r>
      <w:r>
        <w:rPr>
          <w:rStyle w:val="CharSDivText"/>
        </w:rPr>
        <w:t> </w:t>
      </w:r>
      <w:r>
        <w:rPr>
          <w:rStyle w:val="CharSchText"/>
        </w:rPr>
        <w:t>Board of Valuers</w:t>
      </w:r>
      <w:bookmarkEnd w:id="1088"/>
      <w:bookmarkEnd w:id="1089"/>
      <w:bookmarkEnd w:id="1090"/>
      <w:bookmarkEnd w:id="1091"/>
    </w:p>
    <w:p>
      <w:pPr>
        <w:pStyle w:val="yShoulderClause"/>
      </w:pPr>
      <w:r>
        <w:t>[s. 182(5)]</w:t>
      </w:r>
    </w:p>
    <w:p>
      <w:pPr>
        <w:pStyle w:val="yHeading5"/>
      </w:pPr>
      <w:bookmarkStart w:id="1092" w:name="_Toc155165224"/>
      <w:bookmarkStart w:id="1093" w:name="_Toc135132929"/>
      <w:r>
        <w:rPr>
          <w:rStyle w:val="CharSClsNo"/>
        </w:rPr>
        <w:t>1</w:t>
      </w:r>
      <w:r>
        <w:t>.</w:t>
      </w:r>
      <w:r>
        <w:tab/>
        <w:t>Term used: Board</w:t>
      </w:r>
      <w:bookmarkEnd w:id="1092"/>
      <w:bookmarkEnd w:id="1093"/>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pPr>
      <w:bookmarkStart w:id="1094" w:name="_Toc155165225"/>
      <w:bookmarkStart w:id="1095" w:name="_Toc135132930"/>
      <w:r>
        <w:rPr>
          <w:rStyle w:val="CharSClsNo"/>
        </w:rPr>
        <w:t>2</w:t>
      </w:r>
      <w:r>
        <w:t>.</w:t>
      </w:r>
      <w:r>
        <w:tab/>
        <w:t>Term of office</w:t>
      </w:r>
      <w:bookmarkEnd w:id="1094"/>
      <w:bookmarkEnd w:id="1095"/>
    </w:p>
    <w:p>
      <w:pPr>
        <w:pStyle w:val="ySubsection"/>
      </w:pPr>
      <w:r>
        <w:tab/>
      </w:r>
      <w:r>
        <w:tab/>
        <w:t>Subject to clause 4 a member of the Board holds office for a term of 2 years and is eligible for reappointment.</w:t>
      </w:r>
    </w:p>
    <w:p>
      <w:pPr>
        <w:pStyle w:val="yHeading5"/>
      </w:pPr>
      <w:bookmarkStart w:id="1096" w:name="_Toc155165226"/>
      <w:bookmarkStart w:id="1097" w:name="_Toc135132931"/>
      <w:r>
        <w:rPr>
          <w:rStyle w:val="CharSClsNo"/>
        </w:rPr>
        <w:t>3</w:t>
      </w:r>
      <w:r>
        <w:t>.</w:t>
      </w:r>
      <w:r>
        <w:tab/>
        <w:t>Constitution of Board</w:t>
      </w:r>
      <w:bookmarkEnd w:id="1096"/>
      <w:bookmarkEnd w:id="1097"/>
    </w:p>
    <w:p>
      <w:pPr>
        <w:pStyle w:val="ySubsection"/>
      </w:pPr>
      <w:r>
        <w:tab/>
      </w:r>
      <w:r>
        <w:tab/>
        <w:t>The Board is constituted by the chairperson of the Board and any 2 other members of the Board and may meet despite there being a vacancy on the Board.</w:t>
      </w:r>
    </w:p>
    <w:p>
      <w:pPr>
        <w:pStyle w:val="yHeading5"/>
      </w:pPr>
      <w:bookmarkStart w:id="1098" w:name="_Toc155165227"/>
      <w:bookmarkStart w:id="1099" w:name="_Toc135132932"/>
      <w:r>
        <w:rPr>
          <w:rStyle w:val="CharSClsNo"/>
        </w:rPr>
        <w:t>4</w:t>
      </w:r>
      <w:r>
        <w:t>.</w:t>
      </w:r>
      <w:r>
        <w:tab/>
        <w:t>Resignation or removal from office</w:t>
      </w:r>
      <w:bookmarkEnd w:id="1098"/>
      <w:bookmarkEnd w:id="1099"/>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pPr>
      <w:bookmarkStart w:id="1100" w:name="_Toc155165228"/>
      <w:bookmarkStart w:id="1101" w:name="_Toc135132933"/>
      <w:r>
        <w:rPr>
          <w:rStyle w:val="CharSClsNo"/>
        </w:rPr>
        <w:t>5</w:t>
      </w:r>
      <w:r>
        <w:t>.</w:t>
      </w:r>
      <w:r>
        <w:tab/>
        <w:t>Remuneration of members</w:t>
      </w:r>
      <w:bookmarkEnd w:id="1100"/>
      <w:bookmarkEnd w:id="1101"/>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6"/>
          <w:headerReference w:type="default" r:id="rId27"/>
          <w:headerReference w:type="first" r:id="rId28"/>
          <w:endnotePr>
            <w:numFmt w:val="decimal"/>
          </w:endnotePr>
          <w:pgSz w:w="11907" w:h="16840" w:code="9"/>
          <w:pgMar w:top="2376" w:right="2405" w:bottom="3542" w:left="2405" w:header="706" w:footer="3544" w:gutter="0"/>
          <w:cols w:space="720"/>
          <w:noEndnote/>
          <w:docGrid w:linePitch="326"/>
        </w:sectPr>
      </w:pPr>
    </w:p>
    <w:p>
      <w:pPr>
        <w:pStyle w:val="nHeading2"/>
      </w:pPr>
      <w:bookmarkStart w:id="1102" w:name="_Toc155165229"/>
      <w:bookmarkStart w:id="1103" w:name="_Toc135041310"/>
      <w:bookmarkStart w:id="1104" w:name="_Toc135041779"/>
      <w:bookmarkStart w:id="1105" w:name="_Toc135132934"/>
      <w:r>
        <w:t>Notes</w:t>
      </w:r>
      <w:bookmarkEnd w:id="1102"/>
      <w:bookmarkEnd w:id="1103"/>
      <w:bookmarkEnd w:id="1104"/>
      <w:bookmarkEnd w:id="1105"/>
    </w:p>
    <w:p>
      <w:pPr>
        <w:pStyle w:val="nStatement"/>
      </w:pPr>
      <w:r>
        <w:t xml:space="preserve">This is a compilation of the </w:t>
      </w:r>
      <w:r>
        <w:rPr>
          <w:i/>
          <w:noProof/>
        </w:rPr>
        <w:t>Planning and Development Act 2005</w:t>
      </w:r>
      <w:r>
        <w:t xml:space="preserve"> and includes amendments made by other written laws</w:t>
      </w:r>
      <w:r>
        <w:rPr>
          <w:snapToGrid w:val="0"/>
          <w:vertAlign w:val="superscript"/>
        </w:rPr>
        <w:t> 7, 8, 9</w:t>
      </w:r>
      <w:r>
        <w:t>. For provisions that have come into operation, and for information about any reprints, see the compilation table. For provisions that have not yet come into operation see the uncommenced provisions table.</w:t>
      </w:r>
    </w:p>
    <w:p>
      <w:pPr>
        <w:pStyle w:val="nHeading3"/>
      </w:pPr>
      <w:bookmarkStart w:id="1106" w:name="_Toc155165230"/>
      <w:bookmarkStart w:id="1107" w:name="_Toc135132935"/>
      <w:r>
        <w:t>Compilation table</w:t>
      </w:r>
      <w:bookmarkEnd w:id="1106"/>
      <w:bookmarkEnd w:id="1107"/>
    </w:p>
    <w:tbl>
      <w:tblPr>
        <w:tblW w:w="7089" w:type="dxa"/>
        <w:tblInd w:w="56" w:type="dxa"/>
        <w:tblLayout w:type="fixed"/>
        <w:tblCellMar>
          <w:left w:w="56" w:type="dxa"/>
          <w:right w:w="56" w:type="dxa"/>
        </w:tblCellMar>
        <w:tblLook w:val="0000" w:firstRow="0" w:lastRow="0" w:firstColumn="0" w:lastColumn="0" w:noHBand="0" w:noVBand="0"/>
      </w:tblPr>
      <w:tblGrid>
        <w:gridCol w:w="2410"/>
        <w:gridCol w:w="993"/>
        <w:gridCol w:w="1135"/>
        <w:gridCol w:w="2551"/>
      </w:tblGrid>
      <w:tr>
        <w:trPr>
          <w:tblHeader/>
        </w:trPr>
        <w:tc>
          <w:tcPr>
            <w:tcW w:w="2410" w:type="dxa"/>
            <w:tcBorders>
              <w:top w:val="single" w:sz="8" w:space="0" w:color="auto"/>
              <w:bottom w:val="single" w:sz="8" w:space="0" w:color="auto"/>
            </w:tcBorders>
            <w:shd w:val="clear" w:color="auto" w:fill="auto"/>
          </w:tcPr>
          <w:p>
            <w:pPr>
              <w:pStyle w:val="nTable"/>
              <w:spacing w:after="40"/>
              <w:rPr>
                <w:b/>
              </w:rPr>
            </w:pPr>
            <w:r>
              <w:rPr>
                <w:b/>
              </w:rPr>
              <w:t>Short title</w:t>
            </w:r>
          </w:p>
        </w:tc>
        <w:tc>
          <w:tcPr>
            <w:tcW w:w="99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410" w:type="dxa"/>
            <w:tcBorders>
              <w:top w:val="single" w:sz="8" w:space="0" w:color="auto"/>
            </w:tcBorders>
          </w:tcPr>
          <w:p>
            <w:pPr>
              <w:pStyle w:val="nTable"/>
              <w:spacing w:after="40"/>
            </w:pPr>
            <w:r>
              <w:rPr>
                <w:i/>
                <w:noProof/>
                <w:snapToGrid w:val="0"/>
              </w:rPr>
              <w:t>Planning and Development Act 2005</w:t>
            </w:r>
          </w:p>
        </w:tc>
        <w:tc>
          <w:tcPr>
            <w:tcW w:w="993" w:type="dxa"/>
            <w:tcBorders>
              <w:top w:val="single" w:sz="8" w:space="0" w:color="auto"/>
            </w:tcBorders>
          </w:tcPr>
          <w:p>
            <w:pPr>
              <w:pStyle w:val="nTable"/>
              <w:spacing w:after="40"/>
            </w:pPr>
            <w:r>
              <w:t>37 of 2005</w:t>
            </w:r>
          </w:p>
        </w:tc>
        <w:tc>
          <w:tcPr>
            <w:tcW w:w="1135" w:type="dxa"/>
            <w:tcBorders>
              <w:top w:val="single" w:sz="8" w:space="0" w:color="auto"/>
            </w:tcBorders>
          </w:tcPr>
          <w:p>
            <w:pPr>
              <w:pStyle w:val="nTable"/>
              <w:spacing w:after="40"/>
            </w:pPr>
            <w:r>
              <w:t>12 Dec 2005</w:t>
            </w:r>
          </w:p>
        </w:tc>
        <w:tc>
          <w:tcPr>
            <w:tcW w:w="2551" w:type="dxa"/>
            <w:tcBorders>
              <w:top w:val="single" w:sz="8" w:space="0" w:color="auto"/>
            </w:tcBorders>
          </w:tcPr>
          <w:p>
            <w:pPr>
              <w:pStyle w:val="nTable"/>
              <w:spacing w:after="40"/>
            </w:pPr>
            <w:r>
              <w:t>s. 1 and 2: 12 Dec 2005;</w:t>
            </w:r>
            <w:r>
              <w:br/>
              <w:t xml:space="preserve">Act other than s. 1, 2, 149, 150 and Pt. 13 Div. 3: 9 Apr 2006 (see s. 2 and </w:t>
            </w:r>
            <w:r>
              <w:rPr>
                <w:i/>
              </w:rPr>
              <w:t>Gazette</w:t>
            </w:r>
            <w:r>
              <w:t xml:space="preserve"> 21 Mar 2006 p. 1077);</w:t>
            </w:r>
            <w:r>
              <w:br/>
              <w:t xml:space="preserve">s. 150 and Pt. 13 Div. 3: 1 Jul 2009 (see s. 2 and </w:t>
            </w:r>
            <w:r>
              <w:rPr>
                <w:i/>
                <w:iCs/>
              </w:rPr>
              <w:t>Gazette</w:t>
            </w:r>
            <w:r>
              <w:t xml:space="preserve"> 19 Jun 2009 p. 2225)</w:t>
            </w:r>
          </w:p>
        </w:tc>
      </w:tr>
      <w:tr>
        <w:tc>
          <w:tcPr>
            <w:tcW w:w="2410" w:type="dxa"/>
          </w:tcPr>
          <w:p>
            <w:pPr>
              <w:pStyle w:val="nTable"/>
              <w:spacing w:after="40"/>
              <w:rPr>
                <w:i/>
                <w:noProof/>
                <w:snapToGrid w:val="0"/>
              </w:rPr>
            </w:pPr>
            <w:r>
              <w:rPr>
                <w:i/>
                <w:noProof/>
                <w:snapToGrid w:val="0"/>
              </w:rPr>
              <w:t xml:space="preserve">Swan Valley Planning Legislation Amendment Act 2006 </w:t>
            </w:r>
            <w:r>
              <w:rPr>
                <w:noProof/>
                <w:snapToGrid w:val="0"/>
              </w:rPr>
              <w:t>s. 20(3)</w:t>
            </w:r>
          </w:p>
        </w:tc>
        <w:tc>
          <w:tcPr>
            <w:tcW w:w="993" w:type="dxa"/>
          </w:tcPr>
          <w:p>
            <w:pPr>
              <w:pStyle w:val="nTable"/>
              <w:spacing w:after="40"/>
            </w:pPr>
            <w:r>
              <w:t>7 of 2006</w:t>
            </w:r>
          </w:p>
        </w:tc>
        <w:tc>
          <w:tcPr>
            <w:tcW w:w="1135" w:type="dxa"/>
          </w:tcPr>
          <w:p>
            <w:pPr>
              <w:pStyle w:val="nTable"/>
              <w:spacing w:after="40"/>
            </w:pPr>
            <w:r>
              <w:t>19 Apr 2006</w:t>
            </w:r>
          </w:p>
        </w:tc>
        <w:tc>
          <w:tcPr>
            <w:tcW w:w="2551" w:type="dxa"/>
          </w:tcPr>
          <w:p>
            <w:pPr>
              <w:pStyle w:val="nTable"/>
              <w:spacing w:after="40"/>
            </w:pPr>
            <w:r>
              <w:t xml:space="preserve">18 Jun 2006 (see s. 2 and </w:t>
            </w:r>
            <w:r>
              <w:rPr>
                <w:i/>
              </w:rPr>
              <w:t>Gazette</w:t>
            </w:r>
            <w:r>
              <w:t xml:space="preserve"> 16 Jun 2006 p. 2109)</w:t>
            </w:r>
          </w:p>
        </w:tc>
      </w:tr>
      <w:tr>
        <w:trPr>
          <w:cantSplit/>
        </w:trPr>
        <w:tc>
          <w:tcPr>
            <w:tcW w:w="2410"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993" w:type="dxa"/>
          </w:tcPr>
          <w:p>
            <w:pPr>
              <w:pStyle w:val="nTable"/>
              <w:spacing w:after="40"/>
              <w:rPr>
                <w:snapToGrid w:val="0"/>
              </w:rPr>
            </w:pPr>
            <w:r>
              <w:rPr>
                <w:snapToGrid w:val="0"/>
              </w:rPr>
              <w:t>52 of 2006</w:t>
            </w:r>
          </w:p>
        </w:tc>
        <w:tc>
          <w:tcPr>
            <w:tcW w:w="1135"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c>
          <w:tcPr>
            <w:tcW w:w="2410" w:type="dxa"/>
          </w:tcPr>
          <w:p>
            <w:pPr>
              <w:pStyle w:val="nTable"/>
              <w:spacing w:after="40"/>
              <w:rPr>
                <w:i/>
                <w:noProof/>
                <w:snapToGrid w:val="0"/>
              </w:rPr>
            </w:pPr>
            <w:r>
              <w:rPr>
                <w:i/>
                <w:snapToGrid w:val="0"/>
              </w:rPr>
              <w:t>Land Information Authority Act 2006</w:t>
            </w:r>
            <w:r>
              <w:rPr>
                <w:snapToGrid w:val="0"/>
              </w:rPr>
              <w:t xml:space="preserve"> s. 147</w:t>
            </w:r>
          </w:p>
        </w:tc>
        <w:tc>
          <w:tcPr>
            <w:tcW w:w="993" w:type="dxa"/>
          </w:tcPr>
          <w:p>
            <w:pPr>
              <w:pStyle w:val="nTable"/>
              <w:spacing w:after="40"/>
            </w:pPr>
            <w:r>
              <w:rPr>
                <w:snapToGrid w:val="0"/>
              </w:rPr>
              <w:t>60 of 2006</w:t>
            </w:r>
          </w:p>
        </w:tc>
        <w:tc>
          <w:tcPr>
            <w:tcW w:w="1135" w:type="dxa"/>
          </w:tcPr>
          <w:p>
            <w:pPr>
              <w:pStyle w:val="nTable"/>
              <w:spacing w:after="40"/>
            </w:pPr>
            <w:r>
              <w:rPr>
                <w:snapToGrid w:val="0"/>
              </w:rPr>
              <w:t>16 Nov 2006</w:t>
            </w:r>
          </w:p>
        </w:tc>
        <w:tc>
          <w:tcPr>
            <w:tcW w:w="2551" w:type="dxa"/>
          </w:tcPr>
          <w:p>
            <w:pPr>
              <w:pStyle w:val="nTable"/>
              <w:spacing w:after="40"/>
            </w:pPr>
            <w:r>
              <w:t xml:space="preserve">1 Jan 2007 (see s. 2(1) and </w:t>
            </w:r>
            <w:r>
              <w:rPr>
                <w:i/>
              </w:rPr>
              <w:t xml:space="preserve">Gazette </w:t>
            </w:r>
            <w:r>
              <w:t>8 Dec 2006 p. 5369)</w:t>
            </w:r>
          </w:p>
        </w:tc>
      </w:tr>
      <w:tr>
        <w:tc>
          <w:tcPr>
            <w:tcW w:w="2410" w:type="dxa"/>
          </w:tcPr>
          <w:p>
            <w:pPr>
              <w:pStyle w:val="nTable"/>
              <w:spacing w:after="40"/>
              <w:rPr>
                <w:i/>
                <w:snapToGrid w:val="0"/>
              </w:rPr>
            </w:pPr>
            <w:r>
              <w:rPr>
                <w:i/>
                <w:snapToGrid w:val="0"/>
              </w:rPr>
              <w:t xml:space="preserve">Financial Legislation Amendment and Repeal Act 2006 </w:t>
            </w:r>
            <w:r>
              <w:rPr>
                <w:snapToGrid w:val="0"/>
              </w:rPr>
              <w:t>s. 4 and Sch. 1 cl. 127</w:t>
            </w:r>
          </w:p>
        </w:tc>
        <w:tc>
          <w:tcPr>
            <w:tcW w:w="993" w:type="dxa"/>
          </w:tcPr>
          <w:p>
            <w:pPr>
              <w:pStyle w:val="nTable"/>
              <w:spacing w:after="40"/>
              <w:rPr>
                <w:snapToGrid w:val="0"/>
              </w:rPr>
            </w:pPr>
            <w:r>
              <w:rPr>
                <w:snapToGrid w:val="0"/>
              </w:rPr>
              <w:t xml:space="preserve">77 of 2006 </w:t>
            </w:r>
          </w:p>
        </w:tc>
        <w:tc>
          <w:tcPr>
            <w:tcW w:w="1135"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snapToGrid w:val="0"/>
              </w:rPr>
              <w:t xml:space="preserve">Reprint 1: The </w:t>
            </w:r>
            <w:r>
              <w:rPr>
                <w:b/>
                <w:bCs/>
                <w:i/>
                <w:noProof/>
                <w:snapToGrid w:val="0"/>
              </w:rPr>
              <w:t>Planning and Development Act 2005</w:t>
            </w:r>
            <w:r>
              <w:rPr>
                <w:b/>
                <w:bCs/>
                <w:noProof/>
                <w:snapToGrid w:val="0"/>
              </w:rPr>
              <w:t xml:space="preserve"> </w:t>
            </w:r>
            <w:r>
              <w:rPr>
                <w:b/>
                <w:bCs/>
                <w:snapToGrid w:val="0"/>
              </w:rPr>
              <w:t>as at 23 Nov 2007</w:t>
            </w:r>
            <w:r>
              <w:rPr>
                <w:b/>
                <w:bCs/>
                <w:snapToGrid w:val="0"/>
              </w:rPr>
              <w:br/>
            </w:r>
            <w:r>
              <w:rPr>
                <w:snapToGrid w:val="0"/>
              </w:rPr>
              <w:t xml:space="preserve">(includes amendments listed above except those in the </w:t>
            </w:r>
            <w:r>
              <w:rPr>
                <w:i/>
                <w:noProof/>
                <w:snapToGrid w:val="0"/>
              </w:rPr>
              <w:t>Planning and Development Act 2005</w:t>
            </w:r>
            <w:r>
              <w:rPr>
                <w:noProof/>
                <w:snapToGrid w:val="0"/>
              </w:rPr>
              <w:t xml:space="preserve"> </w:t>
            </w:r>
            <w:r>
              <w:rPr>
                <w:snapToGrid w:val="0"/>
              </w:rPr>
              <w:t>s. 149, 150 and Pt. 13 Div. 3)</w:t>
            </w:r>
          </w:p>
        </w:tc>
      </w:tr>
      <w:tr>
        <w:tc>
          <w:tcPr>
            <w:tcW w:w="2410" w:type="dxa"/>
          </w:tcPr>
          <w:p>
            <w:pPr>
              <w:pStyle w:val="nTable"/>
              <w:spacing w:after="40"/>
              <w:rPr>
                <w:i/>
                <w:noProof/>
                <w:snapToGrid w:val="0"/>
              </w:rPr>
            </w:pPr>
            <w:r>
              <w:rPr>
                <w:i/>
                <w:noProof/>
                <w:snapToGrid w:val="0"/>
              </w:rPr>
              <w:t>Acts Amendment (Justice) Act 2008</w:t>
            </w:r>
            <w:r>
              <w:rPr>
                <w:iCs/>
                <w:noProof/>
                <w:snapToGrid w:val="0"/>
              </w:rPr>
              <w:t xml:space="preserve"> Pt. 18</w:t>
            </w:r>
          </w:p>
        </w:tc>
        <w:tc>
          <w:tcPr>
            <w:tcW w:w="993" w:type="dxa"/>
          </w:tcPr>
          <w:p>
            <w:pPr>
              <w:pStyle w:val="nTable"/>
              <w:spacing w:after="40"/>
            </w:pPr>
            <w:r>
              <w:t>5 of 2008</w:t>
            </w:r>
          </w:p>
        </w:tc>
        <w:tc>
          <w:tcPr>
            <w:tcW w:w="1135"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c>
          <w:tcPr>
            <w:tcW w:w="2410" w:type="dxa"/>
          </w:tcPr>
          <w:p>
            <w:pPr>
              <w:pStyle w:val="nTable"/>
              <w:spacing w:after="40"/>
              <w:rPr>
                <w:i/>
                <w:noProof/>
                <w:snapToGrid w:val="0"/>
              </w:rPr>
            </w:pPr>
            <w:r>
              <w:rPr>
                <w:i/>
                <w:iCs/>
                <w:snapToGrid w:val="0"/>
              </w:rPr>
              <w:t>Legal Profession Act 2008</w:t>
            </w:r>
            <w:r>
              <w:rPr>
                <w:snapToGrid w:val="0"/>
              </w:rPr>
              <w:t xml:space="preserve"> s. 690</w:t>
            </w:r>
          </w:p>
        </w:tc>
        <w:tc>
          <w:tcPr>
            <w:tcW w:w="993"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410" w:type="dxa"/>
          </w:tcPr>
          <w:p>
            <w:pPr>
              <w:pStyle w:val="nTable"/>
              <w:spacing w:after="40"/>
              <w:ind w:right="113"/>
              <w:rPr>
                <w:iCs/>
              </w:rPr>
            </w:pPr>
            <w:r>
              <w:rPr>
                <w:i/>
              </w:rPr>
              <w:t>Statutes (Repeals and Miscellaneous Amendments) Act 2009</w:t>
            </w:r>
            <w:r>
              <w:rPr>
                <w:iCs/>
              </w:rPr>
              <w:t xml:space="preserve"> s. 100</w:t>
            </w:r>
          </w:p>
        </w:tc>
        <w:tc>
          <w:tcPr>
            <w:tcW w:w="993" w:type="dxa"/>
          </w:tcPr>
          <w:p>
            <w:pPr>
              <w:pStyle w:val="nTable"/>
              <w:spacing w:after="40"/>
            </w:pPr>
            <w:r>
              <w:t>8 of 2009</w:t>
            </w:r>
          </w:p>
        </w:tc>
        <w:tc>
          <w:tcPr>
            <w:tcW w:w="1135" w:type="dxa"/>
          </w:tcPr>
          <w:p>
            <w:pPr>
              <w:pStyle w:val="nTable"/>
              <w:spacing w:after="40"/>
            </w:pPr>
            <w:r>
              <w:t>21 May 2009</w:t>
            </w:r>
          </w:p>
        </w:tc>
        <w:tc>
          <w:tcPr>
            <w:tcW w:w="2551" w:type="dxa"/>
          </w:tcPr>
          <w:p>
            <w:pPr>
              <w:pStyle w:val="nTable"/>
              <w:spacing w:after="40"/>
            </w:pPr>
            <w:r>
              <w:t>22 May 2009 (see s. 2(b))</w:t>
            </w:r>
          </w:p>
        </w:tc>
      </w:tr>
      <w:tr>
        <w:trPr>
          <w:cantSplit/>
        </w:trPr>
        <w:tc>
          <w:tcPr>
            <w:tcW w:w="2410" w:type="dxa"/>
          </w:tcPr>
          <w:p>
            <w:pPr>
              <w:pStyle w:val="nTable"/>
              <w:spacing w:after="40"/>
              <w:ind w:right="113"/>
              <w:rPr>
                <w:i/>
              </w:rPr>
            </w:pPr>
            <w:r>
              <w:rPr>
                <w:i/>
                <w:noProof/>
                <w:snapToGrid w:val="0"/>
              </w:rPr>
              <w:t>Approvals and Related Reforms (No. 3) (Crown Land) Act 2010</w:t>
            </w:r>
            <w:r>
              <w:rPr>
                <w:iCs/>
                <w:noProof/>
                <w:snapToGrid w:val="0"/>
              </w:rPr>
              <w:t xml:space="preserve"> Pt. 8</w:t>
            </w:r>
          </w:p>
        </w:tc>
        <w:tc>
          <w:tcPr>
            <w:tcW w:w="993" w:type="dxa"/>
          </w:tcPr>
          <w:p>
            <w:pPr>
              <w:pStyle w:val="nTable"/>
              <w:spacing w:after="40"/>
            </w:pPr>
            <w:r>
              <w:t>8 of 2010</w:t>
            </w:r>
          </w:p>
        </w:tc>
        <w:tc>
          <w:tcPr>
            <w:tcW w:w="1135"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410" w:type="dxa"/>
          </w:tcPr>
          <w:p>
            <w:pPr>
              <w:pStyle w:val="nTable"/>
              <w:spacing w:after="40"/>
              <w:ind w:right="113"/>
              <w:rPr>
                <w:i/>
                <w:noProof/>
                <w:snapToGrid w:val="0"/>
              </w:rPr>
            </w:pPr>
            <w:r>
              <w:rPr>
                <w:i/>
                <w:snapToGrid w:val="0"/>
              </w:rPr>
              <w:t>Approvals and Related Reforms (No. 4) (Planning) Act 2010</w:t>
            </w:r>
            <w:r>
              <w:t xml:space="preserve"> </w:t>
            </w:r>
            <w:r>
              <w:br/>
              <w:t>Pt. 2 Div. 1, Pt. 3, 4 and Pt. 5 Div. 1</w:t>
            </w:r>
            <w:r>
              <w:rPr>
                <w:vertAlign w:val="superscript"/>
              </w:rPr>
              <w:t> 10</w:t>
            </w:r>
          </w:p>
        </w:tc>
        <w:tc>
          <w:tcPr>
            <w:tcW w:w="993" w:type="dxa"/>
          </w:tcPr>
          <w:p>
            <w:pPr>
              <w:pStyle w:val="nTable"/>
              <w:spacing w:after="40"/>
            </w:pPr>
            <w:r>
              <w:rPr>
                <w:snapToGrid w:val="0"/>
              </w:rPr>
              <w:t>28 of 2010 (as amended by No. 45 of 2011 s. 135)</w:t>
            </w:r>
          </w:p>
        </w:tc>
        <w:tc>
          <w:tcPr>
            <w:tcW w:w="1135" w:type="dxa"/>
          </w:tcPr>
          <w:p>
            <w:pPr>
              <w:pStyle w:val="nTable"/>
              <w:spacing w:after="40"/>
            </w:pPr>
            <w:r>
              <w:rPr>
                <w:snapToGrid w:val="0"/>
              </w:rPr>
              <w:t>19 Aug 2010</w:t>
            </w:r>
          </w:p>
        </w:tc>
        <w:tc>
          <w:tcPr>
            <w:tcW w:w="2551" w:type="dxa"/>
          </w:tcPr>
          <w:p>
            <w:pPr>
              <w:pStyle w:val="nTable"/>
              <w:spacing w:after="40"/>
            </w:pPr>
            <w:r>
              <w:t xml:space="preserve">Pt. 2 Div. 1, Pt. 4 and Pt. 5 Div. 1: 22 Nov 2010 (see s. 2(b) and </w:t>
            </w:r>
            <w:r>
              <w:rPr>
                <w:i/>
                <w:iCs/>
              </w:rPr>
              <w:t>Gazette</w:t>
            </w:r>
            <w:r>
              <w:t xml:space="preserve"> 19 Nov 2010 p. 5709);</w:t>
            </w:r>
            <w:r>
              <w:br/>
              <w:t xml:space="preserve">Pt. 3: 25 Mar 2011 (see s. 2(b) and </w:t>
            </w:r>
            <w:r>
              <w:rPr>
                <w:i/>
              </w:rPr>
              <w:t>Gazette</w:t>
            </w:r>
            <w:r>
              <w:t> 24 Mar 2011 p. 1035)</w:t>
            </w:r>
          </w:p>
        </w:tc>
      </w:tr>
      <w:tr>
        <w:trPr>
          <w:cantSplit/>
        </w:trPr>
        <w:tc>
          <w:tcPr>
            <w:tcW w:w="2410"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993"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rPr>
                <w:snapToGrid w:val="0"/>
              </w:rPr>
            </w:pPr>
            <w:r>
              <w:rPr>
                <w:b/>
                <w:bCs/>
                <w:snapToGrid w:val="0"/>
              </w:rPr>
              <w:t xml:space="preserve">Reprint 2: The </w:t>
            </w:r>
            <w:r>
              <w:rPr>
                <w:b/>
                <w:bCs/>
                <w:i/>
                <w:noProof/>
                <w:snapToGrid w:val="0"/>
              </w:rPr>
              <w:t>Planning and Development Act 2005</w:t>
            </w:r>
            <w:r>
              <w:rPr>
                <w:b/>
                <w:bCs/>
                <w:noProof/>
                <w:snapToGrid w:val="0"/>
              </w:rPr>
              <w:t xml:space="preserve"> </w:t>
            </w:r>
            <w:r>
              <w:rPr>
                <w:b/>
                <w:bCs/>
                <w:snapToGrid w:val="0"/>
              </w:rPr>
              <w:t>as at 18 Feb 2011</w:t>
            </w:r>
            <w:r>
              <w:rPr>
                <w:b/>
                <w:bCs/>
                <w:snapToGrid w:val="0"/>
              </w:rPr>
              <w:br/>
            </w:r>
            <w:r>
              <w:rPr>
                <w:snapToGrid w:val="0"/>
              </w:rPr>
              <w:t xml:space="preserve">(includes amendments listed above except those in the </w:t>
            </w:r>
            <w:r>
              <w:rPr>
                <w:i/>
                <w:snapToGrid w:val="0"/>
              </w:rPr>
              <w:t>Approvals and Related Reforms (No. 4) (Planning) Act 2010</w:t>
            </w:r>
            <w:r>
              <w:rPr>
                <w:snapToGrid w:val="0"/>
              </w:rPr>
              <w:t xml:space="preserve"> Pt. 3)</w:t>
            </w:r>
          </w:p>
        </w:tc>
      </w:tr>
      <w:tr>
        <w:trPr>
          <w:cantSplit/>
        </w:trPr>
        <w:tc>
          <w:tcPr>
            <w:tcW w:w="2410" w:type="dxa"/>
          </w:tcPr>
          <w:p>
            <w:pPr>
              <w:pStyle w:val="nTable"/>
              <w:spacing w:after="40"/>
              <w:ind w:right="113"/>
              <w:rPr>
                <w:iCs/>
                <w:snapToGrid w:val="0"/>
              </w:rPr>
            </w:pPr>
            <w:r>
              <w:rPr>
                <w:i/>
                <w:iCs/>
                <w:snapToGrid w:val="0"/>
              </w:rPr>
              <w:t>Heritage and Planning Legislation Amendment Act 2011</w:t>
            </w:r>
            <w:r>
              <w:rPr>
                <w:iCs/>
                <w:snapToGrid w:val="0"/>
              </w:rPr>
              <w:t xml:space="preserve"> Pt. 3</w:t>
            </w:r>
          </w:p>
        </w:tc>
        <w:tc>
          <w:tcPr>
            <w:tcW w:w="993" w:type="dxa"/>
          </w:tcPr>
          <w:p>
            <w:pPr>
              <w:pStyle w:val="nTable"/>
              <w:spacing w:after="40"/>
              <w:rPr>
                <w:snapToGrid w:val="0"/>
              </w:rPr>
            </w:pPr>
            <w:r>
              <w:rPr>
                <w:snapToGrid w:val="0"/>
              </w:rPr>
              <w:t>4 of 2011</w:t>
            </w:r>
          </w:p>
        </w:tc>
        <w:tc>
          <w:tcPr>
            <w:tcW w:w="1135" w:type="dxa"/>
          </w:tcPr>
          <w:p>
            <w:pPr>
              <w:pStyle w:val="nTable"/>
              <w:spacing w:after="40"/>
              <w:rPr>
                <w:snapToGrid w:val="0"/>
              </w:rPr>
            </w:pPr>
            <w:r>
              <w:rPr>
                <w:snapToGrid w:val="0"/>
              </w:rPr>
              <w:t>2 Mar 2011</w:t>
            </w:r>
          </w:p>
        </w:tc>
        <w:tc>
          <w:tcPr>
            <w:tcW w:w="2551" w:type="dxa"/>
          </w:tcPr>
          <w:p>
            <w:pPr>
              <w:pStyle w:val="nTable"/>
              <w:spacing w:after="40"/>
            </w:pPr>
            <w:r>
              <w:t>3 Mar 2011 (see s. 2(b))</w:t>
            </w:r>
          </w:p>
        </w:tc>
      </w:tr>
      <w:tr>
        <w:trPr>
          <w:cantSplit/>
        </w:trPr>
        <w:tc>
          <w:tcPr>
            <w:tcW w:w="2410" w:type="dxa"/>
          </w:tcPr>
          <w:p>
            <w:pPr>
              <w:pStyle w:val="nTable"/>
              <w:spacing w:after="40"/>
              <w:ind w:right="113"/>
              <w:rPr>
                <w:i/>
                <w:iCs/>
                <w:snapToGrid w:val="0"/>
              </w:rPr>
            </w:pPr>
            <w:r>
              <w:rPr>
                <w:i/>
                <w:snapToGrid w:val="0"/>
              </w:rPr>
              <w:t>Building Act 2011</w:t>
            </w:r>
            <w:r>
              <w:rPr>
                <w:snapToGrid w:val="0"/>
              </w:rPr>
              <w:t xml:space="preserve"> s. 168</w:t>
            </w:r>
          </w:p>
        </w:tc>
        <w:tc>
          <w:tcPr>
            <w:tcW w:w="993" w:type="dxa"/>
          </w:tcPr>
          <w:p>
            <w:pPr>
              <w:pStyle w:val="nTable"/>
              <w:spacing w:after="40"/>
              <w:rPr>
                <w:snapToGrid w:val="0"/>
              </w:rPr>
            </w:pPr>
            <w:r>
              <w:rPr>
                <w:snapToGrid w:val="0"/>
              </w:rPr>
              <w:t>24 of 2011</w:t>
            </w:r>
          </w:p>
        </w:tc>
        <w:tc>
          <w:tcPr>
            <w:tcW w:w="1135" w:type="dxa"/>
          </w:tcPr>
          <w:p>
            <w:pPr>
              <w:pStyle w:val="nTable"/>
              <w:spacing w:after="40"/>
              <w:rPr>
                <w:snapToGrid w:val="0"/>
              </w:rPr>
            </w:pPr>
            <w:r>
              <w:rPr>
                <w:snapToGrid w:val="0"/>
              </w:rPr>
              <w:t>11 Jul 2011</w:t>
            </w:r>
          </w:p>
        </w:tc>
        <w:tc>
          <w:tcPr>
            <w:tcW w:w="2551" w:type="dxa"/>
          </w:tcPr>
          <w:p>
            <w:pPr>
              <w:pStyle w:val="nTable"/>
              <w:spacing w:after="40"/>
            </w:pPr>
            <w:r>
              <w:rPr>
                <w:snapToGrid w:val="0"/>
              </w:rPr>
              <w:t xml:space="preserve">2 Apr 2012 (see s. 2(b) and </w:t>
            </w:r>
            <w:r>
              <w:rPr>
                <w:i/>
                <w:snapToGrid w:val="0"/>
              </w:rPr>
              <w:t>Gazette</w:t>
            </w:r>
            <w:r>
              <w:rPr>
                <w:snapToGrid w:val="0"/>
              </w:rPr>
              <w:t xml:space="preserve"> 13 Mar 2012 p. 1033)</w:t>
            </w:r>
          </w:p>
        </w:tc>
      </w:tr>
      <w:tr>
        <w:trPr>
          <w:cantSplit/>
        </w:trPr>
        <w:tc>
          <w:tcPr>
            <w:tcW w:w="2410" w:type="dxa"/>
            <w:shd w:val="clear" w:color="auto" w:fill="auto"/>
          </w:tcPr>
          <w:p>
            <w:pPr>
              <w:pStyle w:val="nTable"/>
              <w:spacing w:after="40"/>
              <w:ind w:right="113"/>
              <w:rPr>
                <w:i/>
                <w:iCs/>
                <w:snapToGrid w:val="0"/>
                <w:vertAlign w:val="superscript"/>
              </w:rPr>
            </w:pPr>
            <w:r>
              <w:rPr>
                <w:i/>
                <w:iCs/>
                <w:snapToGrid w:val="0"/>
              </w:rPr>
              <w:t xml:space="preserve">Metropolitan Redevelopment Authority Act 2011 </w:t>
            </w:r>
            <w:r>
              <w:rPr>
                <w:iCs/>
                <w:snapToGrid w:val="0"/>
              </w:rPr>
              <w:t>s. 141</w:t>
            </w:r>
          </w:p>
        </w:tc>
        <w:tc>
          <w:tcPr>
            <w:tcW w:w="993" w:type="dxa"/>
            <w:shd w:val="clear" w:color="auto" w:fill="auto"/>
          </w:tcPr>
          <w:p>
            <w:pPr>
              <w:pStyle w:val="nTable"/>
              <w:spacing w:after="40"/>
              <w:rPr>
                <w:snapToGrid w:val="0"/>
              </w:rPr>
            </w:pPr>
            <w:r>
              <w:rPr>
                <w:snapToGrid w:val="0"/>
              </w:rPr>
              <w:t>45 of 2011</w:t>
            </w:r>
          </w:p>
        </w:tc>
        <w:tc>
          <w:tcPr>
            <w:tcW w:w="1135" w:type="dxa"/>
            <w:shd w:val="clear" w:color="auto" w:fill="auto"/>
          </w:tcPr>
          <w:p>
            <w:pPr>
              <w:pStyle w:val="nTable"/>
              <w:spacing w:after="40"/>
              <w:rPr>
                <w:snapToGrid w:val="0"/>
              </w:rPr>
            </w:pPr>
            <w:r>
              <w:rPr>
                <w:snapToGrid w:val="0"/>
              </w:rPr>
              <w:t>12 Oct 2011</w:t>
            </w:r>
          </w:p>
        </w:tc>
        <w:tc>
          <w:tcPr>
            <w:tcW w:w="2551" w:type="dxa"/>
            <w:shd w:val="clear" w:color="auto" w:fill="auto"/>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410" w:type="dxa"/>
            <w:shd w:val="clear" w:color="auto" w:fill="auto"/>
          </w:tcPr>
          <w:p>
            <w:pPr>
              <w:pStyle w:val="nTable"/>
              <w:spacing w:after="40"/>
              <w:ind w:right="113"/>
              <w:rPr>
                <w:i/>
                <w:iCs/>
                <w:snapToGrid w:val="0"/>
              </w:rPr>
            </w:pPr>
            <w:r>
              <w:rPr>
                <w:i/>
                <w:noProof/>
                <w:snapToGrid w:val="0"/>
              </w:rPr>
              <w:t xml:space="preserve">Road Traffic Legislation Amendment Act 2012 </w:t>
            </w:r>
            <w:r>
              <w:rPr>
                <w:noProof/>
                <w:snapToGrid w:val="0"/>
              </w:rPr>
              <w:t>Pt. 4 Div. 41</w:t>
            </w:r>
          </w:p>
        </w:tc>
        <w:tc>
          <w:tcPr>
            <w:tcW w:w="993"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trPr>
        <w:tc>
          <w:tcPr>
            <w:tcW w:w="2410" w:type="dxa"/>
            <w:shd w:val="clear" w:color="auto" w:fill="auto"/>
          </w:tcPr>
          <w:p>
            <w:pPr>
              <w:pStyle w:val="nTable"/>
              <w:spacing w:after="40"/>
              <w:ind w:right="113"/>
              <w:rPr>
                <w:i/>
                <w:iCs/>
                <w:snapToGrid w:val="0"/>
              </w:rPr>
            </w:pPr>
            <w:r>
              <w:rPr>
                <w:i/>
                <w:snapToGrid w:val="0"/>
              </w:rPr>
              <w:t>Commercial Arbitration Act 2012</w:t>
            </w:r>
            <w:r>
              <w:rPr>
                <w:snapToGrid w:val="0"/>
              </w:rPr>
              <w:t xml:space="preserve"> s. 45 it. 16</w:t>
            </w:r>
          </w:p>
        </w:tc>
        <w:tc>
          <w:tcPr>
            <w:tcW w:w="993" w:type="dxa"/>
            <w:shd w:val="clear" w:color="auto" w:fill="auto"/>
          </w:tcPr>
          <w:p>
            <w:pPr>
              <w:pStyle w:val="nTable"/>
              <w:spacing w:after="40"/>
              <w:rPr>
                <w:snapToGrid w:val="0"/>
              </w:rPr>
            </w:pPr>
            <w:r>
              <w:rPr>
                <w:snapToGrid w:val="0"/>
              </w:rPr>
              <w:t>23 of 2012</w:t>
            </w:r>
          </w:p>
        </w:tc>
        <w:tc>
          <w:tcPr>
            <w:tcW w:w="1135"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pPr>
            <w:r>
              <w:rPr>
                <w:snapToGrid w:val="0"/>
              </w:rPr>
              <w:t xml:space="preserve">7 Aug 2013 (see s. 1B(b) and </w:t>
            </w:r>
            <w:r>
              <w:rPr>
                <w:i/>
                <w:snapToGrid w:val="0"/>
              </w:rPr>
              <w:t>Gazette</w:t>
            </w:r>
            <w:r>
              <w:rPr>
                <w:snapToGrid w:val="0"/>
              </w:rPr>
              <w:t xml:space="preserve"> 6 Aug 2013 p. 3677)</w:t>
            </w:r>
          </w:p>
        </w:tc>
      </w:tr>
      <w:tr>
        <w:trPr>
          <w:cantSplit/>
        </w:trPr>
        <w:tc>
          <w:tcPr>
            <w:tcW w:w="2410" w:type="dxa"/>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222</w:t>
            </w:r>
          </w:p>
        </w:tc>
        <w:tc>
          <w:tcPr>
            <w:tcW w:w="993" w:type="dxa"/>
            <w:shd w:val="clear" w:color="auto" w:fill="auto"/>
          </w:tcPr>
          <w:p>
            <w:pPr>
              <w:pStyle w:val="nTable"/>
              <w:spacing w:after="40"/>
              <w:rPr>
                <w:snapToGrid w:val="0"/>
              </w:rPr>
            </w:pPr>
            <w:r>
              <w:rPr>
                <w:snapToGrid w:val="0"/>
              </w:rPr>
              <w:t>25 of 2012</w:t>
            </w:r>
          </w:p>
        </w:tc>
        <w:tc>
          <w:tcPr>
            <w:tcW w:w="1135"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4"/>
            <w:shd w:val="clear" w:color="auto" w:fill="auto"/>
          </w:tcPr>
          <w:p>
            <w:pPr>
              <w:pStyle w:val="nTable"/>
              <w:spacing w:after="40"/>
              <w:rPr>
                <w:snapToGrid w:val="0"/>
              </w:rPr>
            </w:pPr>
            <w:r>
              <w:rPr>
                <w:b/>
                <w:bCs/>
                <w:snapToGrid w:val="0"/>
              </w:rPr>
              <w:t xml:space="preserve">Reprint 3: The </w:t>
            </w:r>
            <w:r>
              <w:rPr>
                <w:b/>
                <w:bCs/>
                <w:i/>
                <w:noProof/>
                <w:snapToGrid w:val="0"/>
              </w:rPr>
              <w:t>Planning and Development Act 2005</w:t>
            </w:r>
            <w:r>
              <w:rPr>
                <w:b/>
                <w:bCs/>
                <w:noProof/>
                <w:snapToGrid w:val="0"/>
              </w:rPr>
              <w:t xml:space="preserve"> </w:t>
            </w:r>
            <w:r>
              <w:rPr>
                <w:b/>
                <w:bCs/>
                <w:snapToGrid w:val="0"/>
              </w:rPr>
              <w:t>as at 1 Mar 2013</w:t>
            </w:r>
            <w:r>
              <w:rPr>
                <w:b/>
                <w:bCs/>
                <w:snapToGrid w:val="0"/>
              </w:rPr>
              <w:br/>
            </w:r>
            <w:r>
              <w:rPr>
                <w:snapToGrid w:val="0"/>
              </w:rPr>
              <w:t xml:space="preserve">(includes amendments listed above except those in the </w:t>
            </w:r>
            <w:r>
              <w:rPr>
                <w:i/>
                <w:snapToGrid w:val="0"/>
              </w:rPr>
              <w:t>Commercial Arbitration Act 2012</w:t>
            </w:r>
            <w:r>
              <w:rPr>
                <w:snapToGrid w:val="0"/>
              </w:rPr>
              <w:t xml:space="preserve">, </w:t>
            </w:r>
            <w:r>
              <w:rPr>
                <w:i/>
                <w:snapToGrid w:val="0"/>
              </w:rPr>
              <w:t>Water Services Legislation Amendment and Repeal Act 2012</w:t>
            </w:r>
            <w:r>
              <w:rPr>
                <w:snapToGrid w:val="0"/>
              </w:rPr>
              <w:t xml:space="preserve"> and the </w:t>
            </w:r>
            <w:r>
              <w:rPr>
                <w:i/>
                <w:snapToGrid w:val="0"/>
              </w:rPr>
              <w:t>Road Traffic Legislation Amendment Act 2012</w:t>
            </w:r>
            <w:r>
              <w:rPr>
                <w:snapToGrid w:val="0"/>
              </w:rPr>
              <w:t>)</w:t>
            </w:r>
          </w:p>
        </w:tc>
      </w:tr>
      <w:tr>
        <w:trPr>
          <w:cantSplit/>
        </w:trPr>
        <w:tc>
          <w:tcPr>
            <w:tcW w:w="2410" w:type="dxa"/>
            <w:shd w:val="clear" w:color="auto" w:fill="auto"/>
          </w:tcPr>
          <w:p>
            <w:pPr>
              <w:pStyle w:val="nTable"/>
              <w:spacing w:after="40"/>
              <w:ind w:right="113"/>
              <w:rPr>
                <w:i/>
                <w:iCs/>
                <w:snapToGrid w:val="0"/>
              </w:rPr>
            </w:pPr>
            <w:r>
              <w:rPr>
                <w:i/>
                <w:noProof/>
                <w:snapToGrid w:val="0"/>
              </w:rPr>
              <w:t>Associations Incorporation Act 2015</w:t>
            </w:r>
            <w:r>
              <w:rPr>
                <w:noProof/>
                <w:snapToGrid w:val="0"/>
              </w:rPr>
              <w:t xml:space="preserve"> s. 226</w:t>
            </w:r>
          </w:p>
        </w:tc>
        <w:tc>
          <w:tcPr>
            <w:tcW w:w="993" w:type="dxa"/>
            <w:shd w:val="clear" w:color="auto" w:fill="auto"/>
          </w:tcPr>
          <w:p>
            <w:pPr>
              <w:pStyle w:val="nTable"/>
              <w:spacing w:after="40"/>
              <w:rPr>
                <w:snapToGrid w:val="0"/>
              </w:rPr>
            </w:pPr>
            <w:r>
              <w:t>30 of 2015</w:t>
            </w:r>
          </w:p>
        </w:tc>
        <w:tc>
          <w:tcPr>
            <w:tcW w:w="1135" w:type="dxa"/>
            <w:shd w:val="clear" w:color="auto" w:fill="auto"/>
          </w:tcPr>
          <w:p>
            <w:pPr>
              <w:pStyle w:val="nTable"/>
              <w:spacing w:after="40"/>
              <w:rPr>
                <w:snapToGrid w:val="0"/>
              </w:rPr>
            </w:pPr>
            <w:r>
              <w:t>2 Nov 2015</w:t>
            </w:r>
          </w:p>
        </w:tc>
        <w:tc>
          <w:tcPr>
            <w:tcW w:w="2551" w:type="dxa"/>
            <w:shd w:val="clear" w:color="auto" w:fill="auto"/>
          </w:tcPr>
          <w:p>
            <w:pPr>
              <w:pStyle w:val="nTable"/>
              <w:spacing w:after="40"/>
            </w:pPr>
            <w:r>
              <w:rPr>
                <w:snapToGrid w:val="0"/>
              </w:rPr>
              <w:t xml:space="preserve">1 Jul 2016 (see s. 2(b) and </w:t>
            </w:r>
            <w:r>
              <w:rPr>
                <w:i/>
                <w:snapToGrid w:val="0"/>
              </w:rPr>
              <w:t>Gazette</w:t>
            </w:r>
            <w:r>
              <w:rPr>
                <w:snapToGrid w:val="0"/>
              </w:rPr>
              <w:t xml:space="preserve"> 24 Jun 2016 p. 2291-2)</w:t>
            </w:r>
          </w:p>
        </w:tc>
      </w:tr>
      <w:tr>
        <w:trPr>
          <w:cantSplit/>
        </w:trPr>
        <w:tc>
          <w:tcPr>
            <w:tcW w:w="7089" w:type="dxa"/>
            <w:gridSpan w:val="4"/>
            <w:shd w:val="clear" w:color="auto" w:fill="auto"/>
          </w:tcPr>
          <w:p>
            <w:pPr>
              <w:pStyle w:val="nTable"/>
              <w:keepNext/>
              <w:spacing w:after="40"/>
              <w:rPr>
                <w:b/>
                <w:bCs/>
                <w:snapToGrid w:val="0"/>
              </w:rPr>
            </w:pPr>
            <w:r>
              <w:rPr>
                <w:b/>
                <w:bCs/>
                <w:snapToGrid w:val="0"/>
              </w:rPr>
              <w:t xml:space="preserve">Reprint 4: The </w:t>
            </w:r>
            <w:r>
              <w:rPr>
                <w:b/>
                <w:bCs/>
                <w:i/>
                <w:noProof/>
                <w:snapToGrid w:val="0"/>
              </w:rPr>
              <w:t>Planning and Development Act 2005</w:t>
            </w:r>
            <w:r>
              <w:rPr>
                <w:b/>
                <w:bCs/>
                <w:snapToGrid w:val="0"/>
              </w:rPr>
              <w:t xml:space="preserve"> as at 1 Apr 2016 </w:t>
            </w:r>
            <w:r>
              <w:rPr>
                <w:bCs/>
                <w:snapToGrid w:val="0"/>
              </w:rPr>
              <w:t xml:space="preserve">(includes amendments listed above except those in the </w:t>
            </w:r>
            <w:r>
              <w:rPr>
                <w:bCs/>
                <w:i/>
                <w:snapToGrid w:val="0"/>
              </w:rPr>
              <w:t>Associations Incorporation Act 2015</w:t>
            </w:r>
            <w:r>
              <w:rPr>
                <w:bCs/>
                <w:snapToGrid w:val="0"/>
              </w:rPr>
              <w:t>)</w:t>
            </w:r>
          </w:p>
        </w:tc>
      </w:tr>
      <w:tr>
        <w:trPr>
          <w:cantSplit/>
        </w:trPr>
        <w:tc>
          <w:tcPr>
            <w:tcW w:w="2410" w:type="dxa"/>
            <w:shd w:val="clear" w:color="auto" w:fill="auto"/>
          </w:tcPr>
          <w:p>
            <w:pPr>
              <w:pStyle w:val="nTable"/>
              <w:spacing w:after="40"/>
              <w:ind w:right="113"/>
              <w:rPr>
                <w:i/>
                <w:iCs/>
                <w:snapToGrid w:val="0"/>
              </w:rPr>
            </w:pPr>
            <w:r>
              <w:rPr>
                <w:i/>
              </w:rPr>
              <w:t xml:space="preserve">Heritage Act 2018 </w:t>
            </w:r>
            <w:r>
              <w:t>s. 186</w:t>
            </w:r>
          </w:p>
        </w:tc>
        <w:tc>
          <w:tcPr>
            <w:tcW w:w="993" w:type="dxa"/>
            <w:shd w:val="clear" w:color="auto" w:fill="auto"/>
          </w:tcPr>
          <w:p>
            <w:pPr>
              <w:pStyle w:val="nTable"/>
              <w:spacing w:after="40"/>
              <w:rPr>
                <w:snapToGrid w:val="0"/>
              </w:rPr>
            </w:pPr>
            <w:r>
              <w:t>22 of 2018</w:t>
            </w:r>
          </w:p>
        </w:tc>
        <w:tc>
          <w:tcPr>
            <w:tcW w:w="1135" w:type="dxa"/>
            <w:shd w:val="clear" w:color="auto" w:fill="auto"/>
          </w:tcPr>
          <w:p>
            <w:pPr>
              <w:pStyle w:val="nTable"/>
              <w:spacing w:after="40"/>
              <w:rPr>
                <w:snapToGrid w:val="0"/>
              </w:rPr>
            </w:pPr>
            <w:r>
              <w:t>18 Sep 2018</w:t>
            </w:r>
          </w:p>
        </w:tc>
        <w:tc>
          <w:tcPr>
            <w:tcW w:w="2551" w:type="dxa"/>
            <w:shd w:val="clear" w:color="auto" w:fill="auto"/>
          </w:tcPr>
          <w:p>
            <w:pPr>
              <w:pStyle w:val="nTable"/>
              <w:spacing w:after="40"/>
            </w:pPr>
            <w:r>
              <w:rPr>
                <w:snapToGrid w:val="0"/>
              </w:rPr>
              <w:t xml:space="preserve">1 Jul 2019 (see s. 2(b) and </w:t>
            </w:r>
            <w:r>
              <w:rPr>
                <w:i/>
                <w:snapToGrid w:val="0"/>
              </w:rPr>
              <w:t>Gazette</w:t>
            </w:r>
            <w:r>
              <w:rPr>
                <w:snapToGrid w:val="0"/>
              </w:rPr>
              <w:t xml:space="preserve"> 27 Jun 2019 p. 2375)</w:t>
            </w:r>
          </w:p>
        </w:tc>
      </w:tr>
      <w:tr>
        <w:trPr>
          <w:cantSplit/>
        </w:trPr>
        <w:tc>
          <w:tcPr>
            <w:tcW w:w="2410" w:type="dxa"/>
            <w:shd w:val="clear" w:color="auto" w:fill="auto"/>
          </w:tcPr>
          <w:p>
            <w:pPr>
              <w:pStyle w:val="nTable"/>
              <w:spacing w:after="40"/>
              <w:ind w:right="113"/>
              <w:rPr>
                <w:i/>
              </w:rPr>
            </w:pPr>
            <w:r>
              <w:rPr>
                <w:i/>
              </w:rPr>
              <w:t>Infrastructure Western Australia Act 2019</w:t>
            </w:r>
            <w:r>
              <w:t xml:space="preserve"> s. 76</w:t>
            </w:r>
          </w:p>
        </w:tc>
        <w:tc>
          <w:tcPr>
            <w:tcW w:w="993" w:type="dxa"/>
            <w:shd w:val="clear" w:color="auto" w:fill="auto"/>
          </w:tcPr>
          <w:p>
            <w:pPr>
              <w:pStyle w:val="nTable"/>
              <w:spacing w:after="40"/>
            </w:pPr>
            <w:r>
              <w:t>13 of 2019</w:t>
            </w:r>
          </w:p>
        </w:tc>
        <w:tc>
          <w:tcPr>
            <w:tcW w:w="1135" w:type="dxa"/>
            <w:shd w:val="clear" w:color="auto" w:fill="auto"/>
          </w:tcPr>
          <w:p>
            <w:pPr>
              <w:pStyle w:val="nTable"/>
              <w:spacing w:after="40"/>
            </w:pPr>
            <w:r>
              <w:t>24 Jun 2019</w:t>
            </w:r>
          </w:p>
        </w:tc>
        <w:tc>
          <w:tcPr>
            <w:tcW w:w="2551" w:type="dxa"/>
            <w:shd w:val="clear" w:color="auto" w:fill="auto"/>
          </w:tcPr>
          <w:p>
            <w:pPr>
              <w:pStyle w:val="nTable"/>
              <w:spacing w:after="40"/>
              <w:rPr>
                <w:snapToGrid w:val="0"/>
              </w:rPr>
            </w:pPr>
            <w:r>
              <w:rPr>
                <w:snapToGrid w:val="0"/>
              </w:rPr>
              <w:t>24 Jul 2019 (see s. 2(c))</w:t>
            </w:r>
          </w:p>
        </w:tc>
      </w:tr>
      <w:tr>
        <w:trPr>
          <w:cantSplit/>
        </w:trPr>
        <w:tc>
          <w:tcPr>
            <w:tcW w:w="2410" w:type="dxa"/>
            <w:shd w:val="clear" w:color="auto" w:fill="auto"/>
          </w:tcPr>
          <w:p>
            <w:pPr>
              <w:pStyle w:val="nTable"/>
              <w:spacing w:after="40"/>
              <w:ind w:right="113"/>
              <w:rPr>
                <w:i/>
              </w:rPr>
            </w:pPr>
            <w:r>
              <w:rPr>
                <w:i/>
              </w:rPr>
              <w:t>Strata Titles Amendment Act 2018</w:t>
            </w:r>
            <w:r>
              <w:t xml:space="preserve"> Pt. 3 Div. 14</w:t>
            </w:r>
          </w:p>
        </w:tc>
        <w:tc>
          <w:tcPr>
            <w:tcW w:w="993" w:type="dxa"/>
            <w:shd w:val="clear" w:color="auto" w:fill="auto"/>
          </w:tcPr>
          <w:p>
            <w:pPr>
              <w:pStyle w:val="nTable"/>
              <w:spacing w:after="40"/>
            </w:pPr>
            <w:r>
              <w:t>30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rPr>
                <w:snapToGrid w:val="0"/>
              </w:rPr>
              <w:t>1 May 2020 (see s. 2(b) and SL 2020/39 cl. 2)</w:t>
            </w:r>
          </w:p>
        </w:tc>
      </w:tr>
      <w:tr>
        <w:trPr>
          <w:cantSplit/>
        </w:trPr>
        <w:tc>
          <w:tcPr>
            <w:tcW w:w="2410" w:type="dxa"/>
            <w:shd w:val="clear" w:color="auto" w:fill="auto"/>
          </w:tcPr>
          <w:p>
            <w:pPr>
              <w:pStyle w:val="nTable"/>
              <w:spacing w:after="40"/>
              <w:ind w:right="113"/>
              <w:rPr>
                <w:i/>
              </w:rPr>
            </w:pPr>
            <w:r>
              <w:rPr>
                <w:i/>
              </w:rPr>
              <w:t>Community Titles Act 2018</w:t>
            </w:r>
            <w:r>
              <w:t xml:space="preserve"> Pt. 14 Div. 14 (other than s. 224</w:t>
            </w:r>
            <w:r>
              <w:noBreakHyphen/>
              <w:t>226)</w:t>
            </w:r>
          </w:p>
        </w:tc>
        <w:tc>
          <w:tcPr>
            <w:tcW w:w="993" w:type="dxa"/>
            <w:shd w:val="clear" w:color="auto" w:fill="auto"/>
          </w:tcPr>
          <w:p>
            <w:pPr>
              <w:pStyle w:val="nTable"/>
              <w:spacing w:after="40"/>
            </w:pPr>
            <w:r>
              <w:t>32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t>30 Jun 2021 (see s. 2(b) and SL 2021/69 cl. 2)</w:t>
            </w:r>
          </w:p>
        </w:tc>
      </w:tr>
      <w:tr>
        <w:trPr>
          <w:cantSplit/>
        </w:trPr>
        <w:tc>
          <w:tcPr>
            <w:tcW w:w="2410" w:type="dxa"/>
            <w:shd w:val="clear" w:color="auto" w:fill="auto"/>
          </w:tcPr>
          <w:p>
            <w:pPr>
              <w:pStyle w:val="nTable"/>
              <w:spacing w:after="40"/>
              <w:ind w:right="113"/>
            </w:pPr>
            <w:r>
              <w:rPr>
                <w:i/>
              </w:rPr>
              <w:t>Planning and Development Amendment Act 2020</w:t>
            </w:r>
            <w:r>
              <w:t xml:space="preserve"> Pt. 2, 4, 5, 8, 10, 11, 13 and 15-17</w:t>
            </w:r>
          </w:p>
        </w:tc>
        <w:tc>
          <w:tcPr>
            <w:tcW w:w="993" w:type="dxa"/>
            <w:shd w:val="clear" w:color="auto" w:fill="auto"/>
          </w:tcPr>
          <w:p>
            <w:pPr>
              <w:pStyle w:val="nTable"/>
              <w:spacing w:after="40"/>
            </w:pPr>
            <w:r>
              <w:t>26 of 2020</w:t>
            </w:r>
          </w:p>
        </w:tc>
        <w:tc>
          <w:tcPr>
            <w:tcW w:w="1135" w:type="dxa"/>
            <w:shd w:val="clear" w:color="auto" w:fill="auto"/>
          </w:tcPr>
          <w:p>
            <w:pPr>
              <w:pStyle w:val="nTable"/>
              <w:spacing w:after="40"/>
            </w:pPr>
            <w:r>
              <w:t>7 Jul 2020</w:t>
            </w:r>
          </w:p>
        </w:tc>
        <w:tc>
          <w:tcPr>
            <w:tcW w:w="2551" w:type="dxa"/>
            <w:shd w:val="clear" w:color="auto" w:fill="auto"/>
          </w:tcPr>
          <w:p>
            <w:pPr>
              <w:pStyle w:val="nTable"/>
              <w:spacing w:after="40"/>
              <w:rPr>
                <w:snapToGrid w:val="0"/>
              </w:rPr>
            </w:pPr>
            <w:r>
              <w:rPr>
                <w:snapToGrid w:val="0"/>
              </w:rPr>
              <w:t>Pt. 2 and 17: 8 Jul 2020 (see s. 2(1)(c));</w:t>
            </w:r>
            <w:r>
              <w:rPr>
                <w:snapToGrid w:val="0"/>
              </w:rPr>
              <w:br/>
              <w:t>Pt. 4, 5, 8, 10, 11, 13, 15 and 16: 12 Sep 2020 (see s. 2(1)(b) and SL 2020/155 cl. 2)</w:t>
            </w:r>
          </w:p>
        </w:tc>
      </w:tr>
      <w:tr>
        <w:trPr>
          <w:cantSplit/>
        </w:trPr>
        <w:tc>
          <w:tcPr>
            <w:tcW w:w="2410" w:type="dxa"/>
            <w:shd w:val="clear" w:color="auto" w:fill="auto"/>
          </w:tcPr>
          <w:p>
            <w:pPr>
              <w:pStyle w:val="nTable"/>
              <w:spacing w:after="40"/>
              <w:ind w:right="113"/>
              <w:rPr>
                <w:i/>
              </w:rPr>
            </w:pPr>
            <w:r>
              <w:rPr>
                <w:i/>
                <w:snapToGrid w:val="0"/>
              </w:rPr>
              <w:t>Swan Valley Planning Act 2020</w:t>
            </w:r>
            <w:r>
              <w:rPr>
                <w:snapToGrid w:val="0"/>
              </w:rPr>
              <w:t xml:space="preserve"> Pt. 9 (other than s. 62)</w:t>
            </w:r>
          </w:p>
        </w:tc>
        <w:tc>
          <w:tcPr>
            <w:tcW w:w="993" w:type="dxa"/>
            <w:shd w:val="clear" w:color="auto" w:fill="auto"/>
          </w:tcPr>
          <w:p>
            <w:pPr>
              <w:pStyle w:val="nTable"/>
              <w:spacing w:after="40"/>
            </w:pPr>
            <w:r>
              <w:t>45 of 2020</w:t>
            </w:r>
          </w:p>
        </w:tc>
        <w:tc>
          <w:tcPr>
            <w:tcW w:w="1135" w:type="dxa"/>
            <w:shd w:val="clear" w:color="auto" w:fill="auto"/>
          </w:tcPr>
          <w:p>
            <w:pPr>
              <w:pStyle w:val="nTable"/>
              <w:spacing w:after="40"/>
            </w:pPr>
            <w:r>
              <w:t>9 Dec 2020</w:t>
            </w:r>
          </w:p>
        </w:tc>
        <w:tc>
          <w:tcPr>
            <w:tcW w:w="2551" w:type="dxa"/>
            <w:shd w:val="clear" w:color="auto" w:fill="auto"/>
          </w:tcPr>
          <w:p>
            <w:pPr>
              <w:pStyle w:val="nTable"/>
              <w:spacing w:after="40"/>
              <w:rPr>
                <w:snapToGrid w:val="0"/>
              </w:rPr>
            </w:pPr>
            <w:r>
              <w:rPr>
                <w:snapToGrid w:val="0"/>
              </w:rPr>
              <w:t>1 Aug 2021 (see s. 2(1)(d)(i) and (e) and SL 2021/124 cl. 2)</w:t>
            </w:r>
          </w:p>
        </w:tc>
      </w:tr>
      <w:tr>
        <w:trPr>
          <w:cantSplit/>
          <w:ins w:id="1108" w:author="Master Repository Process" w:date="2024-01-03T09:01:00Z"/>
        </w:trPr>
        <w:tc>
          <w:tcPr>
            <w:tcW w:w="2410" w:type="dxa"/>
            <w:shd w:val="clear" w:color="auto" w:fill="auto"/>
          </w:tcPr>
          <w:p>
            <w:pPr>
              <w:pStyle w:val="nTable"/>
              <w:spacing w:after="40"/>
              <w:ind w:right="113"/>
              <w:rPr>
                <w:ins w:id="1109" w:author="Master Repository Process" w:date="2024-01-03T09:01:00Z"/>
                <w:i/>
                <w:snapToGrid w:val="0"/>
              </w:rPr>
            </w:pPr>
            <w:ins w:id="1110" w:author="Master Repository Process" w:date="2024-01-03T09:01:00Z">
              <w:r>
                <w:rPr>
                  <w:i/>
                </w:rPr>
                <w:t>Aboriginal Cultural Heritage Act 2021</w:t>
              </w:r>
              <w:r>
                <w:t xml:space="preserve"> s. 350</w:t>
              </w:r>
            </w:ins>
          </w:p>
        </w:tc>
        <w:tc>
          <w:tcPr>
            <w:tcW w:w="993" w:type="dxa"/>
            <w:shd w:val="clear" w:color="auto" w:fill="auto"/>
          </w:tcPr>
          <w:p>
            <w:pPr>
              <w:pStyle w:val="nTable"/>
              <w:spacing w:after="40"/>
              <w:rPr>
                <w:ins w:id="1111" w:author="Master Repository Process" w:date="2024-01-03T09:01:00Z"/>
              </w:rPr>
            </w:pPr>
            <w:ins w:id="1112" w:author="Master Repository Process" w:date="2024-01-03T09:01:00Z">
              <w:r>
                <w:t>27 of 2021</w:t>
              </w:r>
            </w:ins>
          </w:p>
        </w:tc>
        <w:tc>
          <w:tcPr>
            <w:tcW w:w="1135" w:type="dxa"/>
            <w:shd w:val="clear" w:color="auto" w:fill="auto"/>
          </w:tcPr>
          <w:p>
            <w:pPr>
              <w:pStyle w:val="nTable"/>
              <w:spacing w:after="40"/>
              <w:rPr>
                <w:ins w:id="1113" w:author="Master Repository Process" w:date="2024-01-03T09:01:00Z"/>
              </w:rPr>
            </w:pPr>
            <w:ins w:id="1114" w:author="Master Repository Process" w:date="2024-01-03T09:01:00Z">
              <w:r>
                <w:t>22 Dec 2021</w:t>
              </w:r>
            </w:ins>
          </w:p>
        </w:tc>
        <w:tc>
          <w:tcPr>
            <w:tcW w:w="2551" w:type="dxa"/>
            <w:shd w:val="clear" w:color="auto" w:fill="auto"/>
          </w:tcPr>
          <w:p>
            <w:pPr>
              <w:pStyle w:val="nTable"/>
              <w:spacing w:after="40"/>
              <w:rPr>
                <w:ins w:id="1115" w:author="Master Repository Process" w:date="2024-01-03T09:01:00Z"/>
                <w:snapToGrid w:val="0"/>
              </w:rPr>
            </w:pPr>
            <w:ins w:id="1116" w:author="Master Repository Process" w:date="2024-01-03T09:01:00Z">
              <w:r>
                <w:t>1 Jul 2023 (see s. 2(e) and SL 2023/40 cl. 2(b))</w:t>
              </w:r>
            </w:ins>
          </w:p>
        </w:tc>
      </w:tr>
      <w:tr>
        <w:trPr>
          <w:cantSplit/>
        </w:trPr>
        <w:tc>
          <w:tcPr>
            <w:tcW w:w="2410" w:type="dxa"/>
            <w:shd w:val="clear" w:color="auto" w:fill="auto"/>
          </w:tcPr>
          <w:p>
            <w:pPr>
              <w:pStyle w:val="nTable"/>
              <w:spacing w:after="40"/>
              <w:ind w:right="113"/>
              <w:rPr>
                <w:i/>
              </w:rPr>
            </w:pPr>
            <w:r>
              <w:rPr>
                <w:i/>
              </w:rPr>
              <w:t>Legal Profession Uniform Law Application Act 2022</w:t>
            </w:r>
            <w:r>
              <w:t xml:space="preserve"> s. 424</w:t>
            </w:r>
          </w:p>
        </w:tc>
        <w:tc>
          <w:tcPr>
            <w:tcW w:w="993" w:type="dxa"/>
            <w:shd w:val="clear" w:color="auto" w:fill="auto"/>
          </w:tcPr>
          <w:p>
            <w:pPr>
              <w:pStyle w:val="nTable"/>
              <w:spacing w:after="40"/>
            </w:pPr>
            <w:r>
              <w:t>9 of 2022</w:t>
            </w:r>
          </w:p>
        </w:tc>
        <w:tc>
          <w:tcPr>
            <w:tcW w:w="1135" w:type="dxa"/>
            <w:shd w:val="clear" w:color="auto" w:fill="auto"/>
          </w:tcPr>
          <w:p>
            <w:pPr>
              <w:pStyle w:val="nTable"/>
              <w:spacing w:after="40"/>
            </w:pPr>
            <w:r>
              <w:t>14 Apr 2022</w:t>
            </w:r>
          </w:p>
        </w:tc>
        <w:tc>
          <w:tcPr>
            <w:tcW w:w="2551" w:type="dxa"/>
            <w:shd w:val="clear" w:color="auto" w:fill="auto"/>
          </w:tcPr>
          <w:p>
            <w:pPr>
              <w:pStyle w:val="nTable"/>
              <w:spacing w:after="40"/>
              <w:rPr>
                <w:snapToGrid w:val="0"/>
              </w:rPr>
            </w:pPr>
            <w:r>
              <w:rPr>
                <w:snapToGrid w:val="0"/>
              </w:rPr>
              <w:t>1 Jul 2022 (see s. 2(c) and SL 2022/113 cl. 2)</w:t>
            </w:r>
          </w:p>
        </w:tc>
      </w:tr>
      <w:tr>
        <w:trPr>
          <w:cantSplit/>
        </w:trPr>
        <w:tc>
          <w:tcPr>
            <w:tcW w:w="2410" w:type="dxa"/>
            <w:tcBorders>
              <w:bottom w:val="single" w:sz="4" w:space="0" w:color="auto"/>
            </w:tcBorders>
            <w:shd w:val="clear" w:color="auto" w:fill="auto"/>
          </w:tcPr>
          <w:p>
            <w:pPr>
              <w:pStyle w:val="nTable"/>
              <w:spacing w:after="40"/>
              <w:ind w:right="113"/>
              <w:rPr>
                <w:i/>
                <w:snapToGrid w:val="0"/>
              </w:rPr>
            </w:pPr>
            <w:r>
              <w:rPr>
                <w:i/>
              </w:rPr>
              <w:t>Planning and Development Amendment Act 2022</w:t>
            </w:r>
          </w:p>
        </w:tc>
        <w:tc>
          <w:tcPr>
            <w:tcW w:w="993" w:type="dxa"/>
            <w:tcBorders>
              <w:bottom w:val="single" w:sz="4" w:space="0" w:color="auto"/>
            </w:tcBorders>
            <w:shd w:val="clear" w:color="auto" w:fill="auto"/>
          </w:tcPr>
          <w:p>
            <w:pPr>
              <w:pStyle w:val="nTable"/>
              <w:spacing w:after="40"/>
            </w:pPr>
            <w:r>
              <w:t>17 of 2022</w:t>
            </w:r>
          </w:p>
        </w:tc>
        <w:tc>
          <w:tcPr>
            <w:tcW w:w="1135" w:type="dxa"/>
            <w:tcBorders>
              <w:bottom w:val="single" w:sz="4" w:space="0" w:color="auto"/>
            </w:tcBorders>
            <w:shd w:val="clear" w:color="auto" w:fill="auto"/>
          </w:tcPr>
          <w:p>
            <w:pPr>
              <w:pStyle w:val="nTable"/>
              <w:spacing w:after="40"/>
            </w:pPr>
            <w:r>
              <w:t>24 Jun 2022</w:t>
            </w:r>
          </w:p>
        </w:tc>
        <w:tc>
          <w:tcPr>
            <w:tcW w:w="2551" w:type="dxa"/>
            <w:tcBorders>
              <w:bottom w:val="single" w:sz="4" w:space="0" w:color="auto"/>
            </w:tcBorders>
            <w:shd w:val="clear" w:color="auto" w:fill="auto"/>
          </w:tcPr>
          <w:p>
            <w:pPr>
              <w:pStyle w:val="nTable"/>
              <w:spacing w:after="40"/>
              <w:rPr>
                <w:snapToGrid w:val="0"/>
              </w:rPr>
            </w:pPr>
            <w:r>
              <w:rPr>
                <w:snapToGrid w:val="0"/>
              </w:rPr>
              <w:t>s. 1 and 2: 24 Jun 2022 (see s. 2(a));</w:t>
            </w:r>
            <w:r>
              <w:rPr>
                <w:snapToGrid w:val="0"/>
              </w:rPr>
              <w:br/>
              <w:t>Act other than s. 1 and 2: 25 Jun 2022 (see s. 2(b))</w:t>
            </w:r>
          </w:p>
        </w:tc>
      </w:tr>
    </w:tbl>
    <w:p>
      <w:pPr>
        <w:pStyle w:val="nHeading3"/>
      </w:pPr>
      <w:bookmarkStart w:id="1117" w:name="_Toc155165231"/>
      <w:bookmarkStart w:id="1118" w:name="_Toc135132936"/>
      <w:r>
        <w:t>Uncommenced provisions table</w:t>
      </w:r>
      <w:bookmarkEnd w:id="1117"/>
      <w:bookmarkEnd w:id="1118"/>
    </w:p>
    <w:p>
      <w:pPr>
        <w:pStyle w:val="nStatement"/>
        <w:keepNext/>
        <w:spacing w:after="240"/>
      </w:pPr>
      <w:r>
        <w:t xml:space="preserve">To view the text of the uncommenced provisions see </w:t>
      </w:r>
      <w:r>
        <w:rPr>
          <w:i/>
        </w:rPr>
        <w:t>Acts as passed</w:t>
      </w:r>
      <w:r>
        <w:t xml:space="preserve"> on the WA Legislation website.</w:t>
      </w:r>
    </w:p>
    <w:tbl>
      <w:tblPr>
        <w:tblW w:w="7075" w:type="dxa"/>
        <w:tblInd w:w="56" w:type="dxa"/>
        <w:tblLayout w:type="fixed"/>
        <w:tblCellMar>
          <w:left w:w="56" w:type="dxa"/>
          <w:right w:w="56" w:type="dxa"/>
        </w:tblCellMar>
        <w:tblLook w:val="0000" w:firstRow="0" w:lastRow="0" w:firstColumn="0" w:lastColumn="0" w:noHBand="0" w:noVBand="0"/>
      </w:tblPr>
      <w:tblGrid>
        <w:gridCol w:w="2280"/>
        <w:gridCol w:w="8"/>
        <w:gridCol w:w="1115"/>
        <w:gridCol w:w="1175"/>
        <w:gridCol w:w="2497"/>
      </w:tblGrid>
      <w:tr>
        <w:trPr>
          <w:tblHeader/>
        </w:trPr>
        <w:tc>
          <w:tcPr>
            <w:tcW w:w="2288"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15" w:type="dxa"/>
            <w:tcBorders>
              <w:top w:val="single" w:sz="8" w:space="0" w:color="auto"/>
              <w:bottom w:val="single" w:sz="8" w:space="0" w:color="auto"/>
            </w:tcBorders>
            <w:shd w:val="clear" w:color="auto" w:fill="auto"/>
          </w:tcPr>
          <w:p>
            <w:pPr>
              <w:pStyle w:val="nTable"/>
              <w:spacing w:after="40"/>
              <w:ind w:right="61"/>
              <w:rPr>
                <w:b/>
                <w:snapToGrid w:val="0"/>
              </w:rPr>
            </w:pPr>
            <w:r>
              <w:rPr>
                <w:b/>
                <w:snapToGrid w:val="0"/>
              </w:rPr>
              <w:t>Number and year</w:t>
            </w:r>
          </w:p>
        </w:tc>
        <w:tc>
          <w:tcPr>
            <w:tcW w:w="1175"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49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88" w:type="dxa"/>
            <w:gridSpan w:val="2"/>
            <w:tcBorders>
              <w:top w:val="single" w:sz="4" w:space="0" w:color="auto"/>
            </w:tcBorders>
          </w:tcPr>
          <w:p>
            <w:pPr>
              <w:pStyle w:val="nTable"/>
              <w:spacing w:after="40"/>
              <w:rPr>
                <w:i/>
                <w:noProof/>
                <w:snapToGrid w:val="0"/>
              </w:rPr>
            </w:pPr>
            <w:r>
              <w:rPr>
                <w:i/>
                <w:noProof/>
                <w:snapToGrid w:val="0"/>
              </w:rPr>
              <w:t>Planning and Development Act 2005</w:t>
            </w:r>
            <w:r>
              <w:rPr>
                <w:noProof/>
                <w:snapToGrid w:val="0"/>
              </w:rPr>
              <w:t xml:space="preserve"> s. 149</w:t>
            </w:r>
          </w:p>
        </w:tc>
        <w:tc>
          <w:tcPr>
            <w:tcW w:w="1115" w:type="dxa"/>
            <w:tcBorders>
              <w:top w:val="single" w:sz="4" w:space="0" w:color="auto"/>
            </w:tcBorders>
          </w:tcPr>
          <w:p>
            <w:pPr>
              <w:pStyle w:val="nTable"/>
              <w:spacing w:after="40"/>
              <w:ind w:right="61"/>
            </w:pPr>
            <w:r>
              <w:t>37 of 2005</w:t>
            </w:r>
          </w:p>
        </w:tc>
        <w:tc>
          <w:tcPr>
            <w:tcW w:w="1175" w:type="dxa"/>
            <w:tcBorders>
              <w:top w:val="single" w:sz="4" w:space="0" w:color="auto"/>
            </w:tcBorders>
          </w:tcPr>
          <w:p>
            <w:pPr>
              <w:pStyle w:val="nTable"/>
              <w:spacing w:after="40"/>
            </w:pPr>
            <w:r>
              <w:t>12 Dec 2005</w:t>
            </w:r>
          </w:p>
        </w:tc>
        <w:tc>
          <w:tcPr>
            <w:tcW w:w="2497" w:type="dxa"/>
            <w:tcBorders>
              <w:top w:val="single" w:sz="4" w:space="0" w:color="auto"/>
            </w:tcBorders>
          </w:tcPr>
          <w:p>
            <w:pPr>
              <w:pStyle w:val="nTable"/>
              <w:keepNext/>
              <w:keepLines/>
              <w:spacing w:after="40"/>
            </w:pPr>
            <w:r>
              <w:t>To be proclaimed (see s. 2)</w:t>
            </w:r>
          </w:p>
        </w:tc>
      </w:tr>
      <w:tr>
        <w:tc>
          <w:tcPr>
            <w:tcW w:w="2288" w:type="dxa"/>
            <w:gridSpan w:val="2"/>
          </w:tcPr>
          <w:p>
            <w:pPr>
              <w:pStyle w:val="nTable"/>
              <w:spacing w:after="40"/>
              <w:rPr>
                <w:i/>
                <w:noProof/>
                <w:snapToGrid w:val="0"/>
              </w:rPr>
            </w:pPr>
            <w:r>
              <w:rPr>
                <w:i/>
                <w:snapToGrid w:val="0"/>
              </w:rPr>
              <w:t>Aquatic Resources Management Act 2016</w:t>
            </w:r>
            <w:r>
              <w:rPr>
                <w:snapToGrid w:val="0"/>
              </w:rPr>
              <w:t xml:space="preserve"> s. 377</w:t>
            </w:r>
          </w:p>
        </w:tc>
        <w:tc>
          <w:tcPr>
            <w:tcW w:w="1115" w:type="dxa"/>
          </w:tcPr>
          <w:p>
            <w:pPr>
              <w:pStyle w:val="nTable"/>
              <w:spacing w:after="40"/>
              <w:ind w:right="61"/>
            </w:pPr>
            <w:r>
              <w:t>53 of 2016</w:t>
            </w:r>
          </w:p>
        </w:tc>
        <w:tc>
          <w:tcPr>
            <w:tcW w:w="1175" w:type="dxa"/>
          </w:tcPr>
          <w:p>
            <w:pPr>
              <w:pStyle w:val="nTable"/>
              <w:spacing w:after="40"/>
            </w:pPr>
            <w:r>
              <w:t>29 Nov 2016</w:t>
            </w:r>
          </w:p>
        </w:tc>
        <w:tc>
          <w:tcPr>
            <w:tcW w:w="2497" w:type="dxa"/>
          </w:tcPr>
          <w:p>
            <w:pPr>
              <w:pStyle w:val="nTable"/>
              <w:keepNext/>
              <w:keepLines/>
              <w:spacing w:after="40"/>
            </w:pPr>
            <w:r>
              <w:rPr>
                <w:snapToGrid w:val="0"/>
              </w:rP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pPr>
            <w:r>
              <w:rPr>
                <w:i/>
              </w:rPr>
              <w:t>Community Titles Act 2018</w:t>
            </w:r>
            <w:r>
              <w:t xml:space="preserve"> s. 224</w:t>
            </w:r>
            <w:r>
              <w:noBreakHyphen/>
              <w:t>226</w:t>
            </w:r>
          </w:p>
        </w:tc>
        <w:tc>
          <w:tcPr>
            <w:tcW w:w="1123" w:type="dxa"/>
            <w:gridSpan w:val="2"/>
            <w:tcBorders>
              <w:top w:val="nil"/>
              <w:bottom w:val="nil"/>
            </w:tcBorders>
          </w:tcPr>
          <w:p>
            <w:pPr>
              <w:pStyle w:val="nTable"/>
              <w:spacing w:after="40"/>
              <w:ind w:right="61"/>
            </w:pPr>
            <w:r>
              <w:t>32 of 2018</w:t>
            </w:r>
          </w:p>
        </w:tc>
        <w:tc>
          <w:tcPr>
            <w:tcW w:w="1175" w:type="dxa"/>
            <w:tcBorders>
              <w:top w:val="nil"/>
              <w:bottom w:val="nil"/>
            </w:tcBorders>
          </w:tcPr>
          <w:p>
            <w:pPr>
              <w:pStyle w:val="nTable"/>
              <w:spacing w:after="40"/>
            </w:pPr>
            <w:r>
              <w:t>19 Nov 2018</w:t>
            </w:r>
          </w:p>
        </w:tc>
        <w:tc>
          <w:tcPr>
            <w:tcW w:w="2497"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rPr>
                <w:i/>
              </w:rPr>
            </w:pPr>
            <w:r>
              <w:rPr>
                <w:i/>
              </w:rPr>
              <w:t>Planning and Development Amendment Act 2020</w:t>
            </w:r>
            <w:r>
              <w:t xml:space="preserve"> Pt. 3, Pt.</w:t>
            </w:r>
            <w:del w:id="1119" w:author="Master Repository Process" w:date="2024-01-03T09:01:00Z">
              <w:r>
                <w:delText xml:space="preserve"> </w:delText>
              </w:r>
            </w:del>
            <w:ins w:id="1120" w:author="Master Repository Process" w:date="2024-01-03T09:01:00Z">
              <w:r>
                <w:t> </w:t>
              </w:r>
            </w:ins>
            <w:r>
              <w:t xml:space="preserve">6 Div. 1, Pt. 7 Div. 1, Pt. 9, Pt. 12 Div. 1 and Pt. 14 </w:t>
            </w:r>
          </w:p>
        </w:tc>
        <w:tc>
          <w:tcPr>
            <w:tcW w:w="1123" w:type="dxa"/>
            <w:gridSpan w:val="2"/>
            <w:tcBorders>
              <w:top w:val="nil"/>
              <w:bottom w:val="nil"/>
            </w:tcBorders>
          </w:tcPr>
          <w:p>
            <w:pPr>
              <w:pStyle w:val="nTable"/>
              <w:spacing w:after="40"/>
              <w:ind w:right="61"/>
            </w:pPr>
            <w:r>
              <w:t>26 of 2020 (as amended by Act No. 45 of 2020</w:t>
            </w:r>
            <w:r>
              <w:rPr>
                <w:snapToGrid w:val="0"/>
              </w:rPr>
              <w:t xml:space="preserve"> Pt. 10 Div. 10)</w:t>
            </w:r>
          </w:p>
        </w:tc>
        <w:tc>
          <w:tcPr>
            <w:tcW w:w="1175" w:type="dxa"/>
            <w:tcBorders>
              <w:top w:val="nil"/>
              <w:bottom w:val="nil"/>
            </w:tcBorders>
          </w:tcPr>
          <w:p>
            <w:pPr>
              <w:pStyle w:val="nTable"/>
              <w:spacing w:after="40"/>
            </w:pPr>
            <w:r>
              <w:t>7 Jul 2020</w:t>
            </w:r>
          </w:p>
        </w:tc>
        <w:tc>
          <w:tcPr>
            <w:tcW w:w="2497" w:type="dxa"/>
            <w:tcBorders>
              <w:top w:val="nil"/>
              <w:bottom w:val="nil"/>
            </w:tcBorders>
          </w:tcPr>
          <w:p>
            <w:pPr>
              <w:pStyle w:val="nTable"/>
              <w:spacing w:after="40"/>
            </w:pPr>
            <w:del w:id="1121" w:author="Master Repository Process" w:date="2024-01-03T09:01:00Z">
              <w:r>
                <w:rPr>
                  <w:snapToGrid w:val="0"/>
                </w:rPr>
                <w:delText>To</w:delText>
              </w:r>
            </w:del>
            <w:ins w:id="1122" w:author="Master Repository Process" w:date="2024-01-03T09:01:00Z">
              <w:r>
                <w:rPr>
                  <w:snapToGrid w:val="0"/>
                </w:rPr>
                <w:t>Pt. 6 Div. 1, Pt. 12 Div. 1 and Pt. 14: 1 Aug 2023 (see s. 2(1)(b) and SL 2023/107 cl. 2);</w:t>
              </w:r>
              <w:r>
                <w:rPr>
                  <w:snapToGrid w:val="0"/>
                </w:rPr>
                <w:br/>
                <w:t>Pt. 3, Pt. 7 Div. 1 and Pt. 9: to</w:t>
              </w:r>
            </w:ins>
            <w:r>
              <w:rPr>
                <w:snapToGrid w:val="0"/>
              </w:rPr>
              <w:t xml:space="preserve"> be proclaimed (see s. 2(1)(b))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rPr>
                <w:i/>
              </w:rPr>
            </w:pPr>
            <w:r>
              <w:rPr>
                <w:i/>
                <w:snapToGrid w:val="0"/>
              </w:rPr>
              <w:t>Swan Valley Planning Act 2020</w:t>
            </w:r>
            <w:r>
              <w:rPr>
                <w:snapToGrid w:val="0"/>
              </w:rPr>
              <w:t xml:space="preserve"> s. 62</w:t>
            </w:r>
          </w:p>
        </w:tc>
        <w:tc>
          <w:tcPr>
            <w:tcW w:w="1123" w:type="dxa"/>
            <w:gridSpan w:val="2"/>
            <w:tcBorders>
              <w:top w:val="nil"/>
              <w:bottom w:val="nil"/>
            </w:tcBorders>
          </w:tcPr>
          <w:p>
            <w:pPr>
              <w:pStyle w:val="nTable"/>
              <w:spacing w:after="40"/>
              <w:ind w:right="61"/>
            </w:pPr>
            <w:r>
              <w:t>45 of 2020</w:t>
            </w:r>
          </w:p>
        </w:tc>
        <w:tc>
          <w:tcPr>
            <w:tcW w:w="1175" w:type="dxa"/>
            <w:tcBorders>
              <w:top w:val="nil"/>
              <w:bottom w:val="nil"/>
            </w:tcBorders>
          </w:tcPr>
          <w:p>
            <w:pPr>
              <w:pStyle w:val="nTable"/>
              <w:spacing w:after="40"/>
            </w:pPr>
            <w:r>
              <w:t>9 Dec 2020</w:t>
            </w:r>
          </w:p>
        </w:tc>
        <w:tc>
          <w:tcPr>
            <w:tcW w:w="2497" w:type="dxa"/>
            <w:tcBorders>
              <w:top w:val="nil"/>
              <w:bottom w:val="nil"/>
            </w:tcBorders>
          </w:tcPr>
          <w:p>
            <w:pPr>
              <w:pStyle w:val="nTable"/>
              <w:spacing w:after="40"/>
              <w:rPr>
                <w:snapToGrid w:val="0"/>
              </w:rPr>
            </w:pPr>
            <w:r>
              <w:rPr>
                <w:snapToGrid w:val="0"/>
              </w:rPr>
              <w:t>Immediately</w:t>
            </w:r>
            <w:r>
              <w:t xml:space="preserve"> after the </w:t>
            </w:r>
            <w:r>
              <w:rPr>
                <w:i/>
              </w:rPr>
              <w:t>Planning and Development Amendment Act 2020</w:t>
            </w:r>
            <w:r>
              <w:t xml:space="preserve"> s. 65 comes into operation</w:t>
            </w:r>
            <w:r>
              <w:rPr>
                <w:snapToGrid w:val="0"/>
              </w:rPr>
              <w:t xml:space="preserve"> (</w:t>
            </w:r>
            <w:r>
              <w:t>see s. 2(1)(b)(ii))</w:t>
            </w:r>
          </w:p>
        </w:tc>
      </w:tr>
      <w:tr>
        <w:tblPrEx>
          <w:tblBorders>
            <w:top w:val="single" w:sz="8" w:space="0" w:color="auto"/>
            <w:bottom w:val="single" w:sz="8" w:space="0" w:color="auto"/>
            <w:insideH w:val="single" w:sz="8" w:space="0" w:color="auto"/>
          </w:tblBorders>
        </w:tblPrEx>
        <w:trPr>
          <w:del w:id="1123" w:author="Master Repository Process" w:date="2024-01-03T09:01:00Z"/>
        </w:trPr>
        <w:tc>
          <w:tcPr>
            <w:tcW w:w="2280" w:type="dxa"/>
            <w:tcBorders>
              <w:top w:val="nil"/>
              <w:bottom w:val="nil"/>
            </w:tcBorders>
          </w:tcPr>
          <w:p>
            <w:pPr>
              <w:pStyle w:val="nTable"/>
              <w:spacing w:after="40"/>
              <w:rPr>
                <w:del w:id="1124" w:author="Master Repository Process" w:date="2024-01-03T09:01:00Z"/>
                <w:i/>
                <w:snapToGrid w:val="0"/>
              </w:rPr>
            </w:pPr>
            <w:del w:id="1125" w:author="Master Repository Process" w:date="2024-01-03T09:01:00Z">
              <w:r>
                <w:rPr>
                  <w:i/>
                </w:rPr>
                <w:delText>Aboriginal Cultural Heritage Act 2021</w:delText>
              </w:r>
              <w:r>
                <w:delText xml:space="preserve"> s. 350</w:delText>
              </w:r>
            </w:del>
          </w:p>
        </w:tc>
        <w:tc>
          <w:tcPr>
            <w:tcW w:w="1123" w:type="dxa"/>
            <w:gridSpan w:val="2"/>
            <w:tcBorders>
              <w:top w:val="nil"/>
              <w:bottom w:val="nil"/>
            </w:tcBorders>
          </w:tcPr>
          <w:p>
            <w:pPr>
              <w:pStyle w:val="nTable"/>
              <w:spacing w:after="40"/>
              <w:ind w:right="61"/>
              <w:rPr>
                <w:del w:id="1126" w:author="Master Repository Process" w:date="2024-01-03T09:01:00Z"/>
              </w:rPr>
            </w:pPr>
            <w:del w:id="1127" w:author="Master Repository Process" w:date="2024-01-03T09:01:00Z">
              <w:r>
                <w:delText>27 of 2021</w:delText>
              </w:r>
            </w:del>
          </w:p>
        </w:tc>
        <w:tc>
          <w:tcPr>
            <w:tcW w:w="1175" w:type="dxa"/>
            <w:tcBorders>
              <w:top w:val="nil"/>
              <w:bottom w:val="nil"/>
            </w:tcBorders>
          </w:tcPr>
          <w:p>
            <w:pPr>
              <w:pStyle w:val="nTable"/>
              <w:spacing w:after="40"/>
              <w:rPr>
                <w:del w:id="1128" w:author="Master Repository Process" w:date="2024-01-03T09:01:00Z"/>
              </w:rPr>
            </w:pPr>
            <w:del w:id="1129" w:author="Master Repository Process" w:date="2024-01-03T09:01:00Z">
              <w:r>
                <w:delText>22 Dec 2021</w:delText>
              </w:r>
            </w:del>
          </w:p>
        </w:tc>
        <w:tc>
          <w:tcPr>
            <w:tcW w:w="2497" w:type="dxa"/>
            <w:tcBorders>
              <w:top w:val="nil"/>
              <w:bottom w:val="nil"/>
            </w:tcBorders>
          </w:tcPr>
          <w:p>
            <w:pPr>
              <w:pStyle w:val="nTable"/>
              <w:spacing w:after="40"/>
              <w:rPr>
                <w:del w:id="1130" w:author="Master Repository Process" w:date="2024-01-03T09:01:00Z"/>
                <w:snapToGrid w:val="0"/>
              </w:rPr>
            </w:pPr>
            <w:del w:id="1131" w:author="Master Repository Process" w:date="2024-01-03T09:01:00Z">
              <w:r>
                <w:delText>1 Jul 2023 (see s. 2(e) and SL 2023/40 cl. 2(b))</w:delText>
              </w:r>
            </w:del>
          </w:p>
        </w:tc>
      </w:tr>
      <w:tr>
        <w:tblPrEx>
          <w:tblBorders>
            <w:top w:val="single" w:sz="8" w:space="0" w:color="auto"/>
            <w:bottom w:val="single" w:sz="8" w:space="0" w:color="auto"/>
            <w:insideH w:val="single" w:sz="8" w:space="0" w:color="auto"/>
          </w:tblBorders>
        </w:tblPrEx>
        <w:tc>
          <w:tcPr>
            <w:tcW w:w="2280" w:type="dxa"/>
            <w:tcBorders>
              <w:top w:val="nil"/>
              <w:bottom w:val="single" w:sz="4" w:space="0" w:color="auto"/>
            </w:tcBorders>
          </w:tcPr>
          <w:p>
            <w:pPr>
              <w:pStyle w:val="nTable"/>
              <w:spacing w:after="40"/>
            </w:pPr>
            <w:r>
              <w:rPr>
                <w:i/>
              </w:rPr>
              <w:t>Land and Public Works Legislation Amendment Act 2023</w:t>
            </w:r>
            <w:r>
              <w:t xml:space="preserve"> Pt. 4 Div. 11</w:t>
            </w:r>
          </w:p>
        </w:tc>
        <w:tc>
          <w:tcPr>
            <w:tcW w:w="1123" w:type="dxa"/>
            <w:gridSpan w:val="2"/>
            <w:tcBorders>
              <w:top w:val="nil"/>
              <w:bottom w:val="single" w:sz="4" w:space="0" w:color="auto"/>
            </w:tcBorders>
          </w:tcPr>
          <w:p>
            <w:pPr>
              <w:pStyle w:val="nTable"/>
              <w:spacing w:after="40"/>
              <w:ind w:right="61"/>
            </w:pPr>
            <w:r>
              <w:t>4 of 2023</w:t>
            </w:r>
          </w:p>
        </w:tc>
        <w:tc>
          <w:tcPr>
            <w:tcW w:w="1175" w:type="dxa"/>
            <w:tcBorders>
              <w:top w:val="nil"/>
              <w:bottom w:val="single" w:sz="4" w:space="0" w:color="auto"/>
            </w:tcBorders>
          </w:tcPr>
          <w:p>
            <w:pPr>
              <w:pStyle w:val="nTable"/>
              <w:spacing w:after="40"/>
            </w:pPr>
            <w:r>
              <w:t>24 Mar 2023</w:t>
            </w:r>
          </w:p>
        </w:tc>
        <w:tc>
          <w:tcPr>
            <w:tcW w:w="2497" w:type="dxa"/>
            <w:tcBorders>
              <w:top w:val="nil"/>
              <w:bottom w:val="single" w:sz="4" w:space="0" w:color="auto"/>
            </w:tcBorders>
          </w:tcPr>
          <w:p>
            <w:pPr>
              <w:pStyle w:val="nTable"/>
              <w:spacing w:after="40"/>
            </w:pPr>
            <w:r>
              <w:t>To be proclaimed (see s. 2(b))</w:t>
            </w:r>
          </w:p>
        </w:tc>
      </w:tr>
    </w:tbl>
    <w:p>
      <w:pPr>
        <w:pStyle w:val="nHeading3"/>
      </w:pPr>
      <w:bookmarkStart w:id="1132" w:name="_Toc155165232"/>
      <w:bookmarkStart w:id="1133" w:name="_Toc135132937"/>
      <w:r>
        <w:t>Other notes</w:t>
      </w:r>
      <w:bookmarkEnd w:id="1132"/>
      <w:bookmarkEnd w:id="1133"/>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4 Div. 2</w:t>
      </w:r>
      <w:r>
        <w:t xml:space="preserve">. </w:t>
      </w:r>
    </w:p>
    <w:p>
      <w:pPr>
        <w:pStyle w:val="nNote"/>
        <w:keepNext/>
        <w:keepLines/>
      </w:pPr>
      <w:r>
        <w:tab/>
        <w:t>If a modification is to:</w:t>
      </w:r>
    </w:p>
    <w:p>
      <w:pPr>
        <w:pStyle w:val="nNote"/>
        <w:keepNext/>
        <w:keepLines/>
        <w:numPr>
          <w:ilvl w:val="0"/>
          <w:numId w:val="12"/>
        </w:numPr>
        <w:spacing w:before="0"/>
        <w:ind w:left="714" w:hanging="357"/>
      </w:pPr>
      <w:r>
        <w:t>replace or insert a numbered provision, the new provision is identified by the superscript 1M appearing after the provision number;</w:t>
      </w:r>
    </w:p>
    <w:p>
      <w:pPr>
        <w:pStyle w:val="nNote"/>
        <w:numPr>
          <w:ilvl w:val="0"/>
          <w:numId w:val="12"/>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4 Div. 2</w:t>
      </w:r>
      <w:r>
        <w:t xml:space="preserve">. </w:t>
      </w:r>
    </w:p>
    <w:p>
      <w:pPr>
        <w:pStyle w:val="nNote"/>
        <w:keepNext/>
      </w:pPr>
      <w:r>
        <w:tab/>
        <w:t>If a modification is to:</w:t>
      </w:r>
    </w:p>
    <w:p>
      <w:pPr>
        <w:pStyle w:val="nNote"/>
        <w:keepNext/>
        <w:keepLines/>
        <w:numPr>
          <w:ilvl w:val="0"/>
          <w:numId w:val="12"/>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2"/>
        </w:numPr>
        <w:spacing w:before="0"/>
        <w:ind w:left="714" w:hanging="357"/>
      </w:pPr>
      <w:r>
        <w:t>amend a numbered provision, the amended provision is identified by the superscript 1MC appearing after the provision number.</w:t>
      </w:r>
    </w:p>
    <w:p>
      <w:pPr>
        <w:pStyle w:val="nNote"/>
        <w:spacing w:before="160"/>
        <w:rPr>
          <w:snapToGrid w:val="0"/>
        </w:rPr>
      </w:pPr>
      <w:r>
        <w:rPr>
          <w:snapToGrid w:val="0"/>
          <w:vertAlign w:val="superscript"/>
        </w:rPr>
        <w:t>1</w:t>
      </w:r>
      <w:r>
        <w:rPr>
          <w:snapToGrid w:val="0"/>
        </w:rPr>
        <w:tab/>
        <w:t xml:space="preserve">Repealed by the </w:t>
      </w:r>
      <w:r>
        <w:rPr>
          <w:i/>
          <w:iCs/>
          <w:snapToGrid w:val="0"/>
        </w:rPr>
        <w:t>Land Administration Act 1997.</w:t>
      </w:r>
      <w:r>
        <w:rPr>
          <w:snapToGrid w:val="0"/>
        </w:rPr>
        <w:t xml:space="preserve"> </w:t>
      </w:r>
    </w:p>
    <w:p>
      <w:pPr>
        <w:pStyle w:val="nNote"/>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Mining Act 1978.</w:t>
      </w:r>
    </w:p>
    <w:p>
      <w:pPr>
        <w:pStyle w:val="nNote"/>
        <w:rPr>
          <w:snapToGrid w:val="0"/>
        </w:rPr>
      </w:pPr>
      <w:r>
        <w:rPr>
          <w:snapToGrid w:val="0"/>
          <w:vertAlign w:val="superscript"/>
        </w:rPr>
        <w:t>3</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Note"/>
      </w:pPr>
      <w:r>
        <w:rPr>
          <w:vertAlign w:val="superscript"/>
        </w:rPr>
        <w:t>4</w:t>
      </w:r>
      <w:r>
        <w:tab/>
        <w:t xml:space="preserve">Lands Titles Office diagrams are now being held by the Western Australian Land Information Authority (see the </w:t>
      </w:r>
      <w:r>
        <w:rPr>
          <w:i/>
        </w:rPr>
        <w:t>Land Information Authority Act 2006</w:t>
      </w:r>
      <w:r>
        <w:t xml:space="preserve"> s. 100).</w:t>
      </w:r>
    </w:p>
    <w:p>
      <w:pPr>
        <w:pStyle w:val="nNote"/>
        <w:rPr>
          <w:snapToGrid w:val="0"/>
        </w:rPr>
      </w:pPr>
      <w:r>
        <w:rPr>
          <w:snapToGrid w:val="0"/>
          <w:vertAlign w:val="superscript"/>
        </w:rPr>
        <w:t>5</w:t>
      </w:r>
      <w:r>
        <w:rPr>
          <w:snapToGrid w:val="0"/>
        </w:rPr>
        <w:tab/>
        <w:t xml:space="preserve">Now district of </w:t>
      </w:r>
      <w:r>
        <w:t>Karratha.</w:t>
      </w:r>
    </w:p>
    <w:p>
      <w:pPr>
        <w:pStyle w:val="nNote"/>
        <w:rPr>
          <w:vertAlign w:val="superscript"/>
        </w:rPr>
      </w:pPr>
      <w:r>
        <w:rPr>
          <w:vertAlign w:val="superscript"/>
        </w:rPr>
        <w:t>6</w:t>
      </w:r>
      <w:r>
        <w:tab/>
        <w:t>Now City of Vincent.</w:t>
      </w:r>
    </w:p>
    <w:p>
      <w:pPr>
        <w:pStyle w:val="nNote"/>
        <w:keepNext/>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pPr>
        <w:pStyle w:val="BlankOpen"/>
        <w:rPr>
          <w:sz w:val="20"/>
          <w:szCs w:val="20"/>
        </w:rPr>
      </w:pPr>
    </w:p>
    <w:p>
      <w:pPr>
        <w:pStyle w:val="nzHeading5"/>
      </w:pPr>
      <w:r>
        <w:rPr>
          <w:rStyle w:val="CharSectno"/>
        </w:rPr>
        <w:t>3</w:t>
      </w:r>
      <w:r>
        <w:t>.</w:t>
      </w:r>
      <w:r>
        <w:tab/>
        <w:t>Interpretation</w:t>
      </w:r>
    </w:p>
    <w:p>
      <w:pPr>
        <w:pStyle w:val="nzSubsection"/>
        <w:keepNext/>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r>
        <w:rPr>
          <w:i/>
        </w:rPr>
        <w:t>Metropolitan Region Town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Heading2"/>
        <w:rPr>
          <w:sz w:val="20"/>
        </w:rPr>
      </w:pPr>
      <w:r>
        <w:rPr>
          <w:rStyle w:val="CharSchNo"/>
        </w:rPr>
        <w:t>Schedule 1</w:t>
      </w:r>
      <w:r>
        <w:rPr>
          <w:rStyle w:val="CharSDivNo"/>
        </w:rPr>
        <w:t> </w:t>
      </w:r>
      <w:r>
        <w:t>—</w:t>
      </w:r>
      <w:r>
        <w:rPr>
          <w:rStyle w:val="CharSDivText"/>
        </w:rPr>
        <w:t> </w:t>
      </w:r>
      <w:r>
        <w:rPr>
          <w:rStyle w:val="CharSchText"/>
        </w:rPr>
        <w:t>Acts repealed</w:t>
      </w:r>
    </w:p>
    <w:p>
      <w:pPr>
        <w:pStyle w:val="nzMiscellaneousBody"/>
        <w:jc w:val="right"/>
      </w:pPr>
      <w:r>
        <w:t>[s. 4]</w:t>
      </w:r>
    </w:p>
    <w:p>
      <w:pPr>
        <w:pStyle w:val="nzMiscellaneousBody"/>
        <w:spacing w:before="40"/>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nzHeading2"/>
      </w:pPr>
      <w:r>
        <w:t>Part 3 — Transitional and saving provisions</w:t>
      </w:r>
    </w:p>
    <w:p>
      <w:pPr>
        <w:pStyle w:val="nzHeading3"/>
      </w:pPr>
      <w:r>
        <w:rPr>
          <w:rStyle w:val="CharDivNo"/>
        </w:rPr>
        <w:t>Division 1</w:t>
      </w:r>
      <w:r>
        <w:t xml:space="preserve"> — </w:t>
      </w:r>
      <w:r>
        <w:rPr>
          <w:rStyle w:val="CharDivText"/>
        </w:rPr>
        <w:t>Preliminary</w:t>
      </w:r>
    </w:p>
    <w:p>
      <w:pPr>
        <w:pStyle w:val="nzHeading5"/>
      </w:pPr>
      <w:r>
        <w:rPr>
          <w:rStyle w:val="CharSectno"/>
        </w:rPr>
        <w:t>17</w:t>
      </w:r>
      <w:r>
        <w:t>.</w:t>
      </w:r>
      <w:r>
        <w:tab/>
        <w:t xml:space="preserve">Application of </w:t>
      </w:r>
      <w:r>
        <w:rPr>
          <w:i/>
        </w:rPr>
        <w:t>Interpretation Act 1984</w:t>
      </w:r>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r>
        <w:rPr>
          <w:rStyle w:val="CharSectno"/>
        </w:rPr>
        <w:t>18</w:t>
      </w:r>
      <w:r>
        <w:t>.</w:t>
      </w:r>
      <w:r>
        <w:tab/>
        <w:t>Transitional regulations</w:t>
      </w:r>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r>
        <w:rPr>
          <w:rStyle w:val="CharSectno"/>
        </w:rPr>
        <w:t>19</w:t>
      </w:r>
      <w:r>
        <w:t>.</w:t>
      </w:r>
      <w:r>
        <w:tab/>
        <w:t>Construction of references in written laws</w:t>
      </w:r>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r>
        <w:rPr>
          <w:rStyle w:val="CharDivNo"/>
        </w:rPr>
        <w:t>Division 2</w:t>
      </w:r>
      <w:r>
        <w:t> — </w:t>
      </w:r>
      <w:r>
        <w:rPr>
          <w:rStyle w:val="CharDivText"/>
        </w:rPr>
        <w:t>Continuation of various bodies, memberships and appointments</w:t>
      </w:r>
    </w:p>
    <w:p>
      <w:pPr>
        <w:pStyle w:val="nzHeading5"/>
      </w:pPr>
      <w:r>
        <w:rPr>
          <w:rStyle w:val="CharSectno"/>
        </w:rPr>
        <w:t>20</w:t>
      </w:r>
      <w:r>
        <w:t>.</w:t>
      </w:r>
      <w:r>
        <w:tab/>
        <w:t>WAPC continues</w:t>
      </w:r>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tab/>
        <w:t>(2)</w:t>
      </w:r>
      <w:r>
        <w:tab/>
        <w:t xml:space="preserve">If in a written law or other document or instrument there is — </w:t>
      </w:r>
    </w:p>
    <w:p>
      <w:pPr>
        <w:pStyle w:val="nzIndenta"/>
      </w:pPr>
      <w:r>
        <w:tab/>
        <w:t>(a)</w:t>
      </w:r>
      <w:r>
        <w:tab/>
        <w:t>a reference to the existing Commission; or</w:t>
      </w:r>
    </w:p>
    <w:p>
      <w:pPr>
        <w:pStyle w:val="nzIndenta"/>
        <w:keepNext/>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r>
        <w:rPr>
          <w:rStyle w:val="CharSectno"/>
        </w:rPr>
        <w:t>21</w:t>
      </w:r>
      <w:r>
        <w:t>.</w:t>
      </w:r>
      <w:r>
        <w:tab/>
        <w:t>Membership of Commission</w:t>
      </w:r>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r>
        <w:rPr>
          <w:rStyle w:val="CharSectno"/>
        </w:rPr>
        <w:t>22</w:t>
      </w:r>
      <w:r>
        <w:t>.</w:t>
      </w:r>
      <w:r>
        <w:tab/>
        <w:t>Staff</w:t>
      </w:r>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keepNext w:val="0"/>
      </w:pPr>
      <w:r>
        <w:rPr>
          <w:rStyle w:val="CharSectno"/>
        </w:rPr>
        <w:t>23</w:t>
      </w:r>
      <w:r>
        <w:t>.</w:t>
      </w:r>
      <w:r>
        <w:tab/>
        <w:t>Committees</w:t>
      </w:r>
    </w:p>
    <w:p>
      <w:pPr>
        <w:pStyle w:val="nzSubsection"/>
        <w:keepLines/>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r>
        <w:rPr>
          <w:rStyle w:val="CharSectno"/>
        </w:rPr>
        <w:t>24</w:t>
      </w:r>
      <w:r>
        <w:t>.</w:t>
      </w:r>
      <w:r>
        <w:tab/>
        <w:t>Board of Valuers</w:t>
      </w:r>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r>
        <w:rPr>
          <w:rStyle w:val="CharDivNo"/>
        </w:rPr>
        <w:t>Division 3</w:t>
      </w:r>
      <w:r>
        <w:t xml:space="preserve"> — </w:t>
      </w:r>
      <w:r>
        <w:rPr>
          <w:rStyle w:val="CharDivText"/>
        </w:rPr>
        <w:t>Transitional provisions</w:t>
      </w:r>
    </w:p>
    <w:p>
      <w:pPr>
        <w:pStyle w:val="nzHeading5"/>
      </w:pPr>
      <w:r>
        <w:rPr>
          <w:rStyle w:val="CharSectno"/>
        </w:rPr>
        <w:t>25</w:t>
      </w:r>
      <w:r>
        <w:t>.</w:t>
      </w:r>
      <w:r>
        <w:tab/>
        <w:t>Subsidiary legislation and fees</w:t>
      </w:r>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r>
        <w:rPr>
          <w:rStyle w:val="CharSectno"/>
        </w:rPr>
        <w:t>26</w:t>
      </w:r>
      <w:r>
        <w:t>.</w:t>
      </w:r>
      <w:r>
        <w:tab/>
        <w:t>Planning schemes in course of preparation</w:t>
      </w:r>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r>
        <w:rPr>
          <w:rStyle w:val="CharSectno"/>
        </w:rPr>
        <w:t>27</w:t>
      </w:r>
      <w:r>
        <w:t>.</w:t>
      </w:r>
      <w:r>
        <w:tab/>
        <w:t>Caveats</w:t>
      </w:r>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r>
        <w:rPr>
          <w:rStyle w:val="CharDivNo"/>
        </w:rPr>
        <w:t>Division 4</w:t>
      </w:r>
      <w:r>
        <w:t xml:space="preserve"> — </w:t>
      </w:r>
      <w:r>
        <w:rPr>
          <w:rStyle w:val="CharDivText"/>
        </w:rPr>
        <w:t>Other savings</w:t>
      </w:r>
    </w:p>
    <w:p>
      <w:pPr>
        <w:pStyle w:val="nzHeading5"/>
      </w:pPr>
      <w:r>
        <w:rPr>
          <w:rStyle w:val="CharSectno"/>
        </w:rPr>
        <w:t>28</w:t>
      </w:r>
      <w:r>
        <w:t>.</w:t>
      </w:r>
      <w:r>
        <w:tab/>
        <w:t>Section 9(4) and (5) TPD Act</w:t>
      </w:r>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r>
        <w:rPr>
          <w:rStyle w:val="CharSectno"/>
        </w:rPr>
        <w:t>29</w:t>
      </w:r>
      <w:r>
        <w:t>.</w:t>
      </w:r>
      <w:r>
        <w:tab/>
        <w:t>Section 28A(5) TPD Act</w:t>
      </w:r>
    </w:p>
    <w:p>
      <w:pPr>
        <w:pStyle w:val="nzSubsection"/>
      </w:pPr>
      <w:r>
        <w:tab/>
      </w:r>
      <w:r>
        <w:tab/>
        <w:t>Section 28A(5) of the TPD Act continues to apply in relation to liability and matters referred to in that subsection as if section 28A had not been repealed.</w:t>
      </w:r>
    </w:p>
    <w:p>
      <w:pPr>
        <w:pStyle w:val="nzHeading5"/>
      </w:pPr>
      <w:r>
        <w:rPr>
          <w:rStyle w:val="CharSectno"/>
        </w:rPr>
        <w:t>30</w:t>
      </w:r>
      <w:r>
        <w:t>.</w:t>
      </w:r>
      <w:r>
        <w:tab/>
        <w:t>Section 37A(4a) MRTPS Act</w:t>
      </w:r>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r>
        <w:t>Part 4</w:t>
      </w:r>
      <w:r>
        <w:rPr>
          <w:rStyle w:val="CharDivNo"/>
        </w:rPr>
        <w:t> </w:t>
      </w:r>
      <w:r>
        <w:t>—</w:t>
      </w:r>
      <w:r>
        <w:rPr>
          <w:rStyle w:val="CharDivText"/>
        </w:rPr>
        <w:t> </w:t>
      </w:r>
      <w:r>
        <w:t>Validation provision</w:t>
      </w:r>
    </w:p>
    <w:p>
      <w:pPr>
        <w:pStyle w:val="nzHeading5"/>
      </w:pPr>
      <w:r>
        <w:rPr>
          <w:rStyle w:val="CharSectno"/>
        </w:rPr>
        <w:t>31</w:t>
      </w:r>
      <w:r>
        <w:t>.</w:t>
      </w:r>
      <w:r>
        <w:tab/>
        <w:t>Validation of certain endorsed approvals</w:t>
      </w:r>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Note"/>
      </w:pPr>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Note"/>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Note"/>
        <w:keepNext/>
        <w:rPr>
          <w:noProof/>
          <w:snapToGrid w:val="0"/>
        </w:rPr>
      </w:pPr>
      <w:r>
        <w:rPr>
          <w:vertAlign w:val="superscript"/>
        </w:rPr>
        <w:t>10</w:t>
      </w:r>
      <w:r>
        <w:tab/>
        <w:t xml:space="preserve">The </w:t>
      </w:r>
      <w:r>
        <w:rPr>
          <w:i/>
          <w:iCs/>
        </w:rPr>
        <w:t>Approvals and Related Reforms (No. 4) (Planning) Act 2010</w:t>
      </w:r>
      <w:r>
        <w:rPr>
          <w:noProof/>
          <w:snapToGrid w:val="0"/>
        </w:rPr>
        <w:t xml:space="preserve"> s. 56(4) is a transitional provision that is of no further effect.</w:t>
      </w:r>
    </w:p>
    <w:p/>
    <w:p>
      <w:pPr>
        <w:sectPr>
          <w:headerReference w:type="even" r:id="rId29"/>
          <w:headerReference w:type="default" r:id="rId30"/>
          <w:pgSz w:w="11907" w:h="16840" w:code="9"/>
          <w:pgMar w:top="2376" w:right="2405" w:bottom="3542" w:left="2405" w:header="706" w:footer="3544" w:gutter="0"/>
          <w:cols w:space="720"/>
          <w:noEndnote/>
          <w:docGrid w:linePitch="326"/>
        </w:sectPr>
      </w:pPr>
    </w:p>
    <w:p>
      <w:ins w:id="1135" w:author="Master Repository Process" w:date="2024-01-03T09:01: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136" w:author="Master Repository Process" w:date="2024-01-03T09:01:00Z"/>
                                  <w:sz w:val="16"/>
                                </w:rPr>
                              </w:pPr>
                              <w:ins w:id="1137" w:author="Master Repository Process" w:date="2024-01-03T09:0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138" w:author="Master Repository Process" w:date="2024-01-03T09:01:00Z"/>
                                  <w:sz w:val="16"/>
                                </w:rPr>
                              </w:pPr>
                              <w:ins w:id="1139" w:author="Master Repository Process" w:date="2024-01-03T09:0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140" w:author="Master Repository Process" w:date="2024-01-03T09:01:00Z"/>
                                  <w:sz w:val="16"/>
                                </w:rPr>
                              </w:pPr>
                              <w:ins w:id="1141" w:author="Master Repository Process" w:date="2024-01-03T09:0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142" w:author="Master Repository Process" w:date="2024-01-03T09:01:00Z"/>
                                  <w:rFonts w:ascii="Arial" w:hAnsi="Arial" w:cs="Arial"/>
                                  <w:sz w:val="12"/>
                                </w:rPr>
                              </w:pPr>
                              <w:ins w:id="1143" w:author="Master Repository Process" w:date="2024-01-03T09:01: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1144" w:author="Master Repository Process" w:date="2024-01-03T09:01:00Z"/>
                            <w:sz w:val="16"/>
                          </w:rPr>
                        </w:pPr>
                        <w:ins w:id="1145" w:author="Master Repository Process" w:date="2024-01-03T09:0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146" w:author="Master Repository Process" w:date="2024-01-03T09:01:00Z"/>
                            <w:sz w:val="16"/>
                          </w:rPr>
                        </w:pPr>
                        <w:ins w:id="1147" w:author="Master Repository Process" w:date="2024-01-03T09:0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148" w:author="Master Repository Process" w:date="2024-01-03T09:01:00Z"/>
                            <w:sz w:val="16"/>
                          </w:rPr>
                        </w:pPr>
                        <w:ins w:id="1149" w:author="Master Repository Process" w:date="2024-01-03T09:0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150" w:author="Master Repository Process" w:date="2024-01-03T09:01:00Z"/>
                            <w:rFonts w:ascii="Arial" w:hAnsi="Arial" w:cs="Arial"/>
                            <w:sz w:val="12"/>
                          </w:rPr>
                        </w:pPr>
                        <w:ins w:id="1151" w:author="Master Repository Process" w:date="2024-01-03T09:01:00Z">
                          <w:r>
                            <w:rPr>
                              <w:rFonts w:ascii="Arial" w:hAnsi="Arial" w:cs="Arial"/>
                              <w:sz w:val="12"/>
                            </w:rPr>
                            <w:t>By Authority: GEOFF O. LAWN, Government Printer</w:t>
                          </w:r>
                        </w:ins>
                      </w:p>
                    </w:txbxContent>
                  </v:textbox>
                  <w10:wrap anchorx="page" anchory="page"/>
                </v:shape>
              </w:pict>
            </mc:Fallback>
          </mc:AlternateContent>
        </w:r>
      </w:ins>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04-s0-01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04-t0-02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04-s0-01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04-t0-02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04-s0-01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04-t0-02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Committees</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Planning control areas: purposes for which land may be required</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Planning control areas: purposes for which land may be required</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34" w:name="Compilation"/>
    <w:bookmarkEnd w:id="113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52" w:name="Coversheet"/>
    <w:bookmarkEnd w:id="11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Determinations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Determinations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83" w:name="Schedule"/>
    <w:bookmarkEnd w:id="98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Committees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DEB9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44CF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E6060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7142E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E8AD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8ECA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B8FD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AE41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646D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A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D30B35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34113"/>
    <w:docVar w:name="WAFER_20140109165124" w:val="RemoveTocBookmarks,RemoveUnusedBookmarks,RemoveLanguageTags,UsedStyles,ResetPageSize,UpdateArrangement"/>
    <w:docVar w:name="WAFER_20140109165124_GUID" w:val="15f0cd58-cdde-4649-912d-15eb40d6f47d"/>
    <w:docVar w:name="WAFER_20140306140103" w:val="RemoveTocBookmarks,RemoveUnusedBookmarks,RemoveLanguageTags,UsedStyles,ResetPageSize"/>
    <w:docVar w:name="WAFER_20140306140103_GUID" w:val="06cda493-b782-4dfc-815e-43d3061e38f0"/>
    <w:docVar w:name="WAFER_20140306140836" w:val="RemoveTocBookmarks,RunningHeaders"/>
    <w:docVar w:name="WAFER_20140306140836_GUID" w:val="74306be9-4d68-4f34-b3d2-65df0028a371"/>
    <w:docVar w:name="WAFER_20150416145214" w:val="ResetPageSize,UpdateArrangement,UpdateNTable"/>
    <w:docVar w:name="WAFER_20150416145214_GUID" w:val="782404cc-1dbb-4ee6-a0e3-8a009497b0f3"/>
    <w:docVar w:name="WAFER_20151104142826" w:val="UpdateStyles,UsedStyles"/>
    <w:docVar w:name="WAFER_20151104142826_GUID" w:val="86716f10-2598-42c3-a9ff-0c38551bfc9c"/>
    <w:docVar w:name="WAFER_20151109150823" w:val="UsedStyles"/>
    <w:docVar w:name="WAFER_20151109150823_GUID" w:val="4f15b87e-02d6-4098-85b1-eb8acd3b412d"/>
    <w:docVar w:name="WAFER_20151109154056" w:val="UpdateStyles,UsedStyles"/>
    <w:docVar w:name="WAFER_20151109154056_GUID" w:val="63f2cbd7-697c-44ca-9dc9-6e6d085b1e2b"/>
    <w:docVar w:name="WAFER_20160301134302" w:val="RemoveTocBookmarks,RemoveUnusedBookmarks,RemoveLanguageTags,UsedStyles,RemoveTrackChanges"/>
    <w:docVar w:name="WAFER_20160301134302_GUID" w:val="e91a4e67-b570-4dd2-89b6-b19ccfe67478"/>
    <w:docVar w:name="WAFER_20160330113039" w:val="RemoveUnusedBookmarks,RemoveTrackChanges"/>
    <w:docVar w:name="WAFER_20160330113039_GUID" w:val="f9984efe-c5f1-41cd-981a-8877cf5fa0cf"/>
    <w:docVar w:name="WAFER_20160330113348" w:val="RemoveTocBookmarks,RemoveUnusedBookmarks,RemoveLanguageTags,RemoveBadVanishTags"/>
    <w:docVar w:name="WAFER_20160330113348_GUID" w:val="c9dc341b-a0fa-41a4-9425-68286ac6e3ab"/>
    <w:docVar w:name="WAFER_20180920150628" w:val="RemoveTocBookmarks,RemoveUnusedBookmarks,RemoveLanguageTags,UsedStyles,ResetPageSize"/>
    <w:docVar w:name="WAFER_20180920150628_GUID" w:val="a35411f0-73a6-47b3-9e02-0d6e73337cc5"/>
    <w:docVar w:name="WAFER_20181121094724" w:val="RemoveTocBookmarks,RemoveUnusedBookmarks,RemoveLanguageTags,UsedStyles,ResetPageSize"/>
    <w:docVar w:name="WAFER_20181121094724_GUID" w:val="3b2b60bb-32b5-4c1c-8318-e97a9f8e2139"/>
    <w:docVar w:name="WAFER_20190625155738" w:val="RemoveTocBookmarks,RemoveUnusedBookmarks,RemoveLanguageTags,ResetPageSize,RunningHeaders,UpdateStyles,UsedStyles"/>
    <w:docVar w:name="WAFER_20190625155738_GUID" w:val="5687c5bb-e829-4bd5-b304-2a28e23eb346"/>
    <w:docVar w:name="WAFER_20190719105036" w:val="RemoveTocBookmarks,RemoveUnusedBookmarks,RemoveLanguageTags,ResetPageSize,RunningHeaders,UpdateStyles,UsedStyles"/>
    <w:docVar w:name="WAFER_20190719105036_GUID" w:val="09373936-d282-46c4-81e1-b3099e8c9754"/>
    <w:docVar w:name="WAFER_202002131344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432_GUID" w:val="e6590b15-0728-4cdf-9d8e-b252e9cc780e"/>
    <w:docVar w:name="WAFER_20200220102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02048_GUID" w:val="a367a77b-e449-4409-8eb0-a6d49b01a451"/>
    <w:docVar w:name="WAFER_20200702163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2163954_GUID" w:val="71b7b4cd-42a2-401a-8764-4c7ed8722a71"/>
    <w:docVar w:name="WAFER_202009101111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0111109_GUID" w:val="b83d2bac-9b88-4ed5-a32a-99a6700f0b2c"/>
    <w:docVar w:name="WAFER_20201209153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3959_GUID" w:val="09479a96-a2c2-4824-83ae-d2912a9e3047"/>
    <w:docVar w:name="WAFER_202106151216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21615_GUID" w:val="cc8feb00-dae6-4a4d-933c-f2ad9c51a79d"/>
    <w:docVar w:name="WAFER_2021062313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31639_GUID" w:val="15e24027-847d-48d4-84cf-3f14d81305f4"/>
    <w:docVar w:name="WAFER_202107151058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05822_GUID" w:val="e9c8926c-2764-4153-86a5-6015d7a3cfa2"/>
    <w:docVar w:name="WAFER_202107271007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00711_GUID" w:val="168b0b78-7295-4f0b-8441-b6b3baf7afb7"/>
    <w:docVar w:name="WAFER_202112211122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2217_GUID" w:val="a3c1a7a2-b7b0-4a57-adc2-c3102ca19788"/>
    <w:docVar w:name="WAFER_202204110932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093221_GUID" w:val="f0f82db6-4f45-40aa-8687-5930b3caffbc"/>
    <w:docVar w:name="WAFER_202206211638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1163823_GUID" w:val="fa1ff6cd-758a-4345-bfa3-1c8c039bcbbc"/>
    <w:docVar w:name="WAFER_202303241249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4124949_GUID" w:val="17a12993-cee3-4bf0-a715-a9c1f0ee89b5"/>
    <w:docVar w:name="WAFER_202305151041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4103_GUID" w:val="abe64ba3-d618-49a9-a8fa-82694eca1c4f"/>
    <w:docVar w:name="WAFER_202306271129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2931_GUID" w:val="92c9bbdf-f0d9-4214-a85f-2d6fcd7aa97d"/>
    <w:docVar w:name="WAFER_202307101108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10110849_GUID" w:val="10cb850b-8345-4165-89ac-7e240b7eb60b"/>
    <w:docVar w:name="WAFER_202312271341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4113_GUID" w:val="8ebd2cae-0b83-4a57-9b76-c431eb3bf2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933275">
      <w:bodyDiv w:val="1"/>
      <w:marLeft w:val="0"/>
      <w:marRight w:val="0"/>
      <w:marTop w:val="0"/>
      <w:marBottom w:val="0"/>
      <w:divBdr>
        <w:top w:val="none" w:sz="0" w:space="0" w:color="auto"/>
        <w:left w:val="none" w:sz="0" w:space="0" w:color="auto"/>
        <w:bottom w:val="none" w:sz="0" w:space="0" w:color="auto"/>
        <w:right w:val="none" w:sz="0" w:space="0" w:color="auto"/>
      </w:divBdr>
    </w:div>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359205629">
      <w:bodyDiv w:val="1"/>
      <w:marLeft w:val="0"/>
      <w:marRight w:val="0"/>
      <w:marTop w:val="0"/>
      <w:marBottom w:val="0"/>
      <w:divBdr>
        <w:top w:val="none" w:sz="0" w:space="0" w:color="auto"/>
        <w:left w:val="none" w:sz="0" w:space="0" w:color="auto"/>
        <w:bottom w:val="none" w:sz="0" w:space="0" w:color="auto"/>
        <w:right w:val="none" w:sz="0" w:space="0" w:color="auto"/>
      </w:divBdr>
    </w:div>
    <w:div w:id="513345162">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591089027">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022783332">
      <w:bodyDiv w:val="1"/>
      <w:marLeft w:val="0"/>
      <w:marRight w:val="0"/>
      <w:marTop w:val="0"/>
      <w:marBottom w:val="0"/>
      <w:divBdr>
        <w:top w:val="none" w:sz="0" w:space="0" w:color="auto"/>
        <w:left w:val="none" w:sz="0" w:space="0" w:color="auto"/>
        <w:bottom w:val="none" w:sz="0" w:space="0" w:color="auto"/>
        <w:right w:val="none" w:sz="0" w:space="0" w:color="auto"/>
      </w:divBdr>
    </w:div>
    <w:div w:id="1184635754">
      <w:bodyDiv w:val="1"/>
      <w:marLeft w:val="0"/>
      <w:marRight w:val="0"/>
      <w:marTop w:val="0"/>
      <w:marBottom w:val="0"/>
      <w:divBdr>
        <w:top w:val="none" w:sz="0" w:space="0" w:color="auto"/>
        <w:left w:val="none" w:sz="0" w:space="0" w:color="auto"/>
        <w:bottom w:val="none" w:sz="0" w:space="0" w:color="auto"/>
        <w:right w:val="none" w:sz="0" w:space="0" w:color="auto"/>
      </w:divBdr>
    </w:div>
    <w:div w:id="1404837920">
      <w:bodyDiv w:val="1"/>
      <w:marLeft w:val="0"/>
      <w:marRight w:val="0"/>
      <w:marTop w:val="0"/>
      <w:marBottom w:val="0"/>
      <w:divBdr>
        <w:top w:val="none" w:sz="0" w:space="0" w:color="auto"/>
        <w:left w:val="none" w:sz="0" w:space="0" w:color="auto"/>
        <w:bottom w:val="none" w:sz="0" w:space="0" w:color="auto"/>
        <w:right w:val="none" w:sz="0" w:space="0" w:color="auto"/>
      </w:divBdr>
    </w:div>
    <w:div w:id="1464736008">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 w:id="2003847646">
      <w:bodyDiv w:val="1"/>
      <w:marLeft w:val="0"/>
      <w:marRight w:val="0"/>
      <w:marTop w:val="0"/>
      <w:marBottom w:val="0"/>
      <w:divBdr>
        <w:top w:val="none" w:sz="0" w:space="0" w:color="auto"/>
        <w:left w:val="none" w:sz="0" w:space="0" w:color="auto"/>
        <w:bottom w:val="none" w:sz="0" w:space="0" w:color="auto"/>
        <w:right w:val="none" w:sz="0" w:space="0" w:color="auto"/>
      </w:divBdr>
    </w:div>
    <w:div w:id="21360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2D96C-32B5-41D7-AC48-47E54C82E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74735</Words>
  <Characters>363963</Characters>
  <Application>Microsoft Office Word</Application>
  <DocSecurity>0</DocSecurity>
  <Lines>9332</Lines>
  <Paragraphs>4569</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434129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04-s0-01 - 04-t0-02</dc:title>
  <dc:subject/>
  <dc:creator/>
  <cp:keywords/>
  <dc:description/>
  <cp:lastModifiedBy>Master Repository Process</cp:lastModifiedBy>
  <cp:revision>2</cp:revision>
  <cp:lastPrinted>2023-03-24T07:31:00Z</cp:lastPrinted>
  <dcterms:created xsi:type="dcterms:W3CDTF">2024-01-03T01:00:00Z</dcterms:created>
  <dcterms:modified xsi:type="dcterms:W3CDTF">2024-01-03T01:01:00Z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DocumentType">
    <vt:lpwstr>Act</vt:lpwstr>
  </property>
  <property fmtid="{D5CDD505-2E9C-101B-9397-08002B2CF9AE}" pid="4" name="OwlsUID">
    <vt:i4>9408</vt:i4>
  </property>
  <property fmtid="{D5CDD505-2E9C-101B-9397-08002B2CF9AE}" pid="5" name="ReprintedAsAt">
    <vt:filetime>2016-03-31T16:00:00Z</vt:filetime>
  </property>
  <property fmtid="{D5CDD505-2E9C-101B-9397-08002B2CF9AE}" pid="6" name="ReprintNo">
    <vt:lpwstr>4</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04-s0-01</vt:lpwstr>
  </property>
  <property fmtid="{D5CDD505-2E9C-101B-9397-08002B2CF9AE}" pid="12" name="FromAsAtDate">
    <vt:lpwstr>24 Mar 2023</vt:lpwstr>
  </property>
  <property fmtid="{D5CDD505-2E9C-101B-9397-08002B2CF9AE}" pid="13" name="ToSuffix">
    <vt:lpwstr>04-t0-02</vt:lpwstr>
  </property>
  <property fmtid="{D5CDD505-2E9C-101B-9397-08002B2CF9AE}" pid="14" name="ToAsAtDate">
    <vt:lpwstr>01 Jul 2023</vt:lpwstr>
  </property>
</Properties>
</file>