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Records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2021</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State Records Act 2000</w:t>
      </w:r>
    </w:p>
    <w:p>
      <w:pPr>
        <w:pStyle w:val="LongTitle"/>
      </w:pPr>
      <w:r>
        <w:rPr>
          <w:snapToGrid w:val="0"/>
        </w:rPr>
        <w:t>A</w:t>
      </w:r>
      <w:bookmarkStart w:id="1" w:name="_GoBack"/>
      <w:bookmarkEnd w:id="1"/>
      <w:r>
        <w:rPr>
          <w:snapToGrid w:val="0"/>
        </w:rPr>
        <w:t>n Act to provide for the keeping of State records and for related purposes.</w:t>
      </w:r>
    </w:p>
    <w:p>
      <w:pPr>
        <w:pStyle w:val="Heading2"/>
      </w:pPr>
      <w:bookmarkStart w:id="2" w:name="_Toc155174721"/>
      <w:bookmarkStart w:id="3" w:name="_Toc135042414"/>
      <w:bookmarkStart w:id="4" w:name="_Toc135042534"/>
      <w:bookmarkStart w:id="5" w:name="_Toc135133254"/>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r>
        <w:rPr>
          <w:rStyle w:val="CharPartText"/>
        </w:rPr>
        <w:t xml:space="preserve"> </w:t>
      </w:r>
    </w:p>
    <w:p>
      <w:pPr>
        <w:pStyle w:val="Heading5"/>
      </w:pPr>
      <w:bookmarkStart w:id="6" w:name="_Toc155174722"/>
      <w:bookmarkStart w:id="7" w:name="_Toc135133255"/>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This Act may be cited as the</w:t>
      </w:r>
      <w:r>
        <w:rPr>
          <w:i/>
          <w:snapToGrid w:val="0"/>
        </w:rPr>
        <w:t xml:space="preserve"> State Records Act 2000.</w:t>
      </w:r>
      <w:r>
        <w:rPr>
          <w:snapToGrid w:val="0"/>
        </w:rPr>
        <w:t xml:space="preserve"> </w:t>
      </w:r>
    </w:p>
    <w:p>
      <w:pPr>
        <w:pStyle w:val="Heading5"/>
        <w:rPr>
          <w:snapToGrid w:val="0"/>
        </w:rPr>
      </w:pPr>
      <w:bookmarkStart w:id="8" w:name="_Toc155174723"/>
      <w:bookmarkStart w:id="9" w:name="_Toc135133256"/>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t>(1)</w:t>
      </w:r>
      <w:r>
        <w:rPr>
          <w:snapToGrid w:val="0"/>
        </w:rPr>
        <w:tab/>
        <w:t>This Act comes into operation on a day fixed by proclamation.</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10" w:name="_Toc155174724"/>
      <w:bookmarkStart w:id="11" w:name="_Toc135133257"/>
      <w:r>
        <w:rPr>
          <w:rStyle w:val="CharSectno"/>
        </w:rPr>
        <w:t>3</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authorised applicant</w:t>
      </w:r>
      <w:r>
        <w:t>, in relation to an application to the Commission, means a person authorised under section 4 to make the application;</w:t>
      </w:r>
    </w:p>
    <w:p>
      <w:pPr>
        <w:pStyle w:val="Defstart"/>
      </w:pPr>
      <w:r>
        <w:rPr>
          <w:b/>
        </w:rPr>
        <w:tab/>
      </w:r>
      <w:r>
        <w:rPr>
          <w:rStyle w:val="CharDefText"/>
        </w:rPr>
        <w:t>Commission</w:t>
      </w:r>
      <w:r>
        <w:t xml:space="preserve"> means the State Records Commission established by section 57;</w:t>
      </w:r>
    </w:p>
    <w:p>
      <w:pPr>
        <w:pStyle w:val="Defstart"/>
      </w:pPr>
      <w:r>
        <w:rPr>
          <w:b/>
        </w:rPr>
        <w:tab/>
      </w:r>
      <w:r>
        <w:rPr>
          <w:rStyle w:val="CharDefText"/>
        </w:rPr>
        <w:t>control</w:t>
      </w:r>
      <w:r>
        <w:t>, in relation to a record, means the responsibility for keeping it but does not include the responsibility for creating it;</w:t>
      </w:r>
    </w:p>
    <w:p>
      <w:pPr>
        <w:pStyle w:val="Defstart"/>
      </w:pPr>
      <w:r>
        <w:rPr>
          <w:b/>
        </w:rPr>
        <w:tab/>
      </w:r>
      <w:r>
        <w:rPr>
          <w:rStyle w:val="CharDefText"/>
        </w:rPr>
        <w:t>destroy</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rStyle w:val="CharDefText"/>
        </w:rPr>
        <w:t>Director</w:t>
      </w:r>
      <w:r>
        <w:t xml:space="preserve"> means the Director of State Records referred to in section 70;</w:t>
      </w:r>
    </w:p>
    <w:p>
      <w:pPr>
        <w:pStyle w:val="Defstart"/>
        <w:keepNext/>
      </w:pPr>
      <w:r>
        <w:tab/>
      </w:r>
      <w:r>
        <w:rPr>
          <w:rStyle w:val="CharDefText"/>
        </w:rPr>
        <w:t>exempt record</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pPr>
      <w:r>
        <w:tab/>
      </w:r>
      <w:r>
        <w:rPr>
          <w:rStyle w:val="CharDefText"/>
        </w:rPr>
        <w:t>FOI Act</w:t>
      </w:r>
      <w:r>
        <w:rPr>
          <w:b/>
        </w:rPr>
        <w:t xml:space="preserve"> </w:t>
      </w:r>
      <w:r>
        <w:t xml:space="preserve">means the </w:t>
      </w:r>
      <w:r>
        <w:rPr>
          <w:i/>
        </w:rPr>
        <w:t>Freedom of Information Act 1992</w:t>
      </w:r>
      <w:r>
        <w:t>;</w:t>
      </w:r>
    </w:p>
    <w:p>
      <w:pPr>
        <w:pStyle w:val="Defstart"/>
      </w:pPr>
      <w:r>
        <w:tab/>
      </w:r>
      <w:r>
        <w:rPr>
          <w:rStyle w:val="CharDefText"/>
        </w:rPr>
        <w:t>government organization</w:t>
      </w:r>
      <w:r>
        <w:t xml:space="preserve"> means an organization in Schedule 1 but does not include an organization in Schedule 2;</w:t>
      </w:r>
    </w:p>
    <w:p>
      <w:pPr>
        <w:pStyle w:val="Defstart"/>
      </w:pPr>
      <w:r>
        <w:tab/>
      </w:r>
      <w:r>
        <w:rPr>
          <w:rStyle w:val="CharDefText"/>
        </w:rPr>
        <w:t>government organization employee</w:t>
      </w:r>
      <w:r>
        <w:t xml:space="preserve"> means —</w:t>
      </w:r>
    </w:p>
    <w:p>
      <w:pPr>
        <w:pStyle w:val="Defpara"/>
      </w:pPr>
      <w:r>
        <w:tab/>
        <w:t>(a)</w:t>
      </w:r>
      <w:r>
        <w:tab/>
        <w:t>a person who, whether or not an employee, alone or with others governs, controls or manages a government organization; or</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pPr>
      <w:r>
        <w:tab/>
        <w:t xml:space="preserve">and includes, in the case of a government organization referred to in item 5 or 6 of Schedule 1, a ministerial officer (as defined in the </w:t>
      </w:r>
      <w:r>
        <w:rPr>
          <w:i/>
        </w:rPr>
        <w:t>Public Sector Management Act 1994</w:t>
      </w:r>
      <w:r>
        <w:t>) assisting the organization;</w:t>
      </w:r>
    </w:p>
    <w:p>
      <w:pPr>
        <w:pStyle w:val="Defstart"/>
        <w:rPr>
          <w:spacing w:val="-4"/>
        </w:rPr>
      </w:pPr>
      <w:r>
        <w:rPr>
          <w:spacing w:val="-4"/>
        </w:rPr>
        <w:tab/>
      </w:r>
      <w:r>
        <w:rPr>
          <w:rStyle w:val="CharDefText"/>
          <w:spacing w:val="-4"/>
        </w:rPr>
        <w:t>government record</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t>but does not include an exempt record;</w:t>
      </w:r>
    </w:p>
    <w:p>
      <w:pPr>
        <w:pStyle w:val="Defstart"/>
      </w:pPr>
      <w:r>
        <w:rPr>
          <w:b/>
        </w:rPr>
        <w:tab/>
      </w:r>
      <w:r>
        <w:rPr>
          <w:rStyle w:val="CharDefText"/>
        </w:rPr>
        <w:t>keep</w:t>
      </w:r>
      <w:r>
        <w:t>, in relation to a record, has the meaning affected by subsection (2);</w:t>
      </w:r>
    </w:p>
    <w:p>
      <w:pPr>
        <w:pStyle w:val="Defstart"/>
      </w:pPr>
      <w:r>
        <w:tab/>
      </w:r>
      <w:r>
        <w:rPr>
          <w:rStyle w:val="CharDefText"/>
        </w:rPr>
        <w:t>parliamentary department</w:t>
      </w:r>
      <w:r>
        <w:t xml:space="preserve"> means a department that is deemed to have been constituted in relation to the administration of Parliament for the purposes of the </w:t>
      </w:r>
      <w:r>
        <w:rPr>
          <w:i/>
        </w:rPr>
        <w:t>Financial Management Act 2006</w:t>
      </w:r>
      <w:r>
        <w:t xml:space="preserve"> by regulations made for the purposes of section 5(1) of that Act;</w:t>
      </w:r>
    </w:p>
    <w:p>
      <w:pPr>
        <w:pStyle w:val="Defstart"/>
        <w:keepNext/>
      </w:pPr>
      <w:r>
        <w:tab/>
      </w:r>
      <w:r>
        <w:rPr>
          <w:rStyle w:val="CharDefText"/>
        </w:rPr>
        <w:t>parliamentary record</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pPr>
      <w:r>
        <w:tab/>
        <w:t>but does not include an exempt record;</w:t>
      </w:r>
    </w:p>
    <w:p>
      <w:pPr>
        <w:pStyle w:val="Defstart"/>
      </w:pPr>
      <w:r>
        <w:rPr>
          <w:b/>
        </w:rPr>
        <w:tab/>
      </w:r>
      <w:r>
        <w:rPr>
          <w:rStyle w:val="CharDefText"/>
        </w:rPr>
        <w:t>record</w:t>
      </w:r>
      <w:r>
        <w:rPr>
          <w:b/>
        </w:rPr>
        <w:t xml:space="preserve"> </w:t>
      </w:r>
      <w:r>
        <w:t>means any record of information however recorded and includes — </w:t>
      </w:r>
    </w:p>
    <w:p>
      <w:pPr>
        <w:pStyle w:val="Defpara"/>
      </w:pPr>
      <w:r>
        <w:tab/>
        <w:t>(a)</w:t>
      </w:r>
      <w:r>
        <w:tab/>
        <w:t>any thing on which there is writing or Braille; and</w:t>
      </w:r>
    </w:p>
    <w:p>
      <w:pPr>
        <w:pStyle w:val="Defpara"/>
      </w:pPr>
      <w:r>
        <w:tab/>
        <w:t>(b)</w:t>
      </w:r>
      <w:r>
        <w:tab/>
        <w:t>a map, plan, diagram or graph; and</w:t>
      </w:r>
    </w:p>
    <w:p>
      <w:pPr>
        <w:pStyle w:val="Defpara"/>
      </w:pPr>
      <w:r>
        <w:tab/>
        <w:t>(c)</w:t>
      </w:r>
      <w:r>
        <w:tab/>
        <w:t>a drawing, pictorial or graphic work, or photograph; and</w:t>
      </w:r>
    </w:p>
    <w:p>
      <w:pPr>
        <w:pStyle w:val="Defpara"/>
      </w:pPr>
      <w:r>
        <w:tab/>
        <w:t>(d)</w:t>
      </w:r>
      <w:r>
        <w:tab/>
        <w:t>any thing on which there are figures, marks, perforations, or symbols, having a meaning for persons qualified to interpret them; and</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rStyle w:val="CharDefText"/>
        </w:rPr>
        <w:t>record keeping plan</w:t>
      </w:r>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r>
        <w:rPr>
          <w:rStyle w:val="CharDefText"/>
        </w:rPr>
        <w:t>relevant Minister</w:t>
      </w:r>
      <w:r>
        <w:t>, in relation to a Schedule 3 organization, means the Minister to whom the administration of the Act under which the organization is established or continued is for the time being committed by the Governor;</w:t>
      </w:r>
    </w:p>
    <w:p>
      <w:pPr>
        <w:pStyle w:val="Defstart"/>
      </w:pPr>
      <w:r>
        <w:tab/>
      </w:r>
      <w:r>
        <w:rPr>
          <w:rStyle w:val="CharDefText"/>
        </w:rPr>
        <w:t>reproduce</w:t>
      </w:r>
      <w:r>
        <w:t>, in relation to a record, has the meaning affected by subsection (3);</w:t>
      </w:r>
    </w:p>
    <w:p>
      <w:pPr>
        <w:pStyle w:val="Defstart"/>
      </w:pPr>
      <w:r>
        <w:rPr>
          <w:b/>
        </w:rPr>
        <w:tab/>
      </w:r>
      <w:r>
        <w:rPr>
          <w:rStyle w:val="CharDefText"/>
        </w:rPr>
        <w:t>restricted access archive</w:t>
      </w:r>
      <w:r>
        <w:rPr>
          <w:b/>
        </w:rPr>
        <w:t xml:space="preserve"> </w:t>
      </w:r>
      <w:r>
        <w:t>means a State archive that is a government record and to which access is restricted until it is of a certain age;</w:t>
      </w:r>
    </w:p>
    <w:p>
      <w:pPr>
        <w:pStyle w:val="Defstart"/>
      </w:pPr>
      <w:r>
        <w:rPr>
          <w:b/>
        </w:rPr>
        <w:tab/>
      </w:r>
      <w:r>
        <w:rPr>
          <w:rStyle w:val="CharDefText"/>
        </w:rPr>
        <w:t>retention period</w:t>
      </w:r>
      <w:r>
        <w:t>,</w:t>
      </w:r>
      <w:r>
        <w:rPr>
          <w:b/>
        </w:rPr>
        <w:t xml:space="preserve"> </w:t>
      </w:r>
      <w:r>
        <w:t>in relation to a record, means the period for which the record must be kept before it may be destroyed;</w:t>
      </w:r>
    </w:p>
    <w:p>
      <w:pPr>
        <w:pStyle w:val="Defstart"/>
      </w:pPr>
      <w:r>
        <w:tab/>
      </w:r>
      <w:r>
        <w:rPr>
          <w:rStyle w:val="CharDefText"/>
        </w:rPr>
        <w:t>Schedule 3 organization</w:t>
      </w:r>
      <w:r>
        <w:rPr>
          <w:b/>
        </w:rPr>
        <w:t xml:space="preserve"> </w:t>
      </w:r>
      <w:r>
        <w:t>means a government organization in Schedule 3;</w:t>
      </w:r>
    </w:p>
    <w:p>
      <w:pPr>
        <w:pStyle w:val="Defstart"/>
      </w:pPr>
      <w:r>
        <w:rPr>
          <w:b/>
        </w:rPr>
        <w:tab/>
      </w:r>
      <w:r>
        <w:rPr>
          <w:rStyle w:val="CharDefText"/>
        </w:rPr>
        <w:t>State archive</w:t>
      </w:r>
      <w:r>
        <w:rPr>
          <w:b/>
        </w:rPr>
        <w:t xml:space="preserve"> </w:t>
      </w:r>
      <w:r>
        <w:t>means a State record that is to be retained permanently;</w:t>
      </w:r>
    </w:p>
    <w:p>
      <w:pPr>
        <w:pStyle w:val="Defstart"/>
      </w:pPr>
      <w:r>
        <w:rPr>
          <w:b/>
        </w:rPr>
        <w:tab/>
      </w:r>
      <w:r>
        <w:rPr>
          <w:rStyle w:val="CharDefText"/>
        </w:rPr>
        <w:t>State archives collection</w:t>
      </w:r>
      <w:r>
        <w:rPr>
          <w:b/>
        </w:rPr>
        <w:t xml:space="preserve"> </w:t>
      </w:r>
      <w:r>
        <w:t>means the collection of State archives referred to in section 35;</w:t>
      </w:r>
    </w:p>
    <w:p>
      <w:pPr>
        <w:pStyle w:val="Defstart"/>
        <w:keepNext/>
      </w:pPr>
      <w:r>
        <w:tab/>
      </w:r>
      <w:r>
        <w:rPr>
          <w:rStyle w:val="CharDefText"/>
        </w:rPr>
        <w:t>State collecting institution</w:t>
      </w:r>
      <w:r>
        <w:rPr>
          <w:b/>
        </w:rPr>
        <w:t xml:space="preserve"> </w:t>
      </w:r>
      <w:r>
        <w:t>means — </w:t>
      </w:r>
    </w:p>
    <w:p>
      <w:pPr>
        <w:pStyle w:val="Defpara"/>
      </w:pPr>
      <w:r>
        <w:tab/>
        <w:t>(a)</w:t>
      </w:r>
      <w:r>
        <w:tab/>
        <w:t xml:space="preserve">the Art Gallery of Western Australia preserved and continued by the </w:t>
      </w:r>
      <w:r>
        <w:rPr>
          <w:i/>
        </w:rPr>
        <w:t>Art Gallery Act 1959</w:t>
      </w:r>
      <w:r>
        <w:t>; and</w:t>
      </w:r>
    </w:p>
    <w:p>
      <w:pPr>
        <w:pStyle w:val="Defpara"/>
      </w:pPr>
      <w:r>
        <w:tab/>
        <w:t>(b)</w:t>
      </w:r>
      <w:r>
        <w:tab/>
        <w:t xml:space="preserve">the State Reference Library (as defined in the </w:t>
      </w:r>
      <w:r>
        <w:rPr>
          <w:i/>
        </w:rPr>
        <w:t>Library Board of Western Australia Act 1951</w:t>
      </w:r>
      <w:r>
        <w:t>); and</w:t>
      </w:r>
    </w:p>
    <w:p>
      <w:pPr>
        <w:pStyle w:val="Defpara"/>
      </w:pPr>
      <w:r>
        <w:tab/>
        <w:t>(c)</w:t>
      </w:r>
      <w:r>
        <w:tab/>
        <w:t xml:space="preserve">the Western Australian Museum constituted under the </w:t>
      </w:r>
      <w:r>
        <w:rPr>
          <w:i/>
        </w:rPr>
        <w:t>Museum Act 1969</w:t>
      </w:r>
      <w:r>
        <w:t>;</w:t>
      </w:r>
    </w:p>
    <w:p>
      <w:pPr>
        <w:pStyle w:val="Defstart"/>
        <w:keepNext/>
      </w:pPr>
      <w:r>
        <w:tab/>
      </w:r>
      <w:r>
        <w:rPr>
          <w:rStyle w:val="CharDefText"/>
        </w:rPr>
        <w:t>State organization</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rStyle w:val="CharDefText"/>
        </w:rPr>
        <w:t>State record</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rStyle w:val="CharDefText"/>
        </w:rPr>
        <w:t>State Records Office</w:t>
      </w:r>
      <w:r>
        <w:rPr>
          <w:b/>
        </w:rPr>
        <w:t xml:space="preserve"> </w:t>
      </w:r>
      <w:r>
        <w:t>means the entity referred to in section 72;</w:t>
      </w:r>
    </w:p>
    <w:p>
      <w:pPr>
        <w:pStyle w:val="Defstart"/>
      </w:pPr>
      <w:r>
        <w:rPr>
          <w:b/>
        </w:rPr>
        <w:tab/>
      </w:r>
      <w:r>
        <w:rPr>
          <w:rStyle w:val="CharDefText"/>
        </w:rPr>
        <w:t>successor</w:t>
      </w:r>
      <w:r>
        <w:t>, in relation to a government organization that is abolished or that ceases to be a government organization, means the government organization (if any) that takes over that organization’s functions;</w:t>
      </w:r>
    </w:p>
    <w:p>
      <w:pPr>
        <w:pStyle w:val="Defstart"/>
      </w:pPr>
      <w:r>
        <w:rPr>
          <w:b/>
        </w:rPr>
        <w:tab/>
      </w:r>
      <w:r>
        <w:rPr>
          <w:rStyle w:val="CharDefText"/>
        </w:rPr>
        <w:t>unauthorised possession</w:t>
      </w:r>
      <w:r>
        <w:t>, in relation to a government record, means possession that is not authorised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rFonts w:ascii="Arial" w:hAnsi="Arial"/>
          <w:i/>
          <w:snapToGrid w:val="0"/>
          <w:sz w:val="18"/>
        </w:rPr>
        <w:t>For example</w:t>
      </w:r>
      <w:r>
        <w:rPr>
          <w:rFonts w:ascii="Arial" w:hAnsi="Arial"/>
          <w:snapToGrid w:val="0"/>
          <w:sz w:val="18"/>
        </w:rPr>
        <w:t>: a paper record could be reproduced in the form of a microfilm or it could be scanned and the information in it digitised for reproduction by means of a computer</w:t>
      </w:r>
      <w:r>
        <w:rPr>
          <w:snapToGrid w:val="0"/>
        </w:rPr>
        <w:t>.</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Footnotesection"/>
      </w:pPr>
      <w:r>
        <w:tab/>
        <w:t>[Section 3 amended: No. 77 of 2006 Sch. 1 cl. 159(1).]</w:t>
      </w:r>
    </w:p>
    <w:p>
      <w:pPr>
        <w:pStyle w:val="Heading5"/>
        <w:rPr>
          <w:snapToGrid w:val="0"/>
        </w:rPr>
      </w:pPr>
      <w:bookmarkStart w:id="12" w:name="_Toc155174725"/>
      <w:bookmarkStart w:id="13" w:name="_Toc135133258"/>
      <w:r>
        <w:rPr>
          <w:rStyle w:val="CharSectno"/>
        </w:rPr>
        <w:t>4</w:t>
      </w:r>
      <w:r>
        <w:rPr>
          <w:snapToGrid w:val="0"/>
        </w:rPr>
        <w:t>.</w:t>
      </w:r>
      <w:r>
        <w:rPr>
          <w:snapToGrid w:val="0"/>
        </w:rPr>
        <w:tab/>
        <w:t>Authorised applicant, meaning of</w:t>
      </w:r>
      <w:bookmarkEnd w:id="12"/>
      <w:bookmarkEnd w:id="13"/>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 or</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14" w:name="_Toc155174726"/>
      <w:bookmarkStart w:id="15" w:name="_Toc135133259"/>
      <w:r>
        <w:rPr>
          <w:rStyle w:val="CharSectno"/>
        </w:rPr>
        <w:t>5</w:t>
      </w:r>
      <w:r>
        <w:rPr>
          <w:snapToGrid w:val="0"/>
        </w:rPr>
        <w:t>.</w:t>
      </w:r>
      <w:r>
        <w:rPr>
          <w:snapToGrid w:val="0"/>
        </w:rPr>
        <w:tab/>
        <w:t>Act binds Crown</w:t>
      </w:r>
      <w:bookmarkEnd w:id="14"/>
      <w:bookmarkEnd w:id="15"/>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6" w:name="_Toc155174727"/>
      <w:bookmarkStart w:id="17" w:name="_Toc135133260"/>
      <w:r>
        <w:rPr>
          <w:rStyle w:val="CharSectno"/>
        </w:rPr>
        <w:t>6</w:t>
      </w:r>
      <w:r>
        <w:rPr>
          <w:snapToGrid w:val="0"/>
        </w:rPr>
        <w:t>.</w:t>
      </w:r>
      <w:r>
        <w:rPr>
          <w:snapToGrid w:val="0"/>
        </w:rPr>
        <w:tab/>
        <w:t>Application of Act to records created or received before commencement</w:t>
      </w:r>
      <w:bookmarkEnd w:id="16"/>
      <w:bookmarkEnd w:id="17"/>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18" w:name="_Toc155174728"/>
      <w:bookmarkStart w:id="19" w:name="_Toc135133261"/>
      <w:r>
        <w:rPr>
          <w:rStyle w:val="CharSectno"/>
        </w:rPr>
        <w:t>7</w:t>
      </w:r>
      <w:r>
        <w:rPr>
          <w:snapToGrid w:val="0"/>
        </w:rPr>
        <w:t>.</w:t>
      </w:r>
      <w:r>
        <w:rPr>
          <w:snapToGrid w:val="0"/>
        </w:rPr>
        <w:tab/>
        <w:t>Application of Act to State organizations</w:t>
      </w:r>
      <w:bookmarkEnd w:id="18"/>
      <w:bookmarkEnd w:id="19"/>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20" w:name="_Toc155174729"/>
      <w:bookmarkStart w:id="21" w:name="_Toc135133262"/>
      <w:r>
        <w:rPr>
          <w:rStyle w:val="CharSectno"/>
        </w:rPr>
        <w:t>8</w:t>
      </w:r>
      <w:r>
        <w:rPr>
          <w:snapToGrid w:val="0"/>
        </w:rPr>
        <w:t>.</w:t>
      </w:r>
      <w:r>
        <w:rPr>
          <w:snapToGrid w:val="0"/>
        </w:rPr>
        <w:tab/>
        <w:t>Application of Act to former government organizations</w:t>
      </w:r>
      <w:bookmarkEnd w:id="20"/>
      <w:bookmarkEnd w:id="21"/>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former organization</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 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 or</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22" w:name="_Toc155174730"/>
      <w:bookmarkStart w:id="23" w:name="_Toc135133263"/>
      <w:r>
        <w:rPr>
          <w:rStyle w:val="CharSectno"/>
        </w:rPr>
        <w:t>9</w:t>
      </w:r>
      <w:r>
        <w:rPr>
          <w:snapToGrid w:val="0"/>
        </w:rPr>
        <w:t>.</w:t>
      </w:r>
      <w:r>
        <w:rPr>
          <w:snapToGrid w:val="0"/>
        </w:rPr>
        <w:tab/>
        <w:t>Relationship of this Act with other enactments</w:t>
      </w:r>
      <w:bookmarkEnd w:id="22"/>
      <w:bookmarkEnd w:id="23"/>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rPr>
          <w:snapToGrid w:val="0"/>
        </w:rPr>
      </w:pPr>
      <w:bookmarkStart w:id="24" w:name="_Toc155174731"/>
      <w:bookmarkStart w:id="25" w:name="_Toc135133264"/>
      <w:r>
        <w:rPr>
          <w:rStyle w:val="CharSectno"/>
        </w:rPr>
        <w:t>10</w:t>
      </w:r>
      <w:r>
        <w:rPr>
          <w:snapToGrid w:val="0"/>
        </w:rPr>
        <w:t>.</w:t>
      </w:r>
      <w:r>
        <w:rPr>
          <w:snapToGrid w:val="0"/>
        </w:rPr>
        <w:tab/>
        <w:t>Individual responsible for State organization’s obligations</w:t>
      </w:r>
      <w:bookmarkEnd w:id="24"/>
      <w:bookmarkEnd w:id="25"/>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rPr>
        <w:t>Financial Management Act 2006</w:t>
      </w:r>
      <w:r>
        <w:t xml:space="preserve"> </w:t>
      </w:r>
      <w:r>
        <w:rPr>
          <w:snapToGrid w:val="0"/>
        </w:rPr>
        <w:t xml:space="preserve">is the </w:t>
      </w:r>
      <w:r>
        <w:t xml:space="preserve">accountable authority </w:t>
      </w:r>
      <w:r>
        <w:rPr>
          <w:snapToGrid w:val="0"/>
        </w:rPr>
        <w:t>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keepNext/>
        <w:rPr>
          <w:snapToGrid w:val="0"/>
        </w:rPr>
      </w:pPr>
      <w:r>
        <w:rPr>
          <w:snapToGrid w:val="0"/>
        </w:rPr>
        <w:tab/>
        <w:t>(4)</w:t>
      </w:r>
      <w:r>
        <w:rPr>
          <w:snapToGrid w:val="0"/>
        </w:rPr>
        <w:tab/>
        <w:t>The chief executive officer of the department principally assisting the Premier is responsible for ensuring that the government organizations described in items 3, 4, 5 and 6 of Schedule 1 comply with this Act.</w:t>
      </w:r>
    </w:p>
    <w:p>
      <w:pPr>
        <w:pStyle w:val="Footnotesection"/>
      </w:pPr>
      <w:r>
        <w:tab/>
        <w:t>[Section 10 amended: No. 77 of 2006 s. 6 and Sch. 1 cl. 159(2).]</w:t>
      </w:r>
    </w:p>
    <w:p>
      <w:pPr>
        <w:pStyle w:val="Heading2"/>
      </w:pPr>
      <w:bookmarkStart w:id="26" w:name="_Toc155174732"/>
      <w:bookmarkStart w:id="27" w:name="_Toc135042425"/>
      <w:bookmarkStart w:id="28" w:name="_Toc135042545"/>
      <w:bookmarkStart w:id="29" w:name="_Toc135133265"/>
      <w:r>
        <w:rPr>
          <w:rStyle w:val="CharPartNo"/>
        </w:rPr>
        <w:t>Part 2</w:t>
      </w:r>
      <w:r>
        <w:rPr>
          <w:rStyle w:val="CharDivNo"/>
        </w:rPr>
        <w:t xml:space="preserve"> </w:t>
      </w:r>
      <w:r>
        <w:t>—</w:t>
      </w:r>
      <w:r>
        <w:rPr>
          <w:rStyle w:val="CharDivText"/>
        </w:rPr>
        <w:t xml:space="preserve"> </w:t>
      </w:r>
      <w:r>
        <w:rPr>
          <w:rStyle w:val="CharPartText"/>
        </w:rPr>
        <w:t>Record keeping plans for parliamentary departments</w:t>
      </w:r>
      <w:bookmarkEnd w:id="26"/>
      <w:bookmarkEnd w:id="27"/>
      <w:bookmarkEnd w:id="28"/>
      <w:bookmarkEnd w:id="29"/>
    </w:p>
    <w:p>
      <w:pPr>
        <w:pStyle w:val="Heading5"/>
      </w:pPr>
      <w:bookmarkStart w:id="30" w:name="_Toc155174733"/>
      <w:bookmarkStart w:id="31" w:name="_Toc135133266"/>
      <w:r>
        <w:rPr>
          <w:rStyle w:val="CharSectno"/>
        </w:rPr>
        <w:t>11</w:t>
      </w:r>
      <w:r>
        <w:t>.</w:t>
      </w:r>
      <w:r>
        <w:tab/>
        <w:t>Content of plans</w:t>
      </w:r>
      <w:bookmarkEnd w:id="30"/>
      <w:bookmarkEnd w:id="31"/>
    </w:p>
    <w:p>
      <w:pPr>
        <w:pStyle w:val="Subsection"/>
      </w:pPr>
      <w:r>
        <w:tab/>
        <w:t>(1)</w:t>
      </w:r>
      <w:r>
        <w:tab/>
        <w:t>A record keeping plan in respect of a parliamentary department is a record setting out —</w:t>
      </w:r>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rPr>
          <w:snapToGrid w:val="0"/>
        </w:rPr>
      </w:pPr>
      <w:r>
        <w:rPr>
          <w:snapToGrid w:val="0"/>
        </w:rPr>
        <w:tab/>
        <w:t>(3)</w:t>
      </w:r>
      <w:r>
        <w:rPr>
          <w:snapToGrid w:val="0"/>
        </w:rPr>
        <w:tab/>
        <w:t xml:space="preserve">Without limiting </w:t>
      </w:r>
      <w:r>
        <w:t>subsection (</w:t>
      </w:r>
      <w:r>
        <w:rPr>
          <w:snapToGrid w:val="0"/>
        </w:rPr>
        <w:t xml:space="preserve">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 and</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32" w:name="_Toc155174734"/>
      <w:bookmarkStart w:id="33" w:name="_Toc135133267"/>
      <w:r>
        <w:rPr>
          <w:rStyle w:val="CharSectno"/>
        </w:rPr>
        <w:t>12</w:t>
      </w:r>
      <w:r>
        <w:t>.</w:t>
      </w:r>
      <w:r>
        <w:tab/>
        <w:t>Parliamentary departments to have plans</w:t>
      </w:r>
      <w:bookmarkEnd w:id="32"/>
      <w:bookmarkEnd w:id="33"/>
    </w:p>
    <w:p>
      <w:pPr>
        <w:pStyle w:val="Subsection"/>
      </w:pPr>
      <w:r>
        <w:tab/>
        <w:t>(1)</w:t>
      </w:r>
      <w:r>
        <w:tab/>
        <w:t>Each parliamentary department is to have a record keeping plan approved under this section.</w:t>
      </w:r>
    </w:p>
    <w:p>
      <w:pPr>
        <w:pStyle w:val="Subsection"/>
      </w:pPr>
      <w:r>
        <w:tab/>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 and</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If a parliamentary department’s draft record keeping plan is refused approval the department must submit another draft plan within one month or such time as is directed by the President or the Speaker or both, as the case requires.</w:t>
      </w:r>
    </w:p>
    <w:p>
      <w:pPr>
        <w:pStyle w:val="Heading5"/>
      </w:pPr>
      <w:bookmarkStart w:id="34" w:name="_Toc155174735"/>
      <w:bookmarkStart w:id="35" w:name="_Toc135133268"/>
      <w:r>
        <w:rPr>
          <w:rStyle w:val="CharSectno"/>
        </w:rPr>
        <w:t>13</w:t>
      </w:r>
      <w:r>
        <w:t>.</w:t>
      </w:r>
      <w:r>
        <w:tab/>
        <w:t>Amending plans</w:t>
      </w:r>
      <w:bookmarkEnd w:id="34"/>
      <w:bookmarkEnd w:id="35"/>
    </w:p>
    <w:p>
      <w:pPr>
        <w:pStyle w:val="Subsection"/>
      </w:pPr>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36" w:name="_Toc155174736"/>
      <w:bookmarkStart w:id="37" w:name="_Toc135133269"/>
      <w:r>
        <w:rPr>
          <w:rStyle w:val="CharSectno"/>
        </w:rPr>
        <w:t>14</w:t>
      </w:r>
      <w:r>
        <w:t>.</w:t>
      </w:r>
      <w:r>
        <w:tab/>
        <w:t>Review of plans</w:t>
      </w:r>
      <w:bookmarkEnd w:id="36"/>
      <w:bookmarkEnd w:id="37"/>
    </w:p>
    <w:p>
      <w:pPr>
        <w:pStyle w:val="Subsection"/>
      </w:pPr>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38" w:name="_Toc155174737"/>
      <w:bookmarkStart w:id="39" w:name="_Toc135133270"/>
      <w:r>
        <w:rPr>
          <w:rStyle w:val="CharSectno"/>
        </w:rPr>
        <w:t>15</w:t>
      </w:r>
      <w:r>
        <w:t>.</w:t>
      </w:r>
      <w:r>
        <w:tab/>
        <w:t>Effect of plans</w:t>
      </w:r>
      <w:bookmarkEnd w:id="38"/>
      <w:bookmarkEnd w:id="39"/>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 and</w:t>
      </w:r>
    </w:p>
    <w:p>
      <w:pPr>
        <w:pStyle w:val="Indenta"/>
        <w:rPr>
          <w:snapToGrid w:val="0"/>
        </w:rPr>
      </w:pPr>
      <w:r>
        <w:tab/>
        <w:t>(b)</w:t>
      </w:r>
      <w:r>
        <w:tab/>
      </w:r>
      <w:r>
        <w:rPr>
          <w:snapToGrid w:val="0"/>
        </w:rPr>
        <w:t>the Clerk and Deputy Clerks of both Houses; and</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40" w:name="_Toc155174738"/>
      <w:bookmarkStart w:id="41" w:name="_Toc135042431"/>
      <w:bookmarkStart w:id="42" w:name="_Toc135042551"/>
      <w:bookmarkStart w:id="43" w:name="_Toc135133271"/>
      <w:r>
        <w:rPr>
          <w:rStyle w:val="CharPartNo"/>
        </w:rPr>
        <w:t>Part 3</w:t>
      </w:r>
      <w:r>
        <w:t xml:space="preserve"> — </w:t>
      </w:r>
      <w:r>
        <w:rPr>
          <w:rStyle w:val="CharPartText"/>
        </w:rPr>
        <w:t>Record keeping plans for government organizations</w:t>
      </w:r>
      <w:bookmarkEnd w:id="40"/>
      <w:bookmarkEnd w:id="41"/>
      <w:bookmarkEnd w:id="42"/>
      <w:bookmarkEnd w:id="43"/>
      <w:r>
        <w:rPr>
          <w:rStyle w:val="CharPartText"/>
        </w:rPr>
        <w:t xml:space="preserve"> </w:t>
      </w:r>
    </w:p>
    <w:p>
      <w:pPr>
        <w:pStyle w:val="Heading3"/>
      </w:pPr>
      <w:bookmarkStart w:id="44" w:name="_Toc155174739"/>
      <w:bookmarkStart w:id="45" w:name="_Toc135042432"/>
      <w:bookmarkStart w:id="46" w:name="_Toc135042552"/>
      <w:bookmarkStart w:id="47" w:name="_Toc135133272"/>
      <w:r>
        <w:rPr>
          <w:rStyle w:val="CharDivNo"/>
        </w:rPr>
        <w:t>Division 1</w:t>
      </w:r>
      <w:r>
        <w:rPr>
          <w:snapToGrid w:val="0"/>
        </w:rPr>
        <w:t xml:space="preserve"> — </w:t>
      </w:r>
      <w:r>
        <w:rPr>
          <w:rStyle w:val="CharDivText"/>
        </w:rPr>
        <w:t>General</w:t>
      </w:r>
      <w:bookmarkEnd w:id="44"/>
      <w:bookmarkEnd w:id="45"/>
      <w:bookmarkEnd w:id="46"/>
      <w:bookmarkEnd w:id="47"/>
      <w:r>
        <w:rPr>
          <w:rStyle w:val="CharDivText"/>
        </w:rPr>
        <w:t xml:space="preserve"> </w:t>
      </w:r>
    </w:p>
    <w:p>
      <w:pPr>
        <w:pStyle w:val="Heading5"/>
        <w:rPr>
          <w:snapToGrid w:val="0"/>
        </w:rPr>
      </w:pPr>
      <w:bookmarkStart w:id="48" w:name="_Toc155174740"/>
      <w:bookmarkStart w:id="49" w:name="_Toc135133273"/>
      <w:r>
        <w:rPr>
          <w:rStyle w:val="CharSectno"/>
        </w:rPr>
        <w:t>16</w:t>
      </w:r>
      <w:r>
        <w:rPr>
          <w:snapToGrid w:val="0"/>
        </w:rPr>
        <w:t>.</w:t>
      </w:r>
      <w:r>
        <w:rPr>
          <w:snapToGrid w:val="0"/>
        </w:rPr>
        <w:tab/>
        <w:t>Content of plans</w:t>
      </w:r>
      <w:bookmarkEnd w:id="48"/>
      <w:bookmarkEnd w:id="49"/>
      <w:r>
        <w:rPr>
          <w:snapToGrid w:val="0"/>
        </w:rPr>
        <w:t xml:space="preserve"> </w:t>
      </w:r>
    </w:p>
    <w:p>
      <w:pPr>
        <w:pStyle w:val="Subsection"/>
        <w:rPr>
          <w:snapToGrid w:val="0"/>
        </w:rPr>
      </w:pPr>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 61; and</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 and</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 and</w:t>
      </w:r>
    </w:p>
    <w:p>
      <w:pPr>
        <w:pStyle w:val="Indenta"/>
        <w:rPr>
          <w:snapToGrid w:val="0"/>
        </w:rPr>
      </w:pPr>
      <w:r>
        <w:rPr>
          <w:snapToGrid w:val="0"/>
        </w:rPr>
        <w:tab/>
        <w:t>(c)</w:t>
      </w:r>
      <w:r>
        <w:rPr>
          <w:snapToGrid w:val="0"/>
        </w:rPr>
        <w:tab/>
        <w:t>the retention period for those government records that are not State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PermNoteHeading"/>
      </w:pPr>
      <w:r>
        <w:tab/>
        <w:t>Note for this subsection:</w:t>
      </w:r>
    </w:p>
    <w:p>
      <w:pPr>
        <w:pStyle w:val="PermNoteText"/>
      </w:pPr>
      <w:r>
        <w:tab/>
      </w:r>
      <w:r>
        <w:tab/>
      </w:r>
      <w:r>
        <w:rPr>
          <w:b/>
          <w:i/>
          <w:snapToGrid w:val="0"/>
        </w:rPr>
        <w:t>retention period</w:t>
      </w:r>
      <w:r>
        <w:rPr>
          <w:snapToGrid w:val="0"/>
        </w:rPr>
        <w:t xml:space="preserve"> is defined in section 3.</w:t>
      </w:r>
    </w:p>
    <w:p>
      <w:pPr>
        <w:pStyle w:val="Subsection"/>
        <w:rPr>
          <w:snapToGrid w:val="0"/>
        </w:rPr>
      </w:pPr>
      <w:r>
        <w:rPr>
          <w:snapToGrid w:val="0"/>
        </w:rPr>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50" w:name="_Toc155174741"/>
      <w:bookmarkStart w:id="51" w:name="_Toc135133274"/>
      <w:r>
        <w:rPr>
          <w:rStyle w:val="CharSectno"/>
        </w:rPr>
        <w:t>17</w:t>
      </w:r>
      <w:r>
        <w:rPr>
          <w:snapToGrid w:val="0"/>
        </w:rPr>
        <w:t>.</w:t>
      </w:r>
      <w:r>
        <w:rPr>
          <w:snapToGrid w:val="0"/>
        </w:rPr>
        <w:tab/>
        <w:t>Effect of plans</w:t>
      </w:r>
      <w:bookmarkEnd w:id="50"/>
      <w:bookmarkEnd w:id="51"/>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52" w:name="_Toc155174742"/>
      <w:bookmarkStart w:id="53" w:name="_Toc135042435"/>
      <w:bookmarkStart w:id="54" w:name="_Toc135042555"/>
      <w:bookmarkStart w:id="55" w:name="_Toc135133275"/>
      <w:r>
        <w:rPr>
          <w:rStyle w:val="CharDivNo"/>
        </w:rPr>
        <w:t>Division 2</w:t>
      </w:r>
      <w:r>
        <w:rPr>
          <w:snapToGrid w:val="0"/>
        </w:rPr>
        <w:t xml:space="preserve"> — </w:t>
      </w:r>
      <w:r>
        <w:rPr>
          <w:rStyle w:val="CharDivText"/>
        </w:rPr>
        <w:t>Plans of government organizations other than those to which Division 3 applies</w:t>
      </w:r>
      <w:bookmarkEnd w:id="52"/>
      <w:bookmarkEnd w:id="53"/>
      <w:bookmarkEnd w:id="54"/>
      <w:bookmarkEnd w:id="55"/>
      <w:r>
        <w:rPr>
          <w:rStyle w:val="CharDivText"/>
        </w:rPr>
        <w:t xml:space="preserve"> </w:t>
      </w:r>
    </w:p>
    <w:p>
      <w:pPr>
        <w:pStyle w:val="Heading5"/>
        <w:rPr>
          <w:snapToGrid w:val="0"/>
        </w:rPr>
      </w:pPr>
      <w:bookmarkStart w:id="56" w:name="_Toc155174743"/>
      <w:bookmarkStart w:id="57" w:name="_Toc135133276"/>
      <w:r>
        <w:rPr>
          <w:rStyle w:val="CharSectno"/>
        </w:rPr>
        <w:t>18</w:t>
      </w:r>
      <w:r>
        <w:rPr>
          <w:snapToGrid w:val="0"/>
        </w:rPr>
        <w:t>.</w:t>
      </w:r>
      <w:r>
        <w:rPr>
          <w:snapToGrid w:val="0"/>
        </w:rPr>
        <w:tab/>
        <w:t>Application</w:t>
      </w:r>
      <w:bookmarkEnd w:id="56"/>
      <w:bookmarkEnd w:id="57"/>
      <w:r>
        <w:rPr>
          <w:snapToGrid w:val="0"/>
        </w:rPr>
        <w:t xml:space="preserve"> </w:t>
      </w:r>
    </w:p>
    <w:p>
      <w:pPr>
        <w:pStyle w:val="Subsection"/>
        <w:rPr>
          <w:snapToGrid w:val="0"/>
        </w:rPr>
      </w:pPr>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58" w:name="_Toc155174744"/>
      <w:bookmarkStart w:id="59" w:name="_Toc135133277"/>
      <w:r>
        <w:rPr>
          <w:rStyle w:val="CharSectno"/>
        </w:rPr>
        <w:t>19</w:t>
      </w:r>
      <w:r>
        <w:rPr>
          <w:snapToGrid w:val="0"/>
        </w:rPr>
        <w:t>.</w:t>
      </w:r>
      <w:r>
        <w:rPr>
          <w:snapToGrid w:val="0"/>
        </w:rPr>
        <w:tab/>
        <w:t>Government organizations to have plans</w:t>
      </w:r>
      <w:bookmarkEnd w:id="58"/>
      <w:bookmarkEnd w:id="59"/>
      <w:r>
        <w:rPr>
          <w:snapToGrid w:val="0"/>
        </w:rPr>
        <w:t xml:space="preserve"> </w:t>
      </w:r>
    </w:p>
    <w:p>
      <w:pPr>
        <w:pStyle w:val="Subsection"/>
        <w:rPr>
          <w:snapToGrid w:val="0"/>
        </w:rPr>
      </w:pPr>
      <w:r>
        <w:rPr>
          <w:snapToGrid w:val="0"/>
        </w:rPr>
        <w:tab/>
      </w:r>
      <w:r>
        <w:rPr>
          <w:snapToGrid w:val="0"/>
        </w:rPr>
        <w:tab/>
        <w:t>Every government organization must have a record keeping plan that has been approved by the Commission under section 23.</w:t>
      </w:r>
    </w:p>
    <w:p>
      <w:pPr>
        <w:pStyle w:val="Heading5"/>
        <w:rPr>
          <w:snapToGrid w:val="0"/>
        </w:rPr>
      </w:pPr>
      <w:bookmarkStart w:id="60" w:name="_Toc155174745"/>
      <w:bookmarkStart w:id="61" w:name="_Toc135133278"/>
      <w:r>
        <w:rPr>
          <w:rStyle w:val="CharSectno"/>
        </w:rPr>
        <w:t>20</w:t>
      </w:r>
      <w:r>
        <w:rPr>
          <w:snapToGrid w:val="0"/>
        </w:rPr>
        <w:t>.</w:t>
      </w:r>
      <w:r>
        <w:rPr>
          <w:snapToGrid w:val="0"/>
        </w:rPr>
        <w:tab/>
        <w:t>Existing organizations to lodge draft plans</w:t>
      </w:r>
      <w:bookmarkEnd w:id="60"/>
      <w:bookmarkEnd w:id="61"/>
      <w:r>
        <w:rPr>
          <w:snapToGrid w:val="0"/>
        </w:rPr>
        <w:t xml:space="preserve"> </w:t>
      </w:r>
    </w:p>
    <w:p>
      <w:pPr>
        <w:pStyle w:val="Subsection"/>
        <w:rPr>
          <w:snapToGrid w:val="0"/>
        </w:rPr>
      </w:pPr>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62" w:name="_Toc155174746"/>
      <w:bookmarkStart w:id="63" w:name="_Toc135133279"/>
      <w:r>
        <w:rPr>
          <w:rStyle w:val="CharSectno"/>
        </w:rPr>
        <w:t>21</w:t>
      </w:r>
      <w:r>
        <w:rPr>
          <w:snapToGrid w:val="0"/>
        </w:rPr>
        <w:t>.</w:t>
      </w:r>
      <w:r>
        <w:rPr>
          <w:snapToGrid w:val="0"/>
        </w:rPr>
        <w:tab/>
        <w:t>New organizations to lodge draft plans</w:t>
      </w:r>
      <w:bookmarkEnd w:id="62"/>
      <w:bookmarkEnd w:id="63"/>
      <w:r>
        <w:rPr>
          <w:snapToGrid w:val="0"/>
        </w:rPr>
        <w:t xml:space="preserve"> </w:t>
      </w:r>
    </w:p>
    <w:p>
      <w:pPr>
        <w:pStyle w:val="Subsection"/>
        <w:rPr>
          <w:snapToGrid w:val="0"/>
        </w:rPr>
      </w:pPr>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must keep records in accordance with principles and standards established by the Commission under section 61 until the Commission approves its record keeping plan.</w:t>
      </w:r>
    </w:p>
    <w:p>
      <w:pPr>
        <w:pStyle w:val="Heading5"/>
        <w:rPr>
          <w:snapToGrid w:val="0"/>
        </w:rPr>
      </w:pPr>
      <w:bookmarkStart w:id="64" w:name="_Toc155174747"/>
      <w:bookmarkStart w:id="65" w:name="_Toc135133280"/>
      <w:r>
        <w:rPr>
          <w:rStyle w:val="CharSectno"/>
        </w:rPr>
        <w:t>22</w:t>
      </w:r>
      <w:r>
        <w:rPr>
          <w:snapToGrid w:val="0"/>
        </w:rPr>
        <w:t>.</w:t>
      </w:r>
      <w:r>
        <w:rPr>
          <w:snapToGrid w:val="0"/>
        </w:rPr>
        <w:tab/>
        <w:t>Director to report on draft plans</w:t>
      </w:r>
      <w:bookmarkEnd w:id="64"/>
      <w:bookmarkEnd w:id="65"/>
      <w:r>
        <w:rPr>
          <w:snapToGrid w:val="0"/>
        </w:rPr>
        <w:t xml:space="preserve"> </w:t>
      </w:r>
    </w:p>
    <w:p>
      <w:pPr>
        <w:pStyle w:val="Subsection"/>
        <w:rPr>
          <w:snapToGrid w:val="0"/>
        </w:rPr>
      </w:pPr>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66" w:name="_Toc155174748"/>
      <w:bookmarkStart w:id="67" w:name="_Toc135133281"/>
      <w:r>
        <w:rPr>
          <w:rStyle w:val="CharSectno"/>
        </w:rPr>
        <w:t>23</w:t>
      </w:r>
      <w:r>
        <w:rPr>
          <w:snapToGrid w:val="0"/>
        </w:rPr>
        <w:t>.</w:t>
      </w:r>
      <w:r>
        <w:rPr>
          <w:snapToGrid w:val="0"/>
        </w:rPr>
        <w:tab/>
        <w:t>Commission may approve draft plans</w:t>
      </w:r>
      <w:bookmarkEnd w:id="66"/>
      <w:bookmarkEnd w:id="67"/>
      <w:r>
        <w:rPr>
          <w:snapToGrid w:val="0"/>
        </w:rPr>
        <w:t xml:space="preserve"> </w:t>
      </w:r>
    </w:p>
    <w:p>
      <w:pPr>
        <w:pStyle w:val="Subsection"/>
        <w:rPr>
          <w:snapToGrid w:val="0"/>
        </w:rPr>
      </w:pPr>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68" w:name="_Toc155174749"/>
      <w:bookmarkStart w:id="69" w:name="_Toc135133282"/>
      <w:r>
        <w:rPr>
          <w:rStyle w:val="CharSectno"/>
        </w:rPr>
        <w:t>24</w:t>
      </w:r>
      <w:r>
        <w:rPr>
          <w:snapToGrid w:val="0"/>
        </w:rPr>
        <w:t>.</w:t>
      </w:r>
      <w:r>
        <w:rPr>
          <w:snapToGrid w:val="0"/>
        </w:rPr>
        <w:tab/>
        <w:t>Amending plans</w:t>
      </w:r>
      <w:bookmarkEnd w:id="68"/>
      <w:bookmarkEnd w:id="69"/>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r>
        <w:rPr>
          <w:snapToGrid w:val="0"/>
        </w:rPr>
        <w:tab/>
        <w:t>(2)</w:t>
      </w:r>
      <w:r>
        <w:rPr>
          <w:snapToGrid w:val="0"/>
        </w:rPr>
        <w:tab/>
        <w:t>Sections 22 and 23 apply to the draft amendment as if it were a draft record keeping plan.</w:t>
      </w:r>
    </w:p>
    <w:p>
      <w:pPr>
        <w:pStyle w:val="Heading3"/>
      </w:pPr>
      <w:bookmarkStart w:id="70" w:name="_Toc155174750"/>
      <w:bookmarkStart w:id="71" w:name="_Toc135042443"/>
      <w:bookmarkStart w:id="72" w:name="_Toc135042563"/>
      <w:bookmarkStart w:id="73" w:name="_Toc135133283"/>
      <w:r>
        <w:rPr>
          <w:rStyle w:val="CharDivNo"/>
        </w:rPr>
        <w:t>Division 3</w:t>
      </w:r>
      <w:r>
        <w:rPr>
          <w:snapToGrid w:val="0"/>
        </w:rPr>
        <w:t xml:space="preserve"> — </w:t>
      </w:r>
      <w:r>
        <w:rPr>
          <w:rStyle w:val="CharDivText"/>
        </w:rPr>
        <w:t>Plans of the Commission, the State Records Office and Schedule 3 organizations</w:t>
      </w:r>
      <w:bookmarkEnd w:id="70"/>
      <w:bookmarkEnd w:id="71"/>
      <w:bookmarkEnd w:id="72"/>
      <w:bookmarkEnd w:id="73"/>
      <w:r>
        <w:rPr>
          <w:rStyle w:val="CharDivText"/>
        </w:rPr>
        <w:t xml:space="preserve"> </w:t>
      </w:r>
    </w:p>
    <w:p>
      <w:pPr>
        <w:pStyle w:val="Heading5"/>
        <w:rPr>
          <w:snapToGrid w:val="0"/>
        </w:rPr>
      </w:pPr>
      <w:bookmarkStart w:id="74" w:name="_Toc155174751"/>
      <w:bookmarkStart w:id="75" w:name="_Toc135133284"/>
      <w:r>
        <w:rPr>
          <w:rStyle w:val="CharSectno"/>
        </w:rPr>
        <w:t>25</w:t>
      </w:r>
      <w:r>
        <w:rPr>
          <w:snapToGrid w:val="0"/>
        </w:rPr>
        <w:t>.</w:t>
      </w:r>
      <w:r>
        <w:rPr>
          <w:snapToGrid w:val="0"/>
        </w:rPr>
        <w:tab/>
        <w:t>Commission to have plan</w:t>
      </w:r>
      <w:bookmarkEnd w:id="74"/>
      <w:bookmarkEnd w:id="75"/>
      <w:r>
        <w:rPr>
          <w:snapToGrid w:val="0"/>
        </w:rPr>
        <w:t xml:space="preserve"> </w:t>
      </w:r>
    </w:p>
    <w:p>
      <w:pPr>
        <w:pStyle w:val="Subsection"/>
        <w:rPr>
          <w:snapToGrid w:val="0"/>
        </w:rPr>
      </w:pPr>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76" w:name="_Toc155174752"/>
      <w:bookmarkStart w:id="77" w:name="_Toc135133285"/>
      <w:r>
        <w:rPr>
          <w:rStyle w:val="CharSectno"/>
        </w:rPr>
        <w:t>26</w:t>
      </w:r>
      <w:r>
        <w:rPr>
          <w:snapToGrid w:val="0"/>
        </w:rPr>
        <w:t>.</w:t>
      </w:r>
      <w:r>
        <w:rPr>
          <w:snapToGrid w:val="0"/>
        </w:rPr>
        <w:tab/>
        <w:t>State Records Office to have plan</w:t>
      </w:r>
      <w:bookmarkEnd w:id="76"/>
      <w:bookmarkEnd w:id="77"/>
      <w:r>
        <w:rPr>
          <w:snapToGrid w:val="0"/>
        </w:rPr>
        <w:t xml:space="preserve"> </w:t>
      </w:r>
    </w:p>
    <w:p>
      <w:pPr>
        <w:pStyle w:val="Subsection"/>
        <w:rPr>
          <w:snapToGrid w:val="0"/>
        </w:rPr>
      </w:pPr>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78" w:name="_Toc155174753"/>
      <w:bookmarkStart w:id="79" w:name="_Toc135133286"/>
      <w:r>
        <w:rPr>
          <w:rStyle w:val="CharSectno"/>
        </w:rPr>
        <w:t>27</w:t>
      </w:r>
      <w:r>
        <w:rPr>
          <w:snapToGrid w:val="0"/>
        </w:rPr>
        <w:t>.</w:t>
      </w:r>
      <w:r>
        <w:rPr>
          <w:snapToGrid w:val="0"/>
        </w:rPr>
        <w:tab/>
        <w:t>Schedule </w:t>
      </w:r>
      <w:r>
        <w:t>3</w:t>
      </w:r>
      <w:r>
        <w:rPr>
          <w:snapToGrid w:val="0"/>
        </w:rPr>
        <w:t xml:space="preserve"> organizations to have plans</w:t>
      </w:r>
      <w:bookmarkEnd w:id="78"/>
      <w:bookmarkEnd w:id="79"/>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80" w:name="_Toc155174754"/>
      <w:bookmarkStart w:id="81" w:name="_Toc135042447"/>
      <w:bookmarkStart w:id="82" w:name="_Toc135042567"/>
      <w:bookmarkStart w:id="83" w:name="_Toc135133287"/>
      <w:r>
        <w:rPr>
          <w:rStyle w:val="CharDivNo"/>
        </w:rPr>
        <w:t>Division 4</w:t>
      </w:r>
      <w:r>
        <w:rPr>
          <w:snapToGrid w:val="0"/>
        </w:rPr>
        <w:t xml:space="preserve"> — </w:t>
      </w:r>
      <w:r>
        <w:rPr>
          <w:rStyle w:val="CharDivText"/>
        </w:rPr>
        <w:t>Reviews of and periodic reports about plans</w:t>
      </w:r>
      <w:bookmarkEnd w:id="80"/>
      <w:bookmarkEnd w:id="81"/>
      <w:bookmarkEnd w:id="82"/>
      <w:bookmarkEnd w:id="83"/>
      <w:r>
        <w:rPr>
          <w:rStyle w:val="CharDivText"/>
        </w:rPr>
        <w:t xml:space="preserve"> </w:t>
      </w:r>
    </w:p>
    <w:p>
      <w:pPr>
        <w:pStyle w:val="Heading5"/>
        <w:rPr>
          <w:snapToGrid w:val="0"/>
        </w:rPr>
      </w:pPr>
      <w:bookmarkStart w:id="84" w:name="_Toc155174755"/>
      <w:bookmarkStart w:id="85" w:name="_Toc135133288"/>
      <w:r>
        <w:rPr>
          <w:rStyle w:val="CharSectno"/>
        </w:rPr>
        <w:t>28</w:t>
      </w:r>
      <w:r>
        <w:rPr>
          <w:snapToGrid w:val="0"/>
        </w:rPr>
        <w:t>.</w:t>
      </w:r>
      <w:r>
        <w:rPr>
          <w:snapToGrid w:val="0"/>
        </w:rPr>
        <w:tab/>
        <w:t>Review of plans</w:t>
      </w:r>
      <w:bookmarkEnd w:id="84"/>
      <w:bookmarkEnd w:id="85"/>
      <w:r>
        <w:rPr>
          <w:snapToGrid w:val="0"/>
        </w:rPr>
        <w:t xml:space="preserve"> </w:t>
      </w:r>
    </w:p>
    <w:p>
      <w:pPr>
        <w:pStyle w:val="Subsection"/>
        <w:rPr>
          <w:snapToGrid w:val="0"/>
        </w:rPr>
      </w:pPr>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86" w:name="_Toc155174756"/>
      <w:bookmarkStart w:id="87" w:name="_Toc135133289"/>
      <w:r>
        <w:rPr>
          <w:rStyle w:val="CharSectno"/>
        </w:rPr>
        <w:t>29</w:t>
      </w:r>
      <w:r>
        <w:rPr>
          <w:snapToGrid w:val="0"/>
        </w:rPr>
        <w:t>.</w:t>
      </w:r>
      <w:r>
        <w:rPr>
          <w:snapToGrid w:val="0"/>
        </w:rPr>
        <w:tab/>
        <w:t>Government organizations to report periodically</w:t>
      </w:r>
      <w:bookmarkEnd w:id="86"/>
      <w:bookmarkEnd w:id="87"/>
      <w:r>
        <w:rPr>
          <w:snapToGrid w:val="0"/>
        </w:rPr>
        <w:t xml:space="preserve"> </w:t>
      </w:r>
    </w:p>
    <w:p>
      <w:pPr>
        <w:pStyle w:val="Subsection"/>
        <w:rPr>
          <w:snapToGrid w:val="0"/>
        </w:rPr>
      </w:pPr>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88" w:name="_Toc155174757"/>
      <w:bookmarkStart w:id="89" w:name="_Toc135133290"/>
      <w:r>
        <w:rPr>
          <w:rStyle w:val="CharSectno"/>
        </w:rPr>
        <w:t>30</w:t>
      </w:r>
      <w:r>
        <w:rPr>
          <w:snapToGrid w:val="0"/>
        </w:rPr>
        <w:t>.</w:t>
      </w:r>
      <w:r>
        <w:rPr>
          <w:snapToGrid w:val="0"/>
        </w:rPr>
        <w:tab/>
        <w:t>Reports to be given to Parliament</w:t>
      </w:r>
      <w:bookmarkEnd w:id="88"/>
      <w:bookmarkEnd w:id="89"/>
      <w:r>
        <w:rPr>
          <w:snapToGrid w:val="0"/>
        </w:rPr>
        <w:t xml:space="preserve"> </w:t>
      </w:r>
    </w:p>
    <w:p>
      <w:pPr>
        <w:pStyle w:val="Subsection"/>
        <w:rPr>
          <w:snapToGrid w:val="0"/>
        </w:rPr>
      </w:pPr>
      <w:r>
        <w:rPr>
          <w:snapToGrid w:val="0"/>
        </w:rPr>
        <w:tab/>
        <w:t>(1)</w:t>
      </w:r>
      <w:r>
        <w:rPr>
          <w:snapToGrid w:val="0"/>
        </w:rPr>
        <w:tab/>
        <w:t>As soon as practicable after the Commission receives a report under section 29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tab/>
        <w:t>(3)</w:t>
      </w:r>
      <w:r>
        <w:rPr>
          <w:snapToGrid w:val="0"/>
        </w:rPr>
        <w:tab/>
        <w:t>For the purpose of subsections (1) and (2), section 64(3), with any necessary changes, applies.</w:t>
      </w:r>
    </w:p>
    <w:p>
      <w:pPr>
        <w:pStyle w:val="Heading2"/>
      </w:pPr>
      <w:bookmarkStart w:id="90" w:name="_Toc155174758"/>
      <w:bookmarkStart w:id="91" w:name="_Toc135042451"/>
      <w:bookmarkStart w:id="92" w:name="_Toc135042571"/>
      <w:bookmarkStart w:id="93" w:name="_Toc135133291"/>
      <w:r>
        <w:rPr>
          <w:rStyle w:val="CharPartNo"/>
        </w:rPr>
        <w:t>Part 4</w:t>
      </w:r>
      <w:r>
        <w:rPr>
          <w:rStyle w:val="CharDivNo"/>
        </w:rPr>
        <w:t xml:space="preserve"> </w:t>
      </w:r>
      <w:r>
        <w:t>—</w:t>
      </w:r>
      <w:r>
        <w:rPr>
          <w:rStyle w:val="CharDivText"/>
        </w:rPr>
        <w:t xml:space="preserve"> </w:t>
      </w:r>
      <w:r>
        <w:rPr>
          <w:rStyle w:val="CharPartText"/>
        </w:rPr>
        <w:t>Control of State records</w:t>
      </w:r>
      <w:bookmarkEnd w:id="90"/>
      <w:bookmarkEnd w:id="91"/>
      <w:bookmarkEnd w:id="92"/>
      <w:bookmarkEnd w:id="93"/>
      <w:r>
        <w:rPr>
          <w:rStyle w:val="CharPartText"/>
        </w:rPr>
        <w:t xml:space="preserve"> </w:t>
      </w:r>
    </w:p>
    <w:p>
      <w:pPr>
        <w:pStyle w:val="Heading5"/>
        <w:rPr>
          <w:snapToGrid w:val="0"/>
        </w:rPr>
      </w:pPr>
      <w:bookmarkStart w:id="94" w:name="_Toc155174759"/>
      <w:bookmarkStart w:id="95" w:name="_Toc135133292"/>
      <w:r>
        <w:rPr>
          <w:rStyle w:val="CharSectno"/>
        </w:rPr>
        <w:t>31</w:t>
      </w:r>
      <w:r>
        <w:rPr>
          <w:snapToGrid w:val="0"/>
        </w:rPr>
        <w:t>.</w:t>
      </w:r>
      <w:r>
        <w:rPr>
          <w:snapToGrid w:val="0"/>
        </w:rPr>
        <w:tab/>
        <w:t>Control of records that are not State archives</w:t>
      </w:r>
      <w:bookmarkEnd w:id="94"/>
      <w:bookmarkEnd w:id="95"/>
      <w:r>
        <w:rPr>
          <w:snapToGrid w:val="0"/>
        </w:rPr>
        <w:t xml:space="preserve"> </w:t>
      </w:r>
    </w:p>
    <w:p>
      <w:pPr>
        <w:pStyle w:val="Subsection"/>
        <w:spacing w:before="120" w:line="240" w:lineRule="auto"/>
        <w:rPr>
          <w:snapToGrid w:val="0"/>
        </w:rPr>
      </w:pPr>
      <w:r>
        <w:rPr>
          <w:snapToGrid w:val="0"/>
        </w:rPr>
        <w:tab/>
      </w:r>
      <w:r>
        <w:rPr>
          <w:snapToGrid w:val="0"/>
        </w:rPr>
        <w:tab/>
        <w:t>A State organization must keep those of its State records that are not State archives until it destroys them in accordance with its record keeping plan.</w:t>
      </w:r>
    </w:p>
    <w:p>
      <w:pPr>
        <w:pStyle w:val="Heading5"/>
        <w:rPr>
          <w:snapToGrid w:val="0"/>
        </w:rPr>
      </w:pPr>
      <w:bookmarkStart w:id="96" w:name="_Toc155174760"/>
      <w:bookmarkStart w:id="97" w:name="_Toc135133293"/>
      <w:r>
        <w:rPr>
          <w:rStyle w:val="CharSectno"/>
        </w:rPr>
        <w:t>32</w:t>
      </w:r>
      <w:r>
        <w:rPr>
          <w:snapToGrid w:val="0"/>
        </w:rPr>
        <w:t>.</w:t>
      </w:r>
      <w:r>
        <w:rPr>
          <w:snapToGrid w:val="0"/>
        </w:rPr>
        <w:tab/>
        <w:t>State archives to be transferred to State archives collection</w:t>
      </w:r>
      <w:bookmarkEnd w:id="96"/>
      <w:bookmarkEnd w:id="97"/>
      <w:r>
        <w:rPr>
          <w:snapToGrid w:val="0"/>
        </w:rPr>
        <w:t xml:space="preserve"> </w:t>
      </w:r>
    </w:p>
    <w:p>
      <w:pPr>
        <w:pStyle w:val="Subsection"/>
        <w:spacing w:before="120" w:line="240" w:lineRule="auto"/>
        <w:rPr>
          <w:snapToGrid w:val="0"/>
        </w:rPr>
      </w:pPr>
      <w:r>
        <w:rPr>
          <w:snapToGrid w:val="0"/>
        </w:rPr>
        <w:tab/>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tab/>
        <w:t>(7)</w:t>
      </w:r>
      <w:r>
        <w:rPr>
          <w:snapToGrid w:val="0"/>
        </w:rPr>
        <w:tab/>
        <w:t>This section does not apply to a government organization until a record keeping plan has been approved under Part 3 in respect of it.</w:t>
      </w:r>
    </w:p>
    <w:p>
      <w:pPr>
        <w:pStyle w:val="Heading5"/>
        <w:rPr>
          <w:snapToGrid w:val="0"/>
        </w:rPr>
      </w:pPr>
      <w:bookmarkStart w:id="98" w:name="_Toc155174761"/>
      <w:bookmarkStart w:id="99" w:name="_Toc135133294"/>
      <w:r>
        <w:rPr>
          <w:rStyle w:val="CharSectno"/>
        </w:rPr>
        <w:t>33</w:t>
      </w:r>
      <w:r>
        <w:rPr>
          <w:snapToGrid w:val="0"/>
        </w:rPr>
        <w:t>.</w:t>
      </w:r>
      <w:r>
        <w:rPr>
          <w:snapToGrid w:val="0"/>
        </w:rPr>
        <w:tab/>
        <w:t>Contracting</w:t>
      </w:r>
      <w:r>
        <w:rPr>
          <w:snapToGrid w:val="0"/>
        </w:rPr>
        <w:noBreakHyphen/>
        <w:t>out of record keeping not prevented</w:t>
      </w:r>
      <w:bookmarkEnd w:id="98"/>
      <w:bookmarkEnd w:id="99"/>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100" w:name="_Toc155174762"/>
      <w:bookmarkStart w:id="101" w:name="_Toc135042455"/>
      <w:bookmarkStart w:id="102" w:name="_Toc135042575"/>
      <w:bookmarkStart w:id="103" w:name="_Toc135133295"/>
      <w:r>
        <w:rPr>
          <w:rStyle w:val="CharPartNo"/>
        </w:rPr>
        <w:t>Part 5</w:t>
      </w:r>
      <w:r>
        <w:t xml:space="preserve"> — </w:t>
      </w:r>
      <w:r>
        <w:rPr>
          <w:rStyle w:val="CharPartText"/>
        </w:rPr>
        <w:t>State archives</w:t>
      </w:r>
      <w:bookmarkEnd w:id="100"/>
      <w:bookmarkEnd w:id="101"/>
      <w:bookmarkEnd w:id="102"/>
      <w:bookmarkEnd w:id="103"/>
      <w:r>
        <w:rPr>
          <w:rStyle w:val="CharPartText"/>
        </w:rPr>
        <w:t xml:space="preserve"> </w:t>
      </w:r>
    </w:p>
    <w:p>
      <w:pPr>
        <w:pStyle w:val="Heading3"/>
      </w:pPr>
      <w:bookmarkStart w:id="104" w:name="_Toc155174763"/>
      <w:bookmarkStart w:id="105" w:name="_Toc135042456"/>
      <w:bookmarkStart w:id="106" w:name="_Toc135042576"/>
      <w:bookmarkStart w:id="107" w:name="_Toc135133296"/>
      <w:r>
        <w:rPr>
          <w:rStyle w:val="CharDivNo"/>
        </w:rPr>
        <w:t>Division 1</w:t>
      </w:r>
      <w:r>
        <w:rPr>
          <w:snapToGrid w:val="0"/>
        </w:rPr>
        <w:t xml:space="preserve"> — </w:t>
      </w:r>
      <w:r>
        <w:rPr>
          <w:rStyle w:val="CharDivText"/>
        </w:rPr>
        <w:t>General</w:t>
      </w:r>
      <w:bookmarkEnd w:id="104"/>
      <w:bookmarkEnd w:id="105"/>
      <w:bookmarkEnd w:id="106"/>
      <w:bookmarkEnd w:id="107"/>
      <w:r>
        <w:rPr>
          <w:rStyle w:val="CharDivText"/>
        </w:rPr>
        <w:t xml:space="preserve"> </w:t>
      </w:r>
    </w:p>
    <w:p>
      <w:pPr>
        <w:pStyle w:val="Heading5"/>
        <w:rPr>
          <w:snapToGrid w:val="0"/>
        </w:rPr>
      </w:pPr>
      <w:bookmarkStart w:id="108" w:name="_Toc155174764"/>
      <w:bookmarkStart w:id="109" w:name="_Toc135133297"/>
      <w:r>
        <w:rPr>
          <w:rStyle w:val="CharSectno"/>
        </w:rPr>
        <w:t>34</w:t>
      </w:r>
      <w:r>
        <w:rPr>
          <w:snapToGrid w:val="0"/>
        </w:rPr>
        <w:t>.</w:t>
      </w:r>
      <w:r>
        <w:rPr>
          <w:snapToGrid w:val="0"/>
        </w:rPr>
        <w:tab/>
        <w:t>State archives identified</w:t>
      </w:r>
      <w:bookmarkEnd w:id="108"/>
      <w:bookmarkEnd w:id="109"/>
      <w:r>
        <w:rPr>
          <w:snapToGrid w:val="0"/>
        </w:rPr>
        <w:t xml:space="preserve"> </w:t>
      </w:r>
    </w:p>
    <w:p>
      <w:pPr>
        <w:pStyle w:val="Subsection"/>
        <w:rPr>
          <w:snapToGrid w:val="0"/>
        </w:rPr>
      </w:pPr>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 or</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110" w:name="_Toc155174765"/>
      <w:bookmarkStart w:id="111" w:name="_Toc135133298"/>
      <w:r>
        <w:rPr>
          <w:rStyle w:val="CharSectno"/>
        </w:rPr>
        <w:t>35</w:t>
      </w:r>
      <w:r>
        <w:rPr>
          <w:snapToGrid w:val="0"/>
        </w:rPr>
        <w:t>.</w:t>
      </w:r>
      <w:r>
        <w:rPr>
          <w:snapToGrid w:val="0"/>
        </w:rPr>
        <w:tab/>
        <w:t>State archives collection</w:t>
      </w:r>
      <w:bookmarkEnd w:id="110"/>
      <w:bookmarkEnd w:id="111"/>
      <w:r>
        <w:rPr>
          <w:snapToGrid w:val="0"/>
        </w:rPr>
        <w:t xml:space="preserve"> </w:t>
      </w:r>
    </w:p>
    <w:p>
      <w:pPr>
        <w:pStyle w:val="Subsection"/>
        <w:rPr>
          <w:snapToGrid w:val="0"/>
        </w:rPr>
      </w:pPr>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 and</w:t>
      </w:r>
    </w:p>
    <w:p>
      <w:pPr>
        <w:pStyle w:val="Indenta"/>
        <w:rPr>
          <w:snapToGrid w:val="0"/>
        </w:rPr>
      </w:pPr>
      <w:r>
        <w:rPr>
          <w:snapToGrid w:val="0"/>
        </w:rPr>
        <w:tab/>
        <w:t>(b)</w:t>
      </w:r>
      <w:r>
        <w:rPr>
          <w:snapToGrid w:val="0"/>
        </w:rPr>
        <w:tab/>
        <w:t>State archives that have been transferred to the collection under section 32; and</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112" w:name="_Toc155174766"/>
      <w:bookmarkStart w:id="113" w:name="_Toc135133299"/>
      <w:r>
        <w:rPr>
          <w:rStyle w:val="CharSectno"/>
        </w:rPr>
        <w:t>36</w:t>
      </w:r>
      <w:r>
        <w:rPr>
          <w:snapToGrid w:val="0"/>
        </w:rPr>
        <w:t>.</w:t>
      </w:r>
      <w:r>
        <w:rPr>
          <w:snapToGrid w:val="0"/>
        </w:rPr>
        <w:tab/>
        <w:t>Director has control of State archives collection</w:t>
      </w:r>
      <w:bookmarkEnd w:id="112"/>
      <w:bookmarkEnd w:id="113"/>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114" w:name="_Toc155174767"/>
      <w:bookmarkStart w:id="115" w:name="_Toc135042460"/>
      <w:bookmarkStart w:id="116" w:name="_Toc135042580"/>
      <w:bookmarkStart w:id="117" w:name="_Toc135133300"/>
      <w:r>
        <w:rPr>
          <w:rStyle w:val="CharDivNo"/>
        </w:rPr>
        <w:t>Division 2</w:t>
      </w:r>
      <w:r>
        <w:rPr>
          <w:snapToGrid w:val="0"/>
        </w:rPr>
        <w:t xml:space="preserve"> — </w:t>
      </w:r>
      <w:r>
        <w:rPr>
          <w:rStyle w:val="CharDivText"/>
        </w:rPr>
        <w:t>Restricted access archives</w:t>
      </w:r>
      <w:bookmarkEnd w:id="114"/>
      <w:bookmarkEnd w:id="115"/>
      <w:bookmarkEnd w:id="116"/>
      <w:bookmarkEnd w:id="117"/>
      <w:r>
        <w:rPr>
          <w:rStyle w:val="CharDivText"/>
        </w:rPr>
        <w:t xml:space="preserve"> </w:t>
      </w:r>
    </w:p>
    <w:p>
      <w:pPr>
        <w:pStyle w:val="Heading5"/>
        <w:rPr>
          <w:snapToGrid w:val="0"/>
        </w:rPr>
      </w:pPr>
      <w:bookmarkStart w:id="118" w:name="_Toc155174768"/>
      <w:bookmarkStart w:id="119" w:name="_Toc135133301"/>
      <w:r>
        <w:rPr>
          <w:rStyle w:val="CharSectno"/>
        </w:rPr>
        <w:t>37</w:t>
      </w:r>
      <w:r>
        <w:rPr>
          <w:snapToGrid w:val="0"/>
        </w:rPr>
        <w:t>.</w:t>
      </w:r>
      <w:r>
        <w:rPr>
          <w:snapToGrid w:val="0"/>
        </w:rPr>
        <w:tab/>
        <w:t>Restricted access archives identified</w:t>
      </w:r>
      <w:bookmarkEnd w:id="118"/>
      <w:bookmarkEnd w:id="119"/>
      <w:r>
        <w:rPr>
          <w:snapToGrid w:val="0"/>
        </w:rPr>
        <w:t xml:space="preserve"> </w:t>
      </w:r>
    </w:p>
    <w:p>
      <w:pPr>
        <w:pStyle w:val="Subsection"/>
        <w:rPr>
          <w:snapToGrid w:val="0"/>
        </w:rPr>
      </w:pPr>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t>(b)</w:t>
      </w:r>
      <w:r>
        <w:rPr>
          <w:snapToGrid w:val="0"/>
        </w:rPr>
        <w:tab/>
        <w:t>after it is transferred to the State archives collection by a government organization, the Commission, on an application by the government organization or by an authorised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120" w:name="_Toc155174769"/>
      <w:bookmarkStart w:id="121" w:name="_Toc135133302"/>
      <w:r>
        <w:rPr>
          <w:rStyle w:val="CharSectno"/>
        </w:rPr>
        <w:t>38</w:t>
      </w:r>
      <w:r>
        <w:rPr>
          <w:snapToGrid w:val="0"/>
        </w:rPr>
        <w:t>.</w:t>
      </w:r>
      <w:r>
        <w:rPr>
          <w:snapToGrid w:val="0"/>
        </w:rPr>
        <w:tab/>
        <w:t>When archives cease to be restricted access archives</w:t>
      </w:r>
      <w:bookmarkEnd w:id="120"/>
      <w:bookmarkEnd w:id="121"/>
      <w:r>
        <w:rPr>
          <w:snapToGrid w:val="0"/>
        </w:rPr>
        <w:t xml:space="preserve"> </w:t>
      </w:r>
    </w:p>
    <w:p>
      <w:pPr>
        <w:pStyle w:val="Subsection"/>
        <w:rPr>
          <w:snapToGrid w:val="0"/>
        </w:rPr>
      </w:pPr>
      <w:r>
        <w:rPr>
          <w:snapToGrid w:val="0"/>
        </w:rPr>
        <w:tab/>
        <w:t>(1)</w:t>
      </w:r>
      <w:r>
        <w:rPr>
          <w:snapToGrid w:val="0"/>
        </w:rPr>
        <w:tab/>
        <w:t>A State archive that is a restricted access archive and that is not in the State archives collection ceases to be a restricted access archive at the age stated in respect of that archive by the record 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authorised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122" w:name="_Toc155174770"/>
      <w:bookmarkStart w:id="123" w:name="_Toc135042463"/>
      <w:bookmarkStart w:id="124" w:name="_Toc135042583"/>
      <w:bookmarkStart w:id="125" w:name="_Toc135133303"/>
      <w:r>
        <w:rPr>
          <w:rStyle w:val="CharDivNo"/>
        </w:rPr>
        <w:t>Division 3</w:t>
      </w:r>
      <w:r>
        <w:rPr>
          <w:snapToGrid w:val="0"/>
        </w:rPr>
        <w:t xml:space="preserve"> — </w:t>
      </w:r>
      <w:r>
        <w:rPr>
          <w:rStyle w:val="CharDivText"/>
        </w:rPr>
        <w:t>Archives keeping plan</w:t>
      </w:r>
      <w:bookmarkEnd w:id="122"/>
      <w:bookmarkEnd w:id="123"/>
      <w:bookmarkEnd w:id="124"/>
      <w:bookmarkEnd w:id="125"/>
      <w:r>
        <w:rPr>
          <w:rStyle w:val="CharDivText"/>
        </w:rPr>
        <w:t xml:space="preserve"> </w:t>
      </w:r>
    </w:p>
    <w:p>
      <w:pPr>
        <w:pStyle w:val="Heading5"/>
        <w:rPr>
          <w:snapToGrid w:val="0"/>
        </w:rPr>
      </w:pPr>
      <w:bookmarkStart w:id="126" w:name="_Toc155174771"/>
      <w:bookmarkStart w:id="127" w:name="_Toc135133304"/>
      <w:r>
        <w:rPr>
          <w:rStyle w:val="CharSectno"/>
        </w:rPr>
        <w:t>39</w:t>
      </w:r>
      <w:r>
        <w:rPr>
          <w:snapToGrid w:val="0"/>
        </w:rPr>
        <w:t>.</w:t>
      </w:r>
      <w:r>
        <w:rPr>
          <w:snapToGrid w:val="0"/>
        </w:rPr>
        <w:tab/>
        <w:t>Director to have plan</w:t>
      </w:r>
      <w:bookmarkEnd w:id="126"/>
      <w:bookmarkEnd w:id="127"/>
      <w:r>
        <w:rPr>
          <w:snapToGrid w:val="0"/>
        </w:rPr>
        <w:t xml:space="preserve"> </w:t>
      </w:r>
    </w:p>
    <w:p>
      <w:pPr>
        <w:pStyle w:val="Subsection"/>
        <w:rPr>
          <w:snapToGrid w:val="0"/>
        </w:rPr>
      </w:pPr>
      <w:r>
        <w:rPr>
          <w:snapToGrid w:val="0"/>
        </w:rPr>
        <w:tab/>
        <w:t>(1)</w:t>
      </w:r>
      <w:r>
        <w:rPr>
          <w:snapToGrid w:val="0"/>
        </w:rPr>
        <w:tab/>
        <w:t>The Director must have an archives keeping plan that is approved by the Commission under section 40.</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128" w:name="_Toc155174772"/>
      <w:bookmarkStart w:id="129" w:name="_Toc135133305"/>
      <w:r>
        <w:rPr>
          <w:rStyle w:val="CharSectno"/>
        </w:rPr>
        <w:t>40</w:t>
      </w:r>
      <w:r>
        <w:rPr>
          <w:snapToGrid w:val="0"/>
        </w:rPr>
        <w:t>.</w:t>
      </w:r>
      <w:r>
        <w:rPr>
          <w:snapToGrid w:val="0"/>
        </w:rPr>
        <w:tab/>
        <w:t>Approval of plan</w:t>
      </w:r>
      <w:bookmarkEnd w:id="128"/>
      <w:bookmarkEnd w:id="129"/>
      <w:r>
        <w:rPr>
          <w:snapToGrid w:val="0"/>
        </w:rPr>
        <w:t xml:space="preserve"> </w:t>
      </w:r>
    </w:p>
    <w:p>
      <w:pPr>
        <w:pStyle w:val="Subsection"/>
        <w:rPr>
          <w:snapToGrid w:val="0"/>
        </w:rPr>
      </w:pPr>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rPr>
          <w:snapToGrid w:val="0"/>
        </w:rPr>
      </w:pPr>
      <w:bookmarkStart w:id="130" w:name="_Toc155174773"/>
      <w:bookmarkStart w:id="131" w:name="_Toc135133306"/>
      <w:r>
        <w:rPr>
          <w:rStyle w:val="CharSectno"/>
        </w:rPr>
        <w:t>41</w:t>
      </w:r>
      <w:r>
        <w:rPr>
          <w:snapToGrid w:val="0"/>
        </w:rPr>
        <w:t>.</w:t>
      </w:r>
      <w:r>
        <w:rPr>
          <w:snapToGrid w:val="0"/>
        </w:rPr>
        <w:tab/>
        <w:t>Plan to be reviewed</w:t>
      </w:r>
      <w:bookmarkEnd w:id="130"/>
      <w:bookmarkEnd w:id="131"/>
      <w:r>
        <w:rPr>
          <w:snapToGrid w:val="0"/>
        </w:rPr>
        <w:t xml:space="preserve"> </w:t>
      </w:r>
    </w:p>
    <w:p>
      <w:pPr>
        <w:pStyle w:val="Subsection"/>
        <w:rPr>
          <w:snapToGrid w:val="0"/>
        </w:rPr>
      </w:pPr>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132" w:name="_Toc155174774"/>
      <w:bookmarkStart w:id="133" w:name="_Toc135133307"/>
      <w:r>
        <w:rPr>
          <w:rStyle w:val="CharSectno"/>
        </w:rPr>
        <w:t>42</w:t>
      </w:r>
      <w:r>
        <w:rPr>
          <w:snapToGrid w:val="0"/>
        </w:rPr>
        <w:t>.</w:t>
      </w:r>
      <w:r>
        <w:rPr>
          <w:snapToGrid w:val="0"/>
        </w:rPr>
        <w:tab/>
        <w:t>Periodic report about plan</w:t>
      </w:r>
      <w:bookmarkEnd w:id="132"/>
      <w:bookmarkEnd w:id="133"/>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Sections 30(1) and 64(3), with any necessary changes, apply in respect of the report.</w:t>
      </w:r>
    </w:p>
    <w:p>
      <w:pPr>
        <w:pStyle w:val="Heading3"/>
      </w:pPr>
      <w:bookmarkStart w:id="134" w:name="_Toc155174775"/>
      <w:bookmarkStart w:id="135" w:name="_Toc135042468"/>
      <w:bookmarkStart w:id="136" w:name="_Toc135042588"/>
      <w:bookmarkStart w:id="137" w:name="_Toc135133308"/>
      <w:r>
        <w:rPr>
          <w:rStyle w:val="CharDivNo"/>
        </w:rPr>
        <w:t>Division 4</w:t>
      </w:r>
      <w:r>
        <w:rPr>
          <w:snapToGrid w:val="0"/>
        </w:rPr>
        <w:t xml:space="preserve"> — </w:t>
      </w:r>
      <w:r>
        <w:rPr>
          <w:rStyle w:val="CharDivText"/>
        </w:rPr>
        <w:t>Destruction of archives</w:t>
      </w:r>
      <w:bookmarkEnd w:id="134"/>
      <w:bookmarkEnd w:id="135"/>
      <w:bookmarkEnd w:id="136"/>
      <w:bookmarkEnd w:id="137"/>
      <w:r>
        <w:rPr>
          <w:rStyle w:val="CharDivText"/>
        </w:rPr>
        <w:t xml:space="preserve"> </w:t>
      </w:r>
    </w:p>
    <w:p>
      <w:pPr>
        <w:pStyle w:val="Heading5"/>
        <w:rPr>
          <w:snapToGrid w:val="0"/>
        </w:rPr>
      </w:pPr>
      <w:bookmarkStart w:id="138" w:name="_Toc155174776"/>
      <w:bookmarkStart w:id="139" w:name="_Toc135133309"/>
      <w:r>
        <w:rPr>
          <w:rStyle w:val="CharSectno"/>
        </w:rPr>
        <w:t>43</w:t>
      </w:r>
      <w:r>
        <w:rPr>
          <w:snapToGrid w:val="0"/>
        </w:rPr>
        <w:t>.</w:t>
      </w:r>
      <w:r>
        <w:rPr>
          <w:snapToGrid w:val="0"/>
        </w:rPr>
        <w:tab/>
        <w:t>Destruction of archives</w:t>
      </w:r>
      <w:bookmarkEnd w:id="138"/>
      <w:bookmarkEnd w:id="139"/>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State archive</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 and</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140" w:name="_Toc155174777"/>
      <w:bookmarkStart w:id="141" w:name="_Toc135042470"/>
      <w:bookmarkStart w:id="142" w:name="_Toc135042590"/>
      <w:bookmarkStart w:id="143" w:name="_Toc135133310"/>
      <w:r>
        <w:rPr>
          <w:rStyle w:val="CharPartNo"/>
        </w:rPr>
        <w:t>Part 6</w:t>
      </w:r>
      <w:r>
        <w:rPr>
          <w:rStyle w:val="CharDivNo"/>
        </w:rPr>
        <w:t xml:space="preserve"> </w:t>
      </w:r>
      <w:r>
        <w:t>—</w:t>
      </w:r>
      <w:r>
        <w:rPr>
          <w:rStyle w:val="CharDivText"/>
        </w:rPr>
        <w:t xml:space="preserve"> </w:t>
      </w:r>
      <w:r>
        <w:rPr>
          <w:rStyle w:val="CharPartText"/>
        </w:rPr>
        <w:t>Access to government records</w:t>
      </w:r>
      <w:bookmarkEnd w:id="140"/>
      <w:bookmarkEnd w:id="141"/>
      <w:bookmarkEnd w:id="142"/>
      <w:bookmarkEnd w:id="143"/>
      <w:r>
        <w:rPr>
          <w:rStyle w:val="CharPartText"/>
        </w:rPr>
        <w:t xml:space="preserve"> </w:t>
      </w:r>
    </w:p>
    <w:p>
      <w:pPr>
        <w:pStyle w:val="Heading5"/>
        <w:spacing w:before="240"/>
        <w:rPr>
          <w:snapToGrid w:val="0"/>
        </w:rPr>
      </w:pPr>
      <w:bookmarkStart w:id="144" w:name="_Toc155174778"/>
      <w:bookmarkStart w:id="145" w:name="_Toc135133311"/>
      <w:r>
        <w:rPr>
          <w:rStyle w:val="CharSectno"/>
        </w:rPr>
        <w:t>44</w:t>
      </w:r>
      <w:r>
        <w:rPr>
          <w:snapToGrid w:val="0"/>
        </w:rPr>
        <w:t>.</w:t>
      </w:r>
      <w:r>
        <w:rPr>
          <w:snapToGrid w:val="0"/>
        </w:rPr>
        <w:tab/>
        <w:t>Records that are not State archives</w:t>
      </w:r>
      <w:bookmarkEnd w:id="144"/>
      <w:bookmarkEnd w:id="145"/>
      <w:r>
        <w:rPr>
          <w:snapToGrid w:val="0"/>
        </w:rPr>
        <w:t xml:space="preserve"> </w:t>
      </w:r>
    </w:p>
    <w:p>
      <w:pPr>
        <w:pStyle w:val="Subsection"/>
        <w:spacing w:before="180"/>
        <w:rPr>
          <w:snapToGrid w:val="0"/>
        </w:rPr>
      </w:pPr>
      <w:r>
        <w:rPr>
          <w:snapToGrid w:val="0"/>
        </w:rPr>
        <w:tab/>
      </w:r>
      <w:r>
        <w:rPr>
          <w:snapToGrid w:val="0"/>
        </w:rPr>
        <w:tab/>
        <w:t>If a government record is not a State archive, any right that a person may have to be given access to it is to be determined under the FOI Act.</w:t>
      </w:r>
    </w:p>
    <w:p>
      <w:pPr>
        <w:pStyle w:val="Heading5"/>
        <w:spacing w:before="240"/>
        <w:rPr>
          <w:snapToGrid w:val="0"/>
        </w:rPr>
      </w:pPr>
      <w:bookmarkStart w:id="146" w:name="_Toc155174779"/>
      <w:bookmarkStart w:id="147" w:name="_Toc135133312"/>
      <w:r>
        <w:rPr>
          <w:rStyle w:val="CharSectno"/>
        </w:rPr>
        <w:t>45</w:t>
      </w:r>
      <w:r>
        <w:rPr>
          <w:snapToGrid w:val="0"/>
        </w:rPr>
        <w:t>.</w:t>
      </w:r>
      <w:r>
        <w:rPr>
          <w:snapToGrid w:val="0"/>
        </w:rPr>
        <w:tab/>
        <w:t>State archives that are not restricted access archives</w:t>
      </w:r>
      <w:bookmarkEnd w:id="146"/>
      <w:bookmarkEnd w:id="147"/>
      <w:r>
        <w:rPr>
          <w:snapToGrid w:val="0"/>
        </w:rPr>
        <w:t xml:space="preserve"> </w:t>
      </w:r>
    </w:p>
    <w:p>
      <w:pPr>
        <w:pStyle w:val="Subsection"/>
        <w:spacing w:before="180"/>
        <w:rPr>
          <w:snapToGrid w:val="0"/>
        </w:rPr>
      </w:pPr>
      <w:r>
        <w:rPr>
          <w:snapToGrid w:val="0"/>
        </w:rPr>
        <w:tab/>
        <w:t>(1)</w:t>
      </w:r>
      <w:r>
        <w:rPr>
          <w:snapToGrid w:val="0"/>
        </w:rPr>
        <w:tab/>
        <w:t>This section applies to a State archive that is not a restricted access archive and not a parliamentary record.</w:t>
      </w:r>
    </w:p>
    <w:p>
      <w:pPr>
        <w:pStyle w:val="Subsection"/>
        <w:spacing w:before="180"/>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spacing w:before="180"/>
        <w:rPr>
          <w:snapToGrid w:val="0"/>
        </w:rPr>
      </w:pPr>
      <w:r>
        <w:rPr>
          <w:snapToGrid w:val="0"/>
        </w:rPr>
        <w:tab/>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spacing w:before="180"/>
        <w:rPr>
          <w:snapToGrid w:val="0"/>
        </w:rPr>
      </w:pPr>
      <w:r>
        <w:rPr>
          <w:snapToGrid w:val="0"/>
        </w:rPr>
        <w:tab/>
      </w:r>
      <w:r>
        <w:rPr>
          <w:snapToGrid w:val="0"/>
        </w:rPr>
        <w:tab/>
        <w:t>a person has a right to be given access to it, subject to section 49 and any express provision in another written law, and the FOI Act does not apply to or in relation to it.</w:t>
      </w:r>
    </w:p>
    <w:p>
      <w:pPr>
        <w:pStyle w:val="Heading5"/>
        <w:spacing w:before="240"/>
        <w:rPr>
          <w:snapToGrid w:val="0"/>
        </w:rPr>
      </w:pPr>
      <w:bookmarkStart w:id="148" w:name="_Toc155174780"/>
      <w:bookmarkStart w:id="149" w:name="_Toc135133313"/>
      <w:r>
        <w:rPr>
          <w:rStyle w:val="CharSectno"/>
        </w:rPr>
        <w:t>46</w:t>
      </w:r>
      <w:r>
        <w:rPr>
          <w:snapToGrid w:val="0"/>
        </w:rPr>
        <w:t>.</w:t>
      </w:r>
      <w:r>
        <w:rPr>
          <w:snapToGrid w:val="0"/>
        </w:rPr>
        <w:tab/>
        <w:t>Restricted access archives</w:t>
      </w:r>
      <w:bookmarkEnd w:id="148"/>
      <w:bookmarkEnd w:id="149"/>
      <w:r>
        <w:rPr>
          <w:snapToGrid w:val="0"/>
        </w:rPr>
        <w:t xml:space="preserve"> </w:t>
      </w:r>
    </w:p>
    <w:p>
      <w:pPr>
        <w:pStyle w:val="Subsection"/>
        <w:spacing w:before="180"/>
        <w:rPr>
          <w:snapToGrid w:val="0"/>
        </w:rPr>
      </w:pPr>
      <w:r>
        <w:rPr>
          <w:snapToGrid w:val="0"/>
        </w:rPr>
        <w:tab/>
        <w:t>(1)</w:t>
      </w:r>
      <w:r>
        <w:rPr>
          <w:snapToGrid w:val="0"/>
        </w:rPr>
        <w:tab/>
        <w:t>Any right that a person may have to be given access to a restricted access archive is to be determined under the FOI Act.</w:t>
      </w:r>
    </w:p>
    <w:p>
      <w:pPr>
        <w:pStyle w:val="Subsection"/>
        <w:spacing w:before="180"/>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spacing w:before="180"/>
        <w:rPr>
          <w:snapToGrid w:val="0"/>
        </w:rPr>
      </w:pPr>
      <w:r>
        <w:rPr>
          <w:snapToGrid w:val="0"/>
        </w:rPr>
        <w:tab/>
        <w:t>(3)</w:t>
      </w:r>
      <w:r>
        <w:rPr>
          <w:snapToGrid w:val="0"/>
        </w:rPr>
        <w:tab/>
        <w:t>If a restricted access archive is in the State archives collection any application for access to it must be made under the FOI Act; but if the government organization to which the application 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 or</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150" w:name="_Toc155174781"/>
      <w:bookmarkStart w:id="151" w:name="_Toc135133314"/>
      <w:r>
        <w:rPr>
          <w:rStyle w:val="CharSectno"/>
        </w:rPr>
        <w:t>47</w:t>
      </w:r>
      <w:r>
        <w:rPr>
          <w:snapToGrid w:val="0"/>
        </w:rPr>
        <w:t>.</w:t>
      </w:r>
      <w:r>
        <w:rPr>
          <w:snapToGrid w:val="0"/>
        </w:rPr>
        <w:tab/>
        <w:t>Archives at least 75 years old</w:t>
      </w:r>
      <w:bookmarkEnd w:id="150"/>
      <w:bookmarkEnd w:id="151"/>
      <w:r>
        <w:rPr>
          <w:snapToGrid w:val="0"/>
        </w:rPr>
        <w:t xml:space="preserve"> </w:t>
      </w:r>
    </w:p>
    <w:p>
      <w:pPr>
        <w:pStyle w:val="Subsection"/>
        <w:rPr>
          <w:snapToGrid w:val="0"/>
        </w:rPr>
      </w:pPr>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t>(2)</w:t>
      </w:r>
      <w:r>
        <w:rPr>
          <w:snapToGrid w:val="0"/>
        </w:rPr>
        <w:tab/>
        <w:t>Unless under section 48 the Commission has directed that the State archive is an exceptionally sensitive archive, a person has a right to be given access to the State archive, subject to section 49 and any express provision in another written law, and the FOI Act does not apply to or in relation to it.</w:t>
      </w:r>
    </w:p>
    <w:p>
      <w:pPr>
        <w:pStyle w:val="Heading5"/>
        <w:rPr>
          <w:snapToGrid w:val="0"/>
        </w:rPr>
      </w:pPr>
      <w:bookmarkStart w:id="152" w:name="_Toc155174782"/>
      <w:bookmarkStart w:id="153" w:name="_Toc135133315"/>
      <w:r>
        <w:rPr>
          <w:rStyle w:val="CharSectno"/>
        </w:rPr>
        <w:t>48</w:t>
      </w:r>
      <w:r>
        <w:rPr>
          <w:snapToGrid w:val="0"/>
        </w:rPr>
        <w:t>.</w:t>
      </w:r>
      <w:r>
        <w:rPr>
          <w:snapToGrid w:val="0"/>
        </w:rPr>
        <w:tab/>
        <w:t>Archives containing exceptionally sensitive information</w:t>
      </w:r>
      <w:bookmarkEnd w:id="152"/>
      <w:bookmarkEnd w:id="153"/>
      <w:r>
        <w:rPr>
          <w:snapToGrid w:val="0"/>
        </w:rPr>
        <w:t xml:space="preserve"> </w:t>
      </w:r>
    </w:p>
    <w:p>
      <w:pPr>
        <w:pStyle w:val="Subsection"/>
        <w:rPr>
          <w:snapToGrid w:val="0"/>
        </w:rPr>
      </w:pPr>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tab/>
        <w:t>(3)</w:t>
      </w:r>
      <w:r>
        <w:rPr>
          <w:snapToGrid w:val="0"/>
        </w:rPr>
        <w:tab/>
        <w:t>An application may be made to the Commission for such a direction by the government organization that has control of a State archive or that transferred an archive to the State archives collection or by an authorised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154" w:name="_Toc155174783"/>
      <w:bookmarkStart w:id="155" w:name="_Toc135133316"/>
      <w:r>
        <w:rPr>
          <w:rStyle w:val="CharSectno"/>
        </w:rPr>
        <w:t>49</w:t>
      </w:r>
      <w:r>
        <w:rPr>
          <w:snapToGrid w:val="0"/>
        </w:rPr>
        <w:t>.</w:t>
      </w:r>
      <w:r>
        <w:rPr>
          <w:snapToGrid w:val="0"/>
        </w:rPr>
        <w:tab/>
        <w:t>Medical etc. information, limited access to</w:t>
      </w:r>
      <w:bookmarkEnd w:id="154"/>
      <w:bookmarkEnd w:id="155"/>
      <w:r>
        <w:rPr>
          <w:snapToGrid w:val="0"/>
        </w:rPr>
        <w:t xml:space="preserve"> </w:t>
      </w:r>
    </w:p>
    <w:p>
      <w:pPr>
        <w:pStyle w:val="Subsection"/>
        <w:rPr>
          <w:snapToGrid w:val="0"/>
        </w:rPr>
      </w:pPr>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156" w:name="_Toc155174784"/>
      <w:bookmarkStart w:id="157" w:name="_Toc135133317"/>
      <w:r>
        <w:rPr>
          <w:rStyle w:val="CharSectno"/>
        </w:rPr>
        <w:t>50</w:t>
      </w:r>
      <w:r>
        <w:rPr>
          <w:snapToGrid w:val="0"/>
        </w:rPr>
        <w:t>.</w:t>
      </w:r>
      <w:r>
        <w:rPr>
          <w:snapToGrid w:val="0"/>
        </w:rPr>
        <w:tab/>
        <w:t>Applying for access to State archives</w:t>
      </w:r>
      <w:bookmarkEnd w:id="156"/>
      <w:bookmarkEnd w:id="157"/>
      <w:r>
        <w:rPr>
          <w:snapToGrid w:val="0"/>
        </w:rPr>
        <w:t xml:space="preserve"> </w:t>
      </w:r>
    </w:p>
    <w:p>
      <w:pPr>
        <w:pStyle w:val="Subsection"/>
        <w:rPr>
          <w:snapToGrid w:val="0"/>
        </w:rPr>
      </w:pPr>
      <w:r>
        <w:rPr>
          <w:snapToGrid w:val="0"/>
        </w:rPr>
        <w:tab/>
        <w:t>(1)</w:t>
      </w:r>
      <w:r>
        <w:rPr>
          <w:snapToGrid w:val="0"/>
        </w:rPr>
        <w:tab/>
        <w:t>An application for access to a State archive to which there is a right of access under section 45(3), 47(2) or 48(5)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158" w:name="_Toc155174785"/>
      <w:bookmarkStart w:id="159" w:name="_Toc135133318"/>
      <w:r>
        <w:rPr>
          <w:rStyle w:val="CharSectno"/>
        </w:rPr>
        <w:t>51</w:t>
      </w:r>
      <w:r>
        <w:rPr>
          <w:snapToGrid w:val="0"/>
        </w:rPr>
        <w:t>.</w:t>
      </w:r>
      <w:r>
        <w:rPr>
          <w:snapToGrid w:val="0"/>
        </w:rPr>
        <w:tab/>
        <w:t>Access to archives may be controlled</w:t>
      </w:r>
      <w:bookmarkEnd w:id="158"/>
      <w:bookmarkEnd w:id="159"/>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160" w:name="_Toc155174786"/>
      <w:bookmarkStart w:id="161" w:name="_Toc135042479"/>
      <w:bookmarkStart w:id="162" w:name="_Toc135042599"/>
      <w:bookmarkStart w:id="163" w:name="_Toc135133319"/>
      <w:r>
        <w:rPr>
          <w:rStyle w:val="CharPartNo"/>
        </w:rPr>
        <w:t>Part 7</w:t>
      </w:r>
      <w:r>
        <w:rPr>
          <w:rStyle w:val="CharDivNo"/>
        </w:rPr>
        <w:t xml:space="preserve"> </w:t>
      </w:r>
      <w:r>
        <w:t>—</w:t>
      </w:r>
      <w:r>
        <w:rPr>
          <w:rStyle w:val="CharDivText"/>
        </w:rPr>
        <w:t xml:space="preserve"> </w:t>
      </w:r>
      <w:r>
        <w:rPr>
          <w:rStyle w:val="CharPartText"/>
        </w:rPr>
        <w:t>Recovering government records</w:t>
      </w:r>
      <w:bookmarkEnd w:id="160"/>
      <w:bookmarkEnd w:id="161"/>
      <w:bookmarkEnd w:id="162"/>
      <w:bookmarkEnd w:id="163"/>
      <w:r>
        <w:rPr>
          <w:rStyle w:val="CharPartText"/>
        </w:rPr>
        <w:t xml:space="preserve"> </w:t>
      </w:r>
    </w:p>
    <w:p>
      <w:pPr>
        <w:pStyle w:val="Heading5"/>
        <w:rPr>
          <w:snapToGrid w:val="0"/>
        </w:rPr>
      </w:pPr>
      <w:bookmarkStart w:id="164" w:name="_Toc155174787"/>
      <w:bookmarkStart w:id="165" w:name="_Toc135133320"/>
      <w:r>
        <w:rPr>
          <w:rStyle w:val="CharSectno"/>
        </w:rPr>
        <w:t>52</w:t>
      </w:r>
      <w:r>
        <w:rPr>
          <w:snapToGrid w:val="0"/>
        </w:rPr>
        <w:t>.</w:t>
      </w:r>
      <w:r>
        <w:rPr>
          <w:snapToGrid w:val="0"/>
        </w:rPr>
        <w:tab/>
        <w:t>Direction to deliver</w:t>
      </w:r>
      <w:bookmarkEnd w:id="164"/>
      <w:bookmarkEnd w:id="165"/>
      <w:r>
        <w:rPr>
          <w:snapToGrid w:val="0"/>
        </w:rPr>
        <w:t xml:space="preserve"> </w:t>
      </w:r>
    </w:p>
    <w:p>
      <w:pPr>
        <w:pStyle w:val="Subsection"/>
        <w:rPr>
          <w:snapToGrid w:val="0"/>
        </w:rPr>
      </w:pPr>
      <w:r>
        <w:rPr>
          <w:snapToGrid w:val="0"/>
        </w:rPr>
        <w:tab/>
        <w:t>(1)</w:t>
      </w:r>
      <w:r>
        <w:rPr>
          <w:snapToGrid w:val="0"/>
        </w:rPr>
        <w:tab/>
        <w:t>If the Director believes that a person has unauthorised possession of a government record (whether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166" w:name="_Toc155174788"/>
      <w:bookmarkStart w:id="167" w:name="_Toc135133321"/>
      <w:r>
        <w:rPr>
          <w:rStyle w:val="CharSectno"/>
        </w:rPr>
        <w:t>53</w:t>
      </w:r>
      <w:r>
        <w:rPr>
          <w:snapToGrid w:val="0"/>
        </w:rPr>
        <w:t>.</w:t>
      </w:r>
      <w:r>
        <w:rPr>
          <w:snapToGrid w:val="0"/>
        </w:rPr>
        <w:tab/>
        <w:t>Court action to recover</w:t>
      </w:r>
      <w:bookmarkEnd w:id="166"/>
      <w:bookmarkEnd w:id="167"/>
      <w:r>
        <w:rPr>
          <w:snapToGrid w:val="0"/>
        </w:rPr>
        <w:t xml:space="preserve"> </w:t>
      </w:r>
    </w:p>
    <w:p>
      <w:pPr>
        <w:pStyle w:val="Subsection"/>
        <w:rPr>
          <w:snapToGrid w:val="0"/>
        </w:rPr>
      </w:pPr>
      <w:r>
        <w:rPr>
          <w:snapToGrid w:val="0"/>
        </w:rPr>
        <w:tab/>
        <w:t>(1)</w:t>
      </w:r>
      <w:r>
        <w:rPr>
          <w:snapToGrid w:val="0"/>
        </w:rPr>
        <w:tab/>
        <w:t>If a person does not comply with a direction made under section 52,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unauthorised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168" w:name="_Toc155174789"/>
      <w:bookmarkStart w:id="169" w:name="_Toc135133322"/>
      <w:r>
        <w:rPr>
          <w:rStyle w:val="CharSectno"/>
        </w:rPr>
        <w:t>54</w:t>
      </w:r>
      <w:r>
        <w:rPr>
          <w:snapToGrid w:val="0"/>
        </w:rPr>
        <w:t>.</w:t>
      </w:r>
      <w:r>
        <w:rPr>
          <w:snapToGrid w:val="0"/>
        </w:rPr>
        <w:tab/>
        <w:t>Compensation for recovered records</w:t>
      </w:r>
      <w:bookmarkEnd w:id="168"/>
      <w:bookmarkEnd w:id="169"/>
      <w:r>
        <w:rPr>
          <w:snapToGrid w:val="0"/>
        </w:rPr>
        <w:t xml:space="preserve"> </w:t>
      </w:r>
    </w:p>
    <w:p>
      <w:pPr>
        <w:pStyle w:val="Subsection"/>
        <w:rPr>
          <w:snapToGrid w:val="0"/>
        </w:rPr>
      </w:pPr>
      <w:r>
        <w:rPr>
          <w:snapToGrid w:val="0"/>
        </w:rPr>
        <w:tab/>
        <w:t>(1)</w:t>
      </w:r>
      <w:r>
        <w:rPr>
          <w:snapToGrid w:val="0"/>
        </w:rPr>
        <w:tab/>
        <w:t>If a person loses possession of a government record as a result of a direction given under section 52 or an order or warrant issued under section 53,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170" w:name="_Toc155174790"/>
      <w:bookmarkStart w:id="171" w:name="_Toc135133323"/>
      <w:r>
        <w:rPr>
          <w:rStyle w:val="CharSectno"/>
        </w:rPr>
        <w:t>55</w:t>
      </w:r>
      <w:r>
        <w:rPr>
          <w:snapToGrid w:val="0"/>
        </w:rPr>
        <w:t>.</w:t>
      </w:r>
      <w:r>
        <w:rPr>
          <w:snapToGrid w:val="0"/>
        </w:rPr>
        <w:tab/>
        <w:t>Reciprocal agreements to recover government records</w:t>
      </w:r>
      <w:bookmarkEnd w:id="170"/>
      <w:bookmarkEnd w:id="171"/>
      <w:r>
        <w:rPr>
          <w:snapToGrid w:val="0"/>
        </w:rPr>
        <w:t xml:space="preserve"> </w:t>
      </w:r>
    </w:p>
    <w:p>
      <w:pPr>
        <w:pStyle w:val="Subsection"/>
        <w:rPr>
          <w:snapToGrid w:val="0"/>
        </w:rPr>
      </w:pPr>
      <w:r>
        <w:rPr>
          <w:snapToGrid w:val="0"/>
        </w:rPr>
        <w:tab/>
        <w:t>(1)</w:t>
      </w:r>
      <w:r>
        <w:rPr>
          <w:snapToGrid w:val="0"/>
        </w:rPr>
        <w:tab/>
        <w:t>In this section —</w:t>
      </w:r>
    </w:p>
    <w:p>
      <w:pPr>
        <w:pStyle w:val="Defstart"/>
      </w:pPr>
      <w:r>
        <w:rPr>
          <w:b/>
        </w:rPr>
        <w:tab/>
      </w:r>
      <w:r>
        <w:rPr>
          <w:rStyle w:val="CharDefText"/>
        </w:rPr>
        <w:t>reciprocal person</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Sections 52 and 53, with any necessary changes, apply for the purpose of the Director taking action to recover a record for a reciprocal person.</w:t>
      </w:r>
    </w:p>
    <w:p>
      <w:pPr>
        <w:pStyle w:val="Heading5"/>
        <w:rPr>
          <w:snapToGrid w:val="0"/>
        </w:rPr>
      </w:pPr>
      <w:bookmarkStart w:id="172" w:name="_Toc155174791"/>
      <w:bookmarkStart w:id="173" w:name="_Toc135133324"/>
      <w:r>
        <w:rPr>
          <w:rStyle w:val="CharSectno"/>
        </w:rPr>
        <w:t>56</w:t>
      </w:r>
      <w:r>
        <w:rPr>
          <w:snapToGrid w:val="0"/>
        </w:rPr>
        <w:t>.</w:t>
      </w:r>
      <w:r>
        <w:rPr>
          <w:snapToGrid w:val="0"/>
        </w:rPr>
        <w:tab/>
        <w:t>No limitation period etc.</w:t>
      </w:r>
      <w:bookmarkEnd w:id="172"/>
      <w:bookmarkEnd w:id="173"/>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to take legal action to recover a government record otherwise than under this Part is not limited by this Part.</w:t>
      </w:r>
    </w:p>
    <w:p>
      <w:pPr>
        <w:pStyle w:val="Heading2"/>
      </w:pPr>
      <w:bookmarkStart w:id="174" w:name="_Toc155174792"/>
      <w:bookmarkStart w:id="175" w:name="_Toc135042485"/>
      <w:bookmarkStart w:id="176" w:name="_Toc135042605"/>
      <w:bookmarkStart w:id="177" w:name="_Toc135133325"/>
      <w:r>
        <w:rPr>
          <w:rStyle w:val="CharPartNo"/>
        </w:rPr>
        <w:t>Part 8</w:t>
      </w:r>
      <w:r>
        <w:t xml:space="preserve"> — </w:t>
      </w:r>
      <w:r>
        <w:rPr>
          <w:rStyle w:val="CharPartText"/>
        </w:rPr>
        <w:t>State Records Commission</w:t>
      </w:r>
      <w:bookmarkEnd w:id="174"/>
      <w:bookmarkEnd w:id="175"/>
      <w:bookmarkEnd w:id="176"/>
      <w:bookmarkEnd w:id="177"/>
      <w:r>
        <w:rPr>
          <w:rStyle w:val="CharPartText"/>
        </w:rPr>
        <w:t xml:space="preserve"> </w:t>
      </w:r>
    </w:p>
    <w:p>
      <w:pPr>
        <w:pStyle w:val="Heading3"/>
      </w:pPr>
      <w:bookmarkStart w:id="178" w:name="_Toc155174793"/>
      <w:bookmarkStart w:id="179" w:name="_Toc135042486"/>
      <w:bookmarkStart w:id="180" w:name="_Toc135042606"/>
      <w:bookmarkStart w:id="181" w:name="_Toc135133326"/>
      <w:r>
        <w:rPr>
          <w:rStyle w:val="CharDivNo"/>
        </w:rPr>
        <w:t>Division 1</w:t>
      </w:r>
      <w:r>
        <w:rPr>
          <w:snapToGrid w:val="0"/>
        </w:rPr>
        <w:t> — </w:t>
      </w:r>
      <w:r>
        <w:rPr>
          <w:rStyle w:val="CharDivText"/>
        </w:rPr>
        <w:t>General</w:t>
      </w:r>
      <w:bookmarkEnd w:id="178"/>
      <w:bookmarkEnd w:id="179"/>
      <w:bookmarkEnd w:id="180"/>
      <w:bookmarkEnd w:id="181"/>
      <w:r>
        <w:rPr>
          <w:rStyle w:val="CharDivText"/>
        </w:rPr>
        <w:t xml:space="preserve"> </w:t>
      </w:r>
    </w:p>
    <w:p>
      <w:pPr>
        <w:pStyle w:val="Heading5"/>
        <w:rPr>
          <w:snapToGrid w:val="0"/>
        </w:rPr>
      </w:pPr>
      <w:bookmarkStart w:id="182" w:name="_Toc155174794"/>
      <w:bookmarkStart w:id="183" w:name="_Toc135133327"/>
      <w:r>
        <w:rPr>
          <w:rStyle w:val="CharSectno"/>
        </w:rPr>
        <w:t>57</w:t>
      </w:r>
      <w:r>
        <w:rPr>
          <w:snapToGrid w:val="0"/>
        </w:rPr>
        <w:t>.</w:t>
      </w:r>
      <w:r>
        <w:rPr>
          <w:snapToGrid w:val="0"/>
        </w:rPr>
        <w:tab/>
        <w:t>Commission established</w:t>
      </w:r>
      <w:bookmarkEnd w:id="182"/>
      <w:bookmarkEnd w:id="183"/>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184" w:name="_Toc155174795"/>
      <w:bookmarkStart w:id="185" w:name="_Toc135133328"/>
      <w:r>
        <w:rPr>
          <w:rStyle w:val="CharSectno"/>
        </w:rPr>
        <w:t>58</w:t>
      </w:r>
      <w:r>
        <w:t>.</w:t>
      </w:r>
      <w:r>
        <w:tab/>
        <w:t>Membership</w:t>
      </w:r>
      <w:bookmarkEnd w:id="184"/>
      <w:bookmarkEnd w:id="185"/>
    </w:p>
    <w:p>
      <w:pPr>
        <w:pStyle w:val="Subsection"/>
      </w:pPr>
      <w:r>
        <w:tab/>
      </w:r>
      <w:r>
        <w:tab/>
        <w:t>The members of the Commission are —</w:t>
      </w:r>
    </w:p>
    <w:p>
      <w:pPr>
        <w:pStyle w:val="Indenta"/>
      </w:pPr>
      <w:r>
        <w:tab/>
        <w:t>(a)</w:t>
      </w:r>
      <w:r>
        <w:tab/>
        <w:t>the person who is the Auditor General, or who is acting in that office, under the</w:t>
      </w:r>
      <w:r>
        <w:rPr>
          <w:i/>
        </w:rPr>
        <w:t xml:space="preserve"> Auditor General Act 2006</w:t>
      </w:r>
      <w:r>
        <w:t>; and</w:t>
      </w:r>
    </w:p>
    <w:p>
      <w:pPr>
        <w:pStyle w:val="Indenta"/>
      </w:pPr>
      <w:r>
        <w:tab/>
        <w:t>(b)</w:t>
      </w:r>
      <w:r>
        <w:tab/>
        <w:t>the person who is the Information Commissioner, or who is acting in that office, under the FOI Act; and</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Footnotesection"/>
      </w:pPr>
      <w:r>
        <w:tab/>
        <w:t>[Section 58 amended: No. 77 of 2006 Sch. 1 cl. 159(3).]</w:t>
      </w:r>
    </w:p>
    <w:p>
      <w:pPr>
        <w:pStyle w:val="Heading5"/>
        <w:rPr>
          <w:snapToGrid w:val="0"/>
        </w:rPr>
      </w:pPr>
      <w:bookmarkStart w:id="186" w:name="_Toc155174796"/>
      <w:bookmarkStart w:id="187" w:name="_Toc135133329"/>
      <w:r>
        <w:rPr>
          <w:rStyle w:val="CharSectno"/>
        </w:rPr>
        <w:t>59</w:t>
      </w:r>
      <w:r>
        <w:rPr>
          <w:snapToGrid w:val="0"/>
        </w:rPr>
        <w:t>.</w:t>
      </w:r>
      <w:r>
        <w:rPr>
          <w:snapToGrid w:val="0"/>
        </w:rPr>
        <w:tab/>
        <w:t>Provisions about membership and meetings</w:t>
      </w:r>
      <w:bookmarkEnd w:id="186"/>
      <w:bookmarkEnd w:id="187"/>
      <w:r>
        <w:rPr>
          <w:snapToGrid w:val="0"/>
        </w:rPr>
        <w:t xml:space="preserve"> </w:t>
      </w:r>
    </w:p>
    <w:p>
      <w:pPr>
        <w:pStyle w:val="Subsection"/>
        <w:rPr>
          <w:snapToGrid w:val="0"/>
        </w:rPr>
      </w:pPr>
      <w:r>
        <w:rPr>
          <w:snapToGrid w:val="0"/>
        </w:rPr>
        <w:tab/>
      </w:r>
      <w:r>
        <w:rPr>
          <w:snapToGrid w:val="0"/>
        </w:rPr>
        <w:tab/>
        <w:t>Schedule 4 has effect.</w:t>
      </w:r>
    </w:p>
    <w:p>
      <w:pPr>
        <w:pStyle w:val="Heading5"/>
        <w:rPr>
          <w:snapToGrid w:val="0"/>
        </w:rPr>
      </w:pPr>
      <w:bookmarkStart w:id="188" w:name="_Toc155174797"/>
      <w:bookmarkStart w:id="189" w:name="_Toc135133330"/>
      <w:r>
        <w:rPr>
          <w:rStyle w:val="CharSectno"/>
        </w:rPr>
        <w:t>60</w:t>
      </w:r>
      <w:r>
        <w:rPr>
          <w:snapToGrid w:val="0"/>
        </w:rPr>
        <w:t>.</w:t>
      </w:r>
      <w:r>
        <w:rPr>
          <w:snapToGrid w:val="0"/>
        </w:rPr>
        <w:tab/>
        <w:t>Functions</w:t>
      </w:r>
      <w:bookmarkEnd w:id="188"/>
      <w:bookmarkEnd w:id="189"/>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tab/>
        <w:t>(c)</w:t>
      </w:r>
      <w:r>
        <w:rPr>
          <w:snapToGrid w:val="0"/>
        </w:rPr>
        <w:tab/>
        <w:t>inquiring into breaches or possible breaches of this Act.</w:t>
      </w:r>
    </w:p>
    <w:p>
      <w:pPr>
        <w:pStyle w:val="Subsection"/>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rPr>
          <w:snapToGrid w:val="0"/>
        </w:rPr>
      </w:pPr>
      <w:bookmarkStart w:id="190" w:name="_Toc155174798"/>
      <w:bookmarkStart w:id="191" w:name="_Toc135133331"/>
      <w:r>
        <w:rPr>
          <w:rStyle w:val="CharSectno"/>
        </w:rPr>
        <w:t>61</w:t>
      </w:r>
      <w:r>
        <w:rPr>
          <w:snapToGrid w:val="0"/>
        </w:rPr>
        <w:t>.</w:t>
      </w:r>
      <w:r>
        <w:rPr>
          <w:snapToGrid w:val="0"/>
        </w:rPr>
        <w:tab/>
        <w:t>Principles and standards</w:t>
      </w:r>
      <w:bookmarkEnd w:id="190"/>
      <w:bookmarkEnd w:id="191"/>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 and</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 and</w:t>
      </w:r>
    </w:p>
    <w:p>
      <w:pPr>
        <w:pStyle w:val="Indenta"/>
        <w:rPr>
          <w:snapToGrid w:val="0"/>
        </w:rPr>
      </w:pPr>
      <w:r>
        <w:rPr>
          <w:snapToGrid w:val="0"/>
        </w:rPr>
        <w:tab/>
        <w:t>(c)</w:t>
      </w:r>
      <w:r>
        <w:rPr>
          <w:snapToGrid w:val="0"/>
        </w:rPr>
        <w:tab/>
        <w:t>for determining which State records should be State archives; and</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 and</w:t>
      </w:r>
    </w:p>
    <w:p>
      <w:pPr>
        <w:pStyle w:val="Indenta"/>
        <w:rPr>
          <w:snapToGrid w:val="0"/>
        </w:rPr>
      </w:pPr>
      <w:r>
        <w:rPr>
          <w:snapToGrid w:val="0"/>
        </w:rPr>
        <w:tab/>
        <w:t>(e)</w:t>
      </w:r>
      <w:r>
        <w:rPr>
          <w:snapToGrid w:val="0"/>
        </w:rPr>
        <w:tab/>
        <w:t>for determining which State archives should not be transferred to the State archives collection under section 32(1);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take into account the impact which the principles and standards may have on the efficiency and effectiveness 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192" w:name="_Toc155174799"/>
      <w:bookmarkStart w:id="193" w:name="_Toc135133332"/>
      <w:r>
        <w:rPr>
          <w:rStyle w:val="CharSectno"/>
        </w:rPr>
        <w:t>62</w:t>
      </w:r>
      <w:r>
        <w:rPr>
          <w:snapToGrid w:val="0"/>
        </w:rPr>
        <w:t>.</w:t>
      </w:r>
      <w:r>
        <w:rPr>
          <w:snapToGrid w:val="0"/>
        </w:rPr>
        <w:tab/>
        <w:t>Committees of Commission</w:t>
      </w:r>
      <w:bookmarkEnd w:id="192"/>
      <w:bookmarkEnd w:id="193"/>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 and</w:t>
      </w:r>
    </w:p>
    <w:p>
      <w:pPr>
        <w:pStyle w:val="Indenta"/>
        <w:rPr>
          <w:snapToGrid w:val="0"/>
        </w:rPr>
      </w:pPr>
      <w:r>
        <w:rPr>
          <w:snapToGrid w:val="0"/>
        </w:rPr>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spacing w:before="180"/>
        <w:rPr>
          <w:snapToGrid w:val="0"/>
        </w:rPr>
      </w:pPr>
      <w:r>
        <w:rPr>
          <w:snapToGrid w:val="0"/>
        </w:rPr>
        <w:tab/>
        <w:t>(2)</w:t>
      </w:r>
      <w:r>
        <w:rPr>
          <w:snapToGrid w:val="0"/>
        </w:rPr>
        <w:tab/>
        <w:t>The committee is to include representatives from the Public Service and bodies concerned with record keeping.</w:t>
      </w:r>
    </w:p>
    <w:p>
      <w:pPr>
        <w:pStyle w:val="Subsection"/>
        <w:spacing w:before="180"/>
        <w:rPr>
          <w:snapToGrid w:val="0"/>
        </w:rPr>
      </w:pPr>
      <w:r>
        <w:rPr>
          <w:snapToGrid w:val="0"/>
        </w:rPr>
        <w:tab/>
        <w:t>(3)</w:t>
      </w:r>
      <w:r>
        <w:rPr>
          <w:snapToGrid w:val="0"/>
        </w:rPr>
        <w:tab/>
        <w:t>The Commission may establish other committees to assist it in the performance of its functions.</w:t>
      </w:r>
    </w:p>
    <w:p>
      <w:pPr>
        <w:pStyle w:val="Subsection"/>
        <w:spacing w:before="180"/>
        <w:rPr>
          <w:snapToGrid w:val="0"/>
        </w:rPr>
      </w:pPr>
      <w:r>
        <w:rPr>
          <w:snapToGrid w:val="0"/>
        </w:rPr>
        <w:tab/>
        <w:t>(4)</w:t>
      </w:r>
      <w:r>
        <w:rPr>
          <w:snapToGrid w:val="0"/>
        </w:rPr>
        <w:tab/>
        <w:t>A committee need not include a member of the Commission as a member.</w:t>
      </w:r>
    </w:p>
    <w:p>
      <w:pPr>
        <w:pStyle w:val="Subsection"/>
        <w:spacing w:before="180"/>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spacing w:before="240"/>
      </w:pPr>
      <w:bookmarkStart w:id="194" w:name="_Toc155174800"/>
      <w:bookmarkStart w:id="195" w:name="_Toc135133333"/>
      <w:r>
        <w:rPr>
          <w:rStyle w:val="CharSectno"/>
        </w:rPr>
        <w:t>63</w:t>
      </w:r>
      <w:r>
        <w:t>.</w:t>
      </w:r>
      <w:r>
        <w:tab/>
        <w:t>Facilities and services for Commission</w:t>
      </w:r>
      <w:bookmarkEnd w:id="194"/>
      <w:bookmarkEnd w:id="195"/>
    </w:p>
    <w:p>
      <w:pPr>
        <w:pStyle w:val="Subsection"/>
        <w:spacing w:before="180"/>
      </w:pPr>
      <w:r>
        <w:tab/>
        <w:t>(1)</w:t>
      </w:r>
      <w:r>
        <w:tab/>
        <w:t>The Minister is to ensure that the Commission is provided with the facilities and services that are reasonably necessary to enable it to perform its functions.</w:t>
      </w:r>
    </w:p>
    <w:p>
      <w:pPr>
        <w:pStyle w:val="Subsection"/>
        <w:spacing w:before="180"/>
      </w:pPr>
      <w:r>
        <w:tab/>
        <w:t>(2)</w:t>
      </w:r>
      <w:r>
        <w:tab/>
        <w:t>Without limiting subsection (1) the Minister may arrange for the Commission to make use, either full</w:t>
      </w:r>
      <w:r>
        <w:noBreakHyphen/>
        <w:t>time or part</w:t>
      </w:r>
      <w:r>
        <w:noBreakHyphen/>
        <w: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relevant employing authority (within the meaning of the </w:t>
      </w:r>
      <w:r>
        <w:rPr>
          <w:i/>
        </w:rPr>
        <w:t>Public Sector Management Act 1994</w:t>
      </w:r>
      <w:r>
        <w:t>),</w:t>
      </w:r>
    </w:p>
    <w:p>
      <w:pPr>
        <w:pStyle w:val="Subsection"/>
      </w:pPr>
      <w:r>
        <w:tab/>
      </w:r>
      <w:r>
        <w:tab/>
        <w:t xml:space="preserve">on terms and </w:t>
      </w:r>
      <w:r>
        <w:rPr>
          <w:snapToGrid w:val="0"/>
        </w:rPr>
        <w:t>conditions</w:t>
      </w:r>
      <w:r>
        <w:t xml:space="preserve"> that are agreed between them.</w:t>
      </w:r>
    </w:p>
    <w:p>
      <w:pPr>
        <w:pStyle w:val="Subsection"/>
      </w:pPr>
      <w:r>
        <w:tab/>
        <w:t>(4)</w:t>
      </w:r>
      <w:r>
        <w:tab/>
        <w:t xml:space="preserve">Without limiting </w:t>
      </w:r>
      <w:r>
        <w:rPr>
          <w:snapToGrid w:val="0"/>
        </w:rPr>
        <w:t>subsection (</w:t>
      </w:r>
      <w:r>
        <w:t xml:space="preserve">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rPr>
          <w:snapToGrid w:val="0"/>
        </w:rPr>
      </w:pPr>
      <w:bookmarkStart w:id="196" w:name="_Toc155174801"/>
      <w:bookmarkStart w:id="197" w:name="_Toc135133334"/>
      <w:r>
        <w:rPr>
          <w:rStyle w:val="CharSectno"/>
        </w:rPr>
        <w:t>64</w:t>
      </w:r>
      <w:r>
        <w:rPr>
          <w:snapToGrid w:val="0"/>
        </w:rPr>
        <w:t>.</w:t>
      </w:r>
      <w:r>
        <w:rPr>
          <w:snapToGrid w:val="0"/>
        </w:rPr>
        <w:tab/>
        <w:t>Annual and special reports to Parliament</w:t>
      </w:r>
      <w:bookmarkEnd w:id="196"/>
      <w:bookmarkEnd w:id="197"/>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198" w:name="_Toc155174802"/>
      <w:bookmarkStart w:id="199" w:name="_Toc135042495"/>
      <w:bookmarkStart w:id="200" w:name="_Toc135042615"/>
      <w:bookmarkStart w:id="201" w:name="_Toc135133335"/>
      <w:r>
        <w:rPr>
          <w:rStyle w:val="CharDivNo"/>
        </w:rPr>
        <w:t>Division 2</w:t>
      </w:r>
      <w:r>
        <w:rPr>
          <w:snapToGrid w:val="0"/>
        </w:rPr>
        <w:t xml:space="preserve"> — </w:t>
      </w:r>
      <w:r>
        <w:rPr>
          <w:rStyle w:val="CharDivText"/>
        </w:rPr>
        <w:t>Relationship with the Minister</w:t>
      </w:r>
      <w:bookmarkEnd w:id="198"/>
      <w:bookmarkEnd w:id="199"/>
      <w:bookmarkEnd w:id="200"/>
      <w:bookmarkEnd w:id="201"/>
      <w:r>
        <w:rPr>
          <w:rStyle w:val="CharDivText"/>
        </w:rPr>
        <w:t xml:space="preserve"> </w:t>
      </w:r>
    </w:p>
    <w:p>
      <w:pPr>
        <w:pStyle w:val="Heading5"/>
        <w:rPr>
          <w:snapToGrid w:val="0"/>
        </w:rPr>
      </w:pPr>
      <w:bookmarkStart w:id="202" w:name="_Toc155174803"/>
      <w:bookmarkStart w:id="203" w:name="_Toc135133336"/>
      <w:r>
        <w:rPr>
          <w:rStyle w:val="CharSectno"/>
        </w:rPr>
        <w:t>65</w:t>
      </w:r>
      <w:r>
        <w:rPr>
          <w:snapToGrid w:val="0"/>
        </w:rPr>
        <w:t>.</w:t>
      </w:r>
      <w:r>
        <w:rPr>
          <w:snapToGrid w:val="0"/>
        </w:rPr>
        <w:tab/>
        <w:t>Commission to be generally independent</w:t>
      </w:r>
      <w:bookmarkEnd w:id="202"/>
      <w:bookmarkEnd w:id="203"/>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204" w:name="_Toc155174804"/>
      <w:bookmarkStart w:id="205" w:name="_Toc135133337"/>
      <w:r>
        <w:rPr>
          <w:rStyle w:val="CharSectno"/>
        </w:rPr>
        <w:t>66</w:t>
      </w:r>
      <w:r>
        <w:rPr>
          <w:snapToGrid w:val="0"/>
        </w:rPr>
        <w:t>.</w:t>
      </w:r>
      <w:r>
        <w:rPr>
          <w:snapToGrid w:val="0"/>
        </w:rPr>
        <w:tab/>
        <w:t>Minister to have access to information</w:t>
      </w:r>
      <w:bookmarkEnd w:id="204"/>
      <w:bookmarkEnd w:id="20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 and</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206" w:name="_Toc155174805"/>
      <w:bookmarkStart w:id="207" w:name="_Toc135042498"/>
      <w:bookmarkStart w:id="208" w:name="_Toc135042618"/>
      <w:bookmarkStart w:id="209" w:name="_Toc135133338"/>
      <w:r>
        <w:rPr>
          <w:rStyle w:val="CharDivNo"/>
        </w:rPr>
        <w:t>Division 3</w:t>
      </w:r>
      <w:r>
        <w:rPr>
          <w:snapToGrid w:val="0"/>
        </w:rPr>
        <w:t xml:space="preserve"> — </w:t>
      </w:r>
      <w:r>
        <w:rPr>
          <w:rStyle w:val="CharDivText"/>
        </w:rPr>
        <w:t>Investigative powers</w:t>
      </w:r>
      <w:bookmarkEnd w:id="206"/>
      <w:bookmarkEnd w:id="207"/>
      <w:bookmarkEnd w:id="208"/>
      <w:bookmarkEnd w:id="209"/>
      <w:r>
        <w:rPr>
          <w:rStyle w:val="CharDivText"/>
        </w:rPr>
        <w:t xml:space="preserve"> </w:t>
      </w:r>
    </w:p>
    <w:p>
      <w:pPr>
        <w:pStyle w:val="Heading5"/>
        <w:rPr>
          <w:snapToGrid w:val="0"/>
        </w:rPr>
      </w:pPr>
      <w:bookmarkStart w:id="210" w:name="_Toc155174806"/>
      <w:bookmarkStart w:id="211" w:name="_Toc135133339"/>
      <w:r>
        <w:rPr>
          <w:rStyle w:val="CharSectno"/>
        </w:rPr>
        <w:t>67</w:t>
      </w:r>
      <w:r>
        <w:rPr>
          <w:snapToGrid w:val="0"/>
        </w:rPr>
        <w:t>.</w:t>
      </w:r>
      <w:r>
        <w:rPr>
          <w:snapToGrid w:val="0"/>
        </w:rPr>
        <w:tab/>
        <w:t>Commission’s right of access to government records</w:t>
      </w:r>
      <w:bookmarkEnd w:id="210"/>
      <w:bookmarkEnd w:id="211"/>
      <w:r>
        <w:rPr>
          <w:snapToGrid w:val="0"/>
        </w:rPr>
        <w:t xml:space="preserve"> </w:t>
      </w:r>
    </w:p>
    <w:p>
      <w:pPr>
        <w:pStyle w:val="Subsection"/>
        <w:rPr>
          <w:snapToGrid w:val="0"/>
        </w:rPr>
      </w:pPr>
      <w:r>
        <w:rPr>
          <w:snapToGrid w:val="0"/>
        </w:rPr>
        <w:tab/>
        <w:t>(1)</w:t>
      </w:r>
      <w:r>
        <w:rPr>
          <w:snapToGrid w:val="0"/>
        </w:rPr>
        <w:tab/>
        <w:t>A member of the Commission or a person authorised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authorises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212" w:name="_Toc155174807"/>
      <w:bookmarkStart w:id="213" w:name="_Toc135133340"/>
      <w:r>
        <w:rPr>
          <w:rStyle w:val="CharSectno"/>
        </w:rPr>
        <w:t>68</w:t>
      </w:r>
      <w:r>
        <w:rPr>
          <w:snapToGrid w:val="0"/>
        </w:rPr>
        <w:t>.</w:t>
      </w:r>
      <w:r>
        <w:rPr>
          <w:snapToGrid w:val="0"/>
        </w:rPr>
        <w:tab/>
        <w:t>Commission may request report on record keeping</w:t>
      </w:r>
      <w:bookmarkEnd w:id="212"/>
      <w:bookmarkEnd w:id="213"/>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214" w:name="_Toc155174808"/>
      <w:bookmarkStart w:id="215" w:name="_Toc135133341"/>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214"/>
      <w:bookmarkEnd w:id="215"/>
      <w:r>
        <w:rPr>
          <w:snapToGrid w:val="0"/>
        </w:rPr>
        <w:t xml:space="preserve"> </w:t>
      </w:r>
    </w:p>
    <w:p>
      <w:pPr>
        <w:pStyle w:val="Subsection"/>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authorised in writing by it, has all the powers conferred on a special inquirer by </w:t>
      </w:r>
      <w:r>
        <w:t>sections 24I and 24J</w:t>
      </w:r>
      <w:r>
        <w:rPr>
          <w:snapToGrid w:val="0"/>
        </w:rPr>
        <w:t xml:space="preserve">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authorised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keepNext/>
        <w:rPr>
          <w:snapToGrid w:val="0"/>
        </w:rPr>
      </w:pPr>
      <w:r>
        <w:rPr>
          <w:snapToGrid w:val="0"/>
        </w:rPr>
        <w:tab/>
        <w:t>(b)</w:t>
      </w:r>
      <w:r>
        <w:rPr>
          <w:snapToGrid w:val="0"/>
        </w:rPr>
        <w:tab/>
        <w:t>immediately after preparing the report, provide the Commission with a copy of it.</w:t>
      </w:r>
    </w:p>
    <w:p>
      <w:pPr>
        <w:pStyle w:val="Footnotesection"/>
      </w:pPr>
      <w:r>
        <w:tab/>
        <w:t>[Section 69 amended: No. 39 of 2010 s. 85.]</w:t>
      </w:r>
    </w:p>
    <w:p>
      <w:pPr>
        <w:pStyle w:val="Heading2"/>
      </w:pPr>
      <w:bookmarkStart w:id="216" w:name="_Toc155174809"/>
      <w:bookmarkStart w:id="217" w:name="_Toc135042502"/>
      <w:bookmarkStart w:id="218" w:name="_Toc135042622"/>
      <w:bookmarkStart w:id="219" w:name="_Toc135133342"/>
      <w:r>
        <w:rPr>
          <w:rStyle w:val="CharPartNo"/>
        </w:rPr>
        <w:t>Part 9</w:t>
      </w:r>
      <w:r>
        <w:rPr>
          <w:rStyle w:val="CharDivNo"/>
        </w:rPr>
        <w:t xml:space="preserve"> </w:t>
      </w:r>
      <w:r>
        <w:t>—</w:t>
      </w:r>
      <w:r>
        <w:rPr>
          <w:rStyle w:val="CharDivText"/>
        </w:rPr>
        <w:t xml:space="preserve"> </w:t>
      </w:r>
      <w:r>
        <w:rPr>
          <w:rStyle w:val="CharPartText"/>
        </w:rPr>
        <w:t>Administrative matters</w:t>
      </w:r>
      <w:bookmarkEnd w:id="216"/>
      <w:bookmarkEnd w:id="217"/>
      <w:bookmarkEnd w:id="218"/>
      <w:bookmarkEnd w:id="219"/>
      <w:r>
        <w:rPr>
          <w:rStyle w:val="CharPartText"/>
        </w:rPr>
        <w:t xml:space="preserve"> </w:t>
      </w:r>
    </w:p>
    <w:p>
      <w:pPr>
        <w:pStyle w:val="Heading5"/>
        <w:rPr>
          <w:snapToGrid w:val="0"/>
        </w:rPr>
      </w:pPr>
      <w:bookmarkStart w:id="220" w:name="_Toc155174810"/>
      <w:bookmarkStart w:id="221" w:name="_Toc135133343"/>
      <w:r>
        <w:rPr>
          <w:rStyle w:val="CharSectno"/>
        </w:rPr>
        <w:t>70</w:t>
      </w:r>
      <w:r>
        <w:rPr>
          <w:snapToGrid w:val="0"/>
        </w:rPr>
        <w:t>.</w:t>
      </w:r>
      <w:r>
        <w:rPr>
          <w:snapToGrid w:val="0"/>
        </w:rPr>
        <w:tab/>
        <w:t>Director of State Records</w:t>
      </w:r>
      <w:bookmarkEnd w:id="220"/>
      <w:bookmarkEnd w:id="221"/>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222" w:name="_Toc155174811"/>
      <w:bookmarkStart w:id="223" w:name="_Toc135133344"/>
      <w:r>
        <w:rPr>
          <w:rStyle w:val="CharSectno"/>
        </w:rPr>
        <w:t>71</w:t>
      </w:r>
      <w:r>
        <w:rPr>
          <w:snapToGrid w:val="0"/>
        </w:rPr>
        <w:t>.</w:t>
      </w:r>
      <w:r>
        <w:rPr>
          <w:snapToGrid w:val="0"/>
        </w:rPr>
        <w:tab/>
        <w:t>Staff</w:t>
      </w:r>
      <w:bookmarkEnd w:id="222"/>
      <w:bookmarkEnd w:id="223"/>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224" w:name="_Toc155174812"/>
      <w:bookmarkStart w:id="225" w:name="_Toc135133345"/>
      <w:r>
        <w:rPr>
          <w:rStyle w:val="CharSectno"/>
        </w:rPr>
        <w:t>72</w:t>
      </w:r>
      <w:r>
        <w:rPr>
          <w:snapToGrid w:val="0"/>
        </w:rPr>
        <w:t>.</w:t>
      </w:r>
      <w:r>
        <w:rPr>
          <w:snapToGrid w:val="0"/>
        </w:rPr>
        <w:tab/>
        <w:t>State Records Office</w:t>
      </w:r>
      <w:bookmarkEnd w:id="224"/>
      <w:bookmarkEnd w:id="225"/>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71 is to be called the State Records Office or by such other name as the Minister from time to time directs.</w:t>
      </w:r>
    </w:p>
    <w:p>
      <w:pPr>
        <w:pStyle w:val="Heading5"/>
        <w:rPr>
          <w:snapToGrid w:val="0"/>
        </w:rPr>
      </w:pPr>
      <w:bookmarkStart w:id="226" w:name="_Toc155174813"/>
      <w:bookmarkStart w:id="227" w:name="_Toc135133346"/>
      <w:r>
        <w:rPr>
          <w:rStyle w:val="CharSectno"/>
        </w:rPr>
        <w:t>73</w:t>
      </w:r>
      <w:r>
        <w:rPr>
          <w:snapToGrid w:val="0"/>
        </w:rPr>
        <w:t>.</w:t>
      </w:r>
      <w:r>
        <w:rPr>
          <w:snapToGrid w:val="0"/>
        </w:rPr>
        <w:tab/>
        <w:t>Director’s functions</w:t>
      </w:r>
      <w:bookmarkEnd w:id="226"/>
      <w:bookmarkEnd w:id="227"/>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 and</w:t>
      </w:r>
    </w:p>
    <w:p>
      <w:pPr>
        <w:pStyle w:val="Indenta"/>
        <w:rPr>
          <w:snapToGrid w:val="0"/>
        </w:rPr>
      </w:pPr>
      <w:r>
        <w:rPr>
          <w:snapToGrid w:val="0"/>
        </w:rPr>
        <w:tab/>
        <w:t>(b)</w:t>
      </w:r>
      <w:r>
        <w:rPr>
          <w:snapToGrid w:val="0"/>
        </w:rPr>
        <w:tab/>
        <w:t>to advise government organizations on the preparation of and compliance with record keeping plans; and</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 and</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(d)</w:t>
      </w:r>
      <w:r>
        <w:rPr>
          <w:snapToGrid w:val="0"/>
        </w:rPr>
        <w:tab/>
        <w:t>to create and maintain a register of all State archives, including those that are not in the State archives collection; and</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228" w:name="_Toc155174814"/>
      <w:bookmarkStart w:id="229" w:name="_Toc135133347"/>
      <w:r>
        <w:rPr>
          <w:rStyle w:val="CharSectno"/>
        </w:rPr>
        <w:t>74</w:t>
      </w:r>
      <w:r>
        <w:rPr>
          <w:snapToGrid w:val="0"/>
        </w:rPr>
        <w:t>.</w:t>
      </w:r>
      <w:r>
        <w:rPr>
          <w:snapToGrid w:val="0"/>
        </w:rPr>
        <w:tab/>
        <w:t>Director’s right of access to government records</w:t>
      </w:r>
      <w:bookmarkEnd w:id="228"/>
      <w:bookmarkEnd w:id="229"/>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authorises the Director, the Director is entitled to have access to 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230" w:name="_Toc155174815"/>
      <w:bookmarkStart w:id="231" w:name="_Toc135133348"/>
      <w:r>
        <w:rPr>
          <w:rStyle w:val="CharSectno"/>
        </w:rPr>
        <w:t>75</w:t>
      </w:r>
      <w:r>
        <w:rPr>
          <w:snapToGrid w:val="0"/>
        </w:rPr>
        <w:t>.</w:t>
      </w:r>
      <w:r>
        <w:rPr>
          <w:snapToGrid w:val="0"/>
        </w:rPr>
        <w:tab/>
        <w:t>Director’s contractual powers</w:t>
      </w:r>
      <w:bookmarkEnd w:id="230"/>
      <w:bookmarkEnd w:id="231"/>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232" w:name="_Toc155174816"/>
      <w:bookmarkStart w:id="233" w:name="_Toc135042509"/>
      <w:bookmarkStart w:id="234" w:name="_Toc135042629"/>
      <w:bookmarkStart w:id="235" w:name="_Toc135133349"/>
      <w:r>
        <w:rPr>
          <w:rStyle w:val="CharPartNo"/>
        </w:rPr>
        <w:t>Part 10</w:t>
      </w:r>
      <w:r>
        <w:rPr>
          <w:rStyle w:val="CharDivNo"/>
        </w:rPr>
        <w:t xml:space="preserve"> </w:t>
      </w:r>
      <w:r>
        <w:t>—</w:t>
      </w:r>
      <w:r>
        <w:rPr>
          <w:rStyle w:val="CharDivText"/>
        </w:rPr>
        <w:t xml:space="preserve"> </w:t>
      </w:r>
      <w:r>
        <w:rPr>
          <w:rStyle w:val="CharPartText"/>
        </w:rPr>
        <w:t>General</w:t>
      </w:r>
      <w:bookmarkEnd w:id="232"/>
      <w:bookmarkEnd w:id="233"/>
      <w:bookmarkEnd w:id="234"/>
      <w:bookmarkEnd w:id="235"/>
      <w:r>
        <w:rPr>
          <w:rStyle w:val="CharPartText"/>
        </w:rPr>
        <w:t xml:space="preserve"> </w:t>
      </w:r>
    </w:p>
    <w:p>
      <w:pPr>
        <w:pStyle w:val="Heading5"/>
        <w:rPr>
          <w:snapToGrid w:val="0"/>
        </w:rPr>
      </w:pPr>
      <w:bookmarkStart w:id="236" w:name="_Toc155174817"/>
      <w:bookmarkStart w:id="237" w:name="_Toc135133350"/>
      <w:r>
        <w:rPr>
          <w:rStyle w:val="CharSectno"/>
        </w:rPr>
        <w:t>76</w:t>
      </w:r>
      <w:r>
        <w:rPr>
          <w:snapToGrid w:val="0"/>
        </w:rPr>
        <w:t>.</w:t>
      </w:r>
      <w:r>
        <w:rPr>
          <w:snapToGrid w:val="0"/>
        </w:rPr>
        <w:tab/>
        <w:t>Information about Aboriginal Australians</w:t>
      </w:r>
      <w:bookmarkEnd w:id="236"/>
      <w:bookmarkEnd w:id="237"/>
      <w:r>
        <w:rPr>
          <w:snapToGrid w:val="0"/>
        </w:rPr>
        <w:t xml:space="preserve"> </w:t>
      </w:r>
    </w:p>
    <w:p>
      <w:pPr>
        <w:pStyle w:val="Subsection"/>
        <w:rPr>
          <w:snapToGrid w:val="0"/>
        </w:rPr>
      </w:pPr>
      <w:r>
        <w:rPr>
          <w:snapToGrid w:val="0"/>
        </w:rPr>
        <w:tab/>
        <w:t>(1)</w:t>
      </w:r>
      <w:r>
        <w:rPr>
          <w:snapToGrid w:val="0"/>
        </w:rPr>
        <w:tab/>
        <w:t>If a State record contains information about — </w:t>
      </w:r>
    </w:p>
    <w:p>
      <w:pPr>
        <w:pStyle w:val="Indenta"/>
      </w:pPr>
      <w:r>
        <w:tab/>
        <w:t>(a)</w:t>
      </w:r>
      <w:r>
        <w:tab/>
        <w:t xml:space="preserve">Aboriginal cultural </w:t>
      </w:r>
      <w:del w:id="238" w:author="Master Repository Process" w:date="2024-01-03T11:45:00Z">
        <w:r>
          <w:rPr>
            <w:snapToGrid w:val="0"/>
          </w:rPr>
          <w:delText>material or an Aboriginal site (</w:delText>
        </w:r>
      </w:del>
      <w:ins w:id="239" w:author="Master Repository Process" w:date="2024-01-03T11:45:00Z">
        <w:r>
          <w:t xml:space="preserve">heritage, </w:t>
        </w:r>
      </w:ins>
      <w:r>
        <w:t xml:space="preserve">as </w:t>
      </w:r>
      <w:del w:id="240" w:author="Master Repository Process" w:date="2024-01-03T11:45:00Z">
        <w:r>
          <w:rPr>
            <w:snapToGrid w:val="0"/>
          </w:rPr>
          <w:delText xml:space="preserve">those expressions are </w:delText>
        </w:r>
      </w:del>
      <w:r>
        <w:t xml:space="preserve">defined in the </w:t>
      </w:r>
      <w:r>
        <w:rPr>
          <w:i/>
        </w:rPr>
        <w:t>Aboriginal</w:t>
      </w:r>
      <w:del w:id="241" w:author="Master Repository Process" w:date="2024-01-03T11:45:00Z">
        <w:r>
          <w:rPr>
            <w:i/>
            <w:snapToGrid w:val="0"/>
          </w:rPr>
          <w:delText> </w:delText>
        </w:r>
      </w:del>
      <w:ins w:id="242" w:author="Master Repository Process" w:date="2024-01-03T11:45:00Z">
        <w:r>
          <w:rPr>
            <w:i/>
          </w:rPr>
          <w:t xml:space="preserve"> Cultural </w:t>
        </w:r>
      </w:ins>
      <w:r>
        <w:rPr>
          <w:i/>
        </w:rPr>
        <w:t>Heritage Act </w:t>
      </w:r>
      <w:del w:id="243" w:author="Master Repository Process" w:date="2024-01-03T11:45:00Z">
        <w:r>
          <w:rPr>
            <w:i/>
            <w:snapToGrid w:val="0"/>
          </w:rPr>
          <w:delText>1972</w:delText>
        </w:r>
        <w:r>
          <w:rPr>
            <w:snapToGrid w:val="0"/>
          </w:rPr>
          <w:delText>);</w:delText>
        </w:r>
      </w:del>
      <w:ins w:id="244" w:author="Master Repository Process" w:date="2024-01-03T11:45:00Z">
        <w:r>
          <w:rPr>
            <w:i/>
          </w:rPr>
          <w:t>2021</w:t>
        </w:r>
        <w:r>
          <w:t xml:space="preserve"> section 12;</w:t>
        </w:r>
      </w:ins>
      <w:r>
        <w:t xml:space="preserve"> or</w:t>
      </w:r>
    </w:p>
    <w:p>
      <w:pPr>
        <w:pStyle w:val="Indenta"/>
      </w:pPr>
      <w:r>
        <w:tab/>
        <w:t>(b)</w:t>
      </w:r>
      <w:r>
        <w:tab/>
        <w:t>any other matter relating to</w:t>
      </w:r>
      <w:del w:id="245" w:author="Master Repository Process" w:date="2024-01-03T11:45:00Z">
        <w:r>
          <w:rPr>
            <w:snapToGrid w:val="0"/>
          </w:rPr>
          <w:delText xml:space="preserve"> the heritage of</w:delText>
        </w:r>
      </w:del>
      <w:r>
        <w:t xml:space="preserve">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Footnotesection"/>
        <w:rPr>
          <w:ins w:id="246" w:author="Master Repository Process" w:date="2024-01-03T11:45:00Z"/>
        </w:rPr>
      </w:pPr>
      <w:ins w:id="247" w:author="Master Repository Process" w:date="2024-01-03T11:45:00Z">
        <w:r>
          <w:tab/>
          <w:t>[Section 76 amended: No. 27 of 2021 s. 353(2).]</w:t>
        </w:r>
      </w:ins>
    </w:p>
    <w:p>
      <w:pPr>
        <w:pStyle w:val="Heading5"/>
        <w:rPr>
          <w:snapToGrid w:val="0"/>
        </w:rPr>
      </w:pPr>
      <w:bookmarkStart w:id="248" w:name="_Toc155174818"/>
      <w:bookmarkStart w:id="249" w:name="_Toc135133351"/>
      <w:r>
        <w:rPr>
          <w:rStyle w:val="CharSectno"/>
        </w:rPr>
        <w:t>77</w:t>
      </w:r>
      <w:r>
        <w:rPr>
          <w:snapToGrid w:val="0"/>
        </w:rPr>
        <w:t>.</w:t>
      </w:r>
      <w:r>
        <w:rPr>
          <w:snapToGrid w:val="0"/>
        </w:rPr>
        <w:tab/>
        <w:t>Confidentiality</w:t>
      </w:r>
      <w:bookmarkEnd w:id="248"/>
      <w:bookmarkEnd w:id="249"/>
      <w:r>
        <w:rPr>
          <w:snapToGrid w:val="0"/>
        </w:rPr>
        <w:t xml:space="preserve"> </w:t>
      </w:r>
    </w:p>
    <w:p>
      <w:pPr>
        <w:pStyle w:val="Subsection"/>
        <w:keepNext/>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 and</w:t>
      </w:r>
    </w:p>
    <w:p>
      <w:pPr>
        <w:pStyle w:val="Indenta"/>
      </w:pPr>
      <w:r>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250" w:name="_Toc155174819"/>
      <w:bookmarkStart w:id="251" w:name="_Toc135133352"/>
      <w:r>
        <w:rPr>
          <w:rStyle w:val="CharSectno"/>
        </w:rPr>
        <w:t>78</w:t>
      </w:r>
      <w:r>
        <w:rPr>
          <w:snapToGrid w:val="0"/>
        </w:rPr>
        <w:t>.</w:t>
      </w:r>
      <w:r>
        <w:rPr>
          <w:snapToGrid w:val="0"/>
        </w:rPr>
        <w:tab/>
        <w:t>Offences</w:t>
      </w:r>
      <w:bookmarkEnd w:id="250"/>
      <w:bookmarkEnd w:id="251"/>
      <w:r>
        <w:rPr>
          <w:snapToGrid w:val="0"/>
        </w:rPr>
        <w:t xml:space="preserve"> </w:t>
      </w:r>
    </w:p>
    <w:p>
      <w:pPr>
        <w:pStyle w:val="Subsection"/>
        <w:rPr>
          <w:snapToGrid w:val="0"/>
        </w:rPr>
      </w:pPr>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authorised by the record keeping plan of the organization.</w:t>
      </w:r>
    </w:p>
    <w:p>
      <w:pPr>
        <w:pStyle w:val="Subsection"/>
        <w:rPr>
          <w:snapToGrid w:val="0"/>
        </w:rPr>
      </w:pPr>
      <w:r>
        <w:rPr>
          <w:snapToGrid w:val="0"/>
        </w:rPr>
        <w:tab/>
        <w:t>(4)</w:t>
      </w:r>
      <w:r>
        <w:rPr>
          <w:snapToGrid w:val="0"/>
        </w:rPr>
        <w:tab/>
        <w:t>A person who destroys a government record while the record is the subject of a notice under section 52 or an application made, or order or warrant issued, under section 53, commits an offence.</w:t>
      </w:r>
    </w:p>
    <w:p>
      <w:pPr>
        <w:pStyle w:val="Subsection"/>
        <w:rPr>
          <w:snapToGrid w:val="0"/>
        </w:rPr>
      </w:pPr>
      <w:r>
        <w:rPr>
          <w:snapToGrid w:val="0"/>
        </w:rPr>
        <w:tab/>
        <w:t>(5)</w:t>
      </w:r>
      <w:r>
        <w:rPr>
          <w:snapToGrid w:val="0"/>
        </w:rPr>
        <w:tab/>
        <w:t>A person who has unauthorised possession of a government record and who destroys that record, commits an offence unless the person owns the record.</w:t>
      </w:r>
    </w:p>
    <w:p>
      <w:pPr>
        <w:pStyle w:val="Subsection"/>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rPr>
          <w:snapToGrid w:val="0"/>
        </w:rPr>
      </w:pPr>
      <w:bookmarkStart w:id="252" w:name="_Toc155174820"/>
      <w:bookmarkStart w:id="253" w:name="_Toc135133353"/>
      <w:r>
        <w:rPr>
          <w:rStyle w:val="CharSectno"/>
        </w:rPr>
        <w:t>79</w:t>
      </w:r>
      <w:r>
        <w:rPr>
          <w:snapToGrid w:val="0"/>
        </w:rPr>
        <w:t>.</w:t>
      </w:r>
      <w:r>
        <w:rPr>
          <w:snapToGrid w:val="0"/>
        </w:rPr>
        <w:tab/>
        <w:t>Evidential matters</w:t>
      </w:r>
      <w:bookmarkEnd w:id="252"/>
      <w:bookmarkEnd w:id="253"/>
      <w:r>
        <w:rPr>
          <w:snapToGrid w:val="0"/>
        </w:rPr>
        <w:t xml:space="preserve"> </w:t>
      </w:r>
    </w:p>
    <w:p>
      <w:pPr>
        <w:pStyle w:val="Subsection"/>
        <w:rPr>
          <w:snapToGrid w:val="0"/>
        </w:rPr>
      </w:pPr>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10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line="240" w:lineRule="auto"/>
        <w:rPr>
          <w:snapToGrid w:val="0"/>
        </w:rPr>
      </w:pPr>
      <w:r>
        <w:rPr>
          <w:snapToGrid w:val="0"/>
        </w:rPr>
        <w:tab/>
        <w:t>(4)</w:t>
      </w:r>
      <w:r>
        <w:rPr>
          <w:snapToGrid w:val="0"/>
        </w:rPr>
        <w:tab/>
        <w:t>A copy of a State archive certified as a copy by the Director has the same evidential value as the original, in the absence of evidence to the contrary.</w:t>
      </w:r>
    </w:p>
    <w:p>
      <w:pPr>
        <w:pStyle w:val="Subsection"/>
        <w:tabs>
          <w:tab w:val="left" w:pos="3135"/>
        </w:tabs>
        <w:spacing w:line="240" w:lineRule="auto"/>
        <w:rPr>
          <w:snapToGrid w:val="0"/>
        </w:rPr>
      </w:pPr>
      <w:r>
        <w:rPr>
          <w:snapToGrid w:val="0"/>
        </w:rPr>
        <w:tab/>
        <w:t>(5)</w:t>
      </w:r>
      <w:r>
        <w:rPr>
          <w:snapToGrid w:val="0"/>
        </w:rPr>
        <w:tab/>
        <w:t>Unless the contrary is proved, it is to be presumed that a certificate under this section, purporting to have been signed by a person who is authorised to sign it was signed by a person who at the time was authorised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254" w:name="_Toc155174821"/>
      <w:bookmarkStart w:id="255" w:name="_Toc135133354"/>
      <w:r>
        <w:rPr>
          <w:rStyle w:val="CharSectno"/>
        </w:rPr>
        <w:t>80</w:t>
      </w:r>
      <w:r>
        <w:rPr>
          <w:snapToGrid w:val="0"/>
        </w:rPr>
        <w:t>.</w:t>
      </w:r>
      <w:r>
        <w:rPr>
          <w:snapToGrid w:val="0"/>
        </w:rPr>
        <w:tab/>
        <w:t>Protection from defamation or breach of confidence actions</w:t>
      </w:r>
      <w:bookmarkEnd w:id="254"/>
      <w:bookmarkEnd w:id="255"/>
      <w:r>
        <w:rPr>
          <w:snapToGrid w:val="0"/>
        </w:rPr>
        <w:t xml:space="preserve"> </w:t>
      </w:r>
    </w:p>
    <w:p>
      <w:pPr>
        <w:pStyle w:val="Subsection"/>
        <w:spacing w:line="240" w:lineRule="auto"/>
        <w:rPr>
          <w:snapToGrid w:val="0"/>
        </w:rPr>
      </w:pPr>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authorisation or approval of the publication of the archive, or any matter it contains, by the person to whom access is given.</w:t>
      </w:r>
    </w:p>
    <w:p>
      <w:pPr>
        <w:pStyle w:val="Heading5"/>
        <w:rPr>
          <w:snapToGrid w:val="0"/>
        </w:rPr>
      </w:pPr>
      <w:bookmarkStart w:id="256" w:name="_Toc155174822"/>
      <w:bookmarkStart w:id="257" w:name="_Toc135133355"/>
      <w:r>
        <w:rPr>
          <w:rStyle w:val="CharSectno"/>
        </w:rPr>
        <w:t>81</w:t>
      </w:r>
      <w:r>
        <w:rPr>
          <w:snapToGrid w:val="0"/>
        </w:rPr>
        <w:t>.</w:t>
      </w:r>
      <w:r>
        <w:rPr>
          <w:snapToGrid w:val="0"/>
        </w:rPr>
        <w:tab/>
        <w:t>Protection from criminal actions</w:t>
      </w:r>
      <w:bookmarkEnd w:id="256"/>
      <w:bookmarkEnd w:id="257"/>
      <w:r>
        <w:rPr>
          <w:snapToGrid w:val="0"/>
        </w:rPr>
        <w:t xml:space="preserve"> </w:t>
      </w:r>
    </w:p>
    <w:p>
      <w:pPr>
        <w:pStyle w:val="Subsection"/>
        <w:rPr>
          <w:snapToGrid w:val="0"/>
        </w:rPr>
      </w:pPr>
      <w:r>
        <w:rPr>
          <w:snapToGrid w:val="0"/>
        </w:rPr>
        <w:tab/>
      </w:r>
      <w:r>
        <w:rPr>
          <w:snapToGrid w:val="0"/>
        </w:rPr>
        <w:tab/>
        <w:t>If access to a State archive is given under this Act by a person who believes, in good faith, that this Act requires or permits the access to be given, the person is not guilty of an offence merely because access is given.</w:t>
      </w:r>
    </w:p>
    <w:p>
      <w:pPr>
        <w:pStyle w:val="Heading5"/>
        <w:rPr>
          <w:snapToGrid w:val="0"/>
        </w:rPr>
      </w:pPr>
      <w:bookmarkStart w:id="258" w:name="_Toc155174823"/>
      <w:bookmarkStart w:id="259" w:name="_Toc135133356"/>
      <w:r>
        <w:rPr>
          <w:rStyle w:val="CharSectno"/>
        </w:rPr>
        <w:t>82</w:t>
      </w:r>
      <w:r>
        <w:rPr>
          <w:snapToGrid w:val="0"/>
        </w:rPr>
        <w:t>.</w:t>
      </w:r>
      <w:r>
        <w:rPr>
          <w:snapToGrid w:val="0"/>
        </w:rPr>
        <w:tab/>
        <w:t>Protection from personal liability for wrongdoing</w:t>
      </w:r>
      <w:bookmarkEnd w:id="258"/>
      <w:bookmarkEnd w:id="259"/>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260" w:name="_Toc155174824"/>
      <w:bookmarkStart w:id="261" w:name="_Toc135133357"/>
      <w:r>
        <w:rPr>
          <w:rStyle w:val="CharSectno"/>
        </w:rPr>
        <w:t>83</w:t>
      </w:r>
      <w:r>
        <w:rPr>
          <w:snapToGrid w:val="0"/>
        </w:rPr>
        <w:t>.</w:t>
      </w:r>
      <w:r>
        <w:rPr>
          <w:snapToGrid w:val="0"/>
        </w:rPr>
        <w:tab/>
        <w:t>Crown’s rights in respect of government records</w:t>
      </w:r>
      <w:bookmarkEnd w:id="260"/>
      <w:bookmarkEnd w:id="261"/>
      <w:r>
        <w:rPr>
          <w:snapToGrid w:val="0"/>
        </w:rPr>
        <w:t xml:space="preserve"> </w:t>
      </w:r>
    </w:p>
    <w:p>
      <w:pPr>
        <w:pStyle w:val="Subsection"/>
        <w:rPr>
          <w:snapToGrid w:val="0"/>
        </w:rPr>
      </w:pPr>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262" w:name="_Toc155174825"/>
      <w:bookmarkStart w:id="263" w:name="_Toc135133358"/>
      <w:r>
        <w:rPr>
          <w:rStyle w:val="CharSectno"/>
        </w:rPr>
        <w:t>84</w:t>
      </w:r>
      <w:r>
        <w:rPr>
          <w:snapToGrid w:val="0"/>
        </w:rPr>
        <w:t>.</w:t>
      </w:r>
      <w:r>
        <w:rPr>
          <w:snapToGrid w:val="0"/>
        </w:rPr>
        <w:tab/>
        <w:t>Regulations</w:t>
      </w:r>
      <w:bookmarkEnd w:id="262"/>
      <w:bookmarkEnd w:id="26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keepNext/>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10" w:bottom="3544" w:left="2410" w:header="720" w:footer="3544" w:gutter="0"/>
          <w:pgNumType w:start="1"/>
          <w:cols w:space="720"/>
          <w:titlePg/>
          <w:docGrid w:linePitch="326"/>
        </w:sectPr>
      </w:pPr>
    </w:p>
    <w:p>
      <w:pPr>
        <w:pStyle w:val="yScheduleHeading"/>
      </w:pPr>
      <w:bookmarkStart w:id="264" w:name="_Toc155174826"/>
      <w:bookmarkStart w:id="265" w:name="_Toc135042519"/>
      <w:bookmarkStart w:id="266" w:name="_Toc135042639"/>
      <w:bookmarkStart w:id="267" w:name="_Toc135133359"/>
      <w:r>
        <w:rPr>
          <w:rStyle w:val="CharSchNo"/>
        </w:rPr>
        <w:t>Schedule 1</w:t>
      </w:r>
      <w:r>
        <w:rPr>
          <w:rStyle w:val="CharSDivNo"/>
        </w:rPr>
        <w:t> </w:t>
      </w:r>
      <w:r>
        <w:t>—</w:t>
      </w:r>
      <w:r>
        <w:rPr>
          <w:rStyle w:val="CharSDivText"/>
        </w:rPr>
        <w:t> </w:t>
      </w:r>
      <w:r>
        <w:rPr>
          <w:rStyle w:val="CharSchText"/>
        </w:rPr>
        <w:t>Government organizations</w:t>
      </w:r>
      <w:bookmarkEnd w:id="264"/>
      <w:bookmarkEnd w:id="265"/>
      <w:bookmarkEnd w:id="266"/>
      <w:bookmarkEnd w:id="267"/>
      <w:r>
        <w:rPr>
          <w:rStyle w:val="CharSchText"/>
        </w:rPr>
        <w:t xml:space="preserve"> </w:t>
      </w:r>
    </w:p>
    <w:p>
      <w:pPr>
        <w:pStyle w:val="yShoulderClause"/>
      </w:pPr>
      <w:r>
        <w:t>[s. 3]</w:t>
      </w:r>
    </w:p>
    <w:p>
      <w:pPr>
        <w:pStyle w:val="yNumberedItem"/>
      </w:pPr>
      <w:r>
        <w:t>1.</w:t>
      </w:r>
      <w:r>
        <w:tab/>
        <w:t>The Governor.</w:t>
      </w:r>
    </w:p>
    <w:p>
      <w:pPr>
        <w:pStyle w:val="yNumberedItem"/>
      </w:pPr>
      <w:r>
        <w:t>2.</w:t>
      </w:r>
      <w:r>
        <w:tab/>
        <w:t xml:space="preserve">The Governor’s Establishment referred to in the </w:t>
      </w:r>
      <w:r>
        <w:rPr>
          <w:i/>
        </w:rPr>
        <w:t>Governor’s Establishment Act 1992</w:t>
      </w:r>
      <w:r>
        <w:t>.</w:t>
      </w:r>
    </w:p>
    <w:p>
      <w:pPr>
        <w:pStyle w:val="yNumberedItem"/>
      </w:pPr>
      <w:r>
        <w:t>3.</w:t>
      </w:r>
      <w:r>
        <w:tab/>
        <w:t>The Executive Council.</w:t>
      </w:r>
    </w:p>
    <w:p>
      <w:pPr>
        <w:pStyle w:val="yNumberedItem"/>
      </w:pPr>
      <w:r>
        <w:t>4.</w:t>
      </w:r>
      <w:r>
        <w:tab/>
        <w:t>The Cabinet.</w:t>
      </w:r>
    </w:p>
    <w:p>
      <w:pPr>
        <w:pStyle w:val="yNumberedItem"/>
      </w:pPr>
      <w:r>
        <w:t>5.</w:t>
      </w:r>
      <w:r>
        <w:tab/>
        <w:t>A Minister of the Crown.</w:t>
      </w:r>
    </w:p>
    <w:p>
      <w:pPr>
        <w:pStyle w:val="yNumberedItem"/>
      </w:pPr>
      <w:r>
        <w:t>6.</w:t>
      </w:r>
      <w:r>
        <w:tab/>
        <w:t xml:space="preserve">The parliamentary secretary of the Cabinet or a parliamentary secretary holding office under section 44A of the </w:t>
      </w:r>
      <w:r>
        <w:rPr>
          <w:i/>
        </w:rPr>
        <w:t>Constitution Acts Amendment Act 1899</w:t>
      </w:r>
      <w:r>
        <w:t>.</w:t>
      </w:r>
    </w:p>
    <w:p>
      <w:pPr>
        <w:pStyle w:val="yNumberedItem"/>
      </w:pPr>
      <w:r>
        <w:t>7.</w:t>
      </w:r>
      <w:r>
        <w:tab/>
        <w:t>A court or tribunal established or continued under a written law.</w:t>
      </w:r>
    </w:p>
    <w:p>
      <w:pPr>
        <w:pStyle w:val="yNumberedItem"/>
      </w:pPr>
      <w:r>
        <w:t>8.</w:t>
      </w:r>
      <w:r>
        <w:tab/>
        <w:t xml:space="preserve">The Police Force within the meaning of the </w:t>
      </w:r>
      <w:r>
        <w:rPr>
          <w:i/>
        </w:rPr>
        <w:t>Police Act 1892</w:t>
      </w:r>
      <w:r>
        <w:t>.</w:t>
      </w:r>
    </w:p>
    <w:p>
      <w:pPr>
        <w:pStyle w:val="yNumberedItem"/>
      </w:pPr>
      <w:r>
        <w:t>9.</w:t>
      </w:r>
      <w:r>
        <w:tab/>
        <w:t>An incorporated or unincorporated body established or continued for a public purpose under a written law.</w:t>
      </w:r>
    </w:p>
    <w:p>
      <w:pPr>
        <w:pStyle w:val="yNumberedItem"/>
      </w:pPr>
      <w:r>
        <w:t>10.</w:t>
      </w:r>
      <w:r>
        <w:tab/>
        <w:t>An office, post or position established or continued for a public purpose under a written law.</w:t>
      </w:r>
    </w:p>
    <w:p>
      <w:pPr>
        <w:pStyle w:val="yNumberedItem"/>
      </w:pPr>
      <w:r>
        <w:t>11.</w:t>
      </w:r>
      <w:r>
        <w:tab/>
        <w:t xml:space="preserve">A department as defined in the </w:t>
      </w:r>
      <w:r>
        <w:rPr>
          <w:i/>
        </w:rPr>
        <w:t>Public Sector Management Act 1994</w:t>
      </w:r>
      <w:r>
        <w:t>.</w:t>
      </w:r>
    </w:p>
    <w:p>
      <w:pPr>
        <w:pStyle w:val="yNumberedItem"/>
      </w:pPr>
      <w:r>
        <w:t>12.</w:t>
      </w:r>
      <w:r>
        <w:tab/>
        <w:t xml:space="preserve">A local </w:t>
      </w:r>
      <w:r>
        <w:rPr>
          <w:szCs w:val="22"/>
        </w:rPr>
        <w:t>government, regional local government or regional subsidiary</w:t>
      </w:r>
      <w:r>
        <w:t xml:space="preserve"> under the </w:t>
      </w:r>
      <w:r>
        <w:rPr>
          <w:i/>
        </w:rPr>
        <w:t>Local Government Act 1995</w:t>
      </w:r>
      <w:r>
        <w:t>.</w:t>
      </w:r>
    </w:p>
    <w:p>
      <w:pPr>
        <w:pStyle w:val="yNumberedItem"/>
      </w:pPr>
      <w:r>
        <w:t>13.</w:t>
      </w:r>
      <w:r>
        <w:tab/>
        <w:t xml:space="preserve">A Royal Commission established under the </w:t>
      </w:r>
      <w:r>
        <w:rPr>
          <w:i/>
        </w:rPr>
        <w:t>Royal Commissions Act 1968</w:t>
      </w:r>
      <w:r>
        <w:t>.</w:t>
      </w:r>
    </w:p>
    <w:p>
      <w:pPr>
        <w:pStyle w:val="yNumberedItem"/>
      </w:pPr>
      <w:r>
        <w:t>14.</w:t>
      </w:r>
      <w:r>
        <w:tab/>
        <w:t>A body or office that is established by the Governor or a Minister.</w:t>
      </w:r>
    </w:p>
    <w:p>
      <w:pPr>
        <w:pStyle w:val="yNumberedItem"/>
      </w:pPr>
      <w:r>
        <w:t>15.</w:t>
      </w:r>
      <w:r>
        <w:tab/>
        <w:t>A commission, board, committee or other body established by, or a person appointed by, the Governor or the Government of the State or a Minister of the Crown to advise on, inquire into or investigate any matter.</w:t>
      </w:r>
    </w:p>
    <w:p>
      <w:pPr>
        <w:pStyle w:val="yFootnotesection"/>
      </w:pPr>
      <w:r>
        <w:tab/>
        <w:t>[Schedule 1 amended: No. 26 of 2016 s. 93.]</w:t>
      </w:r>
    </w:p>
    <w:p>
      <w:pPr>
        <w:pStyle w:val="yScheduleHeading"/>
      </w:pPr>
      <w:bookmarkStart w:id="268" w:name="_Toc155174827"/>
      <w:bookmarkStart w:id="269" w:name="_Toc135042520"/>
      <w:bookmarkStart w:id="270" w:name="_Toc135042640"/>
      <w:bookmarkStart w:id="271" w:name="_Toc135133360"/>
      <w:r>
        <w:rPr>
          <w:rStyle w:val="CharSchNo"/>
        </w:rPr>
        <w:t xml:space="preserve">Schedule 2 </w:t>
      </w:r>
      <w:r>
        <w:t>—</w:t>
      </w:r>
      <w:r>
        <w:rPr>
          <w:rStyle w:val="CharSchText"/>
        </w:rPr>
        <w:t xml:space="preserve"> Organizations that are not government organizations</w:t>
      </w:r>
      <w:bookmarkEnd w:id="268"/>
      <w:bookmarkEnd w:id="269"/>
      <w:bookmarkEnd w:id="270"/>
      <w:bookmarkEnd w:id="271"/>
    </w:p>
    <w:p>
      <w:pPr>
        <w:pStyle w:val="yShoulderClause"/>
        <w:rPr>
          <w:snapToGrid w:val="0"/>
        </w:rPr>
      </w:pPr>
      <w:r>
        <w:rPr>
          <w:snapToGrid w:val="0"/>
        </w:rPr>
        <w:t>[s. </w:t>
      </w:r>
      <w:r>
        <w:t>3</w:t>
      </w:r>
      <w:r>
        <w:rPr>
          <w:snapToGrid w:val="0"/>
        </w:rPr>
        <w:t>]</w:t>
      </w:r>
    </w:p>
    <w:p>
      <w:pPr>
        <w:pStyle w:val="yNumberedItem"/>
      </w:pPr>
      <w:r>
        <w:t>1.</w:t>
      </w:r>
      <w:r>
        <w:tab/>
        <w:t>The Legislative Council, the Legislative Assembly and a committee of either or both of them.</w:t>
      </w:r>
    </w:p>
    <w:p>
      <w:pPr>
        <w:pStyle w:val="yNumberedItem"/>
      </w:pPr>
      <w:r>
        <w:t>2.</w:t>
      </w:r>
      <w:r>
        <w:tab/>
        <w:t>The offices of member of the Legislative Council and member of the Legislative Assembly.</w:t>
      </w:r>
    </w:p>
    <w:p>
      <w:pPr>
        <w:pStyle w:val="yNumberedItem"/>
      </w:pPr>
      <w:r>
        <w:t>3.</w:t>
      </w:r>
      <w:r>
        <w:tab/>
        <w:t>A parliamentary department.</w:t>
      </w:r>
    </w:p>
    <w:p>
      <w:pPr>
        <w:pStyle w:val="yNumberedItem"/>
      </w:pPr>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p>
    <w:p>
      <w:pPr>
        <w:pStyle w:val="yNumberedItem"/>
      </w:pPr>
      <w:r>
        <w:t>5.</w:t>
      </w:r>
      <w:r>
        <w:tab/>
        <w:t xml:space="preserve">The organization, controlled by the secretary of a parliamentary political party, that is concerned with dealing with the affairs of the party, even if it includes an electorate officer appointed under the </w:t>
      </w:r>
      <w:r>
        <w:rPr>
          <w:i/>
        </w:rPr>
        <w:t>Parliamentary and Electorate Staff (Employment) Act 1992</w:t>
      </w:r>
      <w:r>
        <w:t xml:space="preserve"> to assist the secretary.</w:t>
      </w:r>
    </w:p>
    <w:p>
      <w:pPr>
        <w:pStyle w:val="yNumberedItem"/>
      </w:pPr>
      <w:r>
        <w:t>6.</w:t>
      </w:r>
      <w:r>
        <w:tab/>
        <w:t xml:space="preserve">The organization, controlled by the holder of an office described in paragraph (d), (e) or (f) of the definition of </w:t>
      </w:r>
      <w:r>
        <w:rPr>
          <w:b/>
          <w:i/>
        </w:rPr>
        <w:t>political office holder</w:t>
      </w:r>
      <w:r>
        <w:t xml:space="preserve"> in section 3 of the </w:t>
      </w:r>
      <w:r>
        <w:rPr>
          <w:i/>
        </w:rPr>
        <w:t>Public Sector Management Act 1994</w:t>
      </w:r>
      <w:r>
        <w:t>, even if it includes a ministerial officer appointed under that Act to assist the holder of the office.</w:t>
      </w:r>
    </w:p>
    <w:p>
      <w:pPr>
        <w:pStyle w:val="yNumberedItem"/>
      </w:pPr>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p>
    <w:p>
      <w:pPr>
        <w:pStyle w:val="yScheduleHeading"/>
      </w:pPr>
      <w:bookmarkStart w:id="272" w:name="_Toc155174828"/>
      <w:bookmarkStart w:id="273" w:name="_Toc135042521"/>
      <w:bookmarkStart w:id="274" w:name="_Toc135042641"/>
      <w:bookmarkStart w:id="275" w:name="_Toc135133361"/>
      <w:r>
        <w:rPr>
          <w:rStyle w:val="CharSchNo"/>
        </w:rPr>
        <w:t xml:space="preserve">Schedule 3 </w:t>
      </w:r>
      <w:r>
        <w:t>—</w:t>
      </w:r>
      <w:r>
        <w:rPr>
          <w:rStyle w:val="CharSchText"/>
        </w:rPr>
        <w:t xml:space="preserve"> Certain government organizations</w:t>
      </w:r>
      <w:bookmarkEnd w:id="272"/>
      <w:bookmarkEnd w:id="273"/>
      <w:bookmarkEnd w:id="274"/>
      <w:bookmarkEnd w:id="275"/>
      <w:r>
        <w:rPr>
          <w:rStyle w:val="CharSchText"/>
        </w:rPr>
        <w:t xml:space="preserve"> </w:t>
      </w:r>
    </w:p>
    <w:p>
      <w:pPr>
        <w:pStyle w:val="yShoulderClause"/>
        <w:rPr>
          <w:snapToGrid w:val="0"/>
        </w:rPr>
      </w:pPr>
      <w:r>
        <w:rPr>
          <w:snapToGrid w:val="0"/>
        </w:rPr>
        <w:t>[s. </w:t>
      </w:r>
      <w:r>
        <w:t>3</w:t>
      </w:r>
      <w:r>
        <w:rPr>
          <w:snapToGrid w:val="0"/>
        </w:rPr>
        <w:t>]</w:t>
      </w:r>
    </w:p>
    <w:p>
      <w:pPr>
        <w:pStyle w:val="yNumberedItem"/>
      </w:pPr>
      <w:r>
        <w:t>1.</w:t>
      </w:r>
      <w:r>
        <w:tab/>
        <w:t xml:space="preserve">A body established by the </w:t>
      </w:r>
      <w:r>
        <w:rPr>
          <w:i/>
        </w:rPr>
        <w:t>Electricity Corporations Act 2005</w:t>
      </w:r>
      <w:r>
        <w:t xml:space="preserve"> section 4(1).</w:t>
      </w:r>
    </w:p>
    <w:p>
      <w:pPr>
        <w:pStyle w:val="yNumberedItem"/>
      </w:pPr>
      <w:r>
        <w:t>2.</w:t>
      </w:r>
      <w:r>
        <w:tab/>
        <w:t xml:space="preserve">A body established by or under the </w:t>
      </w:r>
      <w:r>
        <w:rPr>
          <w:i/>
          <w:iCs/>
        </w:rPr>
        <w:t>Water Corporations Act 1995</w:t>
      </w:r>
      <w:r>
        <w:t xml:space="preserve"> section 4, namely — </w:t>
      </w:r>
    </w:p>
    <w:p>
      <w:pPr>
        <w:pStyle w:val="yIndenta"/>
      </w:pPr>
      <w:r>
        <w:tab/>
        <w:t>(i)</w:t>
      </w:r>
      <w:r>
        <w:tab/>
        <w:t>the Water Corporation; and</w:t>
      </w:r>
    </w:p>
    <w:p>
      <w:pPr>
        <w:pStyle w:val="yIndenta"/>
      </w:pPr>
      <w:r>
        <w:tab/>
        <w:t>(ii)</w:t>
      </w:r>
      <w:r>
        <w:tab/>
        <w:t>the Bunbury Water Corporation; and</w:t>
      </w:r>
    </w:p>
    <w:p>
      <w:pPr>
        <w:pStyle w:val="yIndenta"/>
      </w:pPr>
      <w:r>
        <w:tab/>
        <w:t>(iii)</w:t>
      </w:r>
      <w:r>
        <w:tab/>
        <w:t>the Busselton Water Corporation; and</w:t>
      </w:r>
    </w:p>
    <w:p>
      <w:pPr>
        <w:pStyle w:val="yIndenta"/>
      </w:pPr>
      <w:r>
        <w:tab/>
        <w:t>(iv)</w:t>
      </w:r>
      <w:r>
        <w:tab/>
        <w:t>a body established by the Governor.</w:t>
      </w:r>
    </w:p>
    <w:p>
      <w:pPr>
        <w:pStyle w:val="yFootnotesection"/>
      </w:pPr>
      <w:r>
        <w:tab/>
        <w:t>[Schedule 3 amended: No. 18 of 2005 s. 139; No. 25 of 2012 s. 230(1) and (2); No. 25 of 2013 s. 46.]</w:t>
      </w:r>
    </w:p>
    <w:p>
      <w:pPr>
        <w:pStyle w:val="yScheduleHeading"/>
        <w:rPr>
          <w:rStyle w:val="CharSchNo"/>
        </w:rPr>
        <w:sectPr>
          <w:headerReference w:type="even" r:id="rId20"/>
          <w:headerReference w:type="default" r:id="rId21"/>
          <w:headerReference w:type="first" r:id="rId22"/>
          <w:pgSz w:w="11907" w:h="16840" w:code="9"/>
          <w:pgMar w:top="2376" w:right="2405" w:bottom="3542" w:left="2405" w:header="706" w:footer="3544" w:gutter="0"/>
          <w:cols w:space="720"/>
          <w:noEndnote/>
          <w:docGrid w:linePitch="326"/>
        </w:sectPr>
      </w:pPr>
    </w:p>
    <w:p>
      <w:pPr>
        <w:pStyle w:val="yScheduleHeading"/>
      </w:pPr>
      <w:bookmarkStart w:id="277" w:name="_Toc155174829"/>
      <w:bookmarkStart w:id="278" w:name="_Toc135042522"/>
      <w:bookmarkStart w:id="279" w:name="_Toc135042642"/>
      <w:bookmarkStart w:id="280" w:name="_Toc135133362"/>
      <w:r>
        <w:rPr>
          <w:rStyle w:val="CharSchNo"/>
        </w:rPr>
        <w:t xml:space="preserve">Schedule 4 </w:t>
      </w:r>
      <w:r>
        <w:t>—</w:t>
      </w:r>
      <w:r>
        <w:rPr>
          <w:rStyle w:val="CharSchText"/>
        </w:rPr>
        <w:t xml:space="preserve"> Provisions applicable to the Commission</w:t>
      </w:r>
      <w:bookmarkEnd w:id="277"/>
      <w:bookmarkEnd w:id="278"/>
      <w:bookmarkEnd w:id="279"/>
      <w:bookmarkEnd w:id="280"/>
      <w:r>
        <w:rPr>
          <w:rStyle w:val="CharSchText"/>
        </w:rPr>
        <w:t xml:space="preserve"> </w:t>
      </w:r>
    </w:p>
    <w:p>
      <w:pPr>
        <w:pStyle w:val="yShoulderClause"/>
        <w:rPr>
          <w:snapToGrid w:val="0"/>
        </w:rPr>
      </w:pPr>
      <w:r>
        <w:rPr>
          <w:snapToGrid w:val="0"/>
        </w:rPr>
        <w:t>[s. 59]</w:t>
      </w:r>
    </w:p>
    <w:p>
      <w:pPr>
        <w:pStyle w:val="yHeading5"/>
        <w:spacing w:line="220" w:lineRule="atLeast"/>
        <w:rPr>
          <w:snapToGrid w:val="0"/>
        </w:rPr>
      </w:pPr>
      <w:bookmarkStart w:id="281" w:name="_Toc155174830"/>
      <w:bookmarkStart w:id="282" w:name="_Toc135133363"/>
      <w:r>
        <w:rPr>
          <w:rStyle w:val="CharSClsNo"/>
        </w:rPr>
        <w:t>1</w:t>
      </w:r>
      <w:r>
        <w:t>.</w:t>
      </w:r>
      <w:r>
        <w:tab/>
      </w:r>
      <w:r>
        <w:rPr>
          <w:snapToGrid w:val="0"/>
        </w:rPr>
        <w:t>Terms used</w:t>
      </w:r>
      <w:bookmarkEnd w:id="281"/>
      <w:bookmarkEnd w:id="282"/>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rStyle w:val="CharDefText"/>
        </w:rPr>
        <w:t>appointed member</w:t>
      </w:r>
      <w:r>
        <w:t xml:space="preserve"> means the member of the Commission appointed under section 58(d);</w:t>
      </w:r>
    </w:p>
    <w:p>
      <w:pPr>
        <w:pStyle w:val="yDefstart"/>
        <w:spacing w:line="220" w:lineRule="atLeast"/>
        <w:rPr>
          <w:b/>
        </w:rPr>
      </w:pPr>
      <w:r>
        <w:tab/>
      </w:r>
      <w:r>
        <w:rPr>
          <w:rStyle w:val="CharDefText"/>
        </w:rPr>
        <w:t>member</w:t>
      </w:r>
      <w:r>
        <w:rPr>
          <w:b/>
        </w:rPr>
        <w:t> </w:t>
      </w:r>
      <w:r>
        <w:t>means a member of the Commission under section 58.</w:t>
      </w:r>
    </w:p>
    <w:p>
      <w:pPr>
        <w:pStyle w:val="yHeading5"/>
        <w:spacing w:line="220" w:lineRule="atLeast"/>
        <w:rPr>
          <w:snapToGrid w:val="0"/>
        </w:rPr>
      </w:pPr>
      <w:bookmarkStart w:id="283" w:name="_Toc155174831"/>
      <w:bookmarkStart w:id="284" w:name="_Toc135133364"/>
      <w:r>
        <w:rPr>
          <w:rStyle w:val="CharSClsNo"/>
        </w:rPr>
        <w:t>2</w:t>
      </w:r>
      <w:r>
        <w:rPr>
          <w:snapToGrid w:val="0"/>
        </w:rPr>
        <w:t>.</w:t>
      </w:r>
      <w:r>
        <w:rPr>
          <w:snapToGrid w:val="0"/>
        </w:rPr>
        <w:tab/>
        <w:t>Term of office of the appointed member</w:t>
      </w:r>
      <w:bookmarkEnd w:id="283"/>
      <w:bookmarkEnd w:id="284"/>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rPr>
          <w:snapToGrid w:val="0"/>
        </w:rPr>
      </w:pPr>
      <w:bookmarkStart w:id="285" w:name="_Toc155174832"/>
      <w:bookmarkStart w:id="286" w:name="_Toc135133365"/>
      <w:r>
        <w:rPr>
          <w:rStyle w:val="CharSClsNo"/>
        </w:rPr>
        <w:t>3</w:t>
      </w:r>
      <w:r>
        <w:rPr>
          <w:snapToGrid w:val="0"/>
        </w:rPr>
        <w:t>.</w:t>
      </w:r>
      <w:r>
        <w:rPr>
          <w:snapToGrid w:val="0"/>
        </w:rPr>
        <w:tab/>
        <w:t>Chairperson</w:t>
      </w:r>
      <w:bookmarkEnd w:id="285"/>
      <w:bookmarkEnd w:id="286"/>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rPr>
          <w:snapToGrid w:val="0"/>
        </w:rPr>
      </w:pPr>
      <w:bookmarkStart w:id="287" w:name="_Toc155174833"/>
      <w:bookmarkStart w:id="288" w:name="_Toc135133366"/>
      <w:r>
        <w:rPr>
          <w:rStyle w:val="CharSClsNo"/>
        </w:rPr>
        <w:t>4</w:t>
      </w:r>
      <w:r>
        <w:rPr>
          <w:snapToGrid w:val="0"/>
        </w:rPr>
        <w:t>.</w:t>
      </w:r>
      <w:r>
        <w:rPr>
          <w:snapToGrid w:val="0"/>
        </w:rPr>
        <w:tab/>
        <w:t>Meetings</w:t>
      </w:r>
      <w:bookmarkEnd w:id="287"/>
      <w:bookmarkEnd w:id="288"/>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rPr>
          <w:snapToGrid w:val="0"/>
        </w:rPr>
      </w:pPr>
      <w:bookmarkStart w:id="289" w:name="_Toc155174834"/>
      <w:bookmarkStart w:id="290" w:name="_Toc135133367"/>
      <w:r>
        <w:rPr>
          <w:rStyle w:val="CharSClsNo"/>
        </w:rPr>
        <w:t>5</w:t>
      </w:r>
      <w:r>
        <w:rPr>
          <w:snapToGrid w:val="0"/>
        </w:rPr>
        <w:t>.</w:t>
      </w:r>
      <w:r>
        <w:rPr>
          <w:snapToGrid w:val="0"/>
        </w:rPr>
        <w:tab/>
        <w:t>Conflicts of interest</w:t>
      </w:r>
      <w:bookmarkEnd w:id="289"/>
      <w:bookmarkEnd w:id="290"/>
      <w:r>
        <w:rPr>
          <w:snapToGrid w:val="0"/>
        </w:rPr>
        <w:t xml:space="preserve"> </w:t>
      </w:r>
    </w:p>
    <w:p>
      <w:pPr>
        <w:pStyle w:val="ySubsection"/>
      </w:pPr>
      <w:r>
        <w:rPr>
          <w:snapToGrid w:val="0"/>
        </w:rPr>
        <w:tab/>
        <w:t>(1)</w:t>
      </w:r>
      <w:r>
        <w:rPr>
          <w:snapToGrid w:val="0"/>
        </w:rPr>
        <w:tab/>
      </w:r>
      <w:r>
        <w:t>In this clause —</w:t>
      </w:r>
    </w:p>
    <w:p>
      <w:pPr>
        <w:pStyle w:val="yDefstart"/>
      </w:pPr>
      <w:r>
        <w:tab/>
      </w:r>
      <w:r>
        <w:rPr>
          <w:rStyle w:val="CharDefText"/>
        </w:rPr>
        <w:t>material personal interest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tab/>
        <w:t>(6)</w:t>
      </w:r>
      <w:r>
        <w:rPr>
          <w:snapToGrid w:val="0"/>
        </w:rPr>
        <w:tab/>
        <w:t>On an application by the Commission the Minister may issue a written declaration that this clause does not apply in relation to a specified matter.</w:t>
      </w:r>
    </w:p>
    <w:p>
      <w:pPr>
        <w:pStyle w:val="yHeading5"/>
        <w:spacing w:line="220" w:lineRule="atLeast"/>
        <w:rPr>
          <w:snapToGrid w:val="0"/>
        </w:rPr>
      </w:pPr>
      <w:bookmarkStart w:id="291" w:name="_Toc155174835"/>
      <w:bookmarkStart w:id="292" w:name="_Toc135133368"/>
      <w:r>
        <w:rPr>
          <w:rStyle w:val="CharSClsNo"/>
        </w:rPr>
        <w:t>6</w:t>
      </w:r>
      <w:r>
        <w:rPr>
          <w:snapToGrid w:val="0"/>
        </w:rPr>
        <w:t>.</w:t>
      </w:r>
      <w:r>
        <w:rPr>
          <w:snapToGrid w:val="0"/>
        </w:rPr>
        <w:tab/>
        <w:t>Leave of absence</w:t>
      </w:r>
      <w:bookmarkEnd w:id="291"/>
      <w:bookmarkEnd w:id="292"/>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rPr>
          <w:snapToGrid w:val="0"/>
        </w:rPr>
      </w:pPr>
      <w:bookmarkStart w:id="293" w:name="_Toc155174836"/>
      <w:bookmarkStart w:id="294" w:name="_Toc135133369"/>
      <w:r>
        <w:rPr>
          <w:rStyle w:val="CharSClsNo"/>
        </w:rPr>
        <w:t>7</w:t>
      </w:r>
      <w:r>
        <w:rPr>
          <w:snapToGrid w:val="0"/>
        </w:rPr>
        <w:t>.</w:t>
      </w:r>
      <w:r>
        <w:rPr>
          <w:snapToGrid w:val="0"/>
        </w:rPr>
        <w:tab/>
        <w:t>Remuneration</w:t>
      </w:r>
      <w:bookmarkEnd w:id="293"/>
      <w:bookmarkEnd w:id="294"/>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w:t>
      </w:r>
      <w:r>
        <w:t xml:space="preserve"> Public Sector Commissioner</w:t>
      </w:r>
      <w:r>
        <w:rPr>
          <w:snapToGrid w:val="0"/>
        </w:rPr>
        <w:t>.</w:t>
      </w:r>
    </w:p>
    <w:p>
      <w:pPr>
        <w:pStyle w:val="yFootnotesection"/>
      </w:pPr>
      <w:r>
        <w:tab/>
        <w:t>[Clause 7 amended: No. 39 of 2010 s. 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pPr>
      <w:bookmarkStart w:id="295" w:name="_Toc155174837"/>
      <w:bookmarkStart w:id="296" w:name="_Toc135042530"/>
      <w:bookmarkStart w:id="297" w:name="_Toc135042650"/>
      <w:bookmarkStart w:id="298" w:name="_Toc135133370"/>
      <w:r>
        <w:t>Notes</w:t>
      </w:r>
      <w:bookmarkEnd w:id="295"/>
      <w:bookmarkEnd w:id="296"/>
      <w:bookmarkEnd w:id="297"/>
      <w:bookmarkEnd w:id="298"/>
    </w:p>
    <w:p>
      <w:pPr>
        <w:pStyle w:val="nStatement"/>
      </w:pPr>
      <w:r>
        <w:t xml:space="preserve">This is a compilation of the </w:t>
      </w:r>
      <w:r>
        <w:rPr>
          <w:i/>
          <w:noProof/>
        </w:rPr>
        <w:t>State Records Act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99" w:name="_Toc155174838"/>
      <w:bookmarkStart w:id="300" w:name="_Toc135133371"/>
      <w:r>
        <w:t>Compilation table</w:t>
      </w:r>
      <w:bookmarkEnd w:id="299"/>
      <w:bookmarkEnd w:id="30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State Records Act 2000</w:t>
            </w:r>
          </w:p>
        </w:tc>
        <w:tc>
          <w:tcPr>
            <w:tcW w:w="1134" w:type="dxa"/>
            <w:tcBorders>
              <w:top w:val="single" w:sz="8" w:space="0" w:color="auto"/>
            </w:tcBorders>
          </w:tcPr>
          <w:p>
            <w:pPr>
              <w:pStyle w:val="nTable"/>
              <w:spacing w:after="40"/>
            </w:pPr>
            <w:r>
              <w:t>52 of 2000</w:t>
            </w:r>
          </w:p>
        </w:tc>
        <w:tc>
          <w:tcPr>
            <w:tcW w:w="1134" w:type="dxa"/>
            <w:tcBorders>
              <w:top w:val="single" w:sz="8" w:space="0" w:color="auto"/>
            </w:tcBorders>
          </w:tcPr>
          <w:p>
            <w:pPr>
              <w:pStyle w:val="nTable"/>
              <w:spacing w:after="40"/>
            </w:pPr>
            <w:r>
              <w:t>28 Nov 2000</w:t>
            </w:r>
          </w:p>
        </w:tc>
        <w:tc>
          <w:tcPr>
            <w:tcW w:w="2552" w:type="dxa"/>
            <w:tcBorders>
              <w:top w:val="single" w:sz="8" w:space="0" w:color="auto"/>
            </w:tcBorders>
          </w:tcPr>
          <w:p>
            <w:pPr>
              <w:pStyle w:val="nTable"/>
              <w:spacing w:after="40"/>
            </w:pPr>
            <w:r>
              <w:t xml:space="preserve">s. 1 and 2: 28 Nov 2000; </w:t>
            </w:r>
            <w:r>
              <w:br/>
              <w:t>s. 3</w:t>
            </w:r>
            <w:r>
              <w:noBreakHyphen/>
              <w:t xml:space="preserve">10, Pt. 8 and 9 and s. 77 and 82: 28 Jul 2001 (see s. 2 and </w:t>
            </w:r>
            <w:r>
              <w:rPr>
                <w:i/>
              </w:rPr>
              <w:t xml:space="preserve">Gazette </w:t>
            </w:r>
            <w:r>
              <w:t xml:space="preserve">27 Jul 2001 p. 3797); </w:t>
            </w:r>
            <w:r>
              <w:br/>
              <w:t xml:space="preserve">Pt. 2-7 and s. 72, 78-81, 83 and 84: 1 Dec 2001 (see s. 2 and </w:t>
            </w:r>
            <w:r>
              <w:rPr>
                <w:i/>
              </w:rPr>
              <w:t>Gazette</w:t>
            </w:r>
            <w:r>
              <w:t xml:space="preserve"> 30 Nov 2001 p. 6067)</w:t>
            </w:r>
          </w:p>
        </w:tc>
      </w:tr>
      <w:tr>
        <w:tc>
          <w:tcPr>
            <w:tcW w:w="2268" w:type="dxa"/>
          </w:tcPr>
          <w:p>
            <w:pPr>
              <w:pStyle w:val="nTable"/>
              <w:spacing w:after="40"/>
              <w:rPr>
                <w:i/>
                <w:snapToGrid w:val="0"/>
              </w:rPr>
            </w:pPr>
            <w:r>
              <w:rPr>
                <w:i/>
                <w:noProof/>
                <w:snapToGrid w:val="0"/>
              </w:rPr>
              <w:t>Electricity Corporations Act 2005</w:t>
            </w:r>
            <w:r>
              <w:rPr>
                <w:noProof/>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t xml:space="preserve">1 Apr 2006 (see s. 2(2) and </w:t>
            </w:r>
            <w:r>
              <w:rPr>
                <w:i/>
              </w:rPr>
              <w:t>Gazette</w:t>
            </w:r>
            <w:r>
              <w:t xml:space="preserve"> 31 Mar 2006 p. 1153)</w:t>
            </w:r>
          </w:p>
        </w:tc>
      </w:tr>
      <w:tr>
        <w:tc>
          <w:tcPr>
            <w:tcW w:w="2268" w:type="dxa"/>
          </w:tcPr>
          <w:p>
            <w:pPr>
              <w:pStyle w:val="nTable"/>
              <w:spacing w:after="40"/>
              <w:rPr>
                <w:i/>
                <w:noProof/>
                <w:snapToGrid w:val="0"/>
              </w:rPr>
            </w:pPr>
            <w:r>
              <w:rPr>
                <w:i/>
                <w:snapToGrid w:val="0"/>
              </w:rPr>
              <w:t xml:space="preserve">Financial Legislation Amendment and Repeal Act 2006 </w:t>
            </w:r>
            <w:r>
              <w:rPr>
                <w:snapToGrid w:val="0"/>
              </w:rPr>
              <w:t>s. 6 and Sch. 1 cl. 159</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i/>
                <w:snapToGrid w:val="0"/>
              </w:rPr>
            </w:pPr>
            <w:r>
              <w:rPr>
                <w:i/>
                <w:snapToGrid w:val="0"/>
              </w:rPr>
              <w:t>Public Sector Reform Act 2010</w:t>
            </w:r>
            <w:r>
              <w:rPr>
                <w:iCs/>
                <w:snapToGrid w:val="0"/>
              </w:rPr>
              <w:t xml:space="preserve"> s. 85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7088" w:type="dxa"/>
            <w:gridSpan w:val="4"/>
            <w:shd w:val="clear" w:color="auto" w:fill="auto"/>
          </w:tcPr>
          <w:p>
            <w:pPr>
              <w:pStyle w:val="nTable"/>
              <w:spacing w:after="40"/>
              <w:rPr>
                <w:snapToGrid w:val="0"/>
              </w:rPr>
            </w:pPr>
            <w:r>
              <w:rPr>
                <w:b/>
                <w:snapToGrid w:val="0"/>
              </w:rPr>
              <w:t xml:space="preserve">Reprint 1: The </w:t>
            </w:r>
            <w:r>
              <w:rPr>
                <w:b/>
                <w:i/>
                <w:snapToGrid w:val="0"/>
              </w:rPr>
              <w:t>State Records Act 2000</w:t>
            </w:r>
            <w:r>
              <w:rPr>
                <w:b/>
                <w:snapToGrid w:val="0"/>
              </w:rPr>
              <w:t xml:space="preserve"> as at 6 Jan 2012</w:t>
            </w:r>
            <w:r>
              <w:rPr>
                <w:snapToGrid w:val="0"/>
              </w:rPr>
              <w:t xml:space="preserve"> (includes amendments listed above)</w:t>
            </w:r>
          </w:p>
        </w:tc>
      </w:tr>
      <w:tr>
        <w:tc>
          <w:tcPr>
            <w:tcW w:w="2268" w:type="dxa"/>
          </w:tcPr>
          <w:p>
            <w:pPr>
              <w:pStyle w:val="nTable"/>
              <w:spacing w:after="40"/>
              <w:rPr>
                <w:i/>
                <w:snapToGrid w:val="0"/>
              </w:rPr>
            </w:pPr>
            <w:r>
              <w:rPr>
                <w:i/>
                <w:snapToGrid w:val="0"/>
              </w:rPr>
              <w:t>Water Services Legislation Amendment and Repeal Act 2012</w:t>
            </w:r>
            <w:r>
              <w:rPr>
                <w:snapToGrid w:val="0"/>
              </w:rPr>
              <w:t xml:space="preserve"> s. 230(1) and (2)</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c>
          <w:tcPr>
            <w:tcW w:w="2268" w:type="dxa"/>
          </w:tcPr>
          <w:p>
            <w:pPr>
              <w:pStyle w:val="nTable"/>
              <w:spacing w:after="40"/>
              <w:rPr>
                <w:snapToGrid w:val="0"/>
              </w:rPr>
            </w:pPr>
            <w:r>
              <w:rPr>
                <w:i/>
                <w:snapToGrid w:val="0"/>
              </w:rPr>
              <w:t>Electricity Corporations Amendment Act 2013</w:t>
            </w:r>
            <w:r>
              <w:rPr>
                <w:snapToGrid w:val="0"/>
              </w:rPr>
              <w:t xml:space="preserve"> s. 46</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2"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c>
          <w:tcPr>
            <w:tcW w:w="2268" w:type="dxa"/>
          </w:tcPr>
          <w:p>
            <w:pPr>
              <w:pStyle w:val="nTable"/>
              <w:spacing w:after="40"/>
              <w:rPr>
                <w:i/>
                <w:snapToGrid w:val="0"/>
              </w:rPr>
            </w:pPr>
            <w:r>
              <w:rPr>
                <w:i/>
                <w:snapToGrid w:val="0"/>
              </w:rPr>
              <w:t>Local Government Legislation Amendment Act 2016</w:t>
            </w:r>
            <w:r>
              <w:rPr>
                <w:snapToGrid w:val="0"/>
              </w:rPr>
              <w:t xml:space="preserve"> Pt. 3 Div. 33</w:t>
            </w:r>
          </w:p>
        </w:tc>
        <w:tc>
          <w:tcPr>
            <w:tcW w:w="1134" w:type="dxa"/>
          </w:tcPr>
          <w:p>
            <w:pPr>
              <w:pStyle w:val="nTable"/>
              <w:spacing w:after="40"/>
              <w:rPr>
                <w:snapToGrid w:val="0"/>
              </w:rPr>
            </w:pPr>
            <w:r>
              <w:t>26 of 2016</w:t>
            </w:r>
          </w:p>
        </w:tc>
        <w:tc>
          <w:tcPr>
            <w:tcW w:w="1134" w:type="dxa"/>
          </w:tcPr>
          <w:p>
            <w:pPr>
              <w:pStyle w:val="nTable"/>
              <w:spacing w:after="40"/>
              <w:rPr>
                <w:snapToGrid w:val="0"/>
              </w:rPr>
            </w:pPr>
            <w:r>
              <w:t>21 Sep 2016</w:t>
            </w:r>
          </w:p>
        </w:tc>
        <w:tc>
          <w:tcPr>
            <w:tcW w:w="2552" w:type="dxa"/>
          </w:tcPr>
          <w:p>
            <w:pPr>
              <w:pStyle w:val="nTable"/>
              <w:spacing w:after="40"/>
              <w:rPr>
                <w:snapToGrid w:val="0"/>
                <w:color w:val="000000"/>
              </w:rPr>
            </w:pPr>
            <w:r>
              <w:rPr>
                <w:snapToGrid w:val="0"/>
              </w:rPr>
              <w:t xml:space="preserve">21 Jan 2017 (see s. 2(b) and </w:t>
            </w:r>
            <w:r>
              <w:rPr>
                <w:i/>
                <w:snapToGrid w:val="0"/>
              </w:rPr>
              <w:t>Gazette</w:t>
            </w:r>
            <w:r>
              <w:rPr>
                <w:snapToGrid w:val="0"/>
              </w:rPr>
              <w:t xml:space="preserve"> 20 Jan 2017 p. 648)</w:t>
            </w:r>
          </w:p>
        </w:tc>
      </w:tr>
      <w:tr>
        <w:trPr>
          <w:ins w:id="301" w:author="Master Repository Process" w:date="2024-01-03T11:45:00Z"/>
        </w:trPr>
        <w:tc>
          <w:tcPr>
            <w:tcW w:w="2268" w:type="dxa"/>
            <w:tcBorders>
              <w:bottom w:val="single" w:sz="4" w:space="0" w:color="auto"/>
            </w:tcBorders>
          </w:tcPr>
          <w:p>
            <w:pPr>
              <w:pStyle w:val="nTable"/>
              <w:spacing w:after="40"/>
              <w:rPr>
                <w:ins w:id="302" w:author="Master Repository Process" w:date="2024-01-03T11:45:00Z"/>
                <w:i/>
                <w:snapToGrid w:val="0"/>
              </w:rPr>
            </w:pPr>
            <w:ins w:id="303" w:author="Master Repository Process" w:date="2024-01-03T11:45:00Z">
              <w:r>
                <w:rPr>
                  <w:i/>
                </w:rPr>
                <w:t>Aboriginal Cultural Heritage Act 2021</w:t>
              </w:r>
              <w:r>
                <w:t xml:space="preserve"> s. 353</w:t>
              </w:r>
            </w:ins>
          </w:p>
        </w:tc>
        <w:tc>
          <w:tcPr>
            <w:tcW w:w="1134" w:type="dxa"/>
            <w:tcBorders>
              <w:bottom w:val="single" w:sz="4" w:space="0" w:color="auto"/>
            </w:tcBorders>
          </w:tcPr>
          <w:p>
            <w:pPr>
              <w:pStyle w:val="nTable"/>
              <w:spacing w:after="40"/>
              <w:rPr>
                <w:ins w:id="304" w:author="Master Repository Process" w:date="2024-01-03T11:45:00Z"/>
              </w:rPr>
            </w:pPr>
            <w:ins w:id="305" w:author="Master Repository Process" w:date="2024-01-03T11:45:00Z">
              <w:r>
                <w:t>27 of 2021</w:t>
              </w:r>
            </w:ins>
          </w:p>
        </w:tc>
        <w:tc>
          <w:tcPr>
            <w:tcW w:w="1134" w:type="dxa"/>
            <w:tcBorders>
              <w:bottom w:val="single" w:sz="4" w:space="0" w:color="auto"/>
            </w:tcBorders>
          </w:tcPr>
          <w:p>
            <w:pPr>
              <w:pStyle w:val="nTable"/>
              <w:spacing w:after="40"/>
              <w:rPr>
                <w:ins w:id="306" w:author="Master Repository Process" w:date="2024-01-03T11:45:00Z"/>
              </w:rPr>
            </w:pPr>
            <w:ins w:id="307" w:author="Master Repository Process" w:date="2024-01-03T11:45:00Z">
              <w:r>
                <w:t>22 Dec 2021</w:t>
              </w:r>
            </w:ins>
          </w:p>
        </w:tc>
        <w:tc>
          <w:tcPr>
            <w:tcW w:w="2552" w:type="dxa"/>
            <w:tcBorders>
              <w:bottom w:val="single" w:sz="4" w:space="0" w:color="auto"/>
            </w:tcBorders>
          </w:tcPr>
          <w:p>
            <w:pPr>
              <w:pStyle w:val="nTable"/>
              <w:spacing w:after="40"/>
              <w:rPr>
                <w:ins w:id="308" w:author="Master Repository Process" w:date="2024-01-03T11:45:00Z"/>
                <w:snapToGrid w:val="0"/>
              </w:rPr>
            </w:pPr>
            <w:ins w:id="309" w:author="Master Repository Process" w:date="2024-01-03T11:45:00Z">
              <w:r>
                <w:t>1 Jul 2023 (see s. 2(e) and SL 2023/40 cl. 2(b))</w:t>
              </w:r>
            </w:ins>
          </w:p>
        </w:tc>
      </w:tr>
    </w:tbl>
    <w:p>
      <w:pPr>
        <w:pStyle w:val="nHeading3"/>
      </w:pPr>
      <w:bookmarkStart w:id="310" w:name="_Toc155174839"/>
      <w:bookmarkStart w:id="311" w:name="_Toc135133372"/>
      <w:r>
        <w:t>Uncommenced provisions table</w:t>
      </w:r>
      <w:bookmarkEnd w:id="310"/>
      <w:bookmarkEnd w:id="31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76"/>
        <w:gridCol w:w="1118"/>
        <w:gridCol w:w="1134"/>
        <w:gridCol w:w="2460"/>
      </w:tblGrid>
      <w:tr>
        <w:trPr>
          <w:tblHeader/>
        </w:trPr>
        <w:tc>
          <w:tcPr>
            <w:tcW w:w="2376" w:type="dxa"/>
            <w:tcBorders>
              <w:bottom w:val="single" w:sz="8" w:space="0" w:color="auto"/>
            </w:tcBorders>
          </w:tcPr>
          <w:p>
            <w:pPr>
              <w:pStyle w:val="nTable"/>
              <w:keepNext/>
              <w:spacing w:after="40"/>
              <w:rPr>
                <w:b/>
                <w:snapToGrid w:val="0"/>
              </w:rPr>
            </w:pPr>
            <w:r>
              <w:rPr>
                <w:b/>
                <w:snapToGrid w:val="0"/>
              </w:rPr>
              <w:t>Short title</w:t>
            </w:r>
          </w:p>
        </w:tc>
        <w:tc>
          <w:tcPr>
            <w:tcW w:w="1118"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460" w:type="dxa"/>
            <w:tcBorders>
              <w:bottom w:val="single" w:sz="8" w:space="0" w:color="auto"/>
            </w:tcBorders>
          </w:tcPr>
          <w:p>
            <w:pPr>
              <w:pStyle w:val="nTable"/>
              <w:keepNext/>
              <w:spacing w:after="40"/>
              <w:rPr>
                <w:b/>
                <w:snapToGrid w:val="0"/>
              </w:rPr>
            </w:pPr>
            <w:r>
              <w:rPr>
                <w:b/>
                <w:snapToGrid w:val="0"/>
              </w:rPr>
              <w:t>Commencement</w:t>
            </w:r>
          </w:p>
        </w:tc>
      </w:tr>
      <w:tr>
        <w:tc>
          <w:tcPr>
            <w:tcW w:w="2376" w:type="dxa"/>
            <w:tcBorders>
              <w:bottom w:val="single" w:sz="4" w:space="0" w:color="auto"/>
            </w:tcBorders>
          </w:tcPr>
          <w:p>
            <w:pPr>
              <w:pStyle w:val="nTable"/>
              <w:spacing w:after="40"/>
              <w:rPr>
                <w:snapToGrid w:val="0"/>
              </w:rPr>
            </w:pPr>
            <w:r>
              <w:rPr>
                <w:i/>
                <w:snapToGrid w:val="0"/>
              </w:rPr>
              <w:t>Water Services Legislation Amendment and Repeal Act 2012</w:t>
            </w:r>
            <w:r>
              <w:rPr>
                <w:snapToGrid w:val="0"/>
              </w:rPr>
              <w:t xml:space="preserve"> s. 230(3)</w:t>
            </w:r>
          </w:p>
        </w:tc>
        <w:tc>
          <w:tcPr>
            <w:tcW w:w="1118" w:type="dxa"/>
            <w:tcBorders>
              <w:bottom w:val="single" w:sz="4" w:space="0" w:color="auto"/>
            </w:tcBorders>
          </w:tcPr>
          <w:p>
            <w:pPr>
              <w:pStyle w:val="nTable"/>
              <w:spacing w:after="40"/>
              <w:rPr>
                <w:snapToGrid w:val="0"/>
              </w:rPr>
            </w:pPr>
            <w:r>
              <w:rPr>
                <w:snapToGrid w:val="0"/>
              </w:rPr>
              <w:t>25 of 2012</w:t>
            </w:r>
          </w:p>
        </w:tc>
        <w:tc>
          <w:tcPr>
            <w:tcW w:w="1134" w:type="dxa"/>
            <w:tcBorders>
              <w:bottom w:val="single" w:sz="4" w:space="0" w:color="auto"/>
            </w:tcBorders>
          </w:tcPr>
          <w:p>
            <w:pPr>
              <w:pStyle w:val="nTable"/>
              <w:spacing w:after="40"/>
              <w:rPr>
                <w:snapToGrid w:val="0"/>
              </w:rPr>
            </w:pPr>
            <w:r>
              <w:t>3 Sep 2012</w:t>
            </w:r>
          </w:p>
        </w:tc>
        <w:tc>
          <w:tcPr>
            <w:tcW w:w="2460" w:type="dxa"/>
            <w:tcBorders>
              <w:bottom w:val="single" w:sz="4" w:space="0" w:color="auto"/>
            </w:tcBorders>
          </w:tcPr>
          <w:p>
            <w:pPr>
              <w:pStyle w:val="nTable"/>
              <w:spacing w:after="40"/>
              <w:rPr>
                <w:snapToGrid w:val="0"/>
              </w:rPr>
            </w:pPr>
            <w:r>
              <w:rPr>
                <w:snapToGrid w:val="0"/>
              </w:rPr>
              <w:t>To be proclaimed (see s. 2(b))</w:t>
            </w:r>
          </w:p>
        </w:tc>
      </w:tr>
      <w:tr>
        <w:trPr>
          <w:del w:id="312" w:author="Master Repository Process" w:date="2024-01-03T11:45:00Z"/>
        </w:trPr>
        <w:tc>
          <w:tcPr>
            <w:tcW w:w="2376" w:type="dxa"/>
            <w:tcBorders>
              <w:top w:val="nil"/>
            </w:tcBorders>
          </w:tcPr>
          <w:p>
            <w:pPr>
              <w:pStyle w:val="nTable"/>
              <w:spacing w:after="40"/>
              <w:rPr>
                <w:del w:id="313" w:author="Master Repository Process" w:date="2024-01-03T11:45:00Z"/>
                <w:i/>
                <w:snapToGrid w:val="0"/>
              </w:rPr>
            </w:pPr>
            <w:del w:id="314" w:author="Master Repository Process" w:date="2024-01-03T11:45:00Z">
              <w:r>
                <w:rPr>
                  <w:i/>
                </w:rPr>
                <w:delText>Aboriginal Cultural Heritage Act 2021</w:delText>
              </w:r>
              <w:r>
                <w:delText xml:space="preserve"> s. 353</w:delText>
              </w:r>
            </w:del>
          </w:p>
        </w:tc>
        <w:tc>
          <w:tcPr>
            <w:tcW w:w="1118" w:type="dxa"/>
            <w:tcBorders>
              <w:top w:val="nil"/>
            </w:tcBorders>
          </w:tcPr>
          <w:p>
            <w:pPr>
              <w:pStyle w:val="nTable"/>
              <w:spacing w:after="40"/>
              <w:rPr>
                <w:del w:id="315" w:author="Master Repository Process" w:date="2024-01-03T11:45:00Z"/>
                <w:snapToGrid w:val="0"/>
              </w:rPr>
            </w:pPr>
            <w:del w:id="316" w:author="Master Repository Process" w:date="2024-01-03T11:45:00Z">
              <w:r>
                <w:delText>27 of 2021</w:delText>
              </w:r>
            </w:del>
          </w:p>
        </w:tc>
        <w:tc>
          <w:tcPr>
            <w:tcW w:w="1134" w:type="dxa"/>
            <w:tcBorders>
              <w:top w:val="nil"/>
            </w:tcBorders>
          </w:tcPr>
          <w:p>
            <w:pPr>
              <w:pStyle w:val="nTable"/>
              <w:spacing w:after="40"/>
              <w:rPr>
                <w:del w:id="317" w:author="Master Repository Process" w:date="2024-01-03T11:45:00Z"/>
              </w:rPr>
            </w:pPr>
            <w:del w:id="318" w:author="Master Repository Process" w:date="2024-01-03T11:45:00Z">
              <w:r>
                <w:delText>22 Dec 2021</w:delText>
              </w:r>
            </w:del>
          </w:p>
        </w:tc>
        <w:tc>
          <w:tcPr>
            <w:tcW w:w="2460" w:type="dxa"/>
            <w:tcBorders>
              <w:top w:val="nil"/>
            </w:tcBorders>
          </w:tcPr>
          <w:p>
            <w:pPr>
              <w:pStyle w:val="nTable"/>
              <w:spacing w:after="40"/>
              <w:rPr>
                <w:del w:id="319" w:author="Master Repository Process" w:date="2024-01-03T11:45:00Z"/>
                <w:snapToGrid w:val="0"/>
              </w:rPr>
            </w:pPr>
            <w:del w:id="320" w:author="Master Repository Process" w:date="2024-01-03T11:45:00Z">
              <w:r>
                <w:delText>1 Jul 2023 (see s. 2(e) and SL 2023/40 cl. 2(b))</w:delText>
              </w:r>
            </w:del>
          </w:p>
        </w:tc>
      </w:tr>
    </w:tbl>
    <w:p>
      <w:pPr>
        <w:rPr>
          <w:del w:id="321" w:author="Master Repository Process" w:date="2024-01-03T11:45:00Z"/>
        </w:rPr>
      </w:pPr>
    </w:p>
    <w:p>
      <w:pPr>
        <w:rPr>
          <w:del w:id="322" w:author="Master Repository Process" w:date="2024-01-03T11:45:00Z"/>
        </w:rPr>
        <w:sectPr>
          <w:headerReference w:type="even" r:id="rId26"/>
          <w:headerReference w:type="default" r:id="rId27"/>
          <w:pgSz w:w="11907" w:h="16840" w:code="9"/>
          <w:pgMar w:top="2376" w:right="2405" w:bottom="3542" w:left="2405" w:header="706" w:footer="3544" w:gutter="0"/>
          <w:cols w:space="720"/>
          <w:noEndnote/>
          <w:docGrid w:linePitch="326"/>
        </w:sectPr>
      </w:pPr>
    </w:p>
    <w:p>
      <w:pPr>
        <w:rPr>
          <w:ins w:id="323" w:author="Master Repository Process" w:date="2024-01-03T11:45:00Z"/>
        </w:rPr>
      </w:pPr>
    </w:p>
    <w:p>
      <w:pPr>
        <w:rPr>
          <w:ins w:id="324" w:author="Master Repository Process" w:date="2024-01-03T11:45:00Z"/>
        </w:rPr>
        <w:sectPr>
          <w:headerReference w:type="even" r:id="rId28"/>
          <w:headerReference w:type="default" r:id="rId29"/>
          <w:pgSz w:w="11907" w:h="16840" w:code="9"/>
          <w:pgMar w:top="2376" w:right="2405" w:bottom="3542" w:left="2405" w:header="706" w:footer="3544" w:gutter="0"/>
          <w:cols w:space="720"/>
          <w:noEndnote/>
          <w:docGrid w:linePitch="326"/>
        </w:sectPr>
      </w:pPr>
    </w:p>
    <w:p>
      <w:ins w:id="326" w:author="Master Repository Process" w:date="2024-01-03T11:45: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27" w:author="Master Repository Process" w:date="2024-01-03T11:45:00Z"/>
                                  <w:sz w:val="16"/>
                                </w:rPr>
                              </w:pPr>
                              <w:ins w:id="328" w:author="Master Repository Process" w:date="2024-01-03T11:4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29" w:author="Master Repository Process" w:date="2024-01-03T11:45:00Z"/>
                                  <w:sz w:val="16"/>
                                </w:rPr>
                              </w:pPr>
                              <w:ins w:id="330" w:author="Master Repository Process" w:date="2024-01-03T11:4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31" w:author="Master Repository Process" w:date="2024-01-03T11:45:00Z"/>
                                  <w:sz w:val="16"/>
                                </w:rPr>
                              </w:pPr>
                              <w:ins w:id="332" w:author="Master Repository Process" w:date="2024-01-03T11:4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33" w:author="Master Repository Process" w:date="2024-01-03T11:45:00Z"/>
                                  <w:rFonts w:ascii="Arial" w:hAnsi="Arial" w:cs="Arial"/>
                                  <w:sz w:val="12"/>
                                </w:rPr>
                              </w:pPr>
                              <w:ins w:id="334" w:author="Master Repository Process" w:date="2024-01-03T11:45: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335" w:author="Master Repository Process" w:date="2024-01-03T11:45:00Z"/>
                            <w:sz w:val="16"/>
                          </w:rPr>
                        </w:pPr>
                        <w:ins w:id="336" w:author="Master Repository Process" w:date="2024-01-03T11:4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37" w:author="Master Repository Process" w:date="2024-01-03T11:45:00Z"/>
                            <w:sz w:val="16"/>
                          </w:rPr>
                        </w:pPr>
                        <w:ins w:id="338" w:author="Master Repository Process" w:date="2024-01-03T11:4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39" w:author="Master Repository Process" w:date="2024-01-03T11:45:00Z"/>
                            <w:sz w:val="16"/>
                          </w:rPr>
                        </w:pPr>
                        <w:ins w:id="340" w:author="Master Repository Process" w:date="2024-01-03T11:4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41" w:author="Master Repository Process" w:date="2024-01-03T11:45:00Z"/>
                            <w:rFonts w:ascii="Arial" w:hAnsi="Arial" w:cs="Arial"/>
                            <w:sz w:val="12"/>
                          </w:rPr>
                        </w:pPr>
                        <w:ins w:id="342" w:author="Master Repository Process" w:date="2024-01-03T11:45:00Z">
                          <w:r>
                            <w:rPr>
                              <w:rFonts w:ascii="Arial" w:hAnsi="Arial" w:cs="Arial"/>
                              <w:sz w:val="12"/>
                            </w:rPr>
                            <w:t>By Authority: GEOFF O. LAWN, Government Printer</w:t>
                          </w:r>
                        </w:ins>
                      </w:p>
                    </w:txbxContent>
                  </v:textbox>
                  <w10:wrap anchorx="page" anchory="page"/>
                </v:shape>
              </w:pict>
            </mc:Fallback>
          </mc:AlternateContent>
        </w:r>
      </w:ins>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Certain government organizations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Certain government organizations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25" w:name="Compilation"/>
    <w:bookmarkEnd w:id="32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3" w:name="Coversheet"/>
    <w:bookmarkEnd w:id="3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6" w:name="Schedule"/>
    <w:bookmarkEnd w:id="2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2131"/>
    <w:docVar w:name="WAFER_20131231111304" w:val="RemoveTocBookmarks,RemoveUnusedBookmarks,RemoveLanguageTags,UsedStyles,ResetPageSize,UpdateArrangement"/>
    <w:docVar w:name="WAFER_20131231111304_GUID" w:val="6398c862-054b-4a48-a29d-79307b3528c1"/>
    <w:docVar w:name="WAFER_20131231133948" w:val="RemoveTocBookmarks,RunningHeaders"/>
    <w:docVar w:name="WAFER_20131231133948_GUID" w:val="2be725b8-cb3a-4031-90e3-cf96305b9612"/>
    <w:docVar w:name="WAFER_20150713103728" w:val="ResetPageSize,UpdateArrangement,UpdateNTable"/>
    <w:docVar w:name="WAFER_20150713103728_GUID" w:val="3599f9b1-23be-4e23-8df0-7e6edc68778d"/>
    <w:docVar w:name="WAFER_20151123134431" w:val="UpdateStyles"/>
    <w:docVar w:name="WAFER_20151123134431_GUID" w:val="c9d8ff3d-11e5-4605-9b1e-bdf3fc7f4c34"/>
    <w:docVar w:name="WAFER_20151123134811" w:val="UsedStyles"/>
    <w:docVar w:name="WAFER_20151123134811_GUID" w:val="afdbc00b-59e6-438a-8d59-a5f070b9cc4b"/>
    <w:docVar w:name="WAFER_202002261158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5825_GUID" w:val="8ad52684-a4bf-4ea5-a688-580d7466555e"/>
    <w:docVar w:name="WAFER_20211221114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14440_GUID" w:val="4b531cbc-e90c-44bc-93c1-2dda9f2a8821"/>
    <w:docVar w:name="WAFER_202305151041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46_GUID" w:val="657a3a2e-f178-4b6f-949e-2c51ae6f97c8"/>
    <w:docVar w:name="WAFER_202306271130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3017_GUID" w:val="8c27ddc8-819d-47c3-b252-b6bfbf6817a0"/>
    <w:docVar w:name="WAFER_202312271421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2131_GUID" w:val="a65b931f-0eef-46ca-bdbd-52fe9ecbb5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C14B1C-DB92-48FD-9EDA-F6381D58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12740</Words>
  <Characters>62427</Characters>
  <Application>Microsoft Office Word</Application>
  <DocSecurity>0</DocSecurity>
  <Lines>1642</Lines>
  <Paragraphs>894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01-g0-01 - 01-h0-01</dc:title>
  <dc:subject/>
  <dc:creator/>
  <cp:keywords/>
  <dc:description/>
  <cp:lastModifiedBy>Master Repository Process</cp:lastModifiedBy>
  <cp:revision>2</cp:revision>
  <cp:lastPrinted>2012-01-12T01:11:00Z</cp:lastPrinted>
  <dcterms:created xsi:type="dcterms:W3CDTF">2024-01-03T03:45:00Z</dcterms:created>
  <dcterms:modified xsi:type="dcterms:W3CDTF">2024-01-03T03:45:00Z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DocumentType">
    <vt:lpwstr>Act</vt:lpwstr>
  </property>
  <property fmtid="{D5CDD505-2E9C-101B-9397-08002B2CF9AE}" pid="4" name="OwlsUID">
    <vt:i4>2037</vt:i4>
  </property>
  <property fmtid="{D5CDD505-2E9C-101B-9397-08002B2CF9AE}" pid="5" name="ReprintNo">
    <vt:lpwstr>1</vt:lpwstr>
  </property>
  <property fmtid="{D5CDD505-2E9C-101B-9397-08002B2CF9AE}" pid="6" name="ReprintedAsAt">
    <vt:filetime>2012-01-05T16:00:00Z</vt:filetime>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01-g0-01</vt:lpwstr>
  </property>
  <property fmtid="{D5CDD505-2E9C-101B-9397-08002B2CF9AE}" pid="12" name="FromAsAtDate">
    <vt:lpwstr>22 Dec 2021</vt:lpwstr>
  </property>
  <property fmtid="{D5CDD505-2E9C-101B-9397-08002B2CF9AE}" pid="13" name="ToSuffix">
    <vt:lpwstr>01-h0-01</vt:lpwstr>
  </property>
  <property fmtid="{D5CDD505-2E9C-101B-9397-08002B2CF9AE}" pid="14" name="ToAsAtDate">
    <vt:lpwstr>01 Jul 2023</vt:lpwstr>
  </property>
</Properties>
</file>