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2023</w:t>
      </w:r>
      <w:r>
        <w:fldChar w:fldCharType="end"/>
      </w:r>
      <w:r>
        <w:t xml:space="preserve">, </w:t>
      </w:r>
      <w:r>
        <w:fldChar w:fldCharType="begin"/>
      </w:r>
      <w:r>
        <w:instrText xml:space="preserve"> DocProperty FromSuffix </w:instrText>
      </w:r>
      <w:r>
        <w:fldChar w:fldCharType="separate"/>
      </w:r>
      <w:r>
        <w:t>00-al0-00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00-am0-01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Road Traffic (Administration) Act 2008</w:t>
      </w:r>
    </w:p>
    <w:p>
      <w:pPr>
        <w:pStyle w:val="NameofActReg"/>
      </w:pPr>
      <w:r>
        <w:t>Road Traffic (Administration) Regulations 2014</w:t>
      </w:r>
    </w:p>
    <w:p>
      <w:pPr>
        <w:pStyle w:val="Heading2"/>
        <w:pageBreakBefore w:val="0"/>
        <w:spacing w:before="360"/>
      </w:pPr>
      <w:bookmarkStart w:id="1" w:name="_Toc155169052"/>
      <w:bookmarkStart w:id="2" w:name="_Toc135140005"/>
      <w:bookmarkStart w:id="3" w:name="_Toc135140066"/>
      <w:bookmarkStart w:id="4" w:name="_Toc135219708"/>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55169053"/>
      <w:bookmarkStart w:id="7" w:name="_Toc135219709"/>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8" w:name="_Toc155169054"/>
      <w:bookmarkStart w:id="9" w:name="_Toc135219710"/>
      <w:r>
        <w:rPr>
          <w:rStyle w:val="CharSectno"/>
        </w:rPr>
        <w:t>2</w:t>
      </w:r>
      <w:r>
        <w:rPr>
          <w:spacing w:val="-2"/>
        </w:rPr>
        <w:t>.</w:t>
      </w:r>
      <w:r>
        <w:rPr>
          <w:spacing w:val="-2"/>
        </w:rPr>
        <w:tab/>
        <w:t>Commencement</w:t>
      </w:r>
      <w:bookmarkEnd w:id="8"/>
      <w:bookmarkEnd w:id="9"/>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10" w:name="_Toc155169055"/>
      <w:bookmarkStart w:id="11" w:name="_Toc135219711"/>
      <w:r>
        <w:rPr>
          <w:rStyle w:val="CharSectno"/>
        </w:rPr>
        <w:t>3</w:t>
      </w:r>
      <w:r>
        <w:rPr>
          <w:snapToGrid w:val="0"/>
        </w:rPr>
        <w:t>.</w:t>
      </w:r>
      <w:r>
        <w:rPr>
          <w:snapToGrid w:val="0"/>
        </w:rPr>
        <w:tab/>
        <w:t>Term used: section</w:t>
      </w:r>
      <w:bookmarkEnd w:id="10"/>
      <w:bookmarkEnd w:id="11"/>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12" w:name="_Toc155169056"/>
      <w:bookmarkStart w:id="13" w:name="_Toc135140009"/>
      <w:bookmarkStart w:id="14" w:name="_Toc135140070"/>
      <w:bookmarkStart w:id="15" w:name="_Toc135219712"/>
      <w:r>
        <w:rPr>
          <w:rStyle w:val="CharPartNo"/>
        </w:rPr>
        <w:t>Part 2</w:t>
      </w:r>
      <w:r>
        <w:rPr>
          <w:rStyle w:val="CharDivNo"/>
        </w:rPr>
        <w:t> </w:t>
      </w:r>
      <w:r>
        <w:t>—</w:t>
      </w:r>
      <w:r>
        <w:rPr>
          <w:rStyle w:val="CharDivText"/>
        </w:rPr>
        <w:t> </w:t>
      </w:r>
      <w:r>
        <w:rPr>
          <w:rStyle w:val="CharPartText"/>
        </w:rPr>
        <w:t>Matters prescribed for terms used in road laws</w:t>
      </w:r>
      <w:bookmarkEnd w:id="12"/>
      <w:bookmarkEnd w:id="13"/>
      <w:bookmarkEnd w:id="14"/>
      <w:bookmarkEnd w:id="15"/>
    </w:p>
    <w:p>
      <w:pPr>
        <w:pStyle w:val="Heading5"/>
      </w:pPr>
      <w:bookmarkStart w:id="16" w:name="_Toc155169057"/>
      <w:bookmarkStart w:id="17" w:name="_Toc135219713"/>
      <w:r>
        <w:rPr>
          <w:rStyle w:val="CharSectno"/>
        </w:rPr>
        <w:t>4</w:t>
      </w:r>
      <w:r>
        <w:t>.</w:t>
      </w:r>
      <w:r>
        <w:tab/>
        <w:t>Power assisted pedal cycles</w:t>
      </w:r>
      <w:bookmarkEnd w:id="16"/>
      <w:bookmarkEnd w:id="17"/>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18" w:name="_Toc155169058"/>
      <w:bookmarkStart w:id="19" w:name="_Toc135140011"/>
      <w:bookmarkStart w:id="20" w:name="_Toc135140072"/>
      <w:bookmarkStart w:id="21" w:name="_Toc135219714"/>
      <w:r>
        <w:rPr>
          <w:rStyle w:val="CharPartNo"/>
        </w:rPr>
        <w:t>Part 3</w:t>
      </w:r>
      <w:r>
        <w:rPr>
          <w:rStyle w:val="CharDivNo"/>
        </w:rPr>
        <w:t> </w:t>
      </w:r>
      <w:r>
        <w:t>—</w:t>
      </w:r>
      <w:r>
        <w:rPr>
          <w:rStyle w:val="CharDivText"/>
        </w:rPr>
        <w:t> </w:t>
      </w:r>
      <w:r>
        <w:rPr>
          <w:rStyle w:val="CharPartText"/>
        </w:rPr>
        <w:t>Information</w:t>
      </w:r>
      <w:bookmarkEnd w:id="18"/>
      <w:bookmarkEnd w:id="19"/>
      <w:bookmarkEnd w:id="20"/>
      <w:bookmarkEnd w:id="21"/>
    </w:p>
    <w:p>
      <w:pPr>
        <w:pStyle w:val="Heading5"/>
      </w:pPr>
      <w:bookmarkStart w:id="22" w:name="_Toc155169059"/>
      <w:bookmarkStart w:id="23" w:name="_Toc135219715"/>
      <w:r>
        <w:rPr>
          <w:rStyle w:val="CharSectno"/>
        </w:rPr>
        <w:t>5</w:t>
      </w:r>
      <w:r>
        <w:t>.</w:t>
      </w:r>
      <w:r>
        <w:tab/>
        <w:t>Information to be disclosed by Commissioner of Police to CEO: s. 12(4)(d)</w:t>
      </w:r>
      <w:bookmarkEnd w:id="22"/>
      <w:bookmarkEnd w:id="23"/>
    </w:p>
    <w:p>
      <w:pPr>
        <w:pStyle w:val="Subsection"/>
      </w:pPr>
      <w:r>
        <w:tab/>
      </w:r>
      <w:r>
        <w:tab/>
        <w:t xml:space="preserve">For section 12(4)(d), the information is — </w:t>
      </w:r>
    </w:p>
    <w:p>
      <w:pPr>
        <w:pStyle w:val="Ednotepara"/>
      </w:pPr>
      <w:r>
        <w:tab/>
        <w:t>[(a)</w:t>
      </w:r>
      <w:r>
        <w:tab/>
        <w:t>deleted]</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Footnotesection"/>
      </w:pPr>
      <w:r>
        <w:tab/>
        <w:t>[Regulation 5 amended: SL 2020/91 r. 4 and 5.]</w:t>
      </w:r>
    </w:p>
    <w:p>
      <w:pPr>
        <w:pStyle w:val="Heading5"/>
        <w:rPr>
          <w:b w:val="0"/>
        </w:rPr>
      </w:pPr>
      <w:bookmarkStart w:id="24" w:name="_Toc155169060"/>
      <w:bookmarkStart w:id="25" w:name="_Toc135219716"/>
      <w:r>
        <w:rPr>
          <w:rStyle w:val="CharSectno"/>
        </w:rPr>
        <w:t>6</w:t>
      </w:r>
      <w:r>
        <w:t>.</w:t>
      </w:r>
      <w:r>
        <w:tab/>
        <w:t>Exchange of information between CEO and other authorities</w:t>
      </w:r>
      <w:bookmarkEnd w:id="24"/>
      <w:bookmarkEnd w:id="25"/>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26" w:name="_Toc155169061"/>
      <w:bookmarkStart w:id="27" w:name="_Toc135219717"/>
      <w:r>
        <w:rPr>
          <w:rStyle w:val="CharSectno"/>
        </w:rPr>
        <w:t>7</w:t>
      </w:r>
      <w:r>
        <w:t>.</w:t>
      </w:r>
      <w:r>
        <w:tab/>
        <w:t>Disclosure of information to prescribed persons</w:t>
      </w:r>
      <w:bookmarkEnd w:id="26"/>
      <w:bookmarkEnd w:id="27"/>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(aa)</w:t>
      </w:r>
      <w:r>
        <w:tab/>
        <w:t>the Commissioner, as defined in the</w:t>
      </w:r>
      <w:r>
        <w:rPr>
          <w:i/>
        </w:rPr>
        <w:t xml:space="preserve"> Australian Federal Police Act 1979 </w:t>
      </w:r>
      <w:r>
        <w:t>(Commonwealth) section 4(1), or an AFP employee, as defined in that section, nominated by the Commissioner to the CEO;</w:t>
      </w:r>
    </w:p>
    <w:p>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Ednotepara"/>
      </w:pPr>
      <w:r>
        <w:tab/>
        <w:t>[(c)</w:t>
      </w:r>
      <w:r>
        <w:tab/>
        <w:t>deleted]</w:t>
      </w:r>
    </w:p>
    <w:p>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Ednotepara"/>
      </w:pPr>
      <w:r>
        <w:tab/>
        <w:t>[(h)</w:t>
      </w:r>
      <w:r>
        <w:tab/>
        <w:t>deleted]</w:t>
      </w:r>
    </w:p>
    <w:p>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Ednotepara"/>
      </w:pPr>
      <w:r>
        <w:tab/>
        <w:t>[(m)</w:t>
      </w:r>
      <w:r>
        <w:tab/>
        <w:t>deleted]</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(ta)</w:t>
      </w:r>
      <w:r>
        <w:tab/>
        <w:t xml:space="preserve">the person designated as general manager under the </w:t>
      </w:r>
      <w:r>
        <w:rPr>
          <w:i/>
        </w:rPr>
        <w:t>Western Australian Sports Centre Trust Act 1986</w:t>
      </w:r>
      <w:r>
        <w:t xml:space="preserve"> section 12(1), or a person appointed or employed under section 11(1) of that Act nominated by the general manager to the CEO;</w:t>
      </w:r>
    </w:p>
    <w:p>
      <w:pPr>
        <w:pStyle w:val="Indenta"/>
      </w:pPr>
      <w:r>
        <w:tab/>
        <w:t>(u)</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(v)</w:t>
      </w:r>
      <w:r>
        <w:tab/>
        <w:t xml:space="preserve">a registered trustee of the estate of a bankrupt appointed under the </w:t>
      </w:r>
      <w:r>
        <w:rPr>
          <w:i/>
        </w:rPr>
        <w:t>Bankruptcy Act 1966</w:t>
      </w:r>
      <w:r>
        <w:t xml:space="preserve"> (Commonwealth);</w:t>
      </w:r>
    </w:p>
    <w:p>
      <w:pPr>
        <w:pStyle w:val="Indenta"/>
      </w:pPr>
      <w:r>
        <w:tab/>
        <w:t>(w)</w:t>
      </w:r>
      <w:r>
        <w:tab/>
        <w:t>the Commissioner (however designated) of the police force of another State or of the Northern Territory, or another officer of that police force nominated by the Commissioner of that police force to the CEO;</w:t>
      </w:r>
    </w:p>
    <w:p>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pPr>
      <w:r>
        <w:tab/>
        <w:t>[Regulation 7 amended: Gazette 26 Jun 2015 p. 2274; 29 Mar 2019 p. 973</w:t>
      </w:r>
      <w:r>
        <w:noBreakHyphen/>
        <w:t>5; 31 Dec 2019 p. 4687.]</w:t>
      </w:r>
    </w:p>
    <w:p>
      <w:pPr>
        <w:pStyle w:val="Heading5"/>
      </w:pPr>
      <w:bookmarkStart w:id="28" w:name="_Toc155169062"/>
      <w:bookmarkStart w:id="29" w:name="_Toc135219718"/>
      <w:r>
        <w:rPr>
          <w:rStyle w:val="CharSectno"/>
        </w:rPr>
        <w:t>8A</w:t>
      </w:r>
      <w:r>
        <w:t>.</w:t>
      </w:r>
      <w:r>
        <w:tab/>
        <w:t>Authorised purposes for disclosure of information to prescribed persons</w:t>
      </w:r>
      <w:bookmarkEnd w:id="28"/>
      <w:bookmarkEnd w:id="29"/>
    </w:p>
    <w:p>
      <w:pPr>
        <w:pStyle w:val="Subsection"/>
        <w:keepNext/>
      </w:pPr>
      <w:r>
        <w:tab/>
        <w:t>(1)</w:t>
      </w:r>
      <w:r>
        <w:tab/>
        <w:t>In this regulation —</w:t>
      </w:r>
    </w:p>
    <w:p>
      <w:pPr>
        <w:pStyle w:val="Defstart"/>
      </w:pPr>
      <w:r>
        <w:tab/>
      </w:r>
      <w:r>
        <w:rPr>
          <w:rStyle w:val="CharDefText"/>
        </w:rPr>
        <w:t>Department of the Premier and Cabinet</w:t>
      </w:r>
      <w:r>
        <w:t xml:space="preserve"> means the department of the Public Service principally assisting the Premier;</w:t>
      </w:r>
    </w:p>
    <w:p>
      <w:pPr>
        <w:pStyle w:val="Defstart"/>
      </w:pPr>
      <w:r>
        <w:tab/>
      </w:r>
      <w:r>
        <w:rPr>
          <w:rStyle w:val="CharDefText"/>
        </w:rPr>
        <w:t>digital identity exchange</w:t>
      </w:r>
      <w:r>
        <w:t xml:space="preserve"> means an automated system for the transfer of information including between — </w:t>
      </w:r>
    </w:p>
    <w:p>
      <w:pPr>
        <w:pStyle w:val="Defpara"/>
      </w:pPr>
      <w:r>
        <w:tab/>
        <w:t>(a)</w:t>
      </w:r>
      <w:r>
        <w:tab/>
        <w:t>a person seeking verification of information about a person; and</w:t>
      </w:r>
    </w:p>
    <w:p>
      <w:pPr>
        <w:pStyle w:val="Defpara"/>
      </w:pPr>
      <w:r>
        <w:tab/>
        <w:t>(b)</w:t>
      </w:r>
      <w:r>
        <w:tab/>
        <w:t>a person verifying the information mentioned in paragraph (a);</w:t>
      </w:r>
    </w:p>
    <w:p>
      <w:pPr>
        <w:pStyle w:val="Defstart"/>
      </w:pPr>
      <w:r>
        <w:tab/>
      </w:r>
      <w:r>
        <w:rPr>
          <w:rStyle w:val="CharDefText"/>
        </w:rPr>
        <w:t>relevant information</w:t>
      </w:r>
      <w:r>
        <w:t>, of a person, means the following information in relation to the person from their permit information, driver’s licence information or vehicle licence information —</w:t>
      </w:r>
    </w:p>
    <w:p>
      <w:pPr>
        <w:pStyle w:val="Defpara"/>
      </w:pPr>
      <w:r>
        <w:tab/>
        <w:t>(a)</w:t>
      </w:r>
      <w:r>
        <w:tab/>
        <w:t>name, including any previous names;</w:t>
      </w:r>
    </w:p>
    <w:p>
      <w:pPr>
        <w:pStyle w:val="Defpara"/>
      </w:pPr>
      <w:r>
        <w:tab/>
        <w:t>(b)</w:t>
      </w:r>
      <w:r>
        <w:tab/>
        <w:t>date of birth;</w:t>
      </w:r>
    </w:p>
    <w:p>
      <w:pPr>
        <w:pStyle w:val="Defpara"/>
      </w:pPr>
      <w:r>
        <w:tab/>
        <w:t>(c)</w:t>
      </w:r>
      <w:r>
        <w:tab/>
        <w:t>email address;</w:t>
      </w:r>
    </w:p>
    <w:p>
      <w:pPr>
        <w:pStyle w:val="Defpara"/>
      </w:pPr>
      <w:r>
        <w:tab/>
        <w:t>(d)</w:t>
      </w:r>
      <w:r>
        <w:tab/>
        <w:t>phone number;</w:t>
      </w:r>
    </w:p>
    <w:p>
      <w:pPr>
        <w:pStyle w:val="Defpara"/>
      </w:pPr>
      <w:r>
        <w:tab/>
        <w:t>(e)</w:t>
      </w:r>
      <w:r>
        <w:tab/>
        <w:t>the latest date and time that the information mentioned in paragraphs (a) to (d) was updated;</w:t>
      </w:r>
    </w:p>
    <w:p>
      <w:pPr>
        <w:pStyle w:val="Defstart"/>
      </w:pPr>
      <w:r>
        <w:tab/>
      </w:r>
      <w:r>
        <w:rPr>
          <w:rStyle w:val="CharDefText"/>
        </w:rPr>
        <w:t>relying chief executive officer</w:t>
      </w:r>
      <w:r>
        <w:t xml:space="preserve"> means a chief executive officer of an agency, as defined in the </w:t>
      </w:r>
      <w:r>
        <w:rPr>
          <w:i/>
        </w:rPr>
        <w:t>Public Sector Management Act 1994</w:t>
      </w:r>
      <w:r>
        <w:t xml:space="preserve"> section 3(1), seeking verification of information about a person.</w:t>
      </w:r>
    </w:p>
    <w:p>
      <w:pPr>
        <w:pStyle w:val="Subsection"/>
      </w:pPr>
      <w:r>
        <w:tab/>
        <w:t>(2)</w:t>
      </w:r>
      <w:r>
        <w:tab/>
        <w:t xml:space="preserve">For paragraph (c) of the definition of </w:t>
      </w:r>
      <w:r>
        <w:rPr>
          <w:b/>
          <w:i/>
        </w:rPr>
        <w:t xml:space="preserve">authorised purpose </w:t>
      </w:r>
      <w:r>
        <w:t>in section 14(1), the following are purposes —</w:t>
      </w:r>
    </w:p>
    <w:p>
      <w:pPr>
        <w:pStyle w:val="Indenta"/>
      </w:pPr>
      <w:r>
        <w:tab/>
        <w:t>(a)</w:t>
      </w:r>
      <w:r>
        <w:tab/>
        <w:t xml:space="preserve">in relation to the chief executive officer of the Department of the Premier and Cabinet, or a nominated employee, prescribed under regulation 7(2)(q) — to verify and disclose a person’s relevant information to a relying chief executive officer through a digital identity exchange; </w:t>
      </w:r>
    </w:p>
    <w:p>
      <w:pPr>
        <w:pStyle w:val="Indenta"/>
      </w:pPr>
      <w:r>
        <w:tab/>
        <w:t>(b)</w:t>
      </w:r>
      <w:r>
        <w:tab/>
        <w:t>in relation to the Secretary of the Department of Home Affairs of the Commonwealth, prescribed under regulation 7(2)(r) — to verify the authenticity of a driver’s licence or learner’s permit using the national Document Verification Service.</w:t>
      </w:r>
    </w:p>
    <w:p>
      <w:pPr>
        <w:pStyle w:val="Footnotesection"/>
      </w:pPr>
      <w:r>
        <w:tab/>
        <w:t>[Regulation 8A inserted: SL 2021/203 r. 4.]</w:t>
      </w:r>
    </w:p>
    <w:p>
      <w:pPr>
        <w:pStyle w:val="Heading5"/>
        <w:keepNext w:val="0"/>
        <w:keepLines w:val="0"/>
        <w:rPr>
          <w:b w:val="0"/>
        </w:rPr>
      </w:pPr>
      <w:bookmarkStart w:id="30" w:name="_Toc155169063"/>
      <w:bookmarkStart w:id="31" w:name="_Toc135219719"/>
      <w:r>
        <w:rPr>
          <w:rStyle w:val="CharSectno"/>
        </w:rPr>
        <w:t>8</w:t>
      </w:r>
      <w:r>
        <w:t>.</w:t>
      </w:r>
      <w:r>
        <w:tab/>
        <w:t>Disclosure of written</w:t>
      </w:r>
      <w:r>
        <w:noBreakHyphen/>
        <w:t>off vehicle register information</w:t>
      </w:r>
      <w:bookmarkEnd w:id="30"/>
      <w:bookmarkEnd w:id="31"/>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keepNext/>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keepNext/>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32" w:name="_Toc155169064"/>
      <w:bookmarkStart w:id="33" w:name="_Toc135219720"/>
      <w:r>
        <w:rPr>
          <w:rStyle w:val="CharSectno"/>
        </w:rPr>
        <w:t>9A</w:t>
      </w:r>
      <w:r>
        <w:t>.</w:t>
      </w:r>
      <w:r>
        <w:tab/>
        <w:t>Use of information: s. 143A(1)(d)</w:t>
      </w:r>
      <w:bookmarkEnd w:id="32"/>
      <w:bookmarkEnd w:id="33"/>
    </w:p>
    <w:p>
      <w:pPr>
        <w:pStyle w:val="Subsection"/>
        <w:keepNext/>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Gazette 12 Jun 2015 p. 2041.]</w:t>
      </w:r>
    </w:p>
    <w:p>
      <w:pPr>
        <w:pStyle w:val="Heading2"/>
      </w:pPr>
      <w:bookmarkStart w:id="34" w:name="_Toc155169065"/>
      <w:bookmarkStart w:id="35" w:name="_Toc135140018"/>
      <w:bookmarkStart w:id="36" w:name="_Toc135140079"/>
      <w:bookmarkStart w:id="37" w:name="_Toc135219721"/>
      <w:r>
        <w:rPr>
          <w:rStyle w:val="CharPartNo"/>
        </w:rPr>
        <w:t>Part 4</w:t>
      </w:r>
      <w:r>
        <w:rPr>
          <w:rStyle w:val="CharDivNo"/>
        </w:rPr>
        <w:t> </w:t>
      </w:r>
      <w:r>
        <w:t>—</w:t>
      </w:r>
      <w:r>
        <w:rPr>
          <w:rStyle w:val="CharDivText"/>
        </w:rPr>
        <w:t> </w:t>
      </w:r>
      <w:r>
        <w:rPr>
          <w:rStyle w:val="CharPartText"/>
        </w:rPr>
        <w:t>Other jurisdictions</w:t>
      </w:r>
      <w:bookmarkEnd w:id="34"/>
      <w:bookmarkEnd w:id="35"/>
      <w:bookmarkEnd w:id="36"/>
      <w:bookmarkEnd w:id="37"/>
    </w:p>
    <w:p>
      <w:pPr>
        <w:pStyle w:val="Heading5"/>
      </w:pPr>
      <w:bookmarkStart w:id="38" w:name="_Toc155169066"/>
      <w:bookmarkStart w:id="39" w:name="_Toc135219722"/>
      <w:r>
        <w:rPr>
          <w:rStyle w:val="CharSectno"/>
        </w:rPr>
        <w:t>9</w:t>
      </w:r>
      <w:r>
        <w:t>.</w:t>
      </w:r>
      <w:r>
        <w:tab/>
        <w:t>Effect of directions etc., administrative actions of other jurisdictions: s. 18</w:t>
      </w:r>
      <w:bookmarkEnd w:id="38"/>
      <w:bookmarkEnd w:id="39"/>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40" w:name="_Toc155169067"/>
      <w:bookmarkStart w:id="41" w:name="_Toc135219723"/>
      <w:r>
        <w:rPr>
          <w:rStyle w:val="CharSectno"/>
        </w:rPr>
        <w:t>10</w:t>
      </w:r>
      <w:r>
        <w:t>.</w:t>
      </w:r>
      <w:r>
        <w:tab/>
        <w:t>Effect of orders of courts, tribunals of other jurisdictions: s. 19</w:t>
      </w:r>
      <w:bookmarkEnd w:id="40"/>
      <w:bookmarkEnd w:id="41"/>
    </w:p>
    <w:p>
      <w:pPr>
        <w:pStyle w:val="Subsection"/>
        <w:keepNext/>
      </w:pPr>
      <w:r>
        <w:tab/>
        <w:t>(1)</w:t>
      </w:r>
      <w:r>
        <w:tab/>
        <w:t xml:space="preserve">In this regulation — </w:t>
      </w:r>
    </w:p>
    <w:p>
      <w:pPr>
        <w:pStyle w:val="Defstart"/>
        <w:keepNex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42" w:name="_Toc155169068"/>
      <w:bookmarkStart w:id="43" w:name="_Toc135140021"/>
      <w:bookmarkStart w:id="44" w:name="_Toc135140082"/>
      <w:bookmarkStart w:id="45" w:name="_Toc135219724"/>
      <w:r>
        <w:rPr>
          <w:rStyle w:val="CharPartNo"/>
        </w:rPr>
        <w:t>Part 5</w:t>
      </w:r>
      <w:r>
        <w:t> — </w:t>
      </w:r>
      <w:r>
        <w:rPr>
          <w:rStyle w:val="CharPartText"/>
        </w:rPr>
        <w:t>Wardens</w:t>
      </w:r>
      <w:bookmarkEnd w:id="42"/>
      <w:bookmarkEnd w:id="43"/>
      <w:bookmarkEnd w:id="44"/>
      <w:bookmarkEnd w:id="45"/>
    </w:p>
    <w:p>
      <w:pPr>
        <w:pStyle w:val="Heading3"/>
      </w:pPr>
      <w:bookmarkStart w:id="46" w:name="_Toc155169069"/>
      <w:bookmarkStart w:id="47" w:name="_Toc135140022"/>
      <w:bookmarkStart w:id="48" w:name="_Toc135140083"/>
      <w:bookmarkStart w:id="49" w:name="_Toc135219725"/>
      <w:r>
        <w:rPr>
          <w:rStyle w:val="CharDivNo"/>
        </w:rPr>
        <w:t>Division 1</w:t>
      </w:r>
      <w:r>
        <w:t> — </w:t>
      </w:r>
      <w:r>
        <w:rPr>
          <w:rStyle w:val="CharDivText"/>
        </w:rPr>
        <w:t>General</w:t>
      </w:r>
      <w:bookmarkEnd w:id="46"/>
      <w:bookmarkEnd w:id="47"/>
      <w:bookmarkEnd w:id="48"/>
      <w:bookmarkEnd w:id="49"/>
    </w:p>
    <w:p>
      <w:pPr>
        <w:pStyle w:val="Heading5"/>
      </w:pPr>
      <w:bookmarkStart w:id="50" w:name="_Toc155169070"/>
      <w:bookmarkStart w:id="51" w:name="_Toc135219726"/>
      <w:r>
        <w:rPr>
          <w:rStyle w:val="CharSectno"/>
        </w:rPr>
        <w:t>11</w:t>
      </w:r>
      <w:r>
        <w:t>.</w:t>
      </w:r>
      <w:r>
        <w:tab/>
        <w:t>No use of force against a person</w:t>
      </w:r>
      <w:bookmarkEnd w:id="50"/>
      <w:bookmarkEnd w:id="51"/>
    </w:p>
    <w:p>
      <w:pPr>
        <w:pStyle w:val="Subsection"/>
      </w:pPr>
      <w:r>
        <w:tab/>
      </w:r>
      <w:r>
        <w:tab/>
        <w:t>Nothing in these regulations authorises a warden to use force against a person.</w:t>
      </w:r>
    </w:p>
    <w:p>
      <w:pPr>
        <w:pStyle w:val="Heading3"/>
      </w:pPr>
      <w:bookmarkStart w:id="52" w:name="_Toc155169071"/>
      <w:bookmarkStart w:id="53" w:name="_Toc135140024"/>
      <w:bookmarkStart w:id="54" w:name="_Toc135140085"/>
      <w:bookmarkStart w:id="55" w:name="_Toc135219727"/>
      <w:r>
        <w:rPr>
          <w:rStyle w:val="CharDivNo"/>
        </w:rPr>
        <w:t>Division 2</w:t>
      </w:r>
      <w:r>
        <w:t> — </w:t>
      </w:r>
      <w:r>
        <w:rPr>
          <w:rStyle w:val="CharDivText"/>
        </w:rPr>
        <w:t>Warden functions for persons authorised by CEO</w:t>
      </w:r>
      <w:bookmarkEnd w:id="52"/>
      <w:bookmarkEnd w:id="53"/>
      <w:bookmarkEnd w:id="54"/>
      <w:bookmarkEnd w:id="55"/>
      <w:r>
        <w:rPr>
          <w:rStyle w:val="CharDivText"/>
        </w:rPr>
        <w:t xml:space="preserve"> </w:t>
      </w:r>
    </w:p>
    <w:p>
      <w:pPr>
        <w:pStyle w:val="Heading5"/>
      </w:pPr>
      <w:bookmarkStart w:id="56" w:name="_Toc155169072"/>
      <w:bookmarkStart w:id="57" w:name="_Toc135219728"/>
      <w:r>
        <w:rPr>
          <w:rStyle w:val="CharSectno"/>
        </w:rPr>
        <w:t>12</w:t>
      </w:r>
      <w:r>
        <w:t>.</w:t>
      </w:r>
      <w:r>
        <w:tab/>
        <w:t>Transport warden’s functions and powers</w:t>
      </w:r>
      <w:bookmarkEnd w:id="56"/>
      <w:bookmarkEnd w:id="57"/>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58" w:name="_Toc155169073"/>
      <w:bookmarkStart w:id="59" w:name="_Toc135219729"/>
      <w:r>
        <w:rPr>
          <w:rStyle w:val="CharSectno"/>
        </w:rPr>
        <w:t>13</w:t>
      </w:r>
      <w:r>
        <w:t>.</w:t>
      </w:r>
      <w:r>
        <w:tab/>
        <w:t>Transport inspection wardens</w:t>
      </w:r>
      <w:bookmarkEnd w:id="58"/>
      <w:bookmarkEnd w:id="59"/>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Gazette 15 Nov 2016 p. 5077.]</w:t>
      </w:r>
    </w:p>
    <w:p>
      <w:pPr>
        <w:pStyle w:val="Heading5"/>
      </w:pPr>
      <w:bookmarkStart w:id="60" w:name="_Toc155169074"/>
      <w:bookmarkStart w:id="61" w:name="_Toc135219730"/>
      <w:r>
        <w:rPr>
          <w:rStyle w:val="CharSectno"/>
        </w:rPr>
        <w:t>14</w:t>
      </w:r>
      <w:r>
        <w:t>.</w:t>
      </w:r>
      <w:r>
        <w:tab/>
        <w:t>Transport investigation wardens</w:t>
      </w:r>
      <w:bookmarkEnd w:id="60"/>
      <w:bookmarkEnd w:id="61"/>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rPr>
                <w:i/>
              </w:rPr>
            </w:pPr>
            <w:r>
              <w:rPr>
                <w:i/>
              </w:rPr>
              <w:t>Road Traffic Act 1974</w:t>
            </w:r>
            <w:r>
              <w:t xml:space="preserve"> s. 102</w:t>
            </w:r>
          </w:p>
        </w:tc>
        <w:tc>
          <w:tcPr>
            <w:tcW w:w="3034" w:type="dxa"/>
          </w:tcPr>
          <w:p>
            <w:pPr>
              <w:pStyle w:val="TableNAm"/>
            </w:pPr>
            <w:r>
              <w:t>Request copy of towing arrangement</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 or 26A</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Gazette 15 Nov 2016 p. 5077; SL 2020/231 r. 4.]</w:t>
      </w:r>
    </w:p>
    <w:p>
      <w:pPr>
        <w:pStyle w:val="Heading5"/>
      </w:pPr>
      <w:bookmarkStart w:id="62" w:name="_Toc155169075"/>
      <w:bookmarkStart w:id="63" w:name="_Toc135219731"/>
      <w:r>
        <w:rPr>
          <w:rStyle w:val="CharSectno"/>
        </w:rPr>
        <w:t>15</w:t>
      </w:r>
      <w:r>
        <w:t>.</w:t>
      </w:r>
      <w:r>
        <w:tab/>
        <w:t>Wardens who can commence certain prosecutions</w:t>
      </w:r>
      <w:bookmarkEnd w:id="62"/>
      <w:bookmarkEnd w:id="63"/>
    </w:p>
    <w:p>
      <w:pPr>
        <w:pStyle w:val="Subsection"/>
      </w:pPr>
      <w:r>
        <w:tab/>
      </w:r>
      <w:r>
        <w:tab/>
        <w:t>For sections 22 and 105(2)(b), a transport warden, a transport inspection warden and a transport investigation warden can perform the function of commencing a prosecution for an offence under a road law other than an offence to which section 105(1) applies.</w:t>
      </w:r>
    </w:p>
    <w:p>
      <w:pPr>
        <w:pStyle w:val="Footnotesection"/>
      </w:pPr>
      <w:r>
        <w:tab/>
        <w:t>[Regulation 15 amended: SL 2020/231 r. 5.]</w:t>
      </w:r>
    </w:p>
    <w:p>
      <w:pPr>
        <w:pStyle w:val="Heading3"/>
      </w:pPr>
      <w:bookmarkStart w:id="64" w:name="_Toc155169076"/>
      <w:bookmarkStart w:id="65" w:name="_Toc135140029"/>
      <w:bookmarkStart w:id="66" w:name="_Toc135140090"/>
      <w:bookmarkStart w:id="67" w:name="_Toc135219732"/>
      <w:r>
        <w:rPr>
          <w:rStyle w:val="CharDivNo"/>
        </w:rPr>
        <w:t>Division 3</w:t>
      </w:r>
      <w:r>
        <w:t> — </w:t>
      </w:r>
      <w:r>
        <w:rPr>
          <w:rStyle w:val="CharDivText"/>
        </w:rPr>
        <w:t>Warden functions for persons authorised by Commissioner of Police</w:t>
      </w:r>
      <w:bookmarkEnd w:id="64"/>
      <w:bookmarkEnd w:id="65"/>
      <w:bookmarkEnd w:id="66"/>
      <w:bookmarkEnd w:id="67"/>
    </w:p>
    <w:p>
      <w:pPr>
        <w:pStyle w:val="Heading5"/>
      </w:pPr>
      <w:bookmarkStart w:id="68" w:name="_Toc155169077"/>
      <w:bookmarkStart w:id="69" w:name="_Toc135219733"/>
      <w:r>
        <w:rPr>
          <w:rStyle w:val="CharSectno"/>
        </w:rPr>
        <w:t>16</w:t>
      </w:r>
      <w:r>
        <w:t>.</w:t>
      </w:r>
      <w:r>
        <w:tab/>
        <w:t>Crossing attendant warden’s powers</w:t>
      </w:r>
      <w:bookmarkEnd w:id="68"/>
      <w:bookmarkEnd w:id="69"/>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70" w:name="_Toc155169078"/>
      <w:bookmarkStart w:id="71" w:name="_Toc135219734"/>
      <w:r>
        <w:rPr>
          <w:rStyle w:val="CharSectno"/>
        </w:rPr>
        <w:t>17</w:t>
      </w:r>
      <w:r>
        <w:t>.</w:t>
      </w:r>
      <w:r>
        <w:tab/>
        <w:t>Traffic escort wardens</w:t>
      </w:r>
      <w:bookmarkEnd w:id="70"/>
      <w:bookmarkEnd w:id="71"/>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Gazette 15 Nov 2016 p. 5077.]</w:t>
      </w:r>
    </w:p>
    <w:p>
      <w:pPr>
        <w:pStyle w:val="Heading5"/>
        <w:keepNext w:val="0"/>
        <w:keepLines w:val="0"/>
      </w:pPr>
      <w:bookmarkStart w:id="72" w:name="_Toc155169079"/>
      <w:bookmarkStart w:id="73" w:name="_Toc135219735"/>
      <w:r>
        <w:rPr>
          <w:rStyle w:val="CharSectno"/>
        </w:rPr>
        <w:t>18</w:t>
      </w:r>
      <w:r>
        <w:t>.</w:t>
      </w:r>
      <w:r>
        <w:tab/>
        <w:t>Commissioner of Police parking wardens</w:t>
      </w:r>
      <w:bookmarkEnd w:id="72"/>
      <w:bookmarkEnd w:id="73"/>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blHeader/>
        </w:trPr>
        <w:tc>
          <w:tcPr>
            <w:tcW w:w="1956" w:type="dxa"/>
          </w:tcPr>
          <w:p>
            <w:pPr>
              <w:pStyle w:val="TableNAm"/>
            </w:pPr>
            <w:r>
              <w:t>r. 133</w:t>
            </w:r>
          </w:p>
        </w:tc>
        <w:tc>
          <w:tcPr>
            <w:tcW w:w="4111" w:type="dxa"/>
          </w:tcPr>
          <w:p>
            <w:pPr>
              <w:pStyle w:val="TableNAm"/>
            </w:pPr>
            <w:r>
              <w:t>Driving along or into bus lane</w:t>
            </w:r>
          </w:p>
        </w:tc>
      </w:tr>
      <w:tr>
        <w:trPr>
          <w:cantSplit/>
          <w:tblHeader/>
        </w:trPr>
        <w:tc>
          <w:tcPr>
            <w:tcW w:w="1956" w:type="dxa"/>
          </w:tcPr>
          <w:p>
            <w:pPr>
              <w:pStyle w:val="TableNAm"/>
            </w:pPr>
            <w:r>
              <w:t>r. 133A(1)</w:t>
            </w:r>
          </w:p>
        </w:tc>
        <w:tc>
          <w:tcPr>
            <w:tcW w:w="4111" w:type="dxa"/>
          </w:tcPr>
          <w:p>
            <w:pPr>
              <w:pStyle w:val="TableNAm"/>
            </w:pPr>
            <w:r>
              <w:t>Driving along or into busway</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Gazette 20 Sep 2016 p. 3984; SL 2021/53 r. 4.]</w:t>
      </w:r>
    </w:p>
    <w:p>
      <w:pPr>
        <w:pStyle w:val="Heading2"/>
      </w:pPr>
      <w:bookmarkStart w:id="74" w:name="_Toc155169080"/>
      <w:bookmarkStart w:id="75" w:name="_Toc135140033"/>
      <w:bookmarkStart w:id="76" w:name="_Toc135140094"/>
      <w:bookmarkStart w:id="77" w:name="_Toc135219736"/>
      <w:r>
        <w:rPr>
          <w:rStyle w:val="CharPartNo"/>
        </w:rPr>
        <w:t>Part 6</w:t>
      </w:r>
      <w:r>
        <w:t> — </w:t>
      </w:r>
      <w:r>
        <w:rPr>
          <w:rStyle w:val="CharPartText"/>
        </w:rPr>
        <w:t>Enforcement of road laws</w:t>
      </w:r>
      <w:bookmarkEnd w:id="74"/>
      <w:bookmarkEnd w:id="75"/>
      <w:bookmarkEnd w:id="76"/>
      <w:bookmarkEnd w:id="77"/>
    </w:p>
    <w:p>
      <w:pPr>
        <w:pStyle w:val="Heading3"/>
      </w:pPr>
      <w:bookmarkStart w:id="78" w:name="_Toc155169081"/>
      <w:bookmarkStart w:id="79" w:name="_Toc135140034"/>
      <w:bookmarkStart w:id="80" w:name="_Toc135140095"/>
      <w:bookmarkStart w:id="81" w:name="_Toc135219737"/>
      <w:r>
        <w:rPr>
          <w:rStyle w:val="CharDivNo"/>
        </w:rPr>
        <w:t>Division 1</w:t>
      </w:r>
      <w:r>
        <w:t> — </w:t>
      </w:r>
      <w:r>
        <w:rPr>
          <w:rStyle w:val="CharDivText"/>
        </w:rPr>
        <w:t>Entry warrants</w:t>
      </w:r>
      <w:bookmarkEnd w:id="78"/>
      <w:bookmarkEnd w:id="79"/>
      <w:bookmarkEnd w:id="80"/>
      <w:bookmarkEnd w:id="81"/>
    </w:p>
    <w:p>
      <w:pPr>
        <w:pStyle w:val="Heading5"/>
      </w:pPr>
      <w:bookmarkStart w:id="82" w:name="_Toc155169082"/>
      <w:bookmarkStart w:id="83" w:name="_Toc135219738"/>
      <w:r>
        <w:rPr>
          <w:rStyle w:val="CharSectno"/>
        </w:rPr>
        <w:t>19</w:t>
      </w:r>
      <w:r>
        <w:t>.</w:t>
      </w:r>
      <w:r>
        <w:tab/>
        <w:t>Form of entry warrant</w:t>
      </w:r>
      <w:bookmarkEnd w:id="82"/>
      <w:bookmarkEnd w:id="83"/>
    </w:p>
    <w:p>
      <w:pPr>
        <w:pStyle w:val="Subsection"/>
      </w:pPr>
      <w:r>
        <w:tab/>
      </w:r>
      <w:r>
        <w:tab/>
        <w:t>For section 65(3), the form of a warrant authorising entry to premises is set out in Schedule 1.</w:t>
      </w:r>
    </w:p>
    <w:p>
      <w:pPr>
        <w:pStyle w:val="Heading3"/>
        <w:rPr>
          <w:rStyle w:val="CharDivText"/>
        </w:rPr>
      </w:pPr>
      <w:bookmarkStart w:id="84" w:name="_Toc155169083"/>
      <w:bookmarkStart w:id="85" w:name="_Toc135140036"/>
      <w:bookmarkStart w:id="86" w:name="_Toc135140097"/>
      <w:bookmarkStart w:id="87" w:name="_Toc135219739"/>
      <w:r>
        <w:rPr>
          <w:rStyle w:val="CharDivNo"/>
        </w:rPr>
        <w:t>Division 2</w:t>
      </w:r>
      <w:r>
        <w:t> — </w:t>
      </w:r>
      <w:r>
        <w:rPr>
          <w:rStyle w:val="CharDivText"/>
        </w:rPr>
        <w:t>Embargo notices</w:t>
      </w:r>
      <w:bookmarkEnd w:id="84"/>
      <w:bookmarkEnd w:id="85"/>
      <w:bookmarkEnd w:id="86"/>
      <w:bookmarkEnd w:id="87"/>
    </w:p>
    <w:p>
      <w:pPr>
        <w:pStyle w:val="Heading5"/>
      </w:pPr>
      <w:bookmarkStart w:id="88" w:name="_Toc155169084"/>
      <w:bookmarkStart w:id="89" w:name="_Toc135219740"/>
      <w:r>
        <w:rPr>
          <w:rStyle w:val="CharSectno"/>
        </w:rPr>
        <w:t>20</w:t>
      </w:r>
      <w:r>
        <w:t>.</w:t>
      </w:r>
      <w:r>
        <w:tab/>
        <w:t>Particulars for embargo notice</w:t>
      </w:r>
      <w:bookmarkEnd w:id="88"/>
      <w:bookmarkEnd w:id="89"/>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90" w:name="_Toc155169085"/>
      <w:bookmarkStart w:id="91" w:name="_Toc135140038"/>
      <w:bookmarkStart w:id="92" w:name="_Toc135140099"/>
      <w:bookmarkStart w:id="93" w:name="_Toc135219741"/>
      <w:r>
        <w:rPr>
          <w:rStyle w:val="CharPartNo"/>
        </w:rPr>
        <w:t>Part 7</w:t>
      </w:r>
      <w:r>
        <w:rPr>
          <w:rStyle w:val="CharDivNo"/>
        </w:rPr>
        <w:t> </w:t>
      </w:r>
      <w:r>
        <w:t>—</w:t>
      </w:r>
      <w:r>
        <w:rPr>
          <w:rStyle w:val="CharDivText"/>
        </w:rPr>
        <w:t> </w:t>
      </w:r>
      <w:r>
        <w:rPr>
          <w:rStyle w:val="CharPartText"/>
        </w:rPr>
        <w:t>Infringement notices</w:t>
      </w:r>
      <w:bookmarkEnd w:id="90"/>
      <w:bookmarkEnd w:id="91"/>
      <w:bookmarkEnd w:id="92"/>
      <w:bookmarkEnd w:id="93"/>
    </w:p>
    <w:p>
      <w:pPr>
        <w:pStyle w:val="Heading5"/>
        <w:rPr>
          <w:i/>
        </w:rPr>
      </w:pPr>
      <w:bookmarkStart w:id="94" w:name="_Toc155169086"/>
      <w:bookmarkStart w:id="95" w:name="_Toc135219742"/>
      <w:r>
        <w:rPr>
          <w:rStyle w:val="CharSectno"/>
        </w:rPr>
        <w:t>21</w:t>
      </w:r>
      <w:r>
        <w:t>.</w:t>
      </w:r>
      <w:r>
        <w:tab/>
        <w:t xml:space="preserve">Infringement notice offences and penalties: </w:t>
      </w:r>
      <w:r>
        <w:rPr>
          <w:i/>
        </w:rPr>
        <w:t>Road Traffic (Administration) Act 2008</w:t>
      </w:r>
      <w:bookmarkEnd w:id="94"/>
      <w:bookmarkEnd w:id="95"/>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61C(4)</w:t>
            </w:r>
          </w:p>
        </w:tc>
        <w:tc>
          <w:tcPr>
            <w:tcW w:w="2410" w:type="dxa"/>
          </w:tcPr>
          <w:p>
            <w:pPr>
              <w:pStyle w:val="TableNAm"/>
            </w:pPr>
            <w:r>
              <w:t xml:space="preserve">Failure to comply with direction under s. 61C(1) </w:t>
            </w:r>
          </w:p>
        </w:tc>
        <w:tc>
          <w:tcPr>
            <w:tcW w:w="1843" w:type="dxa"/>
          </w:tcPr>
          <w:p>
            <w:pPr>
              <w:pStyle w:val="TableNAm"/>
              <w:jc w:val="center"/>
            </w:pPr>
            <w:r>
              <w:t>5</w:t>
            </w:r>
          </w:p>
        </w:tc>
      </w:tr>
      <w:tr>
        <w:trPr>
          <w:cantSplit/>
        </w:trPr>
        <w:tc>
          <w:tcPr>
            <w:tcW w:w="1956" w:type="dxa"/>
          </w:tcPr>
          <w:p>
            <w:pPr>
              <w:pStyle w:val="TableNAm"/>
            </w:pPr>
            <w:r>
              <w:t>s. 61D(2)</w:t>
            </w:r>
          </w:p>
        </w:tc>
        <w:tc>
          <w:tcPr>
            <w:tcW w:w="2410" w:type="dxa"/>
          </w:tcPr>
          <w:p>
            <w:pPr>
              <w:pStyle w:val="TableNAm"/>
            </w:pPr>
            <w:r>
              <w:t>Failure to comply with direction under s. 61D(1)</w:t>
            </w:r>
          </w:p>
        </w:tc>
        <w:tc>
          <w:tcPr>
            <w:tcW w:w="1843" w:type="dxa"/>
          </w:tcPr>
          <w:p>
            <w:pPr>
              <w:pStyle w:val="TableNAm"/>
              <w:jc w:val="center"/>
            </w:pPr>
            <w:r>
              <w:t>5</w:t>
            </w:r>
          </w:p>
        </w:tc>
      </w:tr>
      <w:tr>
        <w:trPr>
          <w:cantSplit/>
        </w:trPr>
        <w:tc>
          <w:tcPr>
            <w:tcW w:w="1956" w:type="dxa"/>
          </w:tcPr>
          <w:p>
            <w:pPr>
              <w:pStyle w:val="TableNAm"/>
            </w:pPr>
            <w:r>
              <w:t>s. 61D(3)</w:t>
            </w:r>
          </w:p>
        </w:tc>
        <w:tc>
          <w:tcPr>
            <w:tcW w:w="2410" w:type="dxa"/>
          </w:tcPr>
          <w:p>
            <w:pPr>
              <w:pStyle w:val="TableNAm"/>
            </w:pPr>
            <w:r>
              <w:t>Providing false or misleading information in purported compliance with direction under s. 61D(1)</w:t>
            </w:r>
          </w:p>
        </w:tc>
        <w:tc>
          <w:tcPr>
            <w:tcW w:w="1843" w:type="dxa"/>
          </w:tcPr>
          <w:p>
            <w:pPr>
              <w:pStyle w:val="TableNAm"/>
              <w:jc w:val="center"/>
            </w:pPr>
            <w:r>
              <w:t>10</w:t>
            </w:r>
          </w:p>
        </w:tc>
      </w:tr>
      <w:tr>
        <w:trPr>
          <w:cantSplit/>
        </w:trPr>
        <w:tc>
          <w:tcPr>
            <w:tcW w:w="1956" w:type="dxa"/>
          </w:tcPr>
          <w:p>
            <w:pPr>
              <w:pStyle w:val="TableNAm"/>
            </w:pPr>
            <w:r>
              <w:t>s. 61E(3)</w:t>
            </w:r>
          </w:p>
        </w:tc>
        <w:tc>
          <w:tcPr>
            <w:tcW w:w="2410" w:type="dxa"/>
          </w:tcPr>
          <w:p>
            <w:pPr>
              <w:pStyle w:val="TableNAm"/>
            </w:pPr>
            <w:r>
              <w:t>Failure to comply with direction under s. 61E(1)</w:t>
            </w:r>
          </w:p>
        </w:tc>
        <w:tc>
          <w:tcPr>
            <w:tcW w:w="1843" w:type="dxa"/>
          </w:tcPr>
          <w:p>
            <w:pPr>
              <w:pStyle w:val="TableNAm"/>
              <w:jc w:val="center"/>
            </w:pPr>
            <w:r>
              <w:t>5</w:t>
            </w:r>
          </w:p>
        </w:tc>
      </w:tr>
      <w:tr>
        <w:trPr>
          <w:cantSplit/>
        </w:trPr>
        <w:tc>
          <w:tcPr>
            <w:tcW w:w="1956" w:type="dxa"/>
          </w:tcPr>
          <w:p>
            <w:pPr>
              <w:pStyle w:val="TableNAm"/>
            </w:pPr>
            <w:r>
              <w:t>s. 71(5A)</w:t>
            </w:r>
          </w:p>
        </w:tc>
        <w:tc>
          <w:tcPr>
            <w:tcW w:w="2410" w:type="dxa"/>
          </w:tcPr>
          <w:p>
            <w:pPr>
              <w:pStyle w:val="TableNAm"/>
            </w:pPr>
            <w:r>
              <w:t>Acting in contravention of RTA Part 6A embargo notice</w:t>
            </w:r>
          </w:p>
        </w:tc>
        <w:tc>
          <w:tcPr>
            <w:tcW w:w="1843" w:type="dxa"/>
          </w:tcPr>
          <w:p>
            <w:pPr>
              <w:pStyle w:val="TableNAm"/>
              <w:jc w:val="center"/>
            </w:pPr>
            <w:r>
              <w:t>10</w:t>
            </w:r>
          </w:p>
        </w:tc>
      </w:tr>
      <w:tr>
        <w:trPr>
          <w:cantSplit/>
        </w:trPr>
        <w:tc>
          <w:tcPr>
            <w:tcW w:w="1956" w:type="dxa"/>
          </w:tcPr>
          <w:p>
            <w:pPr>
              <w:pStyle w:val="TableNAm"/>
            </w:pPr>
            <w:r>
              <w:t>s. 71(7A)</w:t>
            </w:r>
          </w:p>
        </w:tc>
        <w:tc>
          <w:tcPr>
            <w:tcW w:w="2410" w:type="dxa"/>
          </w:tcPr>
          <w:p>
            <w:pPr>
              <w:pStyle w:val="TableNAm"/>
            </w:pPr>
            <w:r>
              <w:t>Failure to prevent action in contravention of RTA Part 6A embargo notice</w:t>
            </w:r>
          </w:p>
        </w:tc>
        <w:tc>
          <w:tcPr>
            <w:tcW w:w="1843" w:type="dxa"/>
          </w:tcPr>
          <w:p>
            <w:pPr>
              <w:pStyle w:val="TableNAm"/>
              <w:jc w:val="center"/>
            </w:pPr>
            <w:r>
              <w:t>10</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Gazette 26 May 2017 p. 2637; SL 2020/231 r. 6.]</w:t>
      </w:r>
    </w:p>
    <w:p>
      <w:pPr>
        <w:pStyle w:val="Heading5"/>
      </w:pPr>
      <w:bookmarkStart w:id="96" w:name="_Toc155169087"/>
      <w:bookmarkStart w:id="97" w:name="_Toc135219743"/>
      <w:r>
        <w:rPr>
          <w:rStyle w:val="CharSectno"/>
        </w:rPr>
        <w:t>21A</w:t>
      </w:r>
      <w:r>
        <w:t>.</w:t>
      </w:r>
      <w:r>
        <w:tab/>
        <w:t xml:space="preserve">Infringement notice offences and penalties: </w:t>
      </w:r>
      <w:r>
        <w:rPr>
          <w:i/>
        </w:rPr>
        <w:t>Road Traffic (Authorisation to Drive) Act 2008</w:t>
      </w:r>
      <w:bookmarkEnd w:id="96"/>
      <w:bookmarkEnd w:id="97"/>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Gazette 26 May 2017 p. 2637.]</w:t>
      </w:r>
    </w:p>
    <w:p>
      <w:pPr>
        <w:pStyle w:val="Heading5"/>
        <w:rPr>
          <w:i/>
        </w:rPr>
      </w:pPr>
      <w:bookmarkStart w:id="98" w:name="_Toc155169088"/>
      <w:bookmarkStart w:id="99" w:name="_Toc135219744"/>
      <w:r>
        <w:rPr>
          <w:rStyle w:val="CharSectno"/>
        </w:rPr>
        <w:t>22</w:t>
      </w:r>
      <w:r>
        <w:t>.</w:t>
      </w:r>
      <w:r>
        <w:tab/>
        <w:t xml:space="preserve">Infringement notice offences and penalties: </w:t>
      </w:r>
      <w:r>
        <w:rPr>
          <w:i/>
        </w:rPr>
        <w:t>Road Traffic (Vehicles) Act 2012</w:t>
      </w:r>
      <w:bookmarkEnd w:id="98"/>
      <w:bookmarkEnd w:id="99"/>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Gazette 26 May 2017 p. 2638.]</w:t>
      </w:r>
    </w:p>
    <w:p>
      <w:pPr>
        <w:pStyle w:val="Heading5"/>
        <w:keepNext w:val="0"/>
        <w:keepLines w:val="0"/>
        <w:rPr>
          <w:i/>
        </w:rPr>
      </w:pPr>
      <w:bookmarkStart w:id="100" w:name="_Toc155169089"/>
      <w:bookmarkStart w:id="101" w:name="_Toc135219745"/>
      <w:r>
        <w:rPr>
          <w:rStyle w:val="CharSectno"/>
        </w:rPr>
        <w:t>23</w:t>
      </w:r>
      <w:r>
        <w:t>.</w:t>
      </w:r>
      <w:r>
        <w:tab/>
        <w:t xml:space="preserve">Infringement notice offences and penalties: </w:t>
      </w:r>
      <w:r>
        <w:rPr>
          <w:i/>
        </w:rPr>
        <w:t>Road Traffic Act 1974</w:t>
      </w:r>
      <w:bookmarkEnd w:id="100"/>
      <w:bookmarkEnd w:id="101"/>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jc w:val="center"/>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jc w:val="center"/>
            </w:pPr>
            <w:r>
              <w:t>10</w:t>
            </w:r>
          </w:p>
        </w:tc>
      </w:tr>
      <w:tr>
        <w:trPr>
          <w:cantSplit/>
        </w:trPr>
        <w:tc>
          <w:tcPr>
            <w:tcW w:w="1673" w:type="dxa"/>
          </w:tcPr>
          <w:p>
            <w:pPr>
              <w:pStyle w:val="TableNAm"/>
            </w:pPr>
            <w:r>
              <w:t>s. 55(1)</w:t>
            </w:r>
          </w:p>
        </w:tc>
        <w:tc>
          <w:tcPr>
            <w:tcW w:w="2410" w:type="dxa"/>
          </w:tcPr>
          <w:p>
            <w:pPr>
              <w:pStyle w:val="TableNAm"/>
            </w:pPr>
            <w:r>
              <w:t>Driver in incident occasioning property damage failing to stop after incident</w:t>
            </w:r>
          </w:p>
        </w:tc>
        <w:tc>
          <w:tcPr>
            <w:tcW w:w="2079" w:type="dxa"/>
          </w:tcPr>
          <w:p>
            <w:pPr>
              <w:pStyle w:val="TableNAm"/>
              <w:jc w:val="center"/>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jc w:val="center"/>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15</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15</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15</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15</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20</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8</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71BA(3)</w:t>
            </w:r>
          </w:p>
        </w:tc>
        <w:tc>
          <w:tcPr>
            <w:tcW w:w="2410" w:type="dxa"/>
            <w:tcBorders>
              <w:top w:val="single" w:sz="4" w:space="0" w:color="auto"/>
              <w:left w:val="single" w:sz="4" w:space="0" w:color="auto"/>
              <w:bottom w:val="single" w:sz="4" w:space="0" w:color="auto"/>
              <w:right w:val="single" w:sz="4" w:space="0" w:color="auto"/>
            </w:tcBorders>
          </w:tcPr>
          <w:p>
            <w:pPr>
              <w:pStyle w:val="TableNAm"/>
            </w:pPr>
            <w:r>
              <w:t>Contravening a prohibition notice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12</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Driving a motor vehicle that is a heavy vehicle, on a road, that has a radar detector fitted to, within or on the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30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Driving a motor vehicle that is not a heavy vehicle, on a road, that has a radar detector fitted to, within or on the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95(1)</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Immobilising parked motor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97(1)</w:t>
            </w:r>
          </w:p>
        </w:tc>
        <w:tc>
          <w:tcPr>
            <w:tcW w:w="2410" w:type="dxa"/>
            <w:tcBorders>
              <w:top w:val="single" w:sz="4" w:space="0" w:color="auto"/>
              <w:left w:val="single" w:sz="4" w:space="0" w:color="auto"/>
              <w:bottom w:val="single" w:sz="4" w:space="0" w:color="auto"/>
              <w:right w:val="single" w:sz="4" w:space="0" w:color="auto"/>
            </w:tcBorders>
          </w:tcPr>
          <w:p>
            <w:pPr>
              <w:pStyle w:val="TableNAm"/>
            </w:pPr>
            <w:r>
              <w:t>Towing parked motor vehicle without satisfying requirements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97(4)</w:t>
            </w:r>
          </w:p>
        </w:tc>
        <w:tc>
          <w:tcPr>
            <w:tcW w:w="2410" w:type="dxa"/>
            <w:tcBorders>
              <w:top w:val="single" w:sz="4" w:space="0" w:color="auto"/>
              <w:left w:val="single" w:sz="4" w:space="0" w:color="auto"/>
              <w:bottom w:val="single" w:sz="4" w:space="0" w:color="auto"/>
              <w:right w:val="single" w:sz="4" w:space="0" w:color="auto"/>
            </w:tcBorders>
          </w:tcPr>
          <w:p>
            <w:pPr>
              <w:pStyle w:val="TableNAm"/>
            </w:pPr>
            <w:r>
              <w:t>Controller of premises giving false or misleading information to tow truck driver</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99(2)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that is being loaded onto tow truck</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inform person that vehicle will be released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100(3)</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100(4)</w:t>
            </w:r>
          </w:p>
        </w:tc>
        <w:tc>
          <w:tcPr>
            <w:tcW w:w="2410" w:type="dxa"/>
            <w:tcBorders>
              <w:top w:val="single" w:sz="4" w:space="0" w:color="auto"/>
              <w:left w:val="single" w:sz="4" w:space="0" w:color="auto"/>
              <w:bottom w:val="single" w:sz="4" w:space="0" w:color="auto"/>
              <w:right w:val="single" w:sz="4" w:space="0" w:color="auto"/>
            </w:tcBorders>
          </w:tcPr>
          <w:p>
            <w:pPr>
              <w:pStyle w:val="TableNAm"/>
            </w:pPr>
            <w:r>
              <w:t>Stating amount for on</w:t>
            </w:r>
            <w:r>
              <w:noBreakHyphen/>
              <w:t>site release charge that exceeds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100(5)</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further towing charges after release of vehicle following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101</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tow vehicle by most direct route to approved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give copy of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102(4)</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ensure persons are given or have access to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103(2)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from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towing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105A(1)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storage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105E(1)</w:t>
            </w:r>
          </w:p>
        </w:tc>
        <w:tc>
          <w:tcPr>
            <w:tcW w:w="2410" w:type="dxa"/>
            <w:tcBorders>
              <w:top w:val="single" w:sz="4" w:space="0" w:color="auto"/>
              <w:left w:val="single" w:sz="4" w:space="0" w:color="auto"/>
              <w:bottom w:val="single" w:sz="4" w:space="0" w:color="auto"/>
              <w:right w:val="single" w:sz="4" w:space="0" w:color="auto"/>
            </w:tcBorders>
          </w:tcPr>
          <w:p>
            <w:pPr>
              <w:pStyle w:val="TableNAm"/>
            </w:pPr>
            <w:r>
              <w:t>Detaining parked motor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bl>
    <w:p>
      <w:pPr>
        <w:pStyle w:val="Footnotesection"/>
      </w:pPr>
      <w:r>
        <w:tab/>
        <w:t>[Regulation 23 amended: Gazette 25 Nov 2016 p. 5281</w:t>
      </w:r>
      <w:r>
        <w:noBreakHyphen/>
        <w:t>2; 26 May 2017 p. 2638; SL 2020/150 r. 4; SL 2020/231 r. 7; SL 2020/262 r. 4; SL 2021/55 r. 4.]</w:t>
      </w:r>
    </w:p>
    <w:p>
      <w:pPr>
        <w:pStyle w:val="Heading5"/>
      </w:pPr>
      <w:bookmarkStart w:id="102" w:name="_Toc155169090"/>
      <w:bookmarkStart w:id="103" w:name="_Toc135219746"/>
      <w:r>
        <w:rPr>
          <w:rStyle w:val="CharSectno"/>
        </w:rPr>
        <w:t>24</w:t>
      </w:r>
      <w:r>
        <w:t>.</w:t>
      </w:r>
      <w:r>
        <w:tab/>
        <w:t>Infringement notice offences and penalties: road law regulations</w:t>
      </w:r>
      <w:bookmarkEnd w:id="102"/>
      <w:bookmarkEnd w:id="103"/>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(Towing of Vehicles) Regulations 2020</w:t>
            </w:r>
          </w:p>
        </w:tc>
        <w:tc>
          <w:tcPr>
            <w:tcW w:w="3034" w:type="dxa"/>
          </w:tcPr>
          <w:p>
            <w:pPr>
              <w:pStyle w:val="TableNAm"/>
            </w:pPr>
            <w:r>
              <w:t>Pt. 2</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Gazette 24 Jun 2016 p. 2343; 15 Nov 2016 p. 5077 SL 2020/231 r. 8.]</w:t>
      </w:r>
    </w:p>
    <w:p>
      <w:pPr>
        <w:pStyle w:val="Heading5"/>
      </w:pPr>
      <w:bookmarkStart w:id="104" w:name="_Toc155169091"/>
      <w:bookmarkStart w:id="105" w:name="_Toc135219747"/>
      <w:r>
        <w:rPr>
          <w:rStyle w:val="CharSectno"/>
        </w:rPr>
        <w:t>25</w:t>
      </w:r>
      <w:r>
        <w:t>.</w:t>
      </w:r>
      <w:r>
        <w:tab/>
        <w:t>Offences for which infringement notices may be served by transport wardens</w:t>
      </w:r>
      <w:bookmarkEnd w:id="104"/>
      <w:bookmarkEnd w:id="105"/>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Gazette 24 Jun 2016 p. 2343.]</w:t>
      </w:r>
    </w:p>
    <w:p>
      <w:pPr>
        <w:pStyle w:val="Heading5"/>
      </w:pPr>
      <w:bookmarkStart w:id="106" w:name="_Toc155169092"/>
      <w:bookmarkStart w:id="107" w:name="_Toc135219748"/>
      <w:r>
        <w:rPr>
          <w:rStyle w:val="CharSectno"/>
        </w:rPr>
        <w:t>26</w:t>
      </w:r>
      <w:r>
        <w:t>.</w:t>
      </w:r>
      <w:r>
        <w:tab/>
        <w:t>Offences for which infringement notices may be served by transport inspection wardens, transport investigation wardens</w:t>
      </w:r>
      <w:bookmarkEnd w:id="106"/>
      <w:bookmarkEnd w:id="107"/>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jc w:val="center"/>
              <w:rPr>
                <w:b/>
                <w:bCs/>
              </w:rPr>
            </w:pPr>
            <w:r>
              <w:rPr>
                <w:b/>
                <w:bCs/>
              </w:rPr>
              <w:t xml:space="preserve">Road law </w:t>
            </w:r>
          </w:p>
        </w:tc>
        <w:tc>
          <w:tcPr>
            <w:tcW w:w="3034" w:type="dxa"/>
          </w:tcPr>
          <w:p>
            <w:pPr>
              <w:pStyle w:val="TableNAm"/>
              <w:keepNext/>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keepNext/>
              <w:rPr>
                <w:b/>
                <w:bCs/>
              </w:rPr>
            </w:pPr>
            <w:r>
              <w:rPr>
                <w:i/>
              </w:rPr>
              <w:t xml:space="preserve">Road Traffic (Vehicles) Act 2012 </w:t>
            </w:r>
          </w:p>
        </w:tc>
        <w:tc>
          <w:tcPr>
            <w:tcW w:w="3034" w:type="dxa"/>
          </w:tcPr>
          <w:p>
            <w:pPr>
              <w:pStyle w:val="TableNAm"/>
              <w:keepNext/>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Gazette 24 Jun 2016 p. 2343; 15 Nov 2016 p. 5077; 26 May 2017 p. 2639.]</w:t>
      </w:r>
    </w:p>
    <w:p>
      <w:pPr>
        <w:pStyle w:val="Heading5"/>
      </w:pPr>
      <w:bookmarkStart w:id="108" w:name="_Toc155169093"/>
      <w:bookmarkStart w:id="109" w:name="_Toc135219749"/>
      <w:r>
        <w:rPr>
          <w:rStyle w:val="CharSectno"/>
        </w:rPr>
        <w:t>26A</w:t>
      </w:r>
      <w:r>
        <w:t>.</w:t>
      </w:r>
      <w:r>
        <w:tab/>
        <w:t>Offences for which infringement notices may be served by transport investigation wardens</w:t>
      </w:r>
      <w:bookmarkEnd w:id="108"/>
      <w:bookmarkEnd w:id="109"/>
    </w:p>
    <w:p>
      <w:pPr>
        <w:pStyle w:val="Subsection"/>
      </w:pPr>
      <w:r>
        <w:tab/>
      </w:r>
      <w:r>
        <w:tab/>
        <w:t>For regulation 14(1) in relation to serving infringement notices for offences prescribed for the purposes of section 79, an offence under a provision of a road law mentioned in the Table is an offence for which an infringement notice may be served by a transport investigation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rPr>
            </w:pPr>
            <w:r>
              <w:rPr>
                <w:b/>
              </w:rPr>
              <w:t>Road law</w:t>
            </w:r>
          </w:p>
        </w:tc>
        <w:tc>
          <w:tcPr>
            <w:tcW w:w="3034" w:type="dxa"/>
          </w:tcPr>
          <w:p>
            <w:pPr>
              <w:pStyle w:val="TableNAm"/>
              <w:jc w:val="center"/>
              <w:rPr>
                <w:b/>
              </w:rPr>
            </w:pPr>
            <w:r>
              <w:rPr>
                <w:b/>
              </w:rPr>
              <w:t>Provision</w:t>
            </w:r>
          </w:p>
        </w:tc>
      </w:tr>
      <w:tr>
        <w:tc>
          <w:tcPr>
            <w:tcW w:w="3033" w:type="dxa"/>
          </w:tcPr>
          <w:p>
            <w:pPr>
              <w:pStyle w:val="TableNAm"/>
              <w:rPr>
                <w:i/>
                <w:iCs/>
              </w:rPr>
            </w:pPr>
            <w:r>
              <w:rPr>
                <w:i/>
                <w:iCs/>
              </w:rPr>
              <w:t>Road Traffic Act 1974</w:t>
            </w:r>
          </w:p>
        </w:tc>
        <w:tc>
          <w:tcPr>
            <w:tcW w:w="3034" w:type="dxa"/>
          </w:tcPr>
          <w:p>
            <w:pPr>
              <w:pStyle w:val="TableNAm"/>
              <w:rPr>
                <w:bCs/>
              </w:rPr>
            </w:pPr>
            <w:r>
              <w:t>s. 95(1), 97(1), 97(4), 99(2), 100(2), 100(3), 100(4), 100(5), 101, 102(2), 102(4), 103(2), 105(1), 105A(1), 105E(1)</w:t>
            </w:r>
          </w:p>
        </w:tc>
      </w:tr>
      <w:tr>
        <w:tc>
          <w:tcPr>
            <w:tcW w:w="3033" w:type="dxa"/>
          </w:tcPr>
          <w:p>
            <w:pPr>
              <w:pStyle w:val="TableNAm"/>
              <w:rPr>
                <w:i/>
                <w:iCs/>
              </w:rPr>
            </w:pPr>
            <w:r>
              <w:rPr>
                <w:i/>
                <w:iCs/>
              </w:rPr>
              <w:t>Road Traffic (Administration) Act 2008</w:t>
            </w:r>
          </w:p>
        </w:tc>
        <w:tc>
          <w:tcPr>
            <w:tcW w:w="3034" w:type="dxa"/>
          </w:tcPr>
          <w:p>
            <w:pPr>
              <w:pStyle w:val="TableNAm"/>
            </w:pPr>
            <w:r>
              <w:t>s. 61C(4), 61D(2), 61D(3), 61E(3), 71(5A), 71(7A)</w:t>
            </w:r>
          </w:p>
        </w:tc>
      </w:tr>
      <w:tr>
        <w:tc>
          <w:tcPr>
            <w:tcW w:w="3033" w:type="dxa"/>
          </w:tcPr>
          <w:p>
            <w:pPr>
              <w:pStyle w:val="TableNAm"/>
              <w:keepNext/>
              <w:keepLines/>
              <w:rPr>
                <w:i/>
                <w:iCs/>
              </w:rPr>
            </w:pPr>
            <w:r>
              <w:rPr>
                <w:i/>
                <w:iCs/>
              </w:rPr>
              <w:t>Road Traffic (Towing of Vehicles) Regulations 2020</w:t>
            </w:r>
          </w:p>
        </w:tc>
        <w:tc>
          <w:tcPr>
            <w:tcW w:w="3034" w:type="dxa"/>
          </w:tcPr>
          <w:p>
            <w:pPr>
              <w:pStyle w:val="TableNAm"/>
              <w:keepNext/>
              <w:keepLines/>
            </w:pPr>
            <w:r>
              <w:t>Pt. 2</w:t>
            </w:r>
          </w:p>
        </w:tc>
      </w:tr>
    </w:tbl>
    <w:p>
      <w:pPr>
        <w:pStyle w:val="Footnotesection"/>
      </w:pPr>
      <w:r>
        <w:tab/>
        <w:t>[Regulation 26A inserted: SL 2020/231 r. 9.]</w:t>
      </w:r>
    </w:p>
    <w:p>
      <w:pPr>
        <w:pStyle w:val="Heading5"/>
      </w:pPr>
      <w:bookmarkStart w:id="110" w:name="_Toc155169094"/>
      <w:bookmarkStart w:id="111" w:name="_Toc135219750"/>
      <w:r>
        <w:rPr>
          <w:rStyle w:val="CharSectno"/>
        </w:rPr>
        <w:t>27</w:t>
      </w:r>
      <w:r>
        <w:t>.</w:t>
      </w:r>
      <w:r>
        <w:tab/>
        <w:t>Forms of notices</w:t>
      </w:r>
      <w:bookmarkEnd w:id="110"/>
      <w:bookmarkEnd w:id="111"/>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112" w:name="_Toc155169095"/>
      <w:bookmarkStart w:id="113" w:name="_Toc135219751"/>
      <w:r>
        <w:rPr>
          <w:rStyle w:val="CharSectno"/>
        </w:rPr>
        <w:t>28</w:t>
      </w:r>
      <w:r>
        <w:t>.</w:t>
      </w:r>
      <w:r>
        <w:tab/>
        <w:t>Officers who may sign notices to withdraw notices</w:t>
      </w:r>
      <w:bookmarkEnd w:id="112"/>
      <w:bookmarkEnd w:id="113"/>
    </w:p>
    <w:p>
      <w:pPr>
        <w:pStyle w:val="Subsection"/>
      </w:pPr>
      <w:r>
        <w:tab/>
        <w:t>(1)</w:t>
      </w:r>
      <w:r>
        <w:tab/>
        <w:t xml:space="preserve">For section 83(2), a notice to withdraw an infringement notice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person mentioned in subregulation (1).</w:t>
      </w:r>
    </w:p>
    <w:p>
      <w:pPr>
        <w:pStyle w:val="Subsection"/>
      </w:pPr>
      <w:r>
        <w:tab/>
        <w:t>(3)</w:t>
      </w:r>
      <w:r>
        <w:tab/>
        <w:t>For section 83(2), a notice to withdraw an infringement notice for an offence under a road law 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pPr>
      <w:r>
        <w:tab/>
        <w:t>(i)</w:t>
      </w:r>
      <w:r>
        <w:tab/>
        <w:t>Executive Director, Drivers and Vehicles;</w:t>
      </w:r>
    </w:p>
    <w:p>
      <w:pPr>
        <w:pStyle w:val="Indenti"/>
      </w:pPr>
      <w:r>
        <w:tab/>
        <w:t>(ii)</w:t>
      </w:r>
      <w:r>
        <w:tab/>
        <w:t>Director, Governance and Intelligence;</w:t>
      </w:r>
    </w:p>
    <w:p>
      <w:pPr>
        <w:pStyle w:val="Indenti"/>
      </w:pPr>
      <w:r>
        <w:tab/>
        <w:t>(iii)</w:t>
      </w:r>
      <w:r>
        <w:tab/>
        <w:t>Compliance Services Manager;</w:t>
      </w:r>
    </w:p>
    <w:p>
      <w:pPr>
        <w:pStyle w:val="Indenti"/>
      </w:pPr>
      <w:r>
        <w:tab/>
        <w:t>(iv)</w:t>
      </w:r>
      <w:r>
        <w:tab/>
        <w:t>Investigation and Integrity Services Manager;</w:t>
      </w:r>
    </w:p>
    <w:p>
      <w:pPr>
        <w:pStyle w:val="Indenti"/>
      </w:pPr>
      <w:r>
        <w:tab/>
        <w:t>(v)</w:t>
      </w:r>
      <w:r>
        <w:tab/>
        <w:t>Manager, Quality Assurance;</w:t>
      </w:r>
    </w:p>
    <w:p>
      <w:pPr>
        <w:pStyle w:val="Indenti"/>
      </w:pPr>
      <w:r>
        <w:tab/>
        <w:t>(vi)</w:t>
      </w:r>
      <w:r>
        <w:tab/>
        <w:t>Manager, Risk and Business Intelligence;</w:t>
      </w:r>
    </w:p>
    <w:p>
      <w:pPr>
        <w:pStyle w:val="Indenti"/>
      </w:pPr>
      <w:r>
        <w:tab/>
        <w:t>(vii)</w:t>
      </w:r>
      <w:r>
        <w:tab/>
        <w:t>Manager, Risk and Audit;</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For section 101(1), a notice to withdraw a notice under section 98 or 99 for an offence under a road law may be signed by a person mentioned in subregulation (3).</w:t>
      </w:r>
    </w:p>
    <w:p>
      <w:pPr>
        <w:pStyle w:val="Subsection"/>
      </w:pPr>
      <w:r>
        <w:tab/>
        <w:t>(5)</w:t>
      </w:r>
      <w:r>
        <w:tab/>
        <w:t xml:space="preserve">A reference in subregulation (3) or (4) to an offence under a road law does not include an offence under the </w:t>
      </w:r>
      <w:r>
        <w:rPr>
          <w:i/>
        </w:rPr>
        <w:t>Road Traffic Act 1974</w:t>
      </w:r>
      <w:r>
        <w:t xml:space="preserve">, other than an offence under Part 6A of that Act or under the </w:t>
      </w:r>
      <w:r>
        <w:rPr>
          <w:i/>
        </w:rPr>
        <w:t>Road Traffic (Towing of Vehicles) Regulations 2020</w:t>
      </w:r>
      <w:r>
        <w:t>.</w:t>
      </w:r>
    </w:p>
    <w:p>
      <w:pPr>
        <w:pStyle w:val="Footnotesection"/>
      </w:pPr>
      <w:r>
        <w:tab/>
        <w:t>[Regulation 28 amended: Gazette 25 May 2018 p. 1648-9; SL 2020/231 r. 10.]</w:t>
      </w:r>
    </w:p>
    <w:p>
      <w:pPr>
        <w:pStyle w:val="Heading5"/>
      </w:pPr>
      <w:bookmarkStart w:id="114" w:name="_Toc155169096"/>
      <w:bookmarkStart w:id="115" w:name="_Toc135219752"/>
      <w:r>
        <w:rPr>
          <w:rStyle w:val="CharSectno"/>
        </w:rPr>
        <w:t>29</w:t>
      </w:r>
      <w:r>
        <w:t>.</w:t>
      </w:r>
      <w:r>
        <w:tab/>
        <w:t>Infringement notice not to be altered</w:t>
      </w:r>
      <w:bookmarkEnd w:id="114"/>
      <w:bookmarkEnd w:id="115"/>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keepNext/>
      </w:pPr>
      <w:r>
        <w:tab/>
        <w:t>(2)</w:t>
      </w:r>
      <w:r>
        <w:tab/>
        <w:t xml:space="preserve">Subregulation (1) does not apply to — </w:t>
      </w:r>
    </w:p>
    <w:p>
      <w:pPr>
        <w:pStyle w:val="Indenta"/>
        <w:keepNext/>
      </w:pPr>
      <w:r>
        <w:tab/>
        <w:t>(a)</w:t>
      </w:r>
      <w:r>
        <w:tab/>
        <w:t>a police officer; or</w:t>
      </w:r>
    </w:p>
    <w:p>
      <w:pPr>
        <w:pStyle w:val="Indenta"/>
      </w:pPr>
      <w:r>
        <w:tab/>
        <w:t>(b)</w:t>
      </w:r>
      <w:r>
        <w:tab/>
        <w:t>a warden whose functions include serving infringement notices.</w:t>
      </w:r>
    </w:p>
    <w:p>
      <w:pPr>
        <w:pStyle w:val="Heading2"/>
      </w:pPr>
      <w:bookmarkStart w:id="116" w:name="_Toc155169097"/>
      <w:bookmarkStart w:id="117" w:name="_Toc135140050"/>
      <w:bookmarkStart w:id="118" w:name="_Toc135140111"/>
      <w:bookmarkStart w:id="119" w:name="_Toc135219753"/>
      <w:r>
        <w:rPr>
          <w:rStyle w:val="CharPartNo"/>
        </w:rPr>
        <w:t>Part 8</w:t>
      </w:r>
      <w:r>
        <w:rPr>
          <w:rStyle w:val="CharDivNo"/>
        </w:rPr>
        <w:t> </w:t>
      </w:r>
      <w:r>
        <w:t>—</w:t>
      </w:r>
      <w:r>
        <w:rPr>
          <w:rStyle w:val="CharDivText"/>
        </w:rPr>
        <w:t> </w:t>
      </w:r>
      <w:r>
        <w:rPr>
          <w:rStyle w:val="CharPartText"/>
        </w:rPr>
        <w:t>Prosecutions</w:t>
      </w:r>
      <w:bookmarkEnd w:id="116"/>
      <w:bookmarkEnd w:id="117"/>
      <w:bookmarkEnd w:id="118"/>
      <w:bookmarkEnd w:id="119"/>
    </w:p>
    <w:p>
      <w:pPr>
        <w:pStyle w:val="Heading5"/>
      </w:pPr>
      <w:bookmarkStart w:id="120" w:name="_Toc155169098"/>
      <w:bookmarkStart w:id="121" w:name="_Toc135219754"/>
      <w:r>
        <w:rPr>
          <w:rStyle w:val="CharSectno"/>
        </w:rPr>
        <w:t>30</w:t>
      </w:r>
      <w:r>
        <w:t>.</w:t>
      </w:r>
      <w:r>
        <w:tab/>
        <w:t>Persons to approve prosecution for breach of mass, dimension or loading requirement</w:t>
      </w:r>
      <w:bookmarkEnd w:id="120"/>
      <w:bookmarkEnd w:id="121"/>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122" w:name="_Toc155169099"/>
      <w:bookmarkStart w:id="123" w:name="_Toc135219755"/>
      <w:r>
        <w:rPr>
          <w:rStyle w:val="CharSectno"/>
        </w:rPr>
        <w:t>31</w:t>
      </w:r>
      <w:r>
        <w:t>.</w:t>
      </w:r>
      <w:r>
        <w:tab/>
        <w:t>Ascertaining mass supported on part of vehicle</w:t>
      </w:r>
      <w:bookmarkEnd w:id="122"/>
      <w:bookmarkEnd w:id="123"/>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124" w:name="_Toc155169100"/>
      <w:bookmarkStart w:id="125" w:name="_Toc135219756"/>
      <w:r>
        <w:rPr>
          <w:rStyle w:val="CharSectno"/>
        </w:rPr>
        <w:t>31A</w:t>
      </w:r>
      <w:r>
        <w:t>.</w:t>
      </w:r>
      <w:r>
        <w:tab/>
        <w:t>Prescribed number of days for s. 117A(2)(c) and 117G(2)(b)</w:t>
      </w:r>
      <w:bookmarkEnd w:id="124"/>
      <w:bookmarkEnd w:id="125"/>
    </w:p>
    <w:p>
      <w:pPr>
        <w:pStyle w:val="Subsection"/>
      </w:pPr>
      <w:r>
        <w:tab/>
      </w:r>
      <w:r>
        <w:tab/>
        <w:t>For sections 117A(2)(c) and 117G(2)(b), the prescribed number of days is 365.</w:t>
      </w:r>
    </w:p>
    <w:p>
      <w:pPr>
        <w:pStyle w:val="Footnotesection"/>
      </w:pPr>
      <w:r>
        <w:tab/>
        <w:t>[Regulation 31A inserted: Gazette 3 Oct 2017 p. 5055.]</w:t>
      </w:r>
    </w:p>
    <w:p>
      <w:pPr>
        <w:pStyle w:val="Heading2"/>
      </w:pPr>
      <w:bookmarkStart w:id="126" w:name="_Toc155169101"/>
      <w:bookmarkStart w:id="127" w:name="_Toc135140054"/>
      <w:bookmarkStart w:id="128" w:name="_Toc135140115"/>
      <w:bookmarkStart w:id="129" w:name="_Toc135219757"/>
      <w:r>
        <w:rPr>
          <w:rStyle w:val="CharPartNo"/>
        </w:rPr>
        <w:t>Part 9</w:t>
      </w:r>
      <w:r>
        <w:rPr>
          <w:rStyle w:val="CharDivNo"/>
        </w:rPr>
        <w:t> </w:t>
      </w:r>
      <w:r>
        <w:t>—</w:t>
      </w:r>
      <w:r>
        <w:rPr>
          <w:rStyle w:val="CharDivText"/>
        </w:rPr>
        <w:t> </w:t>
      </w:r>
      <w:r>
        <w:rPr>
          <w:rStyle w:val="CharPartText"/>
        </w:rPr>
        <w:t>Review of decisions under road laws</w:t>
      </w:r>
      <w:bookmarkEnd w:id="126"/>
      <w:bookmarkEnd w:id="127"/>
      <w:bookmarkEnd w:id="128"/>
      <w:bookmarkEnd w:id="129"/>
    </w:p>
    <w:p>
      <w:pPr>
        <w:pStyle w:val="Heading5"/>
        <w:rPr>
          <w:i/>
        </w:rPr>
      </w:pPr>
      <w:bookmarkStart w:id="130" w:name="_Toc155169102"/>
      <w:bookmarkStart w:id="131" w:name="_Toc135219758"/>
      <w:r>
        <w:rPr>
          <w:rStyle w:val="CharSectno"/>
        </w:rPr>
        <w:t>32</w:t>
      </w:r>
      <w:r>
        <w:t>.</w:t>
      </w:r>
      <w:r>
        <w:tab/>
        <w:t xml:space="preserve">Review of decisions under </w:t>
      </w:r>
      <w:r>
        <w:rPr>
          <w:i/>
        </w:rPr>
        <w:t>Road Traffic (Authorisation to Drive) Act 2008</w:t>
      </w:r>
      <w:bookmarkEnd w:id="130"/>
      <w:bookmarkEnd w:id="131"/>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132" w:name="_Toc155169103"/>
      <w:bookmarkStart w:id="133" w:name="_Toc135219759"/>
      <w:r>
        <w:rPr>
          <w:rStyle w:val="CharSectno"/>
        </w:rPr>
        <w:t>33</w:t>
      </w:r>
      <w:r>
        <w:t>.</w:t>
      </w:r>
      <w:r>
        <w:tab/>
        <w:t xml:space="preserve">Review of decisions under </w:t>
      </w:r>
      <w:r>
        <w:rPr>
          <w:i/>
        </w:rPr>
        <w:t>Road Traffic (Vehicles) Act 2012</w:t>
      </w:r>
      <w:bookmarkEnd w:id="132"/>
      <w:bookmarkEnd w:id="133"/>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Gazette 12 Jun 2015 p. 2042.]</w:t>
      </w:r>
    </w:p>
    <w:p>
      <w:pPr>
        <w:pStyle w:val="Heading5"/>
      </w:pPr>
      <w:bookmarkStart w:id="134" w:name="_Toc155169104"/>
      <w:bookmarkStart w:id="135" w:name="_Toc135219760"/>
      <w:r>
        <w:rPr>
          <w:rStyle w:val="CharSectno"/>
        </w:rPr>
        <w:t>34</w:t>
      </w:r>
      <w:r>
        <w:t>.</w:t>
      </w:r>
      <w:r>
        <w:tab/>
        <w:t>Right of CEO or Commissioner of Police to be heard</w:t>
      </w:r>
      <w:bookmarkEnd w:id="134"/>
      <w:bookmarkEnd w:id="135"/>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5"/>
      </w:pPr>
      <w:bookmarkStart w:id="136" w:name="_Toc155169105"/>
      <w:bookmarkStart w:id="137" w:name="_Toc135219761"/>
      <w:r>
        <w:rPr>
          <w:rStyle w:val="CharSectno"/>
        </w:rPr>
        <w:t>34A</w:t>
      </w:r>
      <w:r>
        <w:t>.</w:t>
      </w:r>
      <w:r>
        <w:tab/>
        <w:t xml:space="preserve">Review of decisions under </w:t>
      </w:r>
      <w:r>
        <w:rPr>
          <w:i/>
        </w:rPr>
        <w:t>Road Traffic Act 1974</w:t>
      </w:r>
      <w:r>
        <w:t xml:space="preserve"> s. 104(3)</w:t>
      </w:r>
      <w:bookmarkEnd w:id="136"/>
      <w:bookmarkEnd w:id="137"/>
    </w:p>
    <w:p>
      <w:pPr>
        <w:pStyle w:val="Subsection"/>
      </w:pPr>
      <w:r>
        <w:tab/>
      </w:r>
      <w:r>
        <w:tab/>
        <w:t xml:space="preserve">A person affected by a decision of the CEO to grant, or refuse to grant, an approval under the </w:t>
      </w:r>
      <w:r>
        <w:rPr>
          <w:i/>
        </w:rPr>
        <w:t>Road Traffic Act 1974</w:t>
      </w:r>
      <w:r>
        <w:t xml:space="preserve"> section 104(3) may apply to the State Administrative Tribunal for a review of the decision.</w:t>
      </w:r>
    </w:p>
    <w:p>
      <w:pPr>
        <w:pStyle w:val="Footnotesection"/>
      </w:pPr>
      <w:r>
        <w:tab/>
        <w:t>[Regulation 34A inserted: SL 2020/231 r. 11.]</w:t>
      </w:r>
    </w:p>
    <w:p>
      <w:pPr>
        <w:pStyle w:val="Heading2"/>
      </w:pPr>
      <w:bookmarkStart w:id="138" w:name="_Toc155169106"/>
      <w:bookmarkStart w:id="139" w:name="_Toc135140059"/>
      <w:bookmarkStart w:id="140" w:name="_Toc135140120"/>
      <w:bookmarkStart w:id="141" w:name="_Toc135219762"/>
      <w:r>
        <w:rPr>
          <w:rStyle w:val="CharPartNo"/>
        </w:rPr>
        <w:t>Part 10</w:t>
      </w:r>
      <w:r>
        <w:rPr>
          <w:rStyle w:val="CharDivNo"/>
        </w:rPr>
        <w:t> </w:t>
      </w:r>
      <w:r>
        <w:t>—</w:t>
      </w:r>
      <w:r>
        <w:rPr>
          <w:rStyle w:val="CharDivText"/>
        </w:rPr>
        <w:t> </w:t>
      </w:r>
      <w:r>
        <w:rPr>
          <w:rStyle w:val="CharPartText"/>
        </w:rPr>
        <w:t>Fees and charges</w:t>
      </w:r>
      <w:bookmarkEnd w:id="138"/>
      <w:bookmarkEnd w:id="139"/>
      <w:bookmarkEnd w:id="140"/>
      <w:bookmarkEnd w:id="141"/>
    </w:p>
    <w:p>
      <w:pPr>
        <w:pStyle w:val="Heading5"/>
      </w:pPr>
      <w:bookmarkStart w:id="142" w:name="_Toc155169107"/>
      <w:bookmarkStart w:id="143" w:name="_Toc135219763"/>
      <w:r>
        <w:rPr>
          <w:rStyle w:val="CharSectno"/>
        </w:rPr>
        <w:t>35</w:t>
      </w:r>
      <w:r>
        <w:t>.</w:t>
      </w:r>
      <w:r>
        <w:tab/>
        <w:t>Disclosure of information to prescribed persons or for road safety purposes: s. 143(3)(a)</w:t>
      </w:r>
      <w:bookmarkEnd w:id="142"/>
      <w:bookmarkEnd w:id="143"/>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5"/>
        <w:gridCol w:w="1672"/>
      </w:tblGrid>
      <w:tr>
        <w:trPr>
          <w:tblHeader/>
        </w:trPr>
        <w:tc>
          <w:tcPr>
            <w:tcW w:w="4395" w:type="dxa"/>
            <w:noWrap/>
          </w:tcPr>
          <w:p>
            <w:pPr>
              <w:pStyle w:val="TableNAm"/>
              <w:jc w:val="center"/>
              <w:rPr>
                <w:b/>
                <w:bCs/>
              </w:rPr>
            </w:pPr>
            <w:r>
              <w:rPr>
                <w:b/>
                <w:bCs/>
              </w:rPr>
              <w:t>Service</w:t>
            </w:r>
          </w:p>
        </w:tc>
        <w:tc>
          <w:tcPr>
            <w:tcW w:w="1672" w:type="dxa"/>
            <w:noWrap/>
          </w:tcPr>
          <w:p>
            <w:pPr>
              <w:pStyle w:val="TableNAm"/>
              <w:jc w:val="center"/>
              <w:rPr>
                <w:ins w:id="144" w:author="Master Repository Process" w:date="2024-01-03T10:11:00Z"/>
                <w:b/>
                <w:bCs/>
              </w:rPr>
            </w:pPr>
            <w:r>
              <w:rPr>
                <w:b/>
                <w:bCs/>
              </w:rPr>
              <w:t>Fee</w:t>
            </w:r>
            <w:del w:id="145" w:author="Master Repository Process" w:date="2024-01-03T10:11:00Z">
              <w:r>
                <w:rPr>
                  <w:b/>
                  <w:bCs/>
                </w:rPr>
                <w:br/>
              </w:r>
            </w:del>
          </w:p>
          <w:p>
            <w:pPr>
              <w:pStyle w:val="TableNAm"/>
              <w:jc w:val="center"/>
              <w:rPr>
                <w:b/>
                <w:bCs/>
              </w:rPr>
            </w:pPr>
            <w:r>
              <w:rPr>
                <w:b/>
                <w:bCs/>
              </w:rPr>
              <w:t>$</w:t>
            </w:r>
          </w:p>
        </w:tc>
      </w:tr>
      <w:tr>
        <w:tc>
          <w:tcPr>
            <w:tcW w:w="4395" w:type="dxa"/>
            <w:noWrap/>
          </w:tcPr>
          <w:p>
            <w:pPr>
              <w:pStyle w:val="TableNAm"/>
            </w:pPr>
            <w:r>
              <w:t>For searching records manually, per record</w:t>
            </w:r>
          </w:p>
        </w:tc>
        <w:tc>
          <w:tcPr>
            <w:tcW w:w="1672" w:type="dxa"/>
            <w:noWrap/>
            <w:vAlign w:val="bottom"/>
          </w:tcPr>
          <w:p>
            <w:pPr>
              <w:pStyle w:val="TableNAm"/>
              <w:ind w:right="430"/>
              <w:jc w:val="right"/>
            </w:pPr>
            <w:del w:id="146" w:author="Master Repository Process" w:date="2024-01-03T10:11:00Z">
              <w:r>
                <w:delText>18</w:delText>
              </w:r>
            </w:del>
            <w:ins w:id="147" w:author="Master Repository Process" w:date="2024-01-03T10:11:00Z">
              <w:r>
                <w:t>19</w:t>
              </w:r>
            </w:ins>
            <w:r>
              <w:t>.85</w:t>
            </w:r>
          </w:p>
        </w:tc>
      </w:tr>
      <w:tr>
        <w:tc>
          <w:tcPr>
            <w:tcW w:w="4395" w:type="dxa"/>
            <w:noWrap/>
          </w:tcPr>
          <w:p>
            <w:pPr>
              <w:pStyle w:val="TableNAm"/>
            </w:pPr>
            <w:r>
              <w:t>For searching records by computer where a list of vehicles to be searched is supplied to the CEO on a data storage device, per record</w:t>
            </w:r>
          </w:p>
        </w:tc>
        <w:tc>
          <w:tcPr>
            <w:tcW w:w="1672" w:type="dxa"/>
            <w:noWrap/>
            <w:vAlign w:val="bottom"/>
          </w:tcPr>
          <w:p>
            <w:pPr>
              <w:pStyle w:val="TableNAm"/>
              <w:ind w:right="430"/>
              <w:jc w:val="right"/>
            </w:pPr>
            <w:del w:id="148" w:author="Master Repository Process" w:date="2024-01-03T10:11:00Z">
              <w:r>
                <w:br/>
              </w:r>
              <w:r>
                <w:br/>
              </w:r>
            </w:del>
            <w:r>
              <w:t>4.</w:t>
            </w:r>
            <w:del w:id="149" w:author="Master Repository Process" w:date="2024-01-03T10:11:00Z">
              <w:r>
                <w:delText>10</w:delText>
              </w:r>
            </w:del>
            <w:ins w:id="150" w:author="Master Repository Process" w:date="2024-01-03T10:11:00Z">
              <w:r>
                <w:t>40</w:t>
              </w:r>
            </w:ins>
          </w:p>
        </w:tc>
      </w:tr>
      <w:tr>
        <w:tc>
          <w:tcPr>
            <w:tcW w:w="4395" w:type="dxa"/>
            <w:noWrap/>
          </w:tcPr>
          <w:p>
            <w:pPr>
              <w:pStyle w:val="TableNAm"/>
            </w:pPr>
            <w:r>
              <w:t>For production of an extract of a record, per extract</w:t>
            </w:r>
          </w:p>
        </w:tc>
        <w:tc>
          <w:tcPr>
            <w:tcW w:w="1672" w:type="dxa"/>
            <w:noWrap/>
            <w:vAlign w:val="bottom"/>
          </w:tcPr>
          <w:p>
            <w:pPr>
              <w:pStyle w:val="TableNAm"/>
              <w:ind w:right="430"/>
              <w:jc w:val="right"/>
            </w:pPr>
            <w:del w:id="151" w:author="Master Repository Process" w:date="2024-01-03T10:11:00Z">
              <w:r>
                <w:br/>
                <w:delText>20.45</w:delText>
              </w:r>
            </w:del>
            <w:ins w:id="152" w:author="Master Repository Process" w:date="2024-01-03T10:11:00Z">
              <w:r>
                <w:t>21.30</w:t>
              </w:r>
            </w:ins>
          </w:p>
        </w:tc>
      </w:tr>
      <w:tr>
        <w:tc>
          <w:tcPr>
            <w:tcW w:w="4395" w:type="dxa"/>
            <w:noWrap/>
          </w:tcPr>
          <w:p>
            <w:pPr>
              <w:pStyle w:val="TableNAm"/>
            </w:pPr>
            <w:r>
              <w:t>For detailed searching of current and historical information about a record, including production of supporting documentation, per search</w:t>
            </w:r>
          </w:p>
        </w:tc>
        <w:tc>
          <w:tcPr>
            <w:tcW w:w="1672" w:type="dxa"/>
            <w:noWrap/>
            <w:vAlign w:val="bottom"/>
          </w:tcPr>
          <w:p>
            <w:pPr>
              <w:pStyle w:val="TableNAm"/>
              <w:ind w:right="430"/>
              <w:jc w:val="right"/>
            </w:pPr>
            <w:del w:id="153" w:author="Master Repository Process" w:date="2024-01-03T10:11:00Z">
              <w:r>
                <w:br/>
              </w:r>
              <w:r>
                <w:br/>
              </w:r>
              <w:r>
                <w:br/>
              </w:r>
            </w:del>
            <w:ins w:id="154" w:author="Master Repository Process" w:date="2024-01-03T10:11:00Z">
              <w:r>
                <w:t>27.</w:t>
              </w:r>
            </w:ins>
            <w:r>
              <w:t>25</w:t>
            </w:r>
            <w:del w:id="155" w:author="Master Repository Process" w:date="2024-01-03T10:11:00Z">
              <w:r>
                <w:delText>.75</w:delText>
              </w:r>
            </w:del>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Gazette 29 May 2015 p. 1884</w:t>
      </w:r>
      <w:r>
        <w:noBreakHyphen/>
        <w:t>5; 14 Jun 2016 p. 1993; 23 Jun 2017 p. 3260; 22 Jun 2018 p. 2186; 31 May 2019 p. 1723; SL 2020/74 r. 4; SL 2021/92 r. 6; SL 2022/67 r. </w:t>
      </w:r>
      <w:del w:id="156" w:author="Master Repository Process" w:date="2024-01-03T10:11:00Z">
        <w:r>
          <w:delText>6</w:delText>
        </w:r>
      </w:del>
      <w:ins w:id="157" w:author="Master Repository Process" w:date="2024-01-03T10:11:00Z">
        <w:r>
          <w:t>6; SL 2023/45 r. 19</w:t>
        </w:r>
      </w:ins>
      <w:r>
        <w:t>.]</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58" w:name="_Toc155169108"/>
      <w:bookmarkStart w:id="159" w:name="_Toc135140061"/>
      <w:bookmarkStart w:id="160" w:name="_Toc135140122"/>
      <w:bookmarkStart w:id="161" w:name="_Toc135219764"/>
      <w:r>
        <w:rPr>
          <w:rStyle w:val="CharSchNo"/>
        </w:rPr>
        <w:t>Schedule 1</w:t>
      </w:r>
      <w:r>
        <w:rPr>
          <w:rStyle w:val="CharSDivNo"/>
          <w:sz w:val="28"/>
        </w:rPr>
        <w:t> </w:t>
      </w:r>
      <w:r>
        <w:t>—</w:t>
      </w:r>
      <w:r>
        <w:rPr>
          <w:rStyle w:val="CharSDivText"/>
          <w:sz w:val="28"/>
        </w:rPr>
        <w:t> </w:t>
      </w:r>
      <w:r>
        <w:rPr>
          <w:rStyle w:val="CharSchText"/>
        </w:rPr>
        <w:t>Entry warrant</w:t>
      </w:r>
      <w:bookmarkEnd w:id="158"/>
      <w:bookmarkEnd w:id="159"/>
      <w:bookmarkEnd w:id="160"/>
      <w:bookmarkEnd w:id="161"/>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w:t>
            </w:r>
            <w:r>
              <w:rPr>
                <w:sz w:val="20"/>
              </w:rPr>
              <w:t>[s. 55 including those in s. 53(5) and 54(8)] / [s. 61B including those in s. 55 that apply under s. 61B(6)].</w:t>
            </w:r>
            <w:r>
              <w:rPr>
                <w:sz w:val="20"/>
                <w:vertAlign w:val="superscript"/>
              </w:rPr>
              <w:t>1A</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1A.</w:t>
      </w:r>
      <w:r>
        <w:tab/>
        <w:t>Delete as appropriate.</w:t>
      </w:r>
    </w:p>
    <w:p>
      <w:pPr>
        <w:pStyle w:val="yMiscellaneousBody"/>
        <w:tabs>
          <w:tab w:val="left" w:pos="567"/>
        </w:tabs>
        <w:spacing w:before="0"/>
        <w:ind w:left="567" w:hanging="567"/>
      </w:pPr>
      <w:r>
        <w:t>1.</w:t>
      </w:r>
      <w:r>
        <w:tab/>
        <w:t>State the address or geographical location of the premises as defined in the Act s. 55(1) or 61B(1) (as relevant) to be entered.</w:t>
      </w:r>
    </w:p>
    <w:p>
      <w:pPr>
        <w:pStyle w:val="yMiscellaneousBody"/>
        <w:tabs>
          <w:tab w:val="left" w:pos="567"/>
        </w:tabs>
        <w:spacing w:before="0"/>
        <w:ind w:left="567" w:hanging="567"/>
      </w:pPr>
      <w:r>
        <w:t>2.</w:t>
      </w:r>
      <w:r>
        <w:tab/>
        <w:t>This period must not exceed 30 days (see the Act s. 65(2)(d)).</w:t>
      </w:r>
    </w:p>
    <w:p>
      <w:pPr>
        <w:pStyle w:val="yFootnotesection"/>
      </w:pPr>
      <w:r>
        <w:tab/>
        <w:t>[Schedule 1 amended: SL 2020/231 r. 12.]</w:t>
      </w:r>
    </w:p>
    <w:p>
      <w:pPr>
        <w:pStyle w:val="yScheduleHeading"/>
      </w:pPr>
      <w:bookmarkStart w:id="162" w:name="_Toc155169109"/>
      <w:bookmarkStart w:id="163" w:name="_Toc135140062"/>
      <w:bookmarkStart w:id="164" w:name="_Toc135140123"/>
      <w:bookmarkStart w:id="165" w:name="_Toc135219765"/>
      <w:r>
        <w:rPr>
          <w:rStyle w:val="CharSchNo"/>
        </w:rPr>
        <w:t>Schedule 2</w:t>
      </w:r>
      <w:r>
        <w:rPr>
          <w:rStyle w:val="CharSDivNo"/>
          <w:sz w:val="28"/>
        </w:rPr>
        <w:t> </w:t>
      </w:r>
      <w:r>
        <w:t>—</w:t>
      </w:r>
      <w:r>
        <w:rPr>
          <w:rStyle w:val="CharSDivText"/>
          <w:sz w:val="28"/>
        </w:rPr>
        <w:t> </w:t>
      </w:r>
      <w:r>
        <w:rPr>
          <w:rStyle w:val="CharSchText"/>
        </w:rPr>
        <w:t>Forms for infringement notice matters</w:t>
      </w:r>
      <w:bookmarkEnd w:id="162"/>
      <w:bookmarkEnd w:id="163"/>
      <w:bookmarkEnd w:id="164"/>
      <w:bookmarkEnd w:id="165"/>
    </w:p>
    <w:p>
      <w:pPr>
        <w:pStyle w:val="yShoulderClause"/>
      </w:pPr>
      <w:r>
        <w:t>[r. 27]</w:t>
      </w:r>
    </w:p>
    <w:p>
      <w:pPr>
        <w:pStyle w:val="yTHeadingNAm"/>
      </w:pPr>
      <w:r>
        <w:t xml:space="preserve">Form </w:t>
      </w:r>
      <w:r>
        <w:rPr>
          <w:rStyle w:val="CharSClsNo"/>
        </w:rPr>
        <w:t>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 xml:space="preserve">Form </w:t>
      </w:r>
      <w:r>
        <w:rPr>
          <w:rStyle w:val="CharSClsNo"/>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2 amended: SL 2020/172 r. 4.]</w:t>
      </w:r>
    </w:p>
    <w:p>
      <w:pPr>
        <w:pStyle w:val="yTHeadingNAm"/>
        <w:pageBreakBefore/>
      </w:pPr>
      <w:r>
        <w:t xml:space="preserve">Form </w:t>
      </w:r>
      <w:r>
        <w:rPr>
          <w:rStyle w:val="CharSClsNo"/>
        </w:rPr>
        <w:t>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3"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2"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3"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8"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3"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4"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4"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  </w:t>
            </w:r>
          </w:p>
        </w:tc>
      </w:tr>
      <w:tr>
        <w:trPr>
          <w:cantSplit/>
          <w:trHeight w:val="57"/>
        </w:trPr>
        <w:tc>
          <w:tcPr>
            <w:tcW w:w="6952"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2"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2"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3 amended: SL 2020/172 r. 5.]</w:t>
      </w:r>
    </w:p>
    <w:p>
      <w:pPr>
        <w:pStyle w:val="yTHeadingNAm"/>
        <w:pageBreakBefore/>
      </w:pPr>
      <w:r>
        <w:t xml:space="preserve">Form </w:t>
      </w:r>
      <w:r>
        <w:rPr>
          <w:rStyle w:val="CharSClsNo"/>
        </w:rPr>
        <w:t>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Footnotesection"/>
      </w:pPr>
      <w:r>
        <w:tab/>
        <w:t>[Form 4 amended: SL 2020/172 r. 5.]</w:t>
      </w:r>
    </w:p>
    <w:p>
      <w:pPr>
        <w:pStyle w:val="yTHeadingNAm"/>
        <w:pageBreakBefore/>
      </w:pPr>
      <w:r>
        <w:t xml:space="preserve">Form </w:t>
      </w:r>
      <w:r>
        <w:rPr>
          <w:rStyle w:val="CharSClsNo"/>
        </w:rPr>
        <w:t>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Footnotesection"/>
      </w:pPr>
      <w:r>
        <w:tab/>
        <w:t>[Form 5 amended: SL 2020/172 r. 6.]</w:t>
      </w:r>
    </w:p>
    <w:p>
      <w:pPr>
        <w:pStyle w:val="yTHeadingNAm"/>
        <w:keepNext w:val="0"/>
        <w:pageBreakBefore/>
        <w:widowControl w:val="0"/>
      </w:pPr>
      <w:r>
        <w:t xml:space="preserve">Form </w:t>
      </w:r>
      <w:r>
        <w:rPr>
          <w:rStyle w:val="CharSClsNo"/>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w:t>
      </w:r>
      <w:r>
        <w:rPr>
          <w:rStyle w:val="CharSClsNo"/>
        </w:rPr>
        <w:t>7</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w:t>
      </w:r>
      <w:r>
        <w:rPr>
          <w:rStyle w:val="CharSClsNo"/>
        </w:rPr>
        <w:t>8</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67" w:name="_Toc155169110"/>
      <w:bookmarkStart w:id="168" w:name="_Toc135140063"/>
      <w:bookmarkStart w:id="169" w:name="_Toc135140124"/>
      <w:bookmarkStart w:id="170" w:name="_Toc135219766"/>
      <w:r>
        <w:t>Notes</w:t>
      </w:r>
      <w:bookmarkEnd w:id="167"/>
      <w:bookmarkEnd w:id="168"/>
      <w:bookmarkEnd w:id="169"/>
      <w:bookmarkEnd w:id="170"/>
    </w:p>
    <w:p>
      <w:pPr>
        <w:pStyle w:val="nStatement"/>
      </w:pPr>
      <w:r>
        <w:t xml:space="preserve">This is a compilation of the </w:t>
      </w:r>
      <w:r>
        <w:rPr>
          <w:i/>
          <w:noProof/>
        </w:rPr>
        <w:t>Road Traffic (Administration) Regulations 2014</w:t>
      </w:r>
      <w:r>
        <w:t xml:space="preserve"> and includes amendments made by other written laws. For provisions that have come into operation see the compilation table. </w:t>
      </w:r>
      <w:del w:id="171" w:author="Master Repository Process" w:date="2024-01-03T10:11:00Z">
        <w:r>
          <w:delText>For provisions that have not yet come into operation see the uncommenced provisions table.</w:delText>
        </w:r>
      </w:del>
    </w:p>
    <w:p>
      <w:pPr>
        <w:pStyle w:val="nHeading3"/>
      </w:pPr>
      <w:bookmarkStart w:id="172" w:name="_Toc155169111"/>
      <w:bookmarkStart w:id="173" w:name="_Toc135219767"/>
      <w:r>
        <w:t>Compilation table</w:t>
      </w:r>
      <w:bookmarkEnd w:id="172"/>
      <w:bookmarkEnd w:id="17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rPr>
          <w:cantSplit/>
        </w:trP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rPr>
          <w:cantSplit/>
        </w:trP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bCs/>
                <w:snapToGrid w:val="0"/>
                <w:spacing w:val="-2"/>
              </w:rPr>
              <w:t>r. 1 and 2: 20 Sep 2016 (see r. 2(a));</w:t>
            </w:r>
            <w:r>
              <w:rPr>
                <w:bCs/>
                <w:snapToGrid w:val="0"/>
                <w:spacing w:val="-2"/>
              </w:rPr>
              <w:br/>
              <w:t>Regulations other than r. 1 and 2: 21 Sep 2016 (see r. 2(b))</w:t>
            </w:r>
          </w:p>
        </w:tc>
      </w:tr>
      <w:tr>
        <w:trPr>
          <w:cantSplit/>
        </w:trPr>
        <w:tc>
          <w:tcPr>
            <w:tcW w:w="3118" w:type="dxa"/>
            <w:tcBorders>
              <w:top w:val="nil"/>
              <w:bottom w:val="nil"/>
            </w:tcBorders>
          </w:tcPr>
          <w:p>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trPr>
          <w:cantSplit/>
        </w:trP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bCs/>
                <w:snapToGrid w:val="0"/>
                <w:spacing w:val="-2"/>
              </w:rPr>
            </w:pPr>
            <w:r>
              <w:rPr>
                <w:bCs/>
                <w:snapToGrid w:val="0"/>
                <w:spacing w:val="-2"/>
              </w:rPr>
              <w:t>28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93" w:type="dxa"/>
            <w:tcBorders>
              <w:top w:val="nil"/>
              <w:bottom w:val="nil"/>
            </w:tcBorders>
          </w:tcPr>
          <w:p>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bCs/>
                <w:snapToGrid w:val="0"/>
                <w:spacing w:val="-2"/>
              </w:rPr>
            </w:pPr>
            <w:r>
              <w:rPr>
                <w:snapToGrid w:val="0"/>
                <w:spacing w:val="-2"/>
              </w:rPr>
              <w:t>1 Jul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(Information) Regulations 2019</w:t>
            </w:r>
            <w:r>
              <w:t xml:space="preserve"> Pt. 2</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snapToGrid w:val="0"/>
                <w:spacing w:val="-2"/>
              </w:rPr>
            </w:pPr>
            <w:r>
              <w:rPr>
                <w:snapToGrid w:val="0"/>
                <w:spacing w:val="-2"/>
              </w:rPr>
              <w:t>30 Mar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2019</w:t>
            </w:r>
          </w:p>
        </w:tc>
        <w:tc>
          <w:tcPr>
            <w:tcW w:w="1276" w:type="dxa"/>
            <w:tcBorders>
              <w:top w:val="nil"/>
              <w:bottom w:val="nil"/>
            </w:tcBorders>
          </w:tcPr>
          <w:p>
            <w:pPr>
              <w:pStyle w:val="nTable"/>
              <w:spacing w:after="40"/>
            </w:pPr>
            <w:r>
              <w:t>31 Dec 2019 p. 4687</w:t>
            </w:r>
          </w:p>
        </w:tc>
        <w:tc>
          <w:tcPr>
            <w:tcW w:w="2693" w:type="dxa"/>
            <w:tcBorders>
              <w:top w:val="nil"/>
              <w:bottom w:val="nil"/>
            </w:tcBorders>
          </w:tcPr>
          <w:p>
            <w:pPr>
              <w:pStyle w:val="nTable"/>
              <w:spacing w:after="40"/>
            </w:pPr>
            <w:r>
              <w:t>r. 1 and 2: 31 Dec 2019 (see r. 2(a));</w:t>
            </w:r>
            <w:r>
              <w:br/>
              <w:t>Regulations other than r. 1 and 2: 1 Jan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2020</w:t>
            </w:r>
            <w:r>
              <w:t xml:space="preserve"> Pt. 2</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Passenger Services) Regulations 2020</w:t>
            </w:r>
            <w:r>
              <w:t xml:space="preserve"> Pt. 2</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Pt. 2 (other than r. 5): 1 Jul 2020 (see r. 2(c) and SL 2020/89 cl. 2);</w:t>
            </w:r>
            <w:r>
              <w:br/>
              <w:t>r. 5: 1 Jul 2021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(Infringement Notices) Regulations 2020</w:t>
            </w:r>
            <w:r>
              <w:t xml:space="preserve"> Pt. 2</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 xml:space="preserve">Road Traffic Regulations Amendment (Radar Detectors) Regulations 2020 </w:t>
            </w:r>
            <w:r>
              <w:t>Pt. 2</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Traffic) Regulations (No. 2) 2020</w:t>
            </w:r>
            <w:r>
              <w:t xml:space="preserve"> Pt. 2</w:t>
            </w:r>
          </w:p>
        </w:tc>
        <w:tc>
          <w:tcPr>
            <w:tcW w:w="1276" w:type="dxa"/>
            <w:tcBorders>
              <w:top w:val="nil"/>
              <w:bottom w:val="nil"/>
            </w:tcBorders>
          </w:tcPr>
          <w:p>
            <w:pPr>
              <w:pStyle w:val="nTable"/>
              <w:spacing w:after="40"/>
            </w:pPr>
            <w:r>
              <w:t>SL 2020/231 4 Dec 2020</w:t>
            </w:r>
          </w:p>
        </w:tc>
        <w:tc>
          <w:tcPr>
            <w:tcW w:w="2693" w:type="dxa"/>
            <w:tcBorders>
              <w:top w:val="nil"/>
              <w:bottom w:val="nil"/>
            </w:tcBorders>
          </w:tcPr>
          <w:p>
            <w:pPr>
              <w:pStyle w:val="nTable"/>
              <w:spacing w:after="40"/>
            </w:pPr>
            <w:r>
              <w:t>14 Dec 2020 (see r. 2(b) and SL 2020/229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2020</w:t>
            </w:r>
          </w:p>
        </w:tc>
        <w:tc>
          <w:tcPr>
            <w:tcW w:w="1276" w:type="dxa"/>
            <w:tcBorders>
              <w:top w:val="nil"/>
              <w:bottom w:val="nil"/>
            </w:tcBorders>
          </w:tcPr>
          <w:p>
            <w:pPr>
              <w:pStyle w:val="nTable"/>
              <w:spacing w:after="40"/>
            </w:pPr>
            <w:r>
              <w:t>SL 2020/262 24 Dec 2020</w:t>
            </w:r>
          </w:p>
        </w:tc>
        <w:tc>
          <w:tcPr>
            <w:tcW w:w="2693" w:type="dxa"/>
            <w:tcBorders>
              <w:top w:val="nil"/>
              <w:bottom w:val="nil"/>
            </w:tcBorders>
          </w:tcPr>
          <w:p>
            <w:pPr>
              <w:pStyle w:val="nTable"/>
              <w:spacing w:after="40"/>
            </w:pPr>
            <w:r>
              <w:t>r. 1 and 2: 24 Dec 2020 (see r. 2(a));</w:t>
            </w:r>
            <w:r>
              <w:br/>
              <w:t>Regulations other than r. 1 and 2: 26 Feb 2021 (see r. 2(b) and SL 2020/254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2021</w:t>
            </w:r>
          </w:p>
        </w:tc>
        <w:tc>
          <w:tcPr>
            <w:tcW w:w="1276" w:type="dxa"/>
            <w:tcBorders>
              <w:top w:val="nil"/>
              <w:bottom w:val="nil"/>
            </w:tcBorders>
          </w:tcPr>
          <w:p>
            <w:pPr>
              <w:pStyle w:val="nTable"/>
              <w:spacing w:after="40"/>
            </w:pPr>
            <w:r>
              <w:t>SL 2021/53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2021</w:t>
            </w:r>
          </w:p>
        </w:tc>
        <w:tc>
          <w:tcPr>
            <w:tcW w:w="1276" w:type="dxa"/>
            <w:tcBorders>
              <w:top w:val="nil"/>
              <w:bottom w:val="nil"/>
            </w:tcBorders>
          </w:tcPr>
          <w:p>
            <w:pPr>
              <w:pStyle w:val="nTable"/>
              <w:spacing w:after="40"/>
            </w:pPr>
            <w:r>
              <w:t>SL 2021/55 21 May 2021</w:t>
            </w:r>
          </w:p>
        </w:tc>
        <w:tc>
          <w:tcPr>
            <w:tcW w:w="2693" w:type="dxa"/>
            <w:tcBorders>
              <w:top w:val="nil"/>
              <w:bottom w:val="nil"/>
            </w:tcBorders>
          </w:tcPr>
          <w:p>
            <w:pPr>
              <w:pStyle w:val="nTable"/>
              <w:spacing w:after="40"/>
            </w:pPr>
            <w:r>
              <w:t>r. 1 and 2: 21 May 2021 (see r. 2(a));</w:t>
            </w:r>
            <w:r>
              <w:br/>
              <w:t>Regulations other than r. 1 and 2: 1 Jul 2021 (see r. 2(b) and SL 2021/54 cl. 2(a))</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2021</w:t>
            </w:r>
            <w:r>
              <w:t xml:space="preserve"> Pt. 3</w:t>
            </w:r>
          </w:p>
        </w:tc>
        <w:tc>
          <w:tcPr>
            <w:tcW w:w="1276" w:type="dxa"/>
            <w:tcBorders>
              <w:top w:val="nil"/>
              <w:bottom w:val="nil"/>
            </w:tcBorders>
          </w:tcPr>
          <w:p>
            <w:pPr>
              <w:pStyle w:val="nTable"/>
              <w:spacing w:after="40"/>
            </w:pPr>
            <w:r>
              <w:t>SL 2021/92 18 Jun 2021</w:t>
            </w:r>
          </w:p>
        </w:tc>
        <w:tc>
          <w:tcPr>
            <w:tcW w:w="2693" w:type="dxa"/>
            <w:tcBorders>
              <w:top w:val="nil"/>
              <w:bottom w:val="nil"/>
            </w:tcBorders>
          </w:tcPr>
          <w:p>
            <w:pPr>
              <w:pStyle w:val="nTable"/>
              <w:spacing w:after="40"/>
            </w:pPr>
            <w:r>
              <w:t>1 Jul 2021 (see r. 2(c))</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(Digital Identity Exchange) Regulations 2021</w:t>
            </w:r>
            <w:r>
              <w:t xml:space="preserve"> Pt. 2</w:t>
            </w:r>
          </w:p>
        </w:tc>
        <w:tc>
          <w:tcPr>
            <w:tcW w:w="1276" w:type="dxa"/>
            <w:tcBorders>
              <w:top w:val="nil"/>
              <w:bottom w:val="nil"/>
            </w:tcBorders>
          </w:tcPr>
          <w:p>
            <w:pPr>
              <w:pStyle w:val="nTable"/>
              <w:spacing w:after="40"/>
            </w:pPr>
            <w:r>
              <w:t>SL 2021/203 3 Dec 2021</w:t>
            </w:r>
          </w:p>
        </w:tc>
        <w:tc>
          <w:tcPr>
            <w:tcW w:w="2693" w:type="dxa"/>
            <w:tcBorders>
              <w:top w:val="nil"/>
              <w:bottom w:val="nil"/>
            </w:tcBorders>
          </w:tcPr>
          <w:p>
            <w:pPr>
              <w:pStyle w:val="nTable"/>
              <w:spacing w:after="40"/>
            </w:pPr>
            <w:r>
              <w:t>4 Dec 2021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2022</w:t>
            </w:r>
            <w:r>
              <w:t xml:space="preserve"> Pt. 3</w:t>
            </w:r>
          </w:p>
        </w:tc>
        <w:tc>
          <w:tcPr>
            <w:tcW w:w="1276" w:type="dxa"/>
            <w:tcBorders>
              <w:top w:val="nil"/>
              <w:bottom w:val="nil"/>
            </w:tcBorders>
          </w:tcPr>
          <w:p>
            <w:pPr>
              <w:pStyle w:val="nTable"/>
              <w:spacing w:after="40"/>
            </w:pPr>
            <w:r>
              <w:t>SL 2022/67 3 Jun 2022</w:t>
            </w:r>
          </w:p>
        </w:tc>
        <w:tc>
          <w:tcPr>
            <w:tcW w:w="2693" w:type="dxa"/>
            <w:tcBorders>
              <w:top w:val="nil"/>
              <w:bottom w:val="nil"/>
            </w:tcBorders>
          </w:tcPr>
          <w:p>
            <w:pPr>
              <w:pStyle w:val="nTable"/>
              <w:spacing w:after="40"/>
            </w:pPr>
            <w:r>
              <w:t>1 Jul 2022 (see r. 2(b))</w:t>
            </w:r>
          </w:p>
        </w:tc>
      </w:tr>
    </w:tbl>
    <w:p>
      <w:pPr>
        <w:pStyle w:val="nHeading3"/>
        <w:rPr>
          <w:del w:id="174" w:author="Master Repository Process" w:date="2024-01-03T10:11:00Z"/>
        </w:rPr>
      </w:pPr>
      <w:bookmarkStart w:id="175" w:name="_Toc135219768"/>
      <w:del w:id="176" w:author="Master Repository Process" w:date="2024-01-03T10:11:00Z">
        <w:r>
          <w:delText>Uncommenced provisions table</w:delText>
        </w:r>
        <w:bookmarkEnd w:id="175"/>
      </w:del>
    </w:p>
    <w:p>
      <w:pPr>
        <w:pStyle w:val="nStatement"/>
        <w:keepNext/>
        <w:spacing w:after="240"/>
        <w:rPr>
          <w:del w:id="177" w:author="Master Repository Process" w:date="2024-01-03T10:11:00Z"/>
        </w:rPr>
      </w:pPr>
      <w:del w:id="178" w:author="Master Repository Process" w:date="2024-01-03T10:11: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79" w:author="Master Repository Process" w:date="2024-01-03T10:11:00Z"/>
        </w:trPr>
        <w:tc>
          <w:tcPr>
            <w:tcW w:w="3118" w:type="dxa"/>
          </w:tcPr>
          <w:p>
            <w:pPr>
              <w:pStyle w:val="nTable"/>
              <w:spacing w:after="40"/>
              <w:rPr>
                <w:del w:id="180" w:author="Master Repository Process" w:date="2024-01-03T10:11:00Z"/>
                <w:b/>
              </w:rPr>
            </w:pPr>
            <w:del w:id="181" w:author="Master Repository Process" w:date="2024-01-03T10:11:00Z">
              <w:r>
                <w:rPr>
                  <w:b/>
                </w:rPr>
                <w:delText>Citation</w:delText>
              </w:r>
            </w:del>
          </w:p>
        </w:tc>
        <w:tc>
          <w:tcPr>
            <w:tcW w:w="1276" w:type="dxa"/>
          </w:tcPr>
          <w:p>
            <w:pPr>
              <w:pStyle w:val="nTable"/>
              <w:spacing w:after="40"/>
              <w:rPr>
                <w:del w:id="182" w:author="Master Repository Process" w:date="2024-01-03T10:11:00Z"/>
                <w:b/>
              </w:rPr>
            </w:pPr>
            <w:del w:id="183" w:author="Master Repository Process" w:date="2024-01-03T10:11:00Z">
              <w:r>
                <w:rPr>
                  <w:b/>
                </w:rPr>
                <w:delText>Published</w:delText>
              </w:r>
            </w:del>
          </w:p>
        </w:tc>
        <w:tc>
          <w:tcPr>
            <w:tcW w:w="2693" w:type="dxa"/>
          </w:tcPr>
          <w:p>
            <w:pPr>
              <w:pStyle w:val="nTable"/>
              <w:spacing w:after="40"/>
              <w:rPr>
                <w:del w:id="184" w:author="Master Repository Process" w:date="2024-01-03T10:11:00Z"/>
                <w:b/>
              </w:rPr>
            </w:pPr>
            <w:del w:id="185" w:author="Master Repository Process" w:date="2024-01-03T10:11:00Z">
              <w:r>
                <w:rPr>
                  <w:b/>
                </w:rPr>
                <w:delText>Commencement</w:delText>
              </w:r>
            </w:del>
          </w:p>
        </w:tc>
      </w:tr>
      <w:tr>
        <w:tblPrEx>
          <w:tblBorders>
            <w:top w:val="single" w:sz="4" w:space="0" w:color="auto"/>
            <w:insideH w:val="single" w:sz="4" w:space="0" w:color="auto"/>
          </w:tblBorders>
        </w:tblPrEx>
        <w:trPr>
          <w:cantSplit/>
        </w:trPr>
        <w:tc>
          <w:tcPr>
            <w:tcW w:w="3118" w:type="dxa"/>
            <w:tcBorders>
              <w:top w:val="nil"/>
              <w:bottom w:val="single" w:sz="4" w:space="0" w:color="auto"/>
            </w:tcBorders>
          </w:tcPr>
          <w:p>
            <w:pPr>
              <w:pStyle w:val="nTable"/>
              <w:spacing w:after="40"/>
              <w:rPr>
                <w:i/>
              </w:rPr>
            </w:pPr>
            <w:r>
              <w:rPr>
                <w:i/>
              </w:rPr>
              <w:t>Transport Regulations Amendment (Fees and Charges) Regulations 2023</w:t>
            </w:r>
            <w:r>
              <w:t xml:space="preserve"> Pt. 6</w:t>
            </w:r>
          </w:p>
        </w:tc>
        <w:tc>
          <w:tcPr>
            <w:tcW w:w="1276" w:type="dxa"/>
            <w:tcBorders>
              <w:top w:val="nil"/>
              <w:bottom w:val="single" w:sz="4" w:space="0" w:color="auto"/>
            </w:tcBorders>
          </w:tcPr>
          <w:p>
            <w:pPr>
              <w:pStyle w:val="nTable"/>
              <w:spacing w:after="40"/>
            </w:pPr>
            <w:r>
              <w:t>SL 2023/45 19 May 2023</w:t>
            </w:r>
          </w:p>
        </w:tc>
        <w:tc>
          <w:tcPr>
            <w:tcW w:w="2693" w:type="dxa"/>
            <w:tcBorders>
              <w:top w:val="nil"/>
              <w:bottom w:val="single" w:sz="4" w:space="0" w:color="auto"/>
            </w:tcBorders>
          </w:tcPr>
          <w:p>
            <w:pPr>
              <w:pStyle w:val="nTable"/>
              <w:spacing w:after="40"/>
            </w:pPr>
            <w:r>
              <w:t>1 Jul 2023 (see r. 2(c))</w:t>
            </w:r>
          </w:p>
        </w:tc>
      </w:tr>
    </w:tbl>
    <w:p/>
    <w:p>
      <w:pPr>
        <w:sectPr>
          <w:headerReference w:type="even" r:id="rId24"/>
          <w:headerReference w:type="default" r:id="rId25"/>
          <w:pgSz w:w="11907" w:h="16840" w:code="9"/>
          <w:pgMar w:top="2376" w:right="2404" w:bottom="3544" w:left="2404" w:header="720" w:footer="3544" w:gutter="0"/>
          <w:cols w:space="720"/>
          <w:noEndnote/>
          <w:docGrid w:linePitch="326"/>
        </w:sectPr>
      </w:pPr>
    </w:p>
    <w:p>
      <w:ins w:id="187" w:author="Master Repository Process" w:date="2024-01-03T10:11: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88" w:author="Master Repository Process" w:date="2024-01-03T10:11:00Z"/>
                                  <w:sz w:val="16"/>
                                </w:rPr>
                              </w:pPr>
                              <w:ins w:id="189" w:author="Master Repository Process" w:date="2024-01-03T10:1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90" w:author="Master Repository Process" w:date="2024-01-03T10:11:00Z"/>
                                  <w:sz w:val="16"/>
                                </w:rPr>
                              </w:pPr>
                              <w:ins w:id="191" w:author="Master Repository Process" w:date="2024-01-03T10:1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92" w:author="Master Repository Process" w:date="2024-01-03T10:11:00Z"/>
                                  <w:sz w:val="16"/>
                                </w:rPr>
                              </w:pPr>
                              <w:ins w:id="193" w:author="Master Repository Process" w:date="2024-01-03T10:1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94" w:author="Master Repository Process" w:date="2024-01-03T10:11:00Z"/>
                                  <w:rFonts w:ascii="Arial" w:hAnsi="Arial" w:cs="Arial"/>
                                  <w:sz w:val="12"/>
                                </w:rPr>
                              </w:pPr>
                              <w:ins w:id="195" w:author="Master Repository Process" w:date="2024-01-03T10:11: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96" w:author="Master Repository Process" w:date="2024-01-03T10:11:00Z"/>
                            <w:sz w:val="16"/>
                          </w:rPr>
                        </w:pPr>
                        <w:ins w:id="197" w:author="Master Repository Process" w:date="2024-01-03T10:1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98" w:author="Master Repository Process" w:date="2024-01-03T10:11:00Z"/>
                            <w:sz w:val="16"/>
                          </w:rPr>
                        </w:pPr>
                        <w:ins w:id="199" w:author="Master Repository Process" w:date="2024-01-03T10:1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00" w:author="Master Repository Process" w:date="2024-01-03T10:11:00Z"/>
                            <w:sz w:val="16"/>
                          </w:rPr>
                        </w:pPr>
                        <w:ins w:id="201" w:author="Master Repository Process" w:date="2024-01-03T10:1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02" w:author="Master Repository Process" w:date="2024-01-03T10:11:00Z"/>
                            <w:rFonts w:ascii="Arial" w:hAnsi="Arial" w:cs="Arial"/>
                            <w:sz w:val="12"/>
                          </w:rPr>
                        </w:pPr>
                        <w:ins w:id="203" w:author="Master Repository Process" w:date="2024-01-03T10:11: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00-am0-01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4" w:name="Coversheet"/>
    <w:bookmarkEnd w:id="2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6" w:name="Schedule"/>
    <w:bookmarkEnd w:id="1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0719"/>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 w:name="WAFER_20200617084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627_GUID" w:val="3f9c223e-e94f-4dd8-9afa-0c0bced9dc02"/>
    <w:docVar w:name="WAFER_20200831142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2959_GUID" w:val="ade15be0-6429-4c41-aff0-91fe34465b63"/>
    <w:docVar w:name="WAFER_20200922130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30018_GUID" w:val="fe28d3ff-4e6d-4a23-87d0-c1fcfde7cc3b"/>
    <w:docVar w:name="WAFER_20201005113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13438_GUID" w:val="c380a4f3-1491-4a2f-9c2b-7c210cd5f3a8"/>
    <w:docVar w:name="WAFER_2020100512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017_GUID" w:val="19f8cf71-3d7e-43cf-ae8c-4f16f6ed59f6"/>
    <w:docVar w:name="WAFER_20201130143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736_GUID" w:val="c31d5dc9-85f9-49cf-bc46-1f7dd513af6e"/>
    <w:docVar w:name="WAFER_20201207140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7140306_GUID" w:val="20737675-10ce-4c1b-bd6e-543dc4f477e2"/>
    <w:docVar w:name="WAFER_202012221657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5741_GUID" w:val="230c3f5f-d9e2-42f1-8f16-eb14459f0522"/>
    <w:docVar w:name="WAFER_20210218115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8115701_GUID" w:val="1a52c653-0278-469f-adbe-fba0e32d5943"/>
    <w:docVar w:name="WAFER_20210505111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111553_GUID" w:val="03752b6a-9a2e-4a79-a5aa-a065e5730f6f"/>
    <w:docVar w:name="WAFER_202105200914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1400_GUID" w:val="030ead10-3322-4919-ba1e-92461ed764d3"/>
    <w:docVar w:name="WAFER_20210617123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851_GUID" w:val="4276f0e1-afbf-413c-92ff-885c911b6955"/>
    <w:docVar w:name="WAFER_202106241609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60920_GUID" w:val="5552b1a0-9379-4fc4-8538-dabdd50e7904"/>
    <w:docVar w:name="WAFER_202111301453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5345_GUID" w:val="d5eb571e-41dc-4bd3-ab28-ebbd6d5002c8"/>
    <w:docVar w:name="WAFER_202206011125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20_GUID" w:val="43904f7c-3871-4562-9ceb-21cfac588541"/>
    <w:docVar w:name="WAFER_202206241222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08_GUID" w:val="a38b8546-a949-4430-9bb4-6f0616a713b7"/>
    <w:docVar w:name="WAFER_202305161431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3120_GUID" w:val="dde695da-e333-4939-b71a-ad8dddbb2c97"/>
    <w:docVar w:name="WAFER_202306291121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128_GUID" w:val="8dcf7f4c-a38f-43cb-9330-b55a1e7ca310"/>
    <w:docVar w:name="WAFER_202312281407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719_GUID" w:val="b98c10d6-1d66-4234-a8e9-5233f1f5f5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5C931B-0CF2-42B9-8A49-4E54834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DC5D8-7F05-4E08-A8B6-6215A80F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14854</Words>
  <Characters>74569</Characters>
  <Application>Microsoft Office Word</Application>
  <DocSecurity>0</DocSecurity>
  <Lines>3550</Lines>
  <Paragraphs>1753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00-al0-00 - 00-am0-01</dc:title>
  <dc:subject/>
  <dc:creator/>
  <cp:keywords/>
  <dc:description/>
  <cp:lastModifiedBy>Master Repository Process</cp:lastModifiedBy>
  <cp:revision>2</cp:revision>
  <cp:lastPrinted>2014-11-27T00:08:00Z</cp:lastPrinted>
  <dcterms:created xsi:type="dcterms:W3CDTF">2024-01-03T02:11:00Z</dcterms:created>
  <dcterms:modified xsi:type="dcterms:W3CDTF">2024-01-03T02:11:00Z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20230701</vt:lpwstr>
  </property>
  <property fmtid="{D5CDD505-2E9C-101B-9397-08002B2CF9AE}" pid="6" name="CommencementAsAt">
    <vt:filetime>2023-06-30T16:00:00Z</vt:filetime>
  </property>
  <property fmtid="{D5CDD505-2E9C-101B-9397-08002B2CF9AE}" pid="7" name="CommencementYear">
    <vt:lpwstr>2023</vt:lpwstr>
  </property>
  <property fmtid="{D5CDD505-2E9C-101B-9397-08002B2CF9AE}" pid="8" name="FromSuffix">
    <vt:lpwstr>00-al0-00</vt:lpwstr>
  </property>
  <property fmtid="{D5CDD505-2E9C-101B-9397-08002B2CF9AE}" pid="9" name="FromAsAtDate">
    <vt:lpwstr>19 May 2023</vt:lpwstr>
  </property>
  <property fmtid="{D5CDD505-2E9C-101B-9397-08002B2CF9AE}" pid="10" name="ToSuffix">
    <vt:lpwstr>00-am0-01</vt:lpwstr>
  </property>
  <property fmtid="{D5CDD505-2E9C-101B-9397-08002B2CF9AE}" pid="11" name="ToAsAtDate">
    <vt:lpwstr>01 Jul 2023</vt:lpwstr>
  </property>
</Properties>
</file>