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2021</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Spent Convictions Act 1988</w:t>
      </w:r>
    </w:p>
    <w:p>
      <w:pPr>
        <w:pStyle w:val="NameofActReg"/>
        <w:spacing w:before="600" w:after="720"/>
      </w:pPr>
      <w:r>
        <w:t>Spent Convictions Regulations 1992</w:t>
      </w:r>
    </w:p>
    <w:p>
      <w:pPr>
        <w:pStyle w:val="Heading5"/>
        <w:rPr>
          <w:snapToGrid w:val="0"/>
        </w:rPr>
      </w:pPr>
      <w:bookmarkStart w:id="1" w:name="_Toc155173151"/>
      <w:bookmarkStart w:id="2" w:name="_Toc6221270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rPr>
        <w:t>.</w:t>
      </w:r>
    </w:p>
    <w:p>
      <w:pPr>
        <w:pStyle w:val="Heading5"/>
        <w:rPr>
          <w:snapToGrid w:val="0"/>
        </w:rPr>
      </w:pPr>
      <w:bookmarkStart w:id="4" w:name="_Toc155173152"/>
      <w:bookmarkStart w:id="5" w:name="_Toc6221270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pPr>
      <w:bookmarkStart w:id="6" w:name="_Toc155173153"/>
      <w:bookmarkStart w:id="7" w:name="_Toc62212710"/>
      <w:r>
        <w:rPr>
          <w:rStyle w:val="CharSectno"/>
        </w:rPr>
        <w:t>3</w:t>
      </w:r>
      <w:r>
        <w:t>.</w:t>
      </w:r>
      <w:r>
        <w:tab/>
        <w:t>Minor punishment, amount prescribed (Act s. 3)</w:t>
      </w:r>
      <w:bookmarkEnd w:id="6"/>
      <w:bookmarkEnd w:id="7"/>
    </w:p>
    <w:p>
      <w:pPr>
        <w:pStyle w:val="Subsection"/>
      </w:pPr>
      <w:r>
        <w:tab/>
      </w:r>
      <w:r>
        <w:tab/>
        <w:t>For the purposes of the definition of “minor punishment” in section 3 of the Act, the amount of $</w:t>
      </w:r>
      <w:ins w:id="8" w:author="Master Repository Process" w:date="2024-01-03T11:19:00Z">
        <w:r>
          <w:t>1 </w:t>
        </w:r>
      </w:ins>
      <w:r>
        <w:t>500 is prescribed.</w:t>
      </w:r>
    </w:p>
    <w:p>
      <w:pPr>
        <w:pStyle w:val="Footnotesection"/>
      </w:pPr>
      <w:r>
        <w:tab/>
        <w:t>[Regulation 3 inserted: Gazette 4 Nov 2005 p. 5318</w:t>
      </w:r>
      <w:ins w:id="9" w:author="Master Repository Process" w:date="2024-01-03T11:19:00Z">
        <w:r>
          <w:t>; amended: SL 2023/122 r. 4</w:t>
        </w:r>
      </w:ins>
      <w:r>
        <w:t>.]</w:t>
      </w:r>
    </w:p>
    <w:p>
      <w:pPr>
        <w:pStyle w:val="Ednotesection"/>
        <w:tabs>
          <w:tab w:val="clear" w:pos="893"/>
          <w:tab w:val="left" w:pos="0"/>
        </w:tabs>
      </w:pPr>
      <w:r>
        <w:t>[</w:t>
      </w:r>
      <w:r>
        <w:rPr>
          <w:b/>
          <w:bCs/>
        </w:rPr>
        <w:t>4.</w:t>
      </w:r>
      <w:r>
        <w:tab/>
        <w:t>Deleted: Gazette 4 Nov 2005 p. 5318.]</w:t>
      </w:r>
    </w:p>
    <w:p>
      <w:pPr>
        <w:pStyle w:val="Heading5"/>
        <w:rPr>
          <w:snapToGrid w:val="0"/>
        </w:rPr>
      </w:pPr>
      <w:bookmarkStart w:id="10" w:name="_Toc155173154"/>
      <w:bookmarkStart w:id="11" w:name="_Toc62212711"/>
      <w:r>
        <w:rPr>
          <w:rStyle w:val="CharSectno"/>
        </w:rPr>
        <w:t>5</w:t>
      </w:r>
      <w:r>
        <w:rPr>
          <w:snapToGrid w:val="0"/>
        </w:rPr>
        <w:t>.</w:t>
      </w:r>
      <w:r>
        <w:rPr>
          <w:snapToGrid w:val="0"/>
        </w:rPr>
        <w:tab/>
        <w:t>Application form prescribed (Act s. 7(1))</w:t>
      </w:r>
      <w:bookmarkEnd w:id="10"/>
      <w:bookmarkEnd w:id="11"/>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12" w:name="_Toc155173155"/>
      <w:bookmarkStart w:id="13" w:name="_Toc62212712"/>
      <w:r>
        <w:rPr>
          <w:rStyle w:val="CharSectno"/>
        </w:rPr>
        <w:t>6A</w:t>
      </w:r>
      <w:r>
        <w:t>.</w:t>
      </w:r>
      <w:r>
        <w:tab/>
        <w:t>Persons and laws prescribed (Act s. 28(2))</w:t>
      </w:r>
      <w:bookmarkEnd w:id="12"/>
      <w:bookmarkEnd w:id="13"/>
    </w:p>
    <w:p>
      <w:pPr>
        <w:pStyle w:val="Subsection"/>
      </w:pPr>
      <w:r>
        <w:tab/>
      </w:r>
      <w:r>
        <w:tab/>
        <w:t xml:space="preserve">For the purposes of section 28(2) of the Act — </w:t>
      </w:r>
    </w:p>
    <w:p>
      <w:pPr>
        <w:pStyle w:val="Indenta"/>
      </w:pPr>
      <w:r>
        <w:tab/>
        <w:t>(a)</w:t>
      </w:r>
      <w:r>
        <w:tab/>
        <w:t>each person specified in Column 2 of an item in the Table is prescribed in respect of the law specified in Column 3 of that item; and</w:t>
      </w:r>
    </w:p>
    <w:p>
      <w:pPr>
        <w:pStyle w:val="Indenta"/>
      </w:pPr>
      <w:r>
        <w:tab/>
        <w:t>(b)</w:t>
      </w:r>
      <w:r>
        <w:tab/>
        <w:t>each law specified in Column 3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268"/>
        <w:gridCol w:w="1984"/>
      </w:tblGrid>
      <w:tr>
        <w:trPr>
          <w:cantSplit/>
          <w:tblHeader/>
        </w:trPr>
        <w:tc>
          <w:tcPr>
            <w:tcW w:w="1276" w:type="dxa"/>
            <w:noWrap/>
          </w:tcPr>
          <w:p>
            <w:pPr>
              <w:pStyle w:val="TableNAm"/>
              <w:jc w:val="center"/>
              <w:rPr>
                <w:b/>
              </w:rPr>
            </w:pPr>
            <w:r>
              <w:rPr>
                <w:b/>
              </w:rPr>
              <w:t>Column 1</w:t>
            </w:r>
          </w:p>
          <w:p>
            <w:pPr>
              <w:pStyle w:val="TableNAm"/>
              <w:jc w:val="center"/>
            </w:pPr>
            <w:r>
              <w:rPr>
                <w:b/>
              </w:rPr>
              <w:t>Item</w:t>
            </w:r>
          </w:p>
        </w:tc>
        <w:tc>
          <w:tcPr>
            <w:tcW w:w="2268" w:type="dxa"/>
            <w:noWrap/>
          </w:tcPr>
          <w:p>
            <w:pPr>
              <w:pStyle w:val="TableNAm"/>
              <w:jc w:val="center"/>
              <w:rPr>
                <w:b/>
              </w:rPr>
            </w:pPr>
            <w:r>
              <w:rPr>
                <w:b/>
              </w:rPr>
              <w:t>Column 2</w:t>
            </w:r>
          </w:p>
          <w:p>
            <w:pPr>
              <w:pStyle w:val="TableNAm"/>
              <w:jc w:val="center"/>
              <w:rPr>
                <w:b/>
              </w:rPr>
            </w:pPr>
            <w:r>
              <w:rPr>
                <w:b/>
              </w:rPr>
              <w:t>Prescribed person</w:t>
            </w:r>
          </w:p>
        </w:tc>
        <w:tc>
          <w:tcPr>
            <w:tcW w:w="1984" w:type="dxa"/>
            <w:noWrap/>
          </w:tcPr>
          <w:p>
            <w:pPr>
              <w:pStyle w:val="TableNAm"/>
              <w:jc w:val="center"/>
              <w:rPr>
                <w:b/>
              </w:rPr>
            </w:pPr>
            <w:r>
              <w:rPr>
                <w:b/>
              </w:rPr>
              <w:t>Column 3</w:t>
            </w:r>
          </w:p>
          <w:p>
            <w:pPr>
              <w:pStyle w:val="TableNAm"/>
              <w:jc w:val="center"/>
              <w:rPr>
                <w:b/>
              </w:rPr>
            </w:pPr>
            <w:r>
              <w:rPr>
                <w:b/>
              </w:rPr>
              <w:t>Prescribed law</w:t>
            </w:r>
          </w:p>
        </w:tc>
      </w:tr>
      <w:tr>
        <w:trPr>
          <w:cantSplit/>
        </w:trPr>
        <w:tc>
          <w:tcPr>
            <w:tcW w:w="1276" w:type="dxa"/>
            <w:noWrap/>
          </w:tcPr>
          <w:p>
            <w:pPr>
              <w:pStyle w:val="TableNAm"/>
            </w:pPr>
            <w:r>
              <w:t>1.</w:t>
            </w:r>
          </w:p>
        </w:tc>
        <w:tc>
          <w:tcPr>
            <w:tcW w:w="2268" w:type="dxa"/>
            <w:noWrap/>
          </w:tcPr>
          <w:p>
            <w:pPr>
              <w:pStyle w:val="TableNAm"/>
            </w:pPr>
            <w:r>
              <w:t xml:space="preserve">The Commissioner for Fair Trading appointed under the </w:t>
            </w:r>
            <w:r>
              <w:rPr>
                <w:i/>
              </w:rPr>
              <w:t>Fair Trading (Australian Consumer Law) Act 1992</w:t>
            </w:r>
            <w:r>
              <w:t xml:space="preserve"> (Australian Capital Territory) section 32</w:t>
            </w:r>
          </w:p>
        </w:tc>
        <w:tc>
          <w:tcPr>
            <w:tcW w:w="1984" w:type="dxa"/>
            <w:noWrap/>
          </w:tcPr>
          <w:p>
            <w:pPr>
              <w:pStyle w:val="TableNAm"/>
              <w:rPr>
                <w:i/>
                <w:iCs/>
              </w:rPr>
            </w:pPr>
            <w:r>
              <w:rPr>
                <w:i/>
              </w:rPr>
              <w:t xml:space="preserve">Working with Vulnerable People (Background Checking) Act 2011 </w:t>
            </w:r>
            <w:r>
              <w:t>(Australian Capital Territory)</w:t>
            </w:r>
          </w:p>
        </w:tc>
      </w:tr>
      <w:tr>
        <w:trPr>
          <w:cantSplit/>
        </w:trPr>
        <w:tc>
          <w:tcPr>
            <w:tcW w:w="1276" w:type="dxa"/>
            <w:noWrap/>
          </w:tcPr>
          <w:p>
            <w:pPr>
              <w:pStyle w:val="TableNAm"/>
            </w:pPr>
            <w:r>
              <w:t>2.</w:t>
            </w:r>
          </w:p>
        </w:tc>
        <w:tc>
          <w:tcPr>
            <w:tcW w:w="2268" w:type="dxa"/>
            <w:noWrap/>
          </w:tcPr>
          <w:p>
            <w:pPr>
              <w:pStyle w:val="TableNAm"/>
            </w:pPr>
            <w:r>
              <w:t xml:space="preserve">The Commissioner of the NDIS Quality and Safeguards Commission referred to in the </w:t>
            </w:r>
            <w:r>
              <w:rPr>
                <w:i/>
              </w:rPr>
              <w:t>National Disability Insurance Scheme Act 2013</w:t>
            </w:r>
            <w:r>
              <w:t xml:space="preserve"> (Commonwealth) section 181C</w:t>
            </w:r>
          </w:p>
        </w:tc>
        <w:tc>
          <w:tcPr>
            <w:tcW w:w="1984" w:type="dxa"/>
            <w:noWrap/>
          </w:tcPr>
          <w:p>
            <w:pPr>
              <w:pStyle w:val="TableNAm"/>
            </w:pPr>
            <w:r>
              <w:rPr>
                <w:i/>
              </w:rPr>
              <w:t xml:space="preserve">National Disability Insurance Scheme Act 2013 </w:t>
            </w:r>
            <w:r>
              <w:t>(Commonwealth)</w:t>
            </w:r>
          </w:p>
        </w:tc>
      </w:tr>
      <w:tr>
        <w:trPr>
          <w:cantSplit/>
        </w:trPr>
        <w:tc>
          <w:tcPr>
            <w:tcW w:w="1276" w:type="dxa"/>
            <w:noWrap/>
          </w:tcPr>
          <w:p>
            <w:pPr>
              <w:pStyle w:val="TableNAm"/>
            </w:pPr>
            <w:r>
              <w:t>3.</w:t>
            </w:r>
          </w:p>
        </w:tc>
        <w:tc>
          <w:tcPr>
            <w:tcW w:w="2268" w:type="dxa"/>
            <w:noWrap/>
          </w:tcPr>
          <w:p>
            <w:pPr>
              <w:pStyle w:val="TableNAm"/>
            </w:pPr>
            <w:r>
              <w:t xml:space="preserve">The Children’s Guardian appointed under the </w:t>
            </w:r>
            <w:r>
              <w:rPr>
                <w:i/>
              </w:rPr>
              <w:t>Children’s Guardian Act 2019</w:t>
            </w:r>
            <w:r>
              <w:t xml:space="preserve"> (New South Wales) section 115(2)</w:t>
            </w:r>
          </w:p>
        </w:tc>
        <w:tc>
          <w:tcPr>
            <w:tcW w:w="1984" w:type="dxa"/>
            <w:noWrap/>
          </w:tcPr>
          <w:p>
            <w:pPr>
              <w:pStyle w:val="TableNAm"/>
            </w:pPr>
            <w:r>
              <w:rPr>
                <w:i/>
              </w:rPr>
              <w:t>Child Protection (Working with Children) Act 2012</w:t>
            </w:r>
            <w:r>
              <w:t xml:space="preserve"> (New South Wales)</w:t>
            </w:r>
          </w:p>
        </w:tc>
      </w:tr>
      <w:tr>
        <w:trPr>
          <w:cantSplit/>
        </w:trPr>
        <w:tc>
          <w:tcPr>
            <w:tcW w:w="1276" w:type="dxa"/>
            <w:noWrap/>
          </w:tcPr>
          <w:p>
            <w:pPr>
              <w:pStyle w:val="TableNAm"/>
            </w:pPr>
            <w:r>
              <w:t>4.</w:t>
            </w:r>
          </w:p>
        </w:tc>
        <w:tc>
          <w:tcPr>
            <w:tcW w:w="2268" w:type="dxa"/>
            <w:noWrap/>
          </w:tcPr>
          <w:p>
            <w:pPr>
              <w:pStyle w:val="TableNAm"/>
            </w:pPr>
            <w:r>
              <w:t xml:space="preserve">The Screening Agency as defined in the </w:t>
            </w:r>
            <w:r>
              <w:rPr>
                <w:i/>
              </w:rPr>
              <w:t xml:space="preserve">National Disability Insurance Scheme (Worker Checks) Act 2018 </w:t>
            </w:r>
            <w:r>
              <w:t>(New South Wales) section 4</w:t>
            </w:r>
          </w:p>
        </w:tc>
        <w:tc>
          <w:tcPr>
            <w:tcW w:w="1984" w:type="dxa"/>
            <w:noWrap/>
          </w:tcPr>
          <w:p>
            <w:pPr>
              <w:pStyle w:val="TableNAm"/>
              <w:rPr>
                <w:i/>
              </w:rPr>
            </w:pPr>
            <w:r>
              <w:rPr>
                <w:i/>
              </w:rPr>
              <w:t xml:space="preserve">National Disability Insurance Scheme (Worker Checks) Act 2018 </w:t>
            </w:r>
            <w:r>
              <w:t>(New South Wales)</w:t>
            </w:r>
          </w:p>
        </w:tc>
      </w:tr>
      <w:tr>
        <w:trPr>
          <w:cantSplit/>
        </w:trPr>
        <w:tc>
          <w:tcPr>
            <w:tcW w:w="1276" w:type="dxa"/>
            <w:noWrap/>
          </w:tcPr>
          <w:p>
            <w:pPr>
              <w:pStyle w:val="TableNAm"/>
            </w:pPr>
            <w:r>
              <w:t>5.</w:t>
            </w:r>
          </w:p>
        </w:tc>
        <w:tc>
          <w:tcPr>
            <w:tcW w:w="2268" w:type="dxa"/>
            <w:noWrap/>
          </w:tcPr>
          <w:p>
            <w:pPr>
              <w:pStyle w:val="TableNAm"/>
            </w:pPr>
            <w:r>
              <w:t xml:space="preserve">The Screening Authority established under the </w:t>
            </w:r>
            <w:r>
              <w:rPr>
                <w:i/>
                <w:iCs/>
              </w:rPr>
              <w:t xml:space="preserve">Care and Protection of Children Act 2007 </w:t>
            </w:r>
            <w:r>
              <w:t>(Northern Territory) section 196(1)</w:t>
            </w:r>
          </w:p>
        </w:tc>
        <w:tc>
          <w:tcPr>
            <w:tcW w:w="1984" w:type="dxa"/>
            <w:noWrap/>
          </w:tcPr>
          <w:p>
            <w:pPr>
              <w:pStyle w:val="TableNAm"/>
            </w:pPr>
            <w:r>
              <w:rPr>
                <w:i/>
                <w:iCs/>
              </w:rPr>
              <w:t xml:space="preserve">Care and Protection of Children Act 2007 </w:t>
            </w:r>
            <w:r>
              <w:t>(Northern Territory)</w:t>
            </w:r>
          </w:p>
        </w:tc>
      </w:tr>
      <w:tr>
        <w:trPr>
          <w:cantSplit/>
        </w:trPr>
        <w:tc>
          <w:tcPr>
            <w:tcW w:w="1276" w:type="dxa"/>
            <w:noWrap/>
          </w:tcPr>
          <w:p>
            <w:pPr>
              <w:pStyle w:val="TableNAm"/>
            </w:pPr>
            <w:r>
              <w:t>6.</w:t>
            </w:r>
          </w:p>
        </w:tc>
        <w:tc>
          <w:tcPr>
            <w:tcW w:w="2268" w:type="dxa"/>
            <w:noWrap/>
          </w:tcPr>
          <w:p>
            <w:pPr>
              <w:pStyle w:val="TableNAm"/>
            </w:pPr>
            <w:r>
              <w:t xml:space="preserve">The Screening Agency as defined in the </w:t>
            </w:r>
            <w:r>
              <w:rPr>
                <w:i/>
              </w:rPr>
              <w:t xml:space="preserve">National Disability Insurance Scheme (Worker Clearance) Act 2020 </w:t>
            </w:r>
            <w:r>
              <w:t>(Northern Territory) section 7(1)</w:t>
            </w:r>
          </w:p>
        </w:tc>
        <w:tc>
          <w:tcPr>
            <w:tcW w:w="1984" w:type="dxa"/>
            <w:noWrap/>
          </w:tcPr>
          <w:p>
            <w:pPr>
              <w:pStyle w:val="TableNAm"/>
            </w:pPr>
            <w:r>
              <w:rPr>
                <w:i/>
              </w:rPr>
              <w:t xml:space="preserve">National Disability Insurance Scheme (Worker Clearance) Act 2020 </w:t>
            </w:r>
            <w:r>
              <w:t>(Northern Territory)</w:t>
            </w:r>
          </w:p>
        </w:tc>
      </w:tr>
      <w:tr>
        <w:tc>
          <w:tcPr>
            <w:tcW w:w="1276" w:type="dxa"/>
            <w:noWrap/>
          </w:tcPr>
          <w:p>
            <w:pPr>
              <w:pStyle w:val="TableNAm"/>
            </w:pPr>
            <w:r>
              <w:t>7.</w:t>
            </w:r>
          </w:p>
        </w:tc>
        <w:tc>
          <w:tcPr>
            <w:tcW w:w="2268" w:type="dxa"/>
            <w:noWrap/>
          </w:tcPr>
          <w:p>
            <w:pPr>
              <w:pStyle w:val="TableNAm"/>
            </w:pPr>
            <w:r>
              <w:t xml:space="preserve">The chief executive referred to in the </w:t>
            </w:r>
            <w:r>
              <w:rPr>
                <w:i/>
              </w:rPr>
              <w:t xml:space="preserve">Disability Services Act 2006 </w:t>
            </w:r>
            <w:r>
              <w:t xml:space="preserve">(Queensland) section 40 and as defined in the </w:t>
            </w:r>
            <w:r>
              <w:rPr>
                <w:i/>
              </w:rPr>
              <w:t>Acts Interpretation Act 1954</w:t>
            </w:r>
            <w:r>
              <w:t xml:space="preserve"> (Queensland) section 33(11)</w:t>
            </w:r>
          </w:p>
        </w:tc>
        <w:tc>
          <w:tcPr>
            <w:tcW w:w="1984" w:type="dxa"/>
            <w:noWrap/>
          </w:tcPr>
          <w:p>
            <w:pPr>
              <w:pStyle w:val="TableNAm"/>
              <w:rPr>
                <w:i/>
              </w:rPr>
            </w:pPr>
            <w:r>
              <w:rPr>
                <w:i/>
              </w:rPr>
              <w:t xml:space="preserve">Disability Services Act 2006 </w:t>
            </w:r>
            <w:r>
              <w:t>(Queensland)</w:t>
            </w:r>
          </w:p>
        </w:tc>
      </w:tr>
      <w:tr>
        <w:trPr>
          <w:cantSplit/>
        </w:trPr>
        <w:tc>
          <w:tcPr>
            <w:tcW w:w="1276" w:type="dxa"/>
            <w:noWrap/>
          </w:tcPr>
          <w:p>
            <w:pPr>
              <w:pStyle w:val="TableNAm"/>
            </w:pPr>
            <w:r>
              <w:t>8.</w:t>
            </w:r>
          </w:p>
        </w:tc>
        <w:tc>
          <w:tcPr>
            <w:tcW w:w="2268" w:type="dxa"/>
            <w:noWrap/>
          </w:tcPr>
          <w:p>
            <w:pPr>
              <w:pStyle w:val="TableNAm"/>
            </w:pPr>
            <w:r>
              <w:t xml:space="preserve">The Queensland College of Teachers established under the </w:t>
            </w:r>
            <w:r>
              <w:rPr>
                <w:i/>
                <w:iCs/>
              </w:rPr>
              <w:t xml:space="preserve">Education (Queensland College of Teachers) Act 2005 </w:t>
            </w:r>
            <w:r>
              <w:t>(Queensland) section 229(1)</w:t>
            </w:r>
          </w:p>
        </w:tc>
        <w:tc>
          <w:tcPr>
            <w:tcW w:w="1984" w:type="dxa"/>
            <w:noWrap/>
          </w:tcPr>
          <w:p>
            <w:pPr>
              <w:pStyle w:val="TableNAm"/>
            </w:pPr>
            <w:r>
              <w:rPr>
                <w:i/>
                <w:iCs/>
              </w:rPr>
              <w:t xml:space="preserve">Education (Queensland College of Teachers) Act 2005 </w:t>
            </w:r>
            <w:r>
              <w:t>(Queensland)</w:t>
            </w:r>
          </w:p>
        </w:tc>
      </w:tr>
      <w:tr>
        <w:trPr>
          <w:cantSplit/>
        </w:trPr>
        <w:tc>
          <w:tcPr>
            <w:tcW w:w="1276" w:type="dxa"/>
            <w:noWrap/>
          </w:tcPr>
          <w:p>
            <w:pPr>
              <w:pStyle w:val="TableNAm"/>
            </w:pPr>
            <w:r>
              <w:t>9.</w:t>
            </w:r>
          </w:p>
        </w:tc>
        <w:tc>
          <w:tcPr>
            <w:tcW w:w="2268" w:type="dxa"/>
            <w:noWrap/>
          </w:tcPr>
          <w:p>
            <w:pPr>
              <w:pStyle w:val="TableNAm"/>
            </w:pPr>
            <w:r>
              <w:t xml:space="preserve">The chief executive referred to in the </w:t>
            </w:r>
            <w:r>
              <w:rPr>
                <w:i/>
              </w:rPr>
              <w:t>Working with Children (Risk Management and Screening) Act 2000</w:t>
            </w:r>
            <w:r>
              <w:t xml:space="preserve"> (Queensland) section 8 and as defined in the </w:t>
            </w:r>
            <w:r>
              <w:rPr>
                <w:i/>
              </w:rPr>
              <w:t>Acts Interpretation Act 1954</w:t>
            </w:r>
            <w:r>
              <w:t xml:space="preserve"> (Queensland) section 33(11)</w:t>
            </w:r>
          </w:p>
        </w:tc>
        <w:tc>
          <w:tcPr>
            <w:tcW w:w="1984" w:type="dxa"/>
            <w:noWrap/>
          </w:tcPr>
          <w:p>
            <w:pPr>
              <w:pStyle w:val="TableNAm"/>
              <w:rPr>
                <w:i/>
                <w:iCs/>
              </w:rPr>
            </w:pPr>
            <w:r>
              <w:rPr>
                <w:i/>
              </w:rPr>
              <w:t>Working with Children (Risk Management and Screening) Act 2000</w:t>
            </w:r>
            <w:r>
              <w:t xml:space="preserve"> (Queensland)</w:t>
            </w:r>
          </w:p>
        </w:tc>
      </w:tr>
      <w:tr>
        <w:trPr>
          <w:cantSplit/>
        </w:trPr>
        <w:tc>
          <w:tcPr>
            <w:tcW w:w="1276" w:type="dxa"/>
            <w:noWrap/>
          </w:tcPr>
          <w:p>
            <w:pPr>
              <w:pStyle w:val="TableNAm"/>
            </w:pPr>
            <w:r>
              <w:t>10.</w:t>
            </w:r>
          </w:p>
        </w:tc>
        <w:tc>
          <w:tcPr>
            <w:tcW w:w="2268" w:type="dxa"/>
            <w:noWrap/>
          </w:tcPr>
          <w:p>
            <w:pPr>
              <w:pStyle w:val="TableNAm"/>
            </w:pPr>
            <w:r>
              <w:t xml:space="preserve">The central assessment unit established under the </w:t>
            </w:r>
            <w:r>
              <w:rPr>
                <w:i/>
              </w:rPr>
              <w:t>Child Safety (Prohibited Persons) Act 2016</w:t>
            </w:r>
            <w:r>
              <w:t xml:space="preserve"> (South Australia) section 20(1)</w:t>
            </w:r>
          </w:p>
        </w:tc>
        <w:tc>
          <w:tcPr>
            <w:tcW w:w="1984" w:type="dxa"/>
            <w:noWrap/>
          </w:tcPr>
          <w:p>
            <w:pPr>
              <w:pStyle w:val="TableNAm"/>
              <w:rPr>
                <w:i/>
              </w:rPr>
            </w:pPr>
            <w:r>
              <w:rPr>
                <w:i/>
              </w:rPr>
              <w:t>Child Safety (Prohibited Persons) Act 2016</w:t>
            </w:r>
            <w:r>
              <w:t xml:space="preserve"> (South Australia)</w:t>
            </w:r>
          </w:p>
        </w:tc>
      </w:tr>
      <w:tr>
        <w:trPr>
          <w:cantSplit/>
        </w:trPr>
        <w:tc>
          <w:tcPr>
            <w:tcW w:w="1276" w:type="dxa"/>
            <w:noWrap/>
          </w:tcPr>
          <w:p>
            <w:pPr>
              <w:pStyle w:val="TableNAm"/>
            </w:pPr>
            <w:r>
              <w:t>11.</w:t>
            </w:r>
          </w:p>
        </w:tc>
        <w:tc>
          <w:tcPr>
            <w:tcW w:w="2268" w:type="dxa"/>
            <w:noWrap/>
          </w:tcPr>
          <w:p>
            <w:pPr>
              <w:pStyle w:val="TableNAm"/>
            </w:pPr>
            <w:r>
              <w:t xml:space="preserve">The central assessment unit established under the </w:t>
            </w:r>
            <w:r>
              <w:rPr>
                <w:i/>
              </w:rPr>
              <w:t>Child Safety (Prohibited Persons) Act 2016</w:t>
            </w:r>
            <w:r>
              <w:t xml:space="preserve"> (South Australia) section 20(1)</w:t>
            </w:r>
          </w:p>
        </w:tc>
        <w:tc>
          <w:tcPr>
            <w:tcW w:w="1984" w:type="dxa"/>
            <w:noWrap/>
          </w:tcPr>
          <w:p>
            <w:pPr>
              <w:pStyle w:val="TableNAm"/>
            </w:pPr>
            <w:r>
              <w:rPr>
                <w:i/>
              </w:rPr>
              <w:t>Disability Inclusion Act 2018</w:t>
            </w:r>
            <w:r>
              <w:t xml:space="preserve"> (South Australia)</w:t>
            </w:r>
          </w:p>
        </w:tc>
      </w:tr>
      <w:tr>
        <w:trPr>
          <w:cantSplit/>
        </w:trPr>
        <w:tc>
          <w:tcPr>
            <w:tcW w:w="1276" w:type="dxa"/>
            <w:noWrap/>
          </w:tcPr>
          <w:p>
            <w:pPr>
              <w:pStyle w:val="TableNAm"/>
            </w:pPr>
            <w:r>
              <w:t>12.</w:t>
            </w:r>
          </w:p>
        </w:tc>
        <w:tc>
          <w:tcPr>
            <w:tcW w:w="2268" w:type="dxa"/>
            <w:noWrap/>
          </w:tcPr>
          <w:p>
            <w:pPr>
              <w:pStyle w:val="TableNAm"/>
            </w:pPr>
            <w:r>
              <w:t xml:space="preserve">The Registrar appointed under the </w:t>
            </w:r>
            <w:r>
              <w:rPr>
                <w:i/>
              </w:rPr>
              <w:t>Registration to Work with Vulnerable People Act 2013</w:t>
            </w:r>
            <w:r>
              <w:t xml:space="preserve"> (Tasmania) section 11</w:t>
            </w:r>
          </w:p>
        </w:tc>
        <w:tc>
          <w:tcPr>
            <w:tcW w:w="1984" w:type="dxa"/>
            <w:noWrap/>
          </w:tcPr>
          <w:p>
            <w:pPr>
              <w:pStyle w:val="TableNAm"/>
              <w:rPr>
                <w:i/>
              </w:rPr>
            </w:pPr>
            <w:r>
              <w:rPr>
                <w:i/>
              </w:rPr>
              <w:t>Registration to Work with Vulnerable People Act 2013</w:t>
            </w:r>
            <w:r>
              <w:t xml:space="preserve"> (Tasmania)</w:t>
            </w:r>
          </w:p>
        </w:tc>
      </w:tr>
      <w:tr>
        <w:trPr>
          <w:cantSplit/>
        </w:trPr>
        <w:tc>
          <w:tcPr>
            <w:tcW w:w="1276" w:type="dxa"/>
            <w:noWrap/>
          </w:tcPr>
          <w:p>
            <w:pPr>
              <w:pStyle w:val="TableNAm"/>
            </w:pPr>
            <w:r>
              <w:t>13.</w:t>
            </w:r>
          </w:p>
        </w:tc>
        <w:tc>
          <w:tcPr>
            <w:tcW w:w="2268" w:type="dxa"/>
            <w:noWrap/>
          </w:tcPr>
          <w:p>
            <w:pPr>
              <w:pStyle w:val="TableNAm"/>
            </w:pPr>
            <w:r>
              <w:t xml:space="preserve">The Disability Worker Registration Board of Victoria established under the </w:t>
            </w:r>
            <w:r>
              <w:rPr>
                <w:i/>
              </w:rPr>
              <w:t>Disability Service Safeguards Act 2018</w:t>
            </w:r>
            <w:r>
              <w:t xml:space="preserve"> (Victoria) section 8</w:t>
            </w:r>
          </w:p>
        </w:tc>
        <w:tc>
          <w:tcPr>
            <w:tcW w:w="1984" w:type="dxa"/>
            <w:noWrap/>
          </w:tcPr>
          <w:p>
            <w:pPr>
              <w:pStyle w:val="TableNAm"/>
              <w:rPr>
                <w:i/>
              </w:rPr>
            </w:pPr>
            <w:r>
              <w:rPr>
                <w:i/>
              </w:rPr>
              <w:t>Disability Service Safeguards Act 2018</w:t>
            </w:r>
            <w:r>
              <w:t xml:space="preserve"> (Victoria)</w:t>
            </w:r>
          </w:p>
        </w:tc>
      </w:tr>
      <w:tr>
        <w:trPr>
          <w:cantSplit/>
        </w:trPr>
        <w:tc>
          <w:tcPr>
            <w:tcW w:w="1276" w:type="dxa"/>
            <w:noWrap/>
          </w:tcPr>
          <w:p>
            <w:pPr>
              <w:pStyle w:val="TableNAm"/>
            </w:pPr>
            <w:r>
              <w:t>14.</w:t>
            </w:r>
          </w:p>
        </w:tc>
        <w:tc>
          <w:tcPr>
            <w:tcW w:w="2268" w:type="dxa"/>
            <w:noWrap/>
          </w:tcPr>
          <w:p>
            <w:pPr>
              <w:pStyle w:val="TableNAm"/>
            </w:pPr>
            <w:r>
              <w:t xml:space="preserve">The Victorian Disability Worker Commission established under the </w:t>
            </w:r>
            <w:r>
              <w:rPr>
                <w:i/>
              </w:rPr>
              <w:t>Disability Service Safeguards Act 2018</w:t>
            </w:r>
            <w:r>
              <w:t xml:space="preserve"> (Victoria) section 21(1)</w:t>
            </w:r>
          </w:p>
        </w:tc>
        <w:tc>
          <w:tcPr>
            <w:tcW w:w="1984" w:type="dxa"/>
            <w:noWrap/>
          </w:tcPr>
          <w:p>
            <w:pPr>
              <w:pStyle w:val="TableNAm"/>
              <w:rPr>
                <w:i/>
              </w:rPr>
            </w:pPr>
            <w:r>
              <w:rPr>
                <w:i/>
              </w:rPr>
              <w:t>Disability Service Safeguards Act 2018</w:t>
            </w:r>
            <w:r>
              <w:t xml:space="preserve"> (Victoria)</w:t>
            </w:r>
          </w:p>
        </w:tc>
      </w:tr>
      <w:tr>
        <w:trPr>
          <w:cantSplit/>
        </w:trPr>
        <w:tc>
          <w:tcPr>
            <w:tcW w:w="1276" w:type="dxa"/>
            <w:noWrap/>
          </w:tcPr>
          <w:p>
            <w:pPr>
              <w:pStyle w:val="TableNAm"/>
            </w:pPr>
            <w:r>
              <w:t>15.</w:t>
            </w:r>
          </w:p>
        </w:tc>
        <w:tc>
          <w:tcPr>
            <w:tcW w:w="2268" w:type="dxa"/>
            <w:noWrap/>
          </w:tcPr>
          <w:p>
            <w:pPr>
              <w:pStyle w:val="TableNAm"/>
            </w:pPr>
            <w:r>
              <w:t xml:space="preserve">The Victorian Disability Worker Commissioner appointed under the </w:t>
            </w:r>
            <w:r>
              <w:rPr>
                <w:i/>
              </w:rPr>
              <w:t>Disability Service Safeguards Act 2018</w:t>
            </w:r>
            <w:r>
              <w:t xml:space="preserve"> (Victoria) section 26(1)</w:t>
            </w:r>
          </w:p>
        </w:tc>
        <w:tc>
          <w:tcPr>
            <w:tcW w:w="1984" w:type="dxa"/>
            <w:noWrap/>
          </w:tcPr>
          <w:p>
            <w:pPr>
              <w:pStyle w:val="TableNAm"/>
              <w:rPr>
                <w:i/>
              </w:rPr>
            </w:pPr>
            <w:r>
              <w:rPr>
                <w:i/>
              </w:rPr>
              <w:t>Disability Service Safeguards Act 2018</w:t>
            </w:r>
            <w:r>
              <w:t xml:space="preserve"> (Victoria)</w:t>
            </w:r>
          </w:p>
        </w:tc>
      </w:tr>
      <w:tr>
        <w:trPr>
          <w:cantSplit/>
        </w:trPr>
        <w:tc>
          <w:tcPr>
            <w:tcW w:w="1276" w:type="dxa"/>
            <w:noWrap/>
          </w:tcPr>
          <w:p>
            <w:pPr>
              <w:pStyle w:val="TableNAm"/>
            </w:pPr>
            <w:r>
              <w:t>16.</w:t>
            </w:r>
          </w:p>
        </w:tc>
        <w:tc>
          <w:tcPr>
            <w:tcW w:w="2268" w:type="dxa"/>
            <w:noWrap/>
          </w:tcPr>
          <w:p>
            <w:pPr>
              <w:pStyle w:val="TableNAm"/>
            </w:pPr>
            <w:r>
              <w:t xml:space="preserve">The Secretary as defined in the </w:t>
            </w:r>
            <w:r>
              <w:rPr>
                <w:i/>
                <w:iCs/>
              </w:rPr>
              <w:t xml:space="preserve">Worker Screening Act 2020 </w:t>
            </w:r>
            <w:r>
              <w:t>(Victoria) section 3(1)</w:t>
            </w:r>
          </w:p>
        </w:tc>
        <w:tc>
          <w:tcPr>
            <w:tcW w:w="1984" w:type="dxa"/>
            <w:noWrap/>
          </w:tcPr>
          <w:p>
            <w:pPr>
              <w:pStyle w:val="TableNAm"/>
            </w:pPr>
            <w:r>
              <w:rPr>
                <w:i/>
                <w:iCs/>
              </w:rPr>
              <w:t xml:space="preserve">Worker Screening Act 2020 </w:t>
            </w:r>
            <w:r>
              <w:t>(Victoria)</w:t>
            </w:r>
          </w:p>
        </w:tc>
      </w:tr>
    </w:tbl>
    <w:p>
      <w:pPr>
        <w:pStyle w:val="Footnotesection"/>
      </w:pPr>
      <w:r>
        <w:tab/>
        <w:t>[Regulation 6A inserted: SL 2021/6 r. 4.]</w:t>
      </w:r>
    </w:p>
    <w:p>
      <w:pPr>
        <w:pStyle w:val="Heading5"/>
        <w:rPr>
          <w:snapToGrid w:val="0"/>
        </w:rPr>
      </w:pPr>
      <w:bookmarkStart w:id="14" w:name="_Toc155173156"/>
      <w:bookmarkStart w:id="15" w:name="_Toc62212713"/>
      <w:r>
        <w:rPr>
          <w:rStyle w:val="CharSectno"/>
        </w:rPr>
        <w:t>6</w:t>
      </w:r>
      <w:r>
        <w:rPr>
          <w:snapToGrid w:val="0"/>
        </w:rPr>
        <w:t>.</w:t>
      </w:r>
      <w:r>
        <w:rPr>
          <w:snapToGrid w:val="0"/>
        </w:rPr>
        <w:tab/>
        <w:t>Form of notice (Act s. 33(2))</w:t>
      </w:r>
      <w:bookmarkEnd w:id="14"/>
      <w:bookmarkEnd w:id="15"/>
    </w:p>
    <w:p>
      <w:pPr>
        <w:pStyle w:val="Subsection"/>
        <w:rPr>
          <w:snapToGrid w:val="0"/>
        </w:rPr>
      </w:pPr>
      <w:r>
        <w:rPr>
          <w:snapToGrid w:val="0"/>
        </w:rPr>
        <w:tab/>
      </w:r>
      <w:r>
        <w:rPr>
          <w:snapToGrid w:val="0"/>
        </w:rPr>
        <w:tab/>
        <w:t>The form of notice set out in Schedule 2 is prescribed for the purposes of section 33(2) of the Act.</w:t>
      </w:r>
    </w:p>
    <w:p>
      <w:pPr>
        <w:pStyle w:val="Heading5"/>
        <w:rPr>
          <w:ins w:id="16" w:author="Master Repository Process" w:date="2024-01-03T11:19:00Z"/>
        </w:rPr>
      </w:pPr>
      <w:bookmarkStart w:id="17" w:name="_Toc155173157"/>
      <w:ins w:id="18" w:author="Master Repository Process" w:date="2024-01-03T11:19:00Z">
        <w:r>
          <w:rPr>
            <w:rStyle w:val="CharSectno"/>
          </w:rPr>
          <w:t>7</w:t>
        </w:r>
        <w:r>
          <w:t>.</w:t>
        </w:r>
        <w:r>
          <w:tab/>
          <w:t xml:space="preserve">Transitional provision for </w:t>
        </w:r>
        <w:r>
          <w:rPr>
            <w:i/>
          </w:rPr>
          <w:t>Spent Convictions Amendment Regulations 2023</w:t>
        </w:r>
        <w:bookmarkEnd w:id="17"/>
      </w:ins>
    </w:p>
    <w:p>
      <w:pPr>
        <w:pStyle w:val="Subsection"/>
        <w:rPr>
          <w:ins w:id="19" w:author="Master Repository Process" w:date="2024-01-03T11:19:00Z"/>
        </w:rPr>
      </w:pPr>
      <w:ins w:id="20" w:author="Master Repository Process" w:date="2024-01-03T11:19:00Z">
        <w:r>
          <w:tab/>
          <w:t>(1)</w:t>
        </w:r>
        <w:r>
          <w:tab/>
          <w:t xml:space="preserve">In this regulation — </w:t>
        </w:r>
      </w:ins>
    </w:p>
    <w:p>
      <w:pPr>
        <w:pStyle w:val="Defstart"/>
        <w:rPr>
          <w:ins w:id="21" w:author="Master Repository Process" w:date="2024-01-03T11:19:00Z"/>
        </w:rPr>
      </w:pPr>
      <w:ins w:id="22" w:author="Master Repository Process" w:date="2024-01-03T11:19:00Z">
        <w:r>
          <w:tab/>
        </w:r>
        <w:r>
          <w:rPr>
            <w:rStyle w:val="CharDefText"/>
          </w:rPr>
          <w:t>amendment day</w:t>
        </w:r>
        <w:r>
          <w:t xml:space="preserve"> means the day on which the </w:t>
        </w:r>
        <w:r>
          <w:rPr>
            <w:i/>
          </w:rPr>
          <w:t>Spent Convictions Amendment Regulations 2023</w:t>
        </w:r>
        <w:r>
          <w:t xml:space="preserve"> regulation 5 comes into operation;</w:t>
        </w:r>
      </w:ins>
    </w:p>
    <w:p>
      <w:pPr>
        <w:pStyle w:val="Defstart"/>
        <w:rPr>
          <w:ins w:id="23" w:author="Master Repository Process" w:date="2024-01-03T11:19:00Z"/>
        </w:rPr>
      </w:pPr>
      <w:ins w:id="24" w:author="Master Repository Process" w:date="2024-01-03T11:19:00Z">
        <w:r>
          <w:tab/>
        </w:r>
        <w:r>
          <w:rPr>
            <w:rStyle w:val="CharDefText"/>
          </w:rPr>
          <w:t>conviction</w:t>
        </w:r>
        <w:r>
          <w:t xml:space="preserve"> includes a conviction for an offence against Commonwealth law or the law of another State or of a Territory.</w:t>
        </w:r>
      </w:ins>
    </w:p>
    <w:p>
      <w:pPr>
        <w:pStyle w:val="Subsection"/>
        <w:rPr>
          <w:ins w:id="25" w:author="Master Repository Process" w:date="2024-01-03T11:19:00Z"/>
        </w:rPr>
      </w:pPr>
      <w:ins w:id="26" w:author="Master Repository Process" w:date="2024-01-03T11:19:00Z">
        <w:r>
          <w:tab/>
          <w:t>(2)</w:t>
        </w:r>
        <w:r>
          <w:tab/>
          <w:t xml:space="preserve">In relation to a conviction incurred before amendment day, regulation 3 continues to apply as if it had not been amended by the </w:t>
        </w:r>
        <w:r>
          <w:rPr>
            <w:i/>
          </w:rPr>
          <w:t>Spent Convictions Amendment Regulations 2023</w:t>
        </w:r>
        <w:r>
          <w:t xml:space="preserve"> regulation 4.</w:t>
        </w:r>
      </w:ins>
    </w:p>
    <w:p>
      <w:pPr>
        <w:pStyle w:val="Footnotesection"/>
        <w:rPr>
          <w:ins w:id="27" w:author="Master Repository Process" w:date="2024-01-03T11:19:00Z"/>
        </w:rPr>
      </w:pPr>
      <w:ins w:id="28" w:author="Master Repository Process" w:date="2024-01-03T11:19:00Z">
        <w:r>
          <w:tab/>
          <w:t>[Regulation 7 inserted: SL 2023/122 r. 5.]</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9" w:name="_Toc155173158"/>
      <w:bookmarkStart w:id="30" w:name="_Toc62201918"/>
      <w:bookmarkStart w:id="31" w:name="_Toc62202446"/>
      <w:bookmarkStart w:id="32" w:name="_Toc62212714"/>
      <w:r>
        <w:rPr>
          <w:rStyle w:val="CharSchNo"/>
        </w:rPr>
        <w:t>Schedule 1</w:t>
      </w:r>
      <w:bookmarkEnd w:id="29"/>
      <w:bookmarkEnd w:id="30"/>
      <w:bookmarkEnd w:id="31"/>
      <w:bookmarkEnd w:id="32"/>
    </w:p>
    <w:p>
      <w:pPr>
        <w:pStyle w:val="yShoulderClause"/>
        <w:spacing w:before="80"/>
        <w:rPr>
          <w:snapToGrid w:val="0"/>
        </w:rPr>
      </w:pPr>
      <w:r>
        <w:rPr>
          <w:snapToGrid w:val="0"/>
        </w:rPr>
        <w:t>[r. 5]</w:t>
      </w:r>
    </w:p>
    <w:p>
      <w:pPr>
        <w:pStyle w:val="yFootnoteheading"/>
      </w:pPr>
      <w:r>
        <w:tab/>
        <w:t>[Heading inserted: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33" w:name="_Toc155173159"/>
      <w:bookmarkStart w:id="34" w:name="_Toc62212715"/>
      <w:r>
        <w:rPr>
          <w:snapToGrid w:val="0"/>
        </w:rPr>
        <w:t>1.</w:t>
      </w:r>
      <w:r>
        <w:rPr>
          <w:snapToGrid w:val="0"/>
        </w:rPr>
        <w:tab/>
        <w:t>Use of this form</w:t>
      </w:r>
      <w:bookmarkEnd w:id="33"/>
      <w:bookmarkEnd w:id="34"/>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35" w:name="_Toc155173160"/>
      <w:bookmarkStart w:id="36" w:name="_Toc62212716"/>
      <w:r>
        <w:rPr>
          <w:snapToGrid w:val="0"/>
        </w:rPr>
        <w:t>2.</w:t>
      </w:r>
      <w:r>
        <w:rPr>
          <w:snapToGrid w:val="0"/>
        </w:rPr>
        <w:tab/>
        <w:t>When application can be made</w:t>
      </w:r>
      <w:bookmarkEnd w:id="35"/>
      <w:bookmarkEnd w:id="36"/>
    </w:p>
    <w:p>
      <w:pPr>
        <w:pStyle w:val="ySubsection"/>
        <w:rPr>
          <w:snapToGrid w:val="0"/>
        </w:rPr>
      </w:pPr>
      <w:r>
        <w:rPr>
          <w:snapToGrid w:val="0"/>
        </w:rPr>
        <w:tab/>
      </w:r>
      <w:r>
        <w:rPr>
          <w:snapToGrid w:val="0"/>
        </w:rPr>
        <w:tab/>
        <w:t xml:space="preserve">An application for a certificate that a lesser conviction is spent cannot be made until a period has expired after the conviction without any further conviction being incurred (unless no punishment or only a fine of </w:t>
      </w:r>
      <w:r>
        <w:t>$</w:t>
      </w:r>
      <w:ins w:id="37" w:author="Master Repository Process" w:date="2024-01-03T11:19:00Z">
        <w:r>
          <w:t>1 </w:t>
        </w:r>
      </w:ins>
      <w:r>
        <w:t>500</w:t>
      </w:r>
      <w:r>
        <w:rPr>
          <w:snapToGrid w:val="0"/>
        </w:rPr>
        <w:t xml:space="preserve">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38" w:name="_Toc155173161"/>
      <w:bookmarkStart w:id="39" w:name="_Toc62212717"/>
      <w:r>
        <w:rPr>
          <w:snapToGrid w:val="0"/>
        </w:rPr>
        <w:t>3.</w:t>
      </w:r>
      <w:r>
        <w:rPr>
          <w:snapToGrid w:val="0"/>
        </w:rPr>
        <w:tab/>
        <w:t>Witnessing the signature of applicant</w:t>
      </w:r>
      <w:bookmarkEnd w:id="38"/>
      <w:bookmarkEnd w:id="39"/>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40" w:name="_Toc155173162"/>
      <w:bookmarkStart w:id="41" w:name="_Toc62212718"/>
      <w:r>
        <w:rPr>
          <w:snapToGrid w:val="0"/>
        </w:rPr>
        <w:t>4.</w:t>
      </w:r>
      <w:r>
        <w:rPr>
          <w:snapToGrid w:val="0"/>
        </w:rPr>
        <w:tab/>
        <w:t>Evidence of identity</w:t>
      </w:r>
      <w:bookmarkEnd w:id="40"/>
      <w:bookmarkEnd w:id="41"/>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42" w:name="_Toc155173163"/>
      <w:bookmarkStart w:id="43" w:name="_Toc62212719"/>
      <w:r>
        <w:rPr>
          <w:snapToGrid w:val="0"/>
        </w:rPr>
        <w:t>5.</w:t>
      </w:r>
      <w:r>
        <w:rPr>
          <w:snapToGrid w:val="0"/>
        </w:rPr>
        <w:tab/>
        <w:t>Issue of certificate</w:t>
      </w:r>
      <w:bookmarkEnd w:id="42"/>
      <w:bookmarkEnd w:id="43"/>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Gazette 1 Apr 2008 p. 1280-3; amended: Gazette 27 Jun 2014 p. 2351; 10 Feb 2015 p. 621</w:t>
      </w:r>
      <w:ins w:id="44" w:author="Master Repository Process" w:date="2024-01-03T11:19:00Z">
        <w:r>
          <w:t>; SL 2023/122 r. 6</w:t>
        </w:r>
      </w:ins>
      <w:r>
        <w:t>.]</w:t>
      </w:r>
    </w:p>
    <w:p>
      <w:pPr>
        <w:pStyle w:val="yScheduleHeading"/>
      </w:pPr>
      <w:bookmarkStart w:id="45" w:name="_Toc155173164"/>
      <w:bookmarkStart w:id="46" w:name="_Toc62201924"/>
      <w:bookmarkStart w:id="47" w:name="_Toc62202452"/>
      <w:bookmarkStart w:id="48" w:name="_Toc62212720"/>
      <w:r>
        <w:rPr>
          <w:rStyle w:val="CharSchNo"/>
        </w:rPr>
        <w:t>Schedule 2</w:t>
      </w:r>
      <w:bookmarkEnd w:id="45"/>
      <w:bookmarkEnd w:id="46"/>
      <w:bookmarkEnd w:id="47"/>
      <w:bookmarkEnd w:id="48"/>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Gazette 4 Nov 2005 p. 5319; 12 Dec 2014 p. 4720.]</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50" w:name="_Toc155173165"/>
      <w:bookmarkStart w:id="51" w:name="_Toc62202453"/>
      <w:bookmarkStart w:id="52" w:name="_Toc62212721"/>
      <w:r>
        <w:t>Notes</w:t>
      </w:r>
      <w:bookmarkEnd w:id="50"/>
      <w:bookmarkEnd w:id="51"/>
      <w:bookmarkEnd w:id="52"/>
    </w:p>
    <w:p>
      <w:pPr>
        <w:pStyle w:val="nStatement"/>
      </w:pPr>
      <w:r>
        <w:t xml:space="preserve">This is a compilation of the </w:t>
      </w:r>
      <w:r>
        <w:rPr>
          <w:i/>
          <w:noProof/>
        </w:rPr>
        <w:t>Spent Convictions Regulations 1992</w:t>
      </w:r>
      <w:r>
        <w:t xml:space="preserve"> and includes amendments made by other written laws. For provisions that have come into operation, and for information about any reprints, see the compilation table.</w:t>
      </w:r>
    </w:p>
    <w:p>
      <w:pPr>
        <w:pStyle w:val="nHeading3"/>
      </w:pPr>
      <w:bookmarkStart w:id="53" w:name="_Toc155173166"/>
      <w:bookmarkStart w:id="54" w:name="_Toc62212722"/>
      <w:r>
        <w:t>Compilation table</w:t>
      </w:r>
      <w:bookmarkEnd w:id="53"/>
      <w:bookmarkEnd w:id="5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bCs/>
                <w:snapToGrid w:val="0"/>
              </w:rPr>
              <w:t>r. 1 and 2: 13 Jun 2014 (see r. 2(a));</w:t>
            </w:r>
            <w:r>
              <w:rPr>
                <w:bCs/>
                <w:snapToGrid w:val="0"/>
              </w:rPr>
              <w:br/>
              <w:t>Regulations other than r. 1 and 2: 14 Jun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bCs/>
                <w:snapToGrid w:val="0"/>
              </w:rPr>
            </w:pPr>
            <w:r>
              <w:rPr>
                <w:bCs/>
                <w:snapToGrid w:val="0"/>
              </w:rPr>
              <w:t>r. 1 and 2: 23 Sep 2014 (see r. 2(a));</w:t>
            </w:r>
            <w:r>
              <w:rPr>
                <w:bCs/>
                <w:snapToGrid w:val="0"/>
              </w:rPr>
              <w:br/>
              <w:t>Regulations other than r. 1 and 2: 24 Sep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Spent Convictions Amendment Regulations 2015</w:t>
            </w:r>
          </w:p>
        </w:tc>
        <w:tc>
          <w:tcPr>
            <w:tcW w:w="1276" w:type="dxa"/>
            <w:shd w:val="clear" w:color="auto" w:fill="auto"/>
          </w:tcPr>
          <w:p>
            <w:pPr>
              <w:pStyle w:val="nTable"/>
              <w:keepNext/>
              <w:keepLines/>
              <w:spacing w:after="40"/>
            </w:pPr>
            <w:r>
              <w:t>10 Feb 2015 p. 621</w:t>
            </w:r>
          </w:p>
        </w:tc>
        <w:tc>
          <w:tcPr>
            <w:tcW w:w="2693" w:type="dxa"/>
            <w:shd w:val="clear" w:color="auto" w:fill="auto"/>
          </w:tcPr>
          <w:p>
            <w:pPr>
              <w:pStyle w:val="nTable"/>
              <w:keepNext/>
              <w:keepLines/>
              <w:spacing w:after="40"/>
              <w:rPr>
                <w:bCs/>
                <w:snapToGrid w:val="0"/>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keepLines/>
              <w:spacing w:after="40"/>
              <w:rPr>
                <w:bCs/>
                <w:snapToGrid w:val="0"/>
              </w:rPr>
            </w:pPr>
            <w:r>
              <w:rPr>
                <w:b/>
                <w:bCs/>
                <w:snapToGrid w:val="0"/>
              </w:rPr>
              <w:t xml:space="preserve">Reprint 3: The </w:t>
            </w:r>
            <w:r>
              <w:rPr>
                <w:b/>
                <w:bCs/>
                <w:i/>
                <w:noProof/>
                <w:snapToGrid w:val="0"/>
              </w:rPr>
              <w:t>Spent Convictions Regulations 1992</w:t>
            </w:r>
            <w:r>
              <w:rPr>
                <w:b/>
                <w:bCs/>
                <w:snapToGrid w:val="0"/>
              </w:rPr>
              <w:t xml:space="preserve"> as at 4 Sep 2015</w:t>
            </w:r>
            <w:r>
              <w:rPr>
                <w:bCs/>
                <w:snapToGrid w:val="0"/>
              </w:rPr>
              <w:t xml:space="preserve"> (includes amendments listed above)</w:t>
            </w:r>
          </w:p>
        </w:tc>
      </w:tr>
      <w:tr>
        <w:tc>
          <w:tcPr>
            <w:tcW w:w="3119" w:type="dxa"/>
            <w:tcBorders>
              <w:top w:val="nil"/>
              <w:bottom w:val="nil"/>
            </w:tcBorders>
          </w:tcPr>
          <w:p>
            <w:pPr>
              <w:pStyle w:val="nTable"/>
              <w:spacing w:after="40"/>
            </w:pPr>
            <w:r>
              <w:rPr>
                <w:i/>
              </w:rPr>
              <w:t>Spent Convictions Amendment Regulations 2021</w:t>
            </w:r>
          </w:p>
        </w:tc>
        <w:tc>
          <w:tcPr>
            <w:tcW w:w="1276" w:type="dxa"/>
            <w:tcBorders>
              <w:top w:val="nil"/>
              <w:bottom w:val="nil"/>
            </w:tcBorders>
          </w:tcPr>
          <w:p>
            <w:pPr>
              <w:pStyle w:val="nTable"/>
              <w:spacing w:after="40"/>
            </w:pPr>
            <w:r>
              <w:t>SL 2021/6 29 Jan 2021</w:t>
            </w:r>
          </w:p>
        </w:tc>
        <w:tc>
          <w:tcPr>
            <w:tcW w:w="2693" w:type="dxa"/>
            <w:tcBorders>
              <w:top w:val="nil"/>
              <w:bottom w:val="nil"/>
            </w:tcBorders>
          </w:tcPr>
          <w:p>
            <w:pPr>
              <w:pStyle w:val="nTable"/>
              <w:spacing w:after="40"/>
            </w:pPr>
            <w:r>
              <w:t>r. 1 and 2: 29 Jan 2021 (see r. 2(a));</w:t>
            </w:r>
            <w:r>
              <w:br/>
              <w:t>Regulations other than r. 1 and 2: 1 Feb 2021 (see r. 2(b) and SL 2021/4 cl. 2)</w:t>
            </w:r>
          </w:p>
        </w:tc>
      </w:tr>
    </w:tbl>
    <w:p>
      <w:pPr>
        <w:rPr>
          <w:del w:id="55" w:author="Master Repository Process" w:date="2024-01-03T11:19:00Z"/>
        </w:rPr>
      </w:pPr>
    </w:p>
    <w:p>
      <w:pPr>
        <w:rPr>
          <w:del w:id="56" w:author="Master Repository Process" w:date="2024-01-03T11:19: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ins w:id="57" w:author="Master Repository Process" w:date="2024-01-03T11:19:00Z"/>
        </w:trPr>
        <w:tc>
          <w:tcPr>
            <w:tcW w:w="3119" w:type="dxa"/>
            <w:tcBorders>
              <w:top w:val="nil"/>
            </w:tcBorders>
          </w:tcPr>
          <w:p>
            <w:pPr>
              <w:pStyle w:val="nTable"/>
              <w:spacing w:after="40"/>
              <w:rPr>
                <w:ins w:id="58" w:author="Master Repository Process" w:date="2024-01-03T11:19:00Z"/>
                <w:i/>
              </w:rPr>
            </w:pPr>
            <w:ins w:id="59" w:author="Master Repository Process" w:date="2024-01-03T11:19:00Z">
              <w:r>
                <w:rPr>
                  <w:i/>
                </w:rPr>
                <w:t>Spent Convictions Amendment Regulations 2023</w:t>
              </w:r>
            </w:ins>
          </w:p>
        </w:tc>
        <w:tc>
          <w:tcPr>
            <w:tcW w:w="1276" w:type="dxa"/>
            <w:tcBorders>
              <w:top w:val="nil"/>
            </w:tcBorders>
          </w:tcPr>
          <w:p>
            <w:pPr>
              <w:pStyle w:val="nTable"/>
              <w:spacing w:after="40"/>
              <w:rPr>
                <w:ins w:id="60" w:author="Master Repository Process" w:date="2024-01-03T11:19:00Z"/>
              </w:rPr>
            </w:pPr>
            <w:ins w:id="61" w:author="Master Repository Process" w:date="2024-01-03T11:19:00Z">
              <w:r>
                <w:t>SL 2023/122 2 Aug 2023</w:t>
              </w:r>
            </w:ins>
          </w:p>
        </w:tc>
        <w:tc>
          <w:tcPr>
            <w:tcW w:w="2693" w:type="dxa"/>
            <w:tcBorders>
              <w:top w:val="nil"/>
            </w:tcBorders>
          </w:tcPr>
          <w:p>
            <w:pPr>
              <w:pStyle w:val="nTable"/>
              <w:spacing w:after="40"/>
              <w:rPr>
                <w:ins w:id="62" w:author="Master Repository Process" w:date="2024-01-03T11:19:00Z"/>
              </w:rPr>
            </w:pPr>
            <w:ins w:id="63" w:author="Master Repository Process" w:date="2024-01-03T11:19:00Z">
              <w:r>
                <w:t>r. 1 and 2: 2 Aug 2023 (see r. 2(a));</w:t>
              </w:r>
              <w:r>
                <w:br/>
                <w:t>Regulations other than r. 1 and 2: 3 Aug 2023 (see r. 2(b))</w:t>
              </w:r>
            </w:ins>
          </w:p>
        </w:tc>
      </w:tr>
    </w:tbl>
    <w:p>
      <w:pPr>
        <w:rPr>
          <w:ins w:id="64" w:author="Master Repository Process" w:date="2024-01-03T11:19:00Z"/>
        </w:rPr>
      </w:pPr>
    </w:p>
    <w:p>
      <w:pPr>
        <w:rPr>
          <w:ins w:id="65" w:author="Master Repository Process" w:date="2024-01-03T11:19:00Z"/>
        </w:rPr>
        <w:sectPr>
          <w:headerReference w:type="even" r:id="rId26"/>
          <w:headerReference w:type="default" r:id="rId27"/>
          <w:pgSz w:w="11907" w:h="16840" w:code="9"/>
          <w:pgMar w:top="2376" w:right="2404" w:bottom="3544" w:left="2404" w:header="720" w:footer="3544" w:gutter="0"/>
          <w:cols w:space="720"/>
          <w:noEndnote/>
          <w:docGrid w:linePitch="326"/>
        </w:sectPr>
      </w:pPr>
    </w:p>
    <w:p>
      <w:ins w:id="67" w:author="Master Repository Process" w:date="2024-01-03T11:19: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8" w:author="Master Repository Process" w:date="2024-01-03T11:19:00Z"/>
                                  <w:sz w:val="16"/>
                                </w:rPr>
                              </w:pPr>
                              <w:ins w:id="69" w:author="Master Repository Process" w:date="2024-01-03T11: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0" w:author="Master Repository Process" w:date="2024-01-03T11:19:00Z"/>
                                  <w:sz w:val="16"/>
                                </w:rPr>
                              </w:pPr>
                              <w:ins w:id="71" w:author="Master Repository Process" w:date="2024-01-03T11: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2" w:author="Master Repository Process" w:date="2024-01-03T11:19:00Z"/>
                                  <w:sz w:val="16"/>
                                </w:rPr>
                              </w:pPr>
                              <w:ins w:id="73" w:author="Master Repository Process" w:date="2024-01-03T11: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4" w:author="Master Repository Process" w:date="2024-01-03T11:19:00Z"/>
                                  <w:rFonts w:ascii="Arial" w:hAnsi="Arial" w:cs="Arial"/>
                                  <w:sz w:val="12"/>
                                </w:rPr>
                              </w:pPr>
                              <w:ins w:id="75" w:author="Master Repository Process" w:date="2024-01-03T11:1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6" w:author="Master Repository Process" w:date="2024-01-03T11:19:00Z"/>
                            <w:sz w:val="16"/>
                          </w:rPr>
                        </w:pPr>
                        <w:ins w:id="77" w:author="Master Repository Process" w:date="2024-01-03T11:1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8" w:author="Master Repository Process" w:date="2024-01-03T11:19:00Z"/>
                            <w:sz w:val="16"/>
                          </w:rPr>
                        </w:pPr>
                        <w:ins w:id="79" w:author="Master Repository Process" w:date="2024-01-03T11:1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0" w:author="Master Repository Process" w:date="2024-01-03T11:19:00Z"/>
                            <w:sz w:val="16"/>
                          </w:rPr>
                        </w:pPr>
                        <w:ins w:id="81" w:author="Master Repository Process" w:date="2024-01-03T11:1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2" w:author="Master Repository Process" w:date="2024-01-03T11:19:00Z"/>
                            <w:rFonts w:ascii="Arial" w:hAnsi="Arial" w:cs="Arial"/>
                            <w:sz w:val="12"/>
                          </w:rPr>
                        </w:pPr>
                        <w:ins w:id="83" w:author="Master Repository Process" w:date="2024-01-03T11:1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130"/>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 w:name="WAFER_20150731105715" w:val="RemoveTocBookmarks,RemoveUnusedBookmarks,RemoveLanguageTags,UsedStyles,RemoveTrackChanges"/>
    <w:docVar w:name="WAFER_20150731105715_GUID" w:val="819fd7f2-4fa9-42e1-baca-48d4e4c82317"/>
    <w:docVar w:name="WAFER_20150731105728" w:val="RemoveTocBookmarks,RemoveLanguageTags,RemoveTrackChanges,RunningHeaders"/>
    <w:docVar w:name="WAFER_20150731105728_GUID" w:val="1e5aa2fa-7343-4889-94f4-f52f02932cd4"/>
    <w:docVar w:name="WAFER_20151111095351" w:val="UpdateStyles,UsedStyles"/>
    <w:docVar w:name="WAFER_20151111095351_GUID" w:val="5de09af1-99c9-4f2b-be99-b0866c509801"/>
    <w:docVar w:name="WAFER_20210122095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2095742_GUID" w:val="546e212c-d748-4a52-b93b-d7db804e8881"/>
    <w:docVar w:name="WAFER_20230802091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2091947_GUID" w:val="bf06fccd-2697-4bbf-85dc-03a1892ebdaf"/>
    <w:docVar w:name="WAFER_20231228161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130_GUID" w:val="69fbab0e-a19c-4d1d-9794-ca25c7f19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BC853E-10FB-4BDC-BFB9-0C9C6A03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2673</Words>
  <Characters>14435</Characters>
  <Application>Microsoft Office Word</Application>
  <DocSecurity>0</DocSecurity>
  <Lines>601</Lines>
  <Paragraphs>316</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16792</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03-b0-00 - 03-c0-01</dc:title>
  <dc:subject/>
  <dc:creator/>
  <cp:keywords/>
  <dc:description/>
  <cp:lastModifiedBy>Master Repository Process</cp:lastModifiedBy>
  <cp:revision>2</cp:revision>
  <cp:lastPrinted>2015-08-17T04:08:00Z</cp:lastPrinted>
  <dcterms:created xsi:type="dcterms:W3CDTF">2024-01-03T03:19:00Z</dcterms:created>
  <dcterms:modified xsi:type="dcterms:W3CDTF">2024-01-03T03:19:00Z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edAsAt">
    <vt:filetime>2015-09-03T16:00:00Z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03-b0-00</vt:lpwstr>
  </property>
  <property fmtid="{D5CDD505-2E9C-101B-9397-08002B2CF9AE}" pid="12" name="FromAsAtDate">
    <vt:lpwstr>01 Feb 2021</vt:lpwstr>
  </property>
  <property fmtid="{D5CDD505-2E9C-101B-9397-08002B2CF9AE}" pid="13" name="ToSuffix">
    <vt:lpwstr>03-c0-01</vt:lpwstr>
  </property>
  <property fmtid="{D5CDD505-2E9C-101B-9397-08002B2CF9AE}" pid="14" name="ToAsAtDate">
    <vt:lpwstr>03 Aug 2023</vt:lpwstr>
  </property>
</Properties>
</file>