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Rehabilitation Fund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Mining Rehabilitation Fund Act 2012</w:t>
      </w:r>
    </w:p>
    <w:p>
      <w:pPr>
        <w:pStyle w:val="LongTitle"/>
        <w:suppressLineNumbers/>
        <w:rPr>
          <w:snapToGrid w:val="0"/>
        </w:rPr>
      </w:pPr>
      <w:r>
        <w:rPr>
          <w:snapToGrid w:val="0"/>
        </w:rPr>
        <w:t>A</w:t>
      </w:r>
      <w:bookmarkStart w:id="1" w:name="_GoBack"/>
      <w:bookmarkEnd w:id="1"/>
      <w:r>
        <w:rPr>
          <w:snapToGrid w:val="0"/>
        </w:rPr>
        <w:t xml:space="preserve">n Act to provide for — </w:t>
      </w:r>
    </w:p>
    <w:p>
      <w:pPr>
        <w:pStyle w:val="LongTitle"/>
        <w:numPr>
          <w:ilvl w:val="0"/>
          <w:numId w:val="1"/>
        </w:numPr>
        <w:suppressLineNumbers/>
        <w:tabs>
          <w:tab w:val="clear" w:pos="720"/>
          <w:tab w:val="num" w:pos="426"/>
        </w:tabs>
        <w:rPr>
          <w:snapToGrid w:val="0"/>
        </w:rPr>
      </w:pPr>
      <w:r>
        <w:rPr>
          <w:snapToGrid w:val="0"/>
        </w:rPr>
        <w:t>the establishment of the Mining Rehabilitation Fund; and</w:t>
      </w:r>
    </w:p>
    <w:p>
      <w:pPr>
        <w:pStyle w:val="LongTitle"/>
        <w:numPr>
          <w:ilvl w:val="0"/>
          <w:numId w:val="1"/>
        </w:numPr>
        <w:suppressLineNumbers/>
        <w:tabs>
          <w:tab w:val="clear" w:pos="720"/>
          <w:tab w:val="num" w:pos="426"/>
        </w:tabs>
        <w:rPr>
          <w:snapToGrid w:val="0"/>
        </w:rPr>
      </w:pPr>
      <w:r>
        <w:rPr>
          <w:snapToGrid w:val="0"/>
        </w:rPr>
        <w:t>the declaration of abandoned mine sites; and</w:t>
      </w:r>
    </w:p>
    <w:p>
      <w:pPr>
        <w:pStyle w:val="LongTitle"/>
        <w:numPr>
          <w:ilvl w:val="0"/>
          <w:numId w:val="1"/>
        </w:numPr>
        <w:suppressLineNumbers/>
        <w:tabs>
          <w:tab w:val="clear" w:pos="720"/>
          <w:tab w:val="num" w:pos="426"/>
        </w:tabs>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55098543"/>
      <w:bookmarkStart w:id="3" w:name="_Toc130554268"/>
      <w:bookmarkStart w:id="4" w:name="_Toc130554461"/>
      <w:bookmarkStart w:id="5" w:name="_Toc1305640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55098544"/>
      <w:bookmarkStart w:id="7" w:name="_Toc130564007"/>
      <w:r>
        <w:rPr>
          <w:rStyle w:val="CharSectno"/>
        </w:rPr>
        <w:t>1</w:t>
      </w:r>
      <w:r>
        <w:t>.</w:t>
      </w:r>
      <w:r>
        <w:tab/>
      </w:r>
      <w:r>
        <w:rPr>
          <w:snapToGrid w:val="0"/>
        </w:rPr>
        <w:t>Short title</w:t>
      </w:r>
      <w:bookmarkEnd w:id="6"/>
      <w:bookmarkEnd w:id="7"/>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rPr>
        <w:t>.</w:t>
      </w:r>
    </w:p>
    <w:p>
      <w:pPr>
        <w:pStyle w:val="Heading5"/>
        <w:rPr>
          <w:snapToGrid w:val="0"/>
        </w:rPr>
      </w:pPr>
      <w:bookmarkStart w:id="8" w:name="_Toc155098545"/>
      <w:bookmarkStart w:id="9" w:name="_Toc130564008"/>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155098546"/>
      <w:bookmarkStart w:id="11" w:name="_Toc130564009"/>
      <w:r>
        <w:rPr>
          <w:rStyle w:val="CharSectno"/>
        </w:rPr>
        <w:t>3</w:t>
      </w:r>
      <w:r>
        <w:t>.</w:t>
      </w:r>
      <w:r>
        <w:tab/>
        <w:t>Terms used</w:t>
      </w:r>
      <w:bookmarkEnd w:id="10"/>
      <w:bookmarkEnd w:id="11"/>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tab/>
      </w:r>
      <w:r>
        <w:rPr>
          <w:rStyle w:val="CharDefText"/>
        </w:rPr>
        <w:t>land</w:t>
      </w:r>
      <w:r>
        <w:t xml:space="preserve"> has the meaning given in the </w:t>
      </w:r>
      <w:r>
        <w:rPr>
          <w:i/>
        </w:rPr>
        <w:t>Mining Act 1978</w:t>
      </w:r>
      <w:r>
        <w:t xml:space="preserve"> section 8(1);</w:t>
      </w:r>
    </w:p>
    <w:p>
      <w:pPr>
        <w:pStyle w:val="Defstart"/>
      </w:pPr>
      <w:r>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12" w:name="_Toc155098547"/>
      <w:bookmarkStart w:id="13" w:name="_Toc130564010"/>
      <w:r>
        <w:rPr>
          <w:rStyle w:val="CharSectno"/>
        </w:rPr>
        <w:t>4</w:t>
      </w:r>
      <w:r>
        <w:t>.</w:t>
      </w:r>
      <w:r>
        <w:tab/>
        <w:t>Mining authorisation</w:t>
      </w:r>
      <w:bookmarkEnd w:id="12"/>
      <w:bookmarkEnd w:id="13"/>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14" w:name="_Toc155098548"/>
      <w:bookmarkStart w:id="15" w:name="_Toc130554273"/>
      <w:bookmarkStart w:id="16" w:name="_Toc130554466"/>
      <w:bookmarkStart w:id="17" w:name="_Toc130564011"/>
      <w:r>
        <w:rPr>
          <w:rStyle w:val="CharPartNo"/>
        </w:rPr>
        <w:t>Part 2</w:t>
      </w:r>
      <w:r>
        <w:rPr>
          <w:rStyle w:val="CharDivNo"/>
        </w:rPr>
        <w:t> </w:t>
      </w:r>
      <w:r>
        <w:t>—</w:t>
      </w:r>
      <w:r>
        <w:rPr>
          <w:rStyle w:val="CharDivText"/>
        </w:rPr>
        <w:t> </w:t>
      </w:r>
      <w:r>
        <w:rPr>
          <w:rStyle w:val="CharPartText"/>
        </w:rPr>
        <w:t>Mining Rehabilitation Fund</w:t>
      </w:r>
      <w:bookmarkEnd w:id="14"/>
      <w:bookmarkEnd w:id="15"/>
      <w:bookmarkEnd w:id="16"/>
      <w:bookmarkEnd w:id="17"/>
    </w:p>
    <w:p>
      <w:pPr>
        <w:pStyle w:val="Heading5"/>
      </w:pPr>
      <w:bookmarkStart w:id="18" w:name="_Toc155098549"/>
      <w:bookmarkStart w:id="19" w:name="_Toc130564012"/>
      <w:r>
        <w:rPr>
          <w:rStyle w:val="CharSectno"/>
        </w:rPr>
        <w:t>5</w:t>
      </w:r>
      <w:r>
        <w:t>.</w:t>
      </w:r>
      <w:r>
        <w:tab/>
        <w:t>Establishment of Mining Rehabilitation Fund</w:t>
      </w:r>
      <w:bookmarkEnd w:id="18"/>
      <w:bookmarkEnd w:id="19"/>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20" w:name="_Toc155098550"/>
      <w:bookmarkStart w:id="21" w:name="_Toc130564013"/>
      <w:r>
        <w:rPr>
          <w:rStyle w:val="CharSectno"/>
        </w:rPr>
        <w:t>6</w:t>
      </w:r>
      <w:r>
        <w:t>.</w:t>
      </w:r>
      <w:r>
        <w:tab/>
        <w:t>Purpose of Fund</w:t>
      </w:r>
      <w:bookmarkEnd w:id="20"/>
      <w:bookmarkEnd w:id="21"/>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22" w:name="_Toc155098551"/>
      <w:bookmarkStart w:id="23" w:name="_Toc130564014"/>
      <w:r>
        <w:rPr>
          <w:rStyle w:val="CharSectno"/>
        </w:rPr>
        <w:t>7</w:t>
      </w:r>
      <w:r>
        <w:t>.</w:t>
      </w:r>
      <w:r>
        <w:tab/>
        <w:t>Payments to Fund</w:t>
      </w:r>
      <w:bookmarkEnd w:id="22"/>
      <w:bookmarkEnd w:id="23"/>
    </w:p>
    <w:p>
      <w:pPr>
        <w:pStyle w:val="Subsection"/>
      </w:pPr>
      <w:r>
        <w:tab/>
      </w:r>
      <w:r>
        <w:tab/>
        <w:t xml:space="preserve">There is to be credited to the Fund — </w:t>
      </w:r>
    </w:p>
    <w:p>
      <w:pPr>
        <w:pStyle w:val="Indenta"/>
      </w:pPr>
      <w:r>
        <w:tab/>
        <w:t>(aa)</w:t>
      </w:r>
      <w:r>
        <w:tab/>
        <w:t>any amount paid or recovered under section 9A; and</w:t>
      </w:r>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Footnotesection"/>
        <w:spacing w:before="100"/>
        <w:ind w:left="890" w:hanging="890"/>
      </w:pPr>
      <w:r>
        <w:tab/>
        <w:t>[Section 7 amended: No. 4 of 2014 s. 10.]</w:t>
      </w:r>
    </w:p>
    <w:p>
      <w:pPr>
        <w:pStyle w:val="Heading5"/>
      </w:pPr>
      <w:bookmarkStart w:id="24" w:name="_Toc155098552"/>
      <w:bookmarkStart w:id="25" w:name="_Toc130564015"/>
      <w:r>
        <w:rPr>
          <w:rStyle w:val="CharSectno"/>
        </w:rPr>
        <w:t>8</w:t>
      </w:r>
      <w:r>
        <w:t>.</w:t>
      </w:r>
      <w:r>
        <w:tab/>
        <w:t>Payments from Fund</w:t>
      </w:r>
      <w:bookmarkEnd w:id="24"/>
      <w:bookmarkEnd w:id="25"/>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5"/>
      </w:pPr>
      <w:bookmarkStart w:id="26" w:name="_Toc155098553"/>
      <w:bookmarkStart w:id="27" w:name="_Toc130564016"/>
      <w:r>
        <w:rPr>
          <w:rStyle w:val="CharSectno"/>
        </w:rPr>
        <w:t>9A</w:t>
      </w:r>
      <w:r>
        <w:t>.</w:t>
      </w:r>
      <w:r>
        <w:tab/>
        <w:t>Liability for rehabilitation costs</w:t>
      </w:r>
      <w:bookmarkEnd w:id="26"/>
      <w:bookmarkEnd w:id="27"/>
    </w:p>
    <w:p>
      <w:pPr>
        <w:pStyle w:val="Subsection"/>
      </w:pPr>
      <w:r>
        <w:tab/>
        <w:t>(1)</w:t>
      </w:r>
      <w:r>
        <w:tab/>
        <w:t xml:space="preserve">In this section — </w:t>
      </w:r>
    </w:p>
    <w:p>
      <w:pPr>
        <w:pStyle w:val="Defstart"/>
      </w:pPr>
      <w:r>
        <w:tab/>
      </w:r>
      <w:r>
        <w:rPr>
          <w:rStyle w:val="CharDefText"/>
        </w:rPr>
        <w:t>declaration day</w:t>
      </w:r>
      <w:r>
        <w:t>, in relation to land declared to be an abandoned mine site, means the day on which the notice under section 9(1) for that land came into operation.</w:t>
      </w:r>
    </w:p>
    <w:p>
      <w:pPr>
        <w:pStyle w:val="Subsection"/>
      </w:pPr>
      <w:r>
        <w:tab/>
        <w:t>(2)</w:t>
      </w:r>
      <w:r>
        <w:tab/>
        <w:t>Subsection (3) applies if money is applied under section 8(1)(a) or (2)(a) to fund the rehabilitation of land that is an abandoned mine site affected by mining operations.</w:t>
      </w:r>
    </w:p>
    <w:p>
      <w:pPr>
        <w:pStyle w:val="Subsection"/>
      </w:pPr>
      <w:r>
        <w:tab/>
        <w:t>(3)</w:t>
      </w:r>
      <w:r>
        <w:tab/>
        <w:t xml:space="preserve">Each person who, on declaration day for the land, was liable to comply with an obligation — </w:t>
      </w:r>
    </w:p>
    <w:p>
      <w:pPr>
        <w:pStyle w:val="Indenta"/>
      </w:pPr>
      <w:r>
        <w:tab/>
        <w:t>(a)</w:t>
      </w:r>
      <w:r>
        <w:tab/>
        <w:t>under or in relation to the mining authorisation under which the mining operations were carried out; and</w:t>
      </w:r>
    </w:p>
    <w:p>
      <w:pPr>
        <w:pStyle w:val="Indenta"/>
      </w:pPr>
      <w:r>
        <w:tab/>
        <w:t>(b)</w:t>
      </w:r>
      <w:r>
        <w:tab/>
        <w:t>requiring the rehabilitation of the land,</w:t>
      </w:r>
    </w:p>
    <w:p>
      <w:pPr>
        <w:pStyle w:val="Subsection"/>
      </w:pPr>
      <w:r>
        <w:tab/>
      </w:r>
      <w:r>
        <w:tab/>
        <w:t>is jointly and severally liable to pay to the Fund the amount applied.</w:t>
      </w:r>
    </w:p>
    <w:p>
      <w:pPr>
        <w:pStyle w:val="Subsection"/>
      </w:pPr>
      <w:r>
        <w:tab/>
        <w:t>(4)</w:t>
      </w:r>
      <w:r>
        <w:tab/>
        <w:t>An amount payable under subsection (3) may be recovered by the CEO in a court of competent jurisdiction as a debt due to the State.</w:t>
      </w:r>
    </w:p>
    <w:p>
      <w:pPr>
        <w:pStyle w:val="Footnotesection"/>
        <w:spacing w:before="100"/>
        <w:ind w:left="890" w:hanging="890"/>
      </w:pPr>
      <w:r>
        <w:tab/>
        <w:t>[Section 9A inserted: No. 4 of 2014 s. 11.]</w:t>
      </w:r>
    </w:p>
    <w:p>
      <w:pPr>
        <w:pStyle w:val="Heading2"/>
      </w:pPr>
      <w:bookmarkStart w:id="28" w:name="_Toc155098554"/>
      <w:bookmarkStart w:id="29" w:name="_Toc130554279"/>
      <w:bookmarkStart w:id="30" w:name="_Toc130554472"/>
      <w:bookmarkStart w:id="31" w:name="_Toc130564017"/>
      <w:r>
        <w:rPr>
          <w:rStyle w:val="CharPartNo"/>
        </w:rPr>
        <w:t>Part 3</w:t>
      </w:r>
      <w:r>
        <w:rPr>
          <w:rStyle w:val="CharDivNo"/>
        </w:rPr>
        <w:t> </w:t>
      </w:r>
      <w:r>
        <w:t>—</w:t>
      </w:r>
      <w:r>
        <w:rPr>
          <w:rStyle w:val="CharDivText"/>
        </w:rPr>
        <w:t> </w:t>
      </w:r>
      <w:r>
        <w:rPr>
          <w:rStyle w:val="CharPartText"/>
        </w:rPr>
        <w:t>Abandoned mine sites</w:t>
      </w:r>
      <w:bookmarkEnd w:id="28"/>
      <w:bookmarkEnd w:id="29"/>
      <w:bookmarkEnd w:id="30"/>
      <w:bookmarkEnd w:id="31"/>
    </w:p>
    <w:p>
      <w:pPr>
        <w:pStyle w:val="Heading5"/>
      </w:pPr>
      <w:bookmarkStart w:id="32" w:name="_Toc155098555"/>
      <w:bookmarkStart w:id="33" w:name="_Toc130564018"/>
      <w:r>
        <w:rPr>
          <w:rStyle w:val="CharSectno"/>
        </w:rPr>
        <w:t>9</w:t>
      </w:r>
      <w:r>
        <w:t>.</w:t>
      </w:r>
      <w:r>
        <w:tab/>
        <w:t>Declaration of abandoned mine sites</w:t>
      </w:r>
      <w:bookmarkEnd w:id="32"/>
      <w:bookmarkEnd w:id="33"/>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34" w:name="_Toc155098556"/>
      <w:bookmarkStart w:id="35" w:name="_Toc130564019"/>
      <w:r>
        <w:rPr>
          <w:rStyle w:val="CharSectno"/>
        </w:rPr>
        <w:t>10</w:t>
      </w:r>
      <w:r>
        <w:t>.</w:t>
      </w:r>
      <w:r>
        <w:tab/>
        <w:t>Power to enter abandoned mine sites and affected land for rehabilitation work</w:t>
      </w:r>
      <w:bookmarkEnd w:id="34"/>
      <w:bookmarkEnd w:id="35"/>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w:t>
      </w:r>
      <w:del w:id="36" w:author="Master Repository Process" w:date="2024-01-02T14:35:00Z">
        <w:r>
          <w:delText>(as</w:delText>
        </w:r>
      </w:del>
      <w:ins w:id="37" w:author="Master Repository Process" w:date="2024-01-02T14:35:00Z">
        <w:r>
          <w:t>or diversification lease (as those terms are</w:t>
        </w:r>
      </w:ins>
      <w:r>
        <w:t xml:space="preserve">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Footnotesection"/>
        <w:rPr>
          <w:ins w:id="38" w:author="Master Repository Process" w:date="2024-01-02T14:35:00Z"/>
        </w:rPr>
      </w:pPr>
      <w:ins w:id="39" w:author="Master Repository Process" w:date="2024-01-02T14:35:00Z">
        <w:r>
          <w:tab/>
          <w:t>[Section 10 amended: No. 4 of 2023 s. 137.]</w:t>
        </w:r>
      </w:ins>
    </w:p>
    <w:p>
      <w:pPr>
        <w:pStyle w:val="Heading2"/>
      </w:pPr>
      <w:bookmarkStart w:id="40" w:name="_Toc155098557"/>
      <w:bookmarkStart w:id="41" w:name="_Toc130554282"/>
      <w:bookmarkStart w:id="42" w:name="_Toc130554475"/>
      <w:bookmarkStart w:id="43" w:name="_Toc130564020"/>
      <w:r>
        <w:rPr>
          <w:rStyle w:val="CharPartNo"/>
        </w:rPr>
        <w:t>Part 4</w:t>
      </w:r>
      <w:r>
        <w:t> — </w:t>
      </w:r>
      <w:r>
        <w:rPr>
          <w:rStyle w:val="CharPartText"/>
        </w:rPr>
        <w:t>Mining rehabilitation levy</w:t>
      </w:r>
      <w:bookmarkEnd w:id="40"/>
      <w:bookmarkEnd w:id="41"/>
      <w:bookmarkEnd w:id="42"/>
      <w:bookmarkEnd w:id="43"/>
    </w:p>
    <w:p>
      <w:pPr>
        <w:pStyle w:val="Heading3"/>
      </w:pPr>
      <w:bookmarkStart w:id="44" w:name="_Toc155098558"/>
      <w:bookmarkStart w:id="45" w:name="_Toc130554283"/>
      <w:bookmarkStart w:id="46" w:name="_Toc130554476"/>
      <w:bookmarkStart w:id="47" w:name="_Toc130564021"/>
      <w:r>
        <w:rPr>
          <w:rStyle w:val="CharDivNo"/>
        </w:rPr>
        <w:t>Division 1</w:t>
      </w:r>
      <w:r>
        <w:t> — </w:t>
      </w:r>
      <w:r>
        <w:rPr>
          <w:rStyle w:val="CharDivText"/>
        </w:rPr>
        <w:t>Mining rehabilitation levy</w:t>
      </w:r>
      <w:bookmarkEnd w:id="44"/>
      <w:bookmarkEnd w:id="45"/>
      <w:bookmarkEnd w:id="46"/>
      <w:bookmarkEnd w:id="47"/>
    </w:p>
    <w:p>
      <w:pPr>
        <w:pStyle w:val="Heading5"/>
      </w:pPr>
      <w:bookmarkStart w:id="48" w:name="_Toc155098559"/>
      <w:bookmarkStart w:id="49" w:name="_Toc130564022"/>
      <w:r>
        <w:rPr>
          <w:rStyle w:val="CharSectno"/>
        </w:rPr>
        <w:t>11</w:t>
      </w:r>
      <w:r>
        <w:t>.</w:t>
      </w:r>
      <w:r>
        <w:tab/>
        <w:t>Mining rehabilitation levy</w:t>
      </w:r>
      <w:bookmarkEnd w:id="48"/>
      <w:bookmarkEnd w:id="49"/>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pPr>
      <w:r>
        <w:tab/>
        <w:t>(3)</w:t>
      </w:r>
      <w:r>
        <w:tab/>
        <w:t>The levy is imposed.</w:t>
      </w:r>
    </w:p>
    <w:p>
      <w:pPr>
        <w:pStyle w:val="Footnotesection"/>
      </w:pPr>
      <w:r>
        <w:tab/>
        <w:t>[Section 11 amended: No. 34 of 2012 s. 4.]</w:t>
      </w:r>
    </w:p>
    <w:p>
      <w:pPr>
        <w:pStyle w:val="Heading5"/>
      </w:pPr>
      <w:bookmarkStart w:id="50" w:name="_Toc155098560"/>
      <w:bookmarkStart w:id="51" w:name="_Toc130564023"/>
      <w:r>
        <w:rPr>
          <w:rStyle w:val="CharSectno"/>
        </w:rPr>
        <w:t>12</w:t>
      </w:r>
      <w:r>
        <w:t>.</w:t>
      </w:r>
      <w:r>
        <w:tab/>
        <w:t>Liability for payment of levy</w:t>
      </w:r>
      <w:bookmarkEnd w:id="50"/>
      <w:bookmarkEnd w:id="51"/>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52" w:name="_Toc155098561"/>
      <w:bookmarkStart w:id="53" w:name="_Toc130564024"/>
      <w:r>
        <w:rPr>
          <w:rStyle w:val="CharSectno"/>
        </w:rPr>
        <w:t>13</w:t>
      </w:r>
      <w:r>
        <w:t>.</w:t>
      </w:r>
      <w:r>
        <w:tab/>
        <w:t>Amount of levy</w:t>
      </w:r>
      <w:bookmarkEnd w:id="52"/>
      <w:bookmarkEnd w:id="53"/>
    </w:p>
    <w:p>
      <w:pPr>
        <w:pStyle w:val="Subsection"/>
      </w:pPr>
      <w:r>
        <w:tab/>
        <w:t>(1)</w:t>
      </w:r>
      <w:r>
        <w:tab/>
        <w:t>The amount of levy payable is the amount that is specified in, or worked out in accordance with, the regulations.</w:t>
      </w:r>
    </w:p>
    <w:p>
      <w:pPr>
        <w:pStyle w:val="Subsection"/>
      </w:pPr>
      <w:r>
        <w:tab/>
        <w:t>(2)</w:t>
      </w:r>
      <w:r>
        <w:tab/>
        <w:t>The CEO may make available to the public, in the form and in the manner that the CEO considers appropriate, details of how a particular levy amount is worked out.</w:t>
      </w:r>
    </w:p>
    <w:p>
      <w:pPr>
        <w:pStyle w:val="Footnotesection"/>
        <w:spacing w:before="100"/>
        <w:ind w:left="890" w:hanging="890"/>
      </w:pPr>
      <w:r>
        <w:tab/>
        <w:t>[Section 13 amended: No. 4 of 2014 s. 12.]</w:t>
      </w:r>
    </w:p>
    <w:p>
      <w:pPr>
        <w:pStyle w:val="Heading3"/>
      </w:pPr>
      <w:bookmarkStart w:id="54" w:name="_Toc155098562"/>
      <w:bookmarkStart w:id="55" w:name="_Toc130554287"/>
      <w:bookmarkStart w:id="56" w:name="_Toc130554480"/>
      <w:bookmarkStart w:id="57" w:name="_Toc130564025"/>
      <w:r>
        <w:rPr>
          <w:rStyle w:val="CharDivNo"/>
        </w:rPr>
        <w:t>Division 2</w:t>
      </w:r>
      <w:r>
        <w:t> — </w:t>
      </w:r>
      <w:r>
        <w:rPr>
          <w:rStyle w:val="CharDivText"/>
        </w:rPr>
        <w:t>Assessment and reassessment of levy</w:t>
      </w:r>
      <w:bookmarkEnd w:id="54"/>
      <w:bookmarkEnd w:id="55"/>
      <w:bookmarkEnd w:id="56"/>
      <w:bookmarkEnd w:id="57"/>
    </w:p>
    <w:p>
      <w:pPr>
        <w:pStyle w:val="Heading5"/>
      </w:pPr>
      <w:bookmarkStart w:id="58" w:name="_Toc155098563"/>
      <w:bookmarkStart w:id="59" w:name="_Toc130564026"/>
      <w:r>
        <w:rPr>
          <w:rStyle w:val="CharSectno"/>
        </w:rPr>
        <w:t>14</w:t>
      </w:r>
      <w:r>
        <w:t>.</w:t>
      </w:r>
      <w:r>
        <w:tab/>
        <w:t>Assessment of levy</w:t>
      </w:r>
      <w:bookmarkEnd w:id="58"/>
      <w:bookmarkEnd w:id="59"/>
    </w:p>
    <w:p>
      <w:pPr>
        <w:pStyle w:val="Subsection"/>
      </w:pPr>
      <w:r>
        <w:tab/>
      </w:r>
      <w:r>
        <w:tab/>
        <w:t>The CEO must assess the levy amount for each person liable to pay the levy.</w:t>
      </w:r>
    </w:p>
    <w:p>
      <w:pPr>
        <w:pStyle w:val="Heading5"/>
      </w:pPr>
      <w:bookmarkStart w:id="60" w:name="_Toc155098564"/>
      <w:bookmarkStart w:id="61" w:name="_Toc130564027"/>
      <w:r>
        <w:rPr>
          <w:rStyle w:val="CharSectno"/>
        </w:rPr>
        <w:t>15</w:t>
      </w:r>
      <w:r>
        <w:t>.</w:t>
      </w:r>
      <w:r>
        <w:tab/>
        <w:t>Authorisation holder required to provide assessment information</w:t>
      </w:r>
      <w:bookmarkEnd w:id="60"/>
      <w:bookmarkEnd w:id="61"/>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Subsection"/>
      </w:pPr>
      <w:r>
        <w:tab/>
        <w:t>(3)</w:t>
      </w:r>
      <w:r>
        <w:tab/>
        <w:t>The CEO may make available to the public, in the form and in the manner that the CEO considers appropriate, any assessment information given under subsection (2).</w:t>
      </w:r>
    </w:p>
    <w:p>
      <w:pPr>
        <w:pStyle w:val="Footnotesection"/>
        <w:spacing w:before="100"/>
        <w:ind w:left="890" w:hanging="890"/>
      </w:pPr>
      <w:r>
        <w:tab/>
        <w:t>[Section 15 amended: No. 4 of 2014 s. 13.]</w:t>
      </w:r>
    </w:p>
    <w:p>
      <w:pPr>
        <w:pStyle w:val="Heading5"/>
      </w:pPr>
      <w:bookmarkStart w:id="62" w:name="_Toc155098565"/>
      <w:bookmarkStart w:id="63" w:name="_Toc130564028"/>
      <w:r>
        <w:rPr>
          <w:rStyle w:val="CharSectno"/>
        </w:rPr>
        <w:t>16</w:t>
      </w:r>
      <w:r>
        <w:t>.</w:t>
      </w:r>
      <w:r>
        <w:tab/>
        <w:t>How assessment is made</w:t>
      </w:r>
      <w:bookmarkEnd w:id="62"/>
      <w:bookmarkEnd w:id="63"/>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64" w:name="_Toc155098566"/>
      <w:bookmarkStart w:id="65" w:name="_Toc130564029"/>
      <w:r>
        <w:rPr>
          <w:rStyle w:val="CharSectno"/>
        </w:rPr>
        <w:t>17</w:t>
      </w:r>
      <w:r>
        <w:rPr>
          <w:b w:val="0"/>
        </w:rPr>
        <w:t>.</w:t>
      </w:r>
      <w:r>
        <w:rPr>
          <w:b w:val="0"/>
        </w:rPr>
        <w:tab/>
      </w:r>
      <w:r>
        <w:t>Assessment notice</w:t>
      </w:r>
      <w:bookmarkEnd w:id="64"/>
      <w:bookmarkEnd w:id="65"/>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66" w:name="_Toc155098567"/>
      <w:bookmarkStart w:id="67" w:name="_Toc130564030"/>
      <w:r>
        <w:rPr>
          <w:rStyle w:val="CharSectno"/>
        </w:rPr>
        <w:t>18</w:t>
      </w:r>
      <w:r>
        <w:t>.</w:t>
      </w:r>
      <w:r>
        <w:tab/>
        <w:t>Reassessment of levy</w:t>
      </w:r>
      <w:bookmarkEnd w:id="66"/>
      <w:bookmarkEnd w:id="67"/>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68" w:name="_Toc155098568"/>
      <w:bookmarkStart w:id="69" w:name="_Toc130564031"/>
      <w:r>
        <w:rPr>
          <w:rStyle w:val="CharSectno"/>
        </w:rPr>
        <w:t>19</w:t>
      </w:r>
      <w:r>
        <w:t>.</w:t>
      </w:r>
      <w:r>
        <w:tab/>
        <w:t>Reassessment notice</w:t>
      </w:r>
      <w:bookmarkEnd w:id="68"/>
      <w:bookmarkEnd w:id="69"/>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tab/>
        <w:t>(2)</w:t>
      </w:r>
      <w:r>
        <w:tab/>
        <w:t xml:space="preserve">The reassessment notice must specify these matters — </w:t>
      </w:r>
    </w:p>
    <w:p>
      <w:pPr>
        <w:pStyle w:val="Indenta"/>
      </w:pPr>
      <w:r>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70" w:name="_Toc155098569"/>
      <w:bookmarkStart w:id="71" w:name="_Toc130554294"/>
      <w:bookmarkStart w:id="72" w:name="_Toc130554487"/>
      <w:bookmarkStart w:id="73" w:name="_Toc130564032"/>
      <w:r>
        <w:rPr>
          <w:rStyle w:val="CharDivNo"/>
        </w:rPr>
        <w:t>Division 3</w:t>
      </w:r>
      <w:r>
        <w:t> — </w:t>
      </w:r>
      <w:r>
        <w:rPr>
          <w:rStyle w:val="CharDivText"/>
        </w:rPr>
        <w:t>Objections</w:t>
      </w:r>
      <w:bookmarkEnd w:id="70"/>
      <w:bookmarkEnd w:id="71"/>
      <w:bookmarkEnd w:id="72"/>
      <w:bookmarkEnd w:id="73"/>
    </w:p>
    <w:p>
      <w:pPr>
        <w:pStyle w:val="Heading5"/>
      </w:pPr>
      <w:bookmarkStart w:id="74" w:name="_Toc155098570"/>
      <w:bookmarkStart w:id="75" w:name="_Toc130564033"/>
      <w:r>
        <w:rPr>
          <w:rStyle w:val="CharSectno"/>
        </w:rPr>
        <w:t>20</w:t>
      </w:r>
      <w:r>
        <w:t>.</w:t>
      </w:r>
      <w:r>
        <w:tab/>
        <w:t>Objection</w:t>
      </w:r>
      <w:bookmarkEnd w:id="74"/>
      <w:bookmarkEnd w:id="75"/>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76" w:name="_Toc155098571"/>
      <w:bookmarkStart w:id="77" w:name="_Toc130564034"/>
      <w:r>
        <w:rPr>
          <w:rStyle w:val="CharSectno"/>
        </w:rPr>
        <w:t>21</w:t>
      </w:r>
      <w:r>
        <w:t>.</w:t>
      </w:r>
      <w:r>
        <w:tab/>
        <w:t>Determination of objection</w:t>
      </w:r>
      <w:bookmarkEnd w:id="76"/>
      <w:bookmarkEnd w:id="77"/>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tab/>
        <w:t>(b)</w:t>
      </w:r>
      <w:r>
        <w:tab/>
        <w:t>the levy amount is to remain unchanged; or</w:t>
      </w:r>
    </w:p>
    <w:p>
      <w:pPr>
        <w:pStyle w:val="Indenta"/>
      </w:pPr>
      <w:r>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78" w:name="_Toc155098572"/>
      <w:bookmarkStart w:id="79" w:name="_Toc130564035"/>
      <w:r>
        <w:rPr>
          <w:rStyle w:val="CharSectno"/>
        </w:rPr>
        <w:t>22</w:t>
      </w:r>
      <w:r>
        <w:t>.</w:t>
      </w:r>
      <w:r>
        <w:tab/>
        <w:t>Notice of adjusted levy following objection</w:t>
      </w:r>
      <w:bookmarkEnd w:id="78"/>
      <w:bookmarkEnd w:id="79"/>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80" w:name="_Toc155098573"/>
      <w:bookmarkStart w:id="81" w:name="_Toc130564036"/>
      <w:r>
        <w:rPr>
          <w:rStyle w:val="CharSectno"/>
        </w:rPr>
        <w:t>23</w:t>
      </w:r>
      <w:r>
        <w:t>.</w:t>
      </w:r>
      <w:r>
        <w:tab/>
        <w:t>Notice of withdrawal of levy following objection</w:t>
      </w:r>
      <w:bookmarkEnd w:id="80"/>
      <w:bookmarkEnd w:id="81"/>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keepNext/>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penalty amount paid by the person in relation to the assessment or reassessment.</w:t>
      </w:r>
    </w:p>
    <w:p>
      <w:pPr>
        <w:pStyle w:val="Heading5"/>
      </w:pPr>
      <w:bookmarkStart w:id="82" w:name="_Toc155098574"/>
      <w:bookmarkStart w:id="83" w:name="_Toc130564037"/>
      <w:r>
        <w:rPr>
          <w:rStyle w:val="CharSectno"/>
        </w:rPr>
        <w:t>24</w:t>
      </w:r>
      <w:r>
        <w:t>.</w:t>
      </w:r>
      <w:r>
        <w:tab/>
        <w:t>Review of decision on objection</w:t>
      </w:r>
      <w:bookmarkEnd w:id="82"/>
      <w:bookmarkEnd w:id="83"/>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84" w:name="_Toc155098575"/>
      <w:bookmarkStart w:id="85" w:name="_Toc130554300"/>
      <w:bookmarkStart w:id="86" w:name="_Toc130554493"/>
      <w:bookmarkStart w:id="87" w:name="_Toc130564038"/>
      <w:r>
        <w:rPr>
          <w:rStyle w:val="CharDivNo"/>
        </w:rPr>
        <w:t>Division 4</w:t>
      </w:r>
      <w:r>
        <w:t> — </w:t>
      </w:r>
      <w:r>
        <w:rPr>
          <w:rStyle w:val="CharDivText"/>
        </w:rPr>
        <w:t>Payment and recovery of levy</w:t>
      </w:r>
      <w:bookmarkEnd w:id="84"/>
      <w:bookmarkEnd w:id="85"/>
      <w:bookmarkEnd w:id="86"/>
      <w:bookmarkEnd w:id="87"/>
    </w:p>
    <w:p>
      <w:pPr>
        <w:pStyle w:val="Heading5"/>
      </w:pPr>
      <w:bookmarkStart w:id="88" w:name="_Toc155098576"/>
      <w:bookmarkStart w:id="89" w:name="_Toc130564039"/>
      <w:r>
        <w:rPr>
          <w:rStyle w:val="CharSectno"/>
        </w:rPr>
        <w:t>25</w:t>
      </w:r>
      <w:r>
        <w:t>.</w:t>
      </w:r>
      <w:r>
        <w:tab/>
        <w:t>When levy amount due and payable</w:t>
      </w:r>
      <w:bookmarkEnd w:id="88"/>
      <w:bookmarkEnd w:id="89"/>
    </w:p>
    <w:p>
      <w:pPr>
        <w:pStyle w:val="Subsection"/>
      </w:pPr>
      <w:r>
        <w:tab/>
      </w:r>
      <w:r>
        <w:tab/>
        <w:t>A levy amount becomes due and payable on the due date.</w:t>
      </w:r>
    </w:p>
    <w:p>
      <w:pPr>
        <w:pStyle w:val="Heading5"/>
      </w:pPr>
      <w:bookmarkStart w:id="90" w:name="_Toc155098577"/>
      <w:bookmarkStart w:id="91" w:name="_Toc130564040"/>
      <w:r>
        <w:rPr>
          <w:rStyle w:val="CharSectno"/>
        </w:rPr>
        <w:t>26</w:t>
      </w:r>
      <w:r>
        <w:t>.</w:t>
      </w:r>
      <w:r>
        <w:tab/>
        <w:t>Penalty for non</w:t>
      </w:r>
      <w:r>
        <w:noBreakHyphen/>
        <w:t>payment of levy</w:t>
      </w:r>
      <w:bookmarkEnd w:id="90"/>
      <w:bookmarkEnd w:id="91"/>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92" w:name="_Toc155098578"/>
      <w:bookmarkStart w:id="93" w:name="_Toc130564041"/>
      <w:r>
        <w:rPr>
          <w:rStyle w:val="CharSectno"/>
        </w:rPr>
        <w:t>27</w:t>
      </w:r>
      <w:r>
        <w:t>.</w:t>
      </w:r>
      <w:r>
        <w:tab/>
        <w:t>Recovery of levy amount and penalty amount</w:t>
      </w:r>
      <w:bookmarkEnd w:id="92"/>
      <w:bookmarkEnd w:id="93"/>
    </w:p>
    <w:p>
      <w:pPr>
        <w:pStyle w:val="Subsection"/>
      </w:pPr>
      <w:r>
        <w:tab/>
      </w:r>
      <w:r>
        <w:tab/>
        <w:t xml:space="preserve">These amounts may be recovered by the CEO in a court of competent jurisdiction as debts due to the State — </w:t>
      </w:r>
    </w:p>
    <w:p>
      <w:pPr>
        <w:pStyle w:val="Indenta"/>
      </w:pPr>
      <w:r>
        <w:tab/>
        <w:t>(a)</w:t>
      </w:r>
      <w:r>
        <w:tab/>
        <w:t>a levy amount that remains unpaid after the due date;</w:t>
      </w:r>
    </w:p>
    <w:p>
      <w:pPr>
        <w:pStyle w:val="Indenta"/>
      </w:pPr>
      <w:r>
        <w:tab/>
        <w:t>(b)</w:t>
      </w:r>
      <w:r>
        <w:tab/>
        <w:t>a penalty amount that remains unpaid.</w:t>
      </w:r>
    </w:p>
    <w:p>
      <w:pPr>
        <w:pStyle w:val="Heading5"/>
      </w:pPr>
      <w:bookmarkStart w:id="94" w:name="_Toc155098579"/>
      <w:bookmarkStart w:id="95" w:name="_Toc130564042"/>
      <w:r>
        <w:rPr>
          <w:rStyle w:val="CharSectno"/>
        </w:rPr>
        <w:t>28</w:t>
      </w:r>
      <w:r>
        <w:t>.</w:t>
      </w:r>
      <w:r>
        <w:tab/>
        <w:t>Liability to pay not affected by objection</w:t>
      </w:r>
      <w:bookmarkEnd w:id="94"/>
      <w:bookmarkEnd w:id="95"/>
    </w:p>
    <w:p>
      <w:pPr>
        <w:pStyle w:val="Subsection"/>
      </w:pPr>
      <w:r>
        <w:tab/>
      </w:r>
      <w:r>
        <w:tab/>
        <w:t>A person’s liability to pay a levy amount or penalty amount is not affected by the making of an objection.</w:t>
      </w:r>
    </w:p>
    <w:p>
      <w:pPr>
        <w:pStyle w:val="Heading3"/>
      </w:pPr>
      <w:bookmarkStart w:id="96" w:name="_Toc155098580"/>
      <w:bookmarkStart w:id="97" w:name="_Toc130554305"/>
      <w:bookmarkStart w:id="98" w:name="_Toc130554498"/>
      <w:bookmarkStart w:id="99" w:name="_Toc130564043"/>
      <w:r>
        <w:rPr>
          <w:rStyle w:val="CharDivNo"/>
        </w:rPr>
        <w:t>Division 5</w:t>
      </w:r>
      <w:r>
        <w:t> — </w:t>
      </w:r>
      <w:r>
        <w:rPr>
          <w:rStyle w:val="CharDivText"/>
        </w:rPr>
        <w:t>Other matters</w:t>
      </w:r>
      <w:bookmarkEnd w:id="96"/>
      <w:bookmarkEnd w:id="97"/>
      <w:bookmarkEnd w:id="98"/>
      <w:bookmarkEnd w:id="99"/>
    </w:p>
    <w:p>
      <w:pPr>
        <w:pStyle w:val="Heading5"/>
      </w:pPr>
      <w:bookmarkStart w:id="100" w:name="_Toc155098581"/>
      <w:bookmarkStart w:id="101" w:name="_Toc130564044"/>
      <w:r>
        <w:rPr>
          <w:rStyle w:val="CharSectno"/>
        </w:rPr>
        <w:t>29</w:t>
      </w:r>
      <w:r>
        <w:t>.</w:t>
      </w:r>
      <w:r>
        <w:tab/>
        <w:t>CEO may require information and records</w:t>
      </w:r>
      <w:bookmarkEnd w:id="100"/>
      <w:bookmarkEnd w:id="101"/>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102" w:name="_Toc155098582"/>
      <w:bookmarkStart w:id="103" w:name="_Toc130564045"/>
      <w:r>
        <w:rPr>
          <w:rStyle w:val="CharSectno"/>
        </w:rPr>
        <w:t>30</w:t>
      </w:r>
      <w:r>
        <w:t>.</w:t>
      </w:r>
      <w:r>
        <w:tab/>
        <w:t>Incriminating information</w:t>
      </w:r>
      <w:bookmarkEnd w:id="102"/>
      <w:bookmarkEnd w:id="103"/>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keepNext/>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104" w:name="_Toc155098583"/>
      <w:bookmarkStart w:id="105" w:name="_Toc130564046"/>
      <w:r>
        <w:rPr>
          <w:rStyle w:val="CharSectno"/>
        </w:rPr>
        <w:t>31</w:t>
      </w:r>
      <w:r>
        <w:t>.</w:t>
      </w:r>
      <w:r>
        <w:tab/>
        <w:t>False or misleading information</w:t>
      </w:r>
      <w:bookmarkEnd w:id="104"/>
      <w:bookmarkEnd w:id="105"/>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106" w:name="_Toc155098584"/>
      <w:bookmarkStart w:id="107" w:name="_Toc130564047"/>
      <w:r>
        <w:rPr>
          <w:rStyle w:val="CharSectno"/>
        </w:rPr>
        <w:t>32</w:t>
      </w:r>
      <w:r>
        <w:t>.</w:t>
      </w:r>
      <w:r>
        <w:tab/>
        <w:t>Evidentiary value of levy notice</w:t>
      </w:r>
      <w:bookmarkEnd w:id="106"/>
      <w:bookmarkEnd w:id="107"/>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108" w:name="_Toc155098585"/>
      <w:bookmarkStart w:id="109" w:name="_Toc130554310"/>
      <w:bookmarkStart w:id="110" w:name="_Toc130554503"/>
      <w:bookmarkStart w:id="111" w:name="_Toc130564048"/>
      <w:r>
        <w:rPr>
          <w:rStyle w:val="CharPartNo"/>
        </w:rPr>
        <w:t>Part 5</w:t>
      </w:r>
      <w:r>
        <w:rPr>
          <w:rStyle w:val="CharDivNo"/>
        </w:rPr>
        <w:t> </w:t>
      </w:r>
      <w:r>
        <w:t>—</w:t>
      </w:r>
      <w:r>
        <w:rPr>
          <w:rStyle w:val="CharDivText"/>
        </w:rPr>
        <w:t> </w:t>
      </w:r>
      <w:r>
        <w:rPr>
          <w:rStyle w:val="CharPartText"/>
        </w:rPr>
        <w:t>Miscellaneous</w:t>
      </w:r>
      <w:bookmarkEnd w:id="108"/>
      <w:bookmarkEnd w:id="109"/>
      <w:bookmarkEnd w:id="110"/>
      <w:bookmarkEnd w:id="111"/>
    </w:p>
    <w:p>
      <w:pPr>
        <w:pStyle w:val="Heading5"/>
      </w:pPr>
      <w:bookmarkStart w:id="112" w:name="_Toc155098586"/>
      <w:bookmarkStart w:id="113" w:name="_Toc130564049"/>
      <w:r>
        <w:rPr>
          <w:rStyle w:val="CharSectno"/>
        </w:rPr>
        <w:t>33</w:t>
      </w:r>
      <w:r>
        <w:t>.</w:t>
      </w:r>
      <w:r>
        <w:tab/>
        <w:t>Mining Rehabilitation Advisory Panel</w:t>
      </w:r>
      <w:bookmarkEnd w:id="112"/>
      <w:bookmarkEnd w:id="113"/>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114" w:name="_Toc155098587"/>
      <w:bookmarkStart w:id="115" w:name="_Toc130564050"/>
      <w:r>
        <w:rPr>
          <w:rStyle w:val="CharSectno"/>
        </w:rPr>
        <w:t>34</w:t>
      </w:r>
      <w:r>
        <w:t>.</w:t>
      </w:r>
      <w:r>
        <w:tab/>
        <w:t>Delegation</w:t>
      </w:r>
      <w:bookmarkEnd w:id="114"/>
      <w:bookmarkEnd w:id="115"/>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16" w:name="_Toc155098588"/>
      <w:bookmarkStart w:id="117" w:name="_Toc130564051"/>
      <w:r>
        <w:rPr>
          <w:rStyle w:val="CharSectno"/>
        </w:rPr>
        <w:t>35</w:t>
      </w:r>
      <w:r>
        <w:t>.</w:t>
      </w:r>
      <w:r>
        <w:tab/>
        <w:t>Confidentiality</w:t>
      </w:r>
      <w:bookmarkEnd w:id="116"/>
      <w:bookmarkEnd w:id="117"/>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118" w:name="_Toc155098589"/>
      <w:bookmarkStart w:id="119" w:name="_Toc130564052"/>
      <w:r>
        <w:rPr>
          <w:rStyle w:val="CharSectno"/>
        </w:rPr>
        <w:t>36</w:t>
      </w:r>
      <w:r>
        <w:t>.</w:t>
      </w:r>
      <w:r>
        <w:tab/>
        <w:t>Protection from liability</w:t>
      </w:r>
      <w:bookmarkEnd w:id="118"/>
      <w:bookmarkEnd w:id="11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120" w:name="_Toc155098590"/>
      <w:bookmarkStart w:id="121" w:name="_Toc130564053"/>
      <w:r>
        <w:rPr>
          <w:rStyle w:val="CharSectno"/>
        </w:rPr>
        <w:t>37A</w:t>
      </w:r>
      <w:r>
        <w:t>.</w:t>
      </w:r>
      <w:r>
        <w:tab/>
        <w:t>Giving notice to 2 or more holders of mining authorisation</w:t>
      </w:r>
      <w:bookmarkEnd w:id="120"/>
      <w:bookmarkEnd w:id="121"/>
    </w:p>
    <w:p>
      <w:pPr>
        <w:pStyle w:val="Subsection"/>
      </w:pPr>
      <w:r>
        <w:tab/>
        <w:t>(1)</w:t>
      </w:r>
      <w:r>
        <w:tab/>
        <w:t xml:space="preserve">In this section — </w:t>
      </w:r>
    </w:p>
    <w:p>
      <w:pPr>
        <w:pStyle w:val="Defstart"/>
      </w:pPr>
      <w:r>
        <w:tab/>
      </w:r>
      <w:r>
        <w:rPr>
          <w:rStyle w:val="CharDefText"/>
        </w:rPr>
        <w:t>notice</w:t>
      </w:r>
      <w:r>
        <w:t xml:space="preserve"> means a notice that is required or permitted to be given under this Act.</w:t>
      </w:r>
    </w:p>
    <w:p>
      <w:pPr>
        <w:pStyle w:val="Subsection"/>
      </w:pPr>
      <w:r>
        <w:tab/>
        <w:t>(2)</w:t>
      </w:r>
      <w:r>
        <w:tab/>
        <w:t>If there are 2 or more holders of a mining authorisation, they may, when giving assessment information in relation to the mining authorisation under section 15(2), nominate the address of one of them, or the address of their agent, as their address for the giving of a notice under this Act.</w:t>
      </w:r>
    </w:p>
    <w:p>
      <w:pPr>
        <w:pStyle w:val="Subsection"/>
      </w:pPr>
      <w:r>
        <w:tab/>
        <w:t>(3)</w:t>
      </w:r>
      <w:r>
        <w:tab/>
        <w:t xml:space="preserve">If there are 2 or more holders of a mining authorisation — </w:t>
      </w:r>
    </w:p>
    <w:p>
      <w:pPr>
        <w:pStyle w:val="Indenta"/>
      </w:pPr>
      <w:r>
        <w:tab/>
        <w:t>(a)</w:t>
      </w:r>
      <w:r>
        <w:tab/>
        <w:t>if they have nominated an address under subsection (2), a notice may be given to them by sending it to that address; and</w:t>
      </w:r>
    </w:p>
    <w:p>
      <w:pPr>
        <w:pStyle w:val="Indenta"/>
      </w:pPr>
      <w:r>
        <w:tab/>
        <w:t>(b)</w:t>
      </w:r>
      <w:r>
        <w:tab/>
        <w:t>if no nomination is made under subsection (2), a notice may be given to them by giving it to one of the holders; and</w:t>
      </w:r>
    </w:p>
    <w:p>
      <w:pPr>
        <w:pStyle w:val="Indenta"/>
      </w:pPr>
      <w:r>
        <w:tab/>
        <w:t>(c)</w:t>
      </w:r>
      <w:r>
        <w:tab/>
        <w:t>when a notice is given in accordance with paragraph (a) or (b), it is to be taken to have been given to each of them, as the case requires.</w:t>
      </w:r>
    </w:p>
    <w:p>
      <w:pPr>
        <w:pStyle w:val="Footnotesection"/>
        <w:spacing w:before="100"/>
        <w:ind w:left="890" w:hanging="890"/>
      </w:pPr>
      <w:r>
        <w:tab/>
        <w:t>[Section 37A inserted: No. 4 of 2014 s. 14.]</w:t>
      </w:r>
    </w:p>
    <w:p>
      <w:pPr>
        <w:pStyle w:val="Heading5"/>
      </w:pPr>
      <w:bookmarkStart w:id="122" w:name="_Toc155098591"/>
      <w:bookmarkStart w:id="123" w:name="_Toc130564054"/>
      <w:r>
        <w:rPr>
          <w:rStyle w:val="CharSectno"/>
        </w:rPr>
        <w:t>37</w:t>
      </w:r>
      <w:r>
        <w:t>.</w:t>
      </w:r>
      <w:r>
        <w:tab/>
        <w:t>Regulations</w:t>
      </w:r>
      <w:bookmarkEnd w:id="122"/>
      <w:bookmarkEnd w:id="123"/>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keepNext/>
      </w:pPr>
      <w:r>
        <w:tab/>
        <w:t>(2)</w:t>
      </w:r>
      <w:r>
        <w:tab/>
        <w:t xml:space="preserve">Without limiting subsection (1), the regulations may — </w:t>
      </w:r>
    </w:p>
    <w:p>
      <w:pPr>
        <w:pStyle w:val="Indenta"/>
      </w:pPr>
      <w:r>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124" w:name="_Toc155098592"/>
      <w:bookmarkStart w:id="125" w:name="_Toc130564055"/>
      <w:r>
        <w:rPr>
          <w:rStyle w:val="CharSectno"/>
        </w:rPr>
        <w:t>38</w:t>
      </w:r>
      <w:r>
        <w:t>.</w:t>
      </w:r>
      <w:r>
        <w:tab/>
        <w:t>Review of Act</w:t>
      </w:r>
      <w:bookmarkEnd w:id="124"/>
      <w:bookmarkEnd w:id="125"/>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126" w:name="_Toc155098593"/>
      <w:bookmarkStart w:id="127" w:name="_Toc130554318"/>
      <w:bookmarkStart w:id="128" w:name="_Toc130554511"/>
      <w:bookmarkStart w:id="129" w:name="_Toc130564056"/>
      <w:r>
        <w:rPr>
          <w:rStyle w:val="CharPartNo"/>
        </w:rPr>
        <w:t>Part 6</w:t>
      </w:r>
      <w:r>
        <w:rPr>
          <w:rStyle w:val="CharDivNo"/>
        </w:rPr>
        <w:t> </w:t>
      </w:r>
      <w:r>
        <w:t>—</w:t>
      </w:r>
      <w:r>
        <w:rPr>
          <w:rStyle w:val="CharDivText"/>
        </w:rPr>
        <w:t> </w:t>
      </w:r>
      <w:r>
        <w:rPr>
          <w:rStyle w:val="CharPartText"/>
        </w:rPr>
        <w:t>Consequential amendment</w:t>
      </w:r>
      <w:bookmarkEnd w:id="126"/>
      <w:bookmarkEnd w:id="127"/>
      <w:bookmarkEnd w:id="128"/>
      <w:bookmarkEnd w:id="129"/>
    </w:p>
    <w:p>
      <w:pPr>
        <w:pStyle w:val="Heading5"/>
      </w:pPr>
      <w:bookmarkStart w:id="130" w:name="_Toc155098594"/>
      <w:bookmarkStart w:id="131" w:name="_Toc130564057"/>
      <w:r>
        <w:rPr>
          <w:rStyle w:val="CharSectno"/>
        </w:rPr>
        <w:t>39</w:t>
      </w:r>
      <w:r>
        <w:t>.</w:t>
      </w:r>
      <w:r>
        <w:tab/>
      </w:r>
      <w:r>
        <w:rPr>
          <w:i/>
        </w:rPr>
        <w:t>Constitution Acts Amendment Act 1899</w:t>
      </w:r>
      <w:r>
        <w:t xml:space="preserve"> amended</w:t>
      </w:r>
      <w:bookmarkEnd w:id="130"/>
      <w:bookmarkEnd w:id="131"/>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zyNumberedItem"/>
      </w:pPr>
      <w:r>
        <w:tab/>
        <w:t xml:space="preserve">The Mining Rehabilitation Advisory Panel established by the </w:t>
      </w:r>
      <w:r>
        <w:rPr>
          <w:i/>
        </w:rPr>
        <w:t>Mining Rehabilitation Fund Act 2012</w:t>
      </w:r>
      <w:r>
        <w:t>.</w:t>
      </w:r>
    </w:p>
    <w:p>
      <w:pPr>
        <w:pStyle w:val="BlankClose"/>
      </w:pPr>
    </w:p>
    <w:p>
      <w:pPr>
        <w:pStyle w:val="CentredBaseLine"/>
        <w:jc w:val="center"/>
      </w:pPr>
      <w:ins w:id="132" w:author="Master Repository Process" w:date="2024-01-02T14:3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4" w:bottom="3544" w:left="2404" w:header="720" w:footer="3544" w:gutter="0"/>
          <w:cols w:space="720"/>
          <w:noEndnote/>
          <w:docGrid w:linePitch="326"/>
        </w:sectPr>
      </w:pPr>
    </w:p>
    <w:p>
      <w:pPr>
        <w:pStyle w:val="nHeading2"/>
      </w:pPr>
      <w:bookmarkStart w:id="133" w:name="_Toc155098595"/>
      <w:bookmarkStart w:id="134" w:name="_Toc130554513"/>
      <w:bookmarkStart w:id="135" w:name="_Toc130564058"/>
      <w:bookmarkStart w:id="136" w:name="_Toc130554322"/>
      <w:r>
        <w:t>Notes</w:t>
      </w:r>
      <w:bookmarkEnd w:id="133"/>
      <w:bookmarkEnd w:id="134"/>
      <w:bookmarkEnd w:id="135"/>
    </w:p>
    <w:p>
      <w:pPr>
        <w:pStyle w:val="nStatement"/>
      </w:pPr>
      <w:r>
        <w:t xml:space="preserve">This is a compilation of the </w:t>
      </w:r>
      <w:r>
        <w:rPr>
          <w:i/>
          <w:noProof/>
        </w:rPr>
        <w:t>Mining Rehabilitation Fund Act 2012</w:t>
      </w:r>
      <w:r>
        <w:t xml:space="preserve"> and includes amendments made by other written laws. For provisions that have come into operation see the compilation table. </w:t>
      </w:r>
      <w:del w:id="137" w:author="Master Repository Process" w:date="2024-01-02T14:35:00Z">
        <w:r>
          <w:delText>For provisions that have not yet come into operation see the uncommenced provisions table.</w:delText>
        </w:r>
      </w:del>
    </w:p>
    <w:p>
      <w:pPr>
        <w:pStyle w:val="nHeading3"/>
      </w:pPr>
      <w:bookmarkStart w:id="138" w:name="_Toc155098596"/>
      <w:bookmarkStart w:id="139" w:name="_Toc130564059"/>
      <w:r>
        <w:t>Compilation table</w:t>
      </w:r>
      <w:bookmarkEnd w:id="138"/>
      <w:bookmarkEnd w:id="13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Mining Rehabilitation Fund Act 2012</w:t>
            </w:r>
          </w:p>
        </w:tc>
        <w:tc>
          <w:tcPr>
            <w:tcW w:w="1134" w:type="dxa"/>
            <w:tcBorders>
              <w:bottom w:val="nil"/>
            </w:tcBorders>
          </w:tcPr>
          <w:p>
            <w:pPr>
              <w:pStyle w:val="nTable"/>
              <w:spacing w:after="40"/>
            </w:pPr>
            <w:r>
              <w:t>33 of 2012</w:t>
            </w:r>
          </w:p>
        </w:tc>
        <w:tc>
          <w:tcPr>
            <w:tcW w:w="1134" w:type="dxa"/>
            <w:tcBorders>
              <w:bottom w:val="nil"/>
            </w:tcBorders>
          </w:tcPr>
          <w:p>
            <w:pPr>
              <w:pStyle w:val="nTable"/>
              <w:spacing w:after="40"/>
            </w:pPr>
            <w:r>
              <w:t>5 Nov 2012</w:t>
            </w:r>
          </w:p>
        </w:tc>
        <w:tc>
          <w:tcPr>
            <w:tcW w:w="2552" w:type="dxa"/>
            <w:tcBorders>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nil"/>
              <w:right w:val="nil"/>
            </w:tcBorders>
          </w:tcPr>
          <w:p>
            <w:pPr>
              <w:pStyle w:val="nTable"/>
              <w:spacing w:after="40"/>
              <w:rPr>
                <w:i/>
                <w:snapToGrid w:val="0"/>
              </w:rPr>
            </w:pPr>
            <w:r>
              <w:rPr>
                <w:i/>
                <w:snapToGrid w:val="0"/>
              </w:rPr>
              <w:t>Mining Rehabilitation Fund Amendment Act 2012</w:t>
            </w:r>
          </w:p>
        </w:tc>
        <w:tc>
          <w:tcPr>
            <w:tcW w:w="1134" w:type="dxa"/>
            <w:tcBorders>
              <w:top w:val="nil"/>
              <w:left w:val="nil"/>
              <w:bottom w:val="nil"/>
              <w:right w:val="nil"/>
            </w:tcBorders>
          </w:tcPr>
          <w:p>
            <w:pPr>
              <w:pStyle w:val="nTable"/>
              <w:spacing w:after="40"/>
            </w:pPr>
            <w:r>
              <w:t>34 of 2012</w:t>
            </w:r>
          </w:p>
        </w:tc>
        <w:tc>
          <w:tcPr>
            <w:tcW w:w="1134" w:type="dxa"/>
            <w:tcBorders>
              <w:top w:val="nil"/>
              <w:left w:val="nil"/>
              <w:bottom w:val="nil"/>
              <w:right w:val="nil"/>
            </w:tcBorders>
          </w:tcPr>
          <w:p>
            <w:pPr>
              <w:pStyle w:val="nTable"/>
              <w:spacing w:after="40"/>
            </w:pPr>
            <w:r>
              <w:t>5 Nov 2012</w:t>
            </w:r>
          </w:p>
        </w:tc>
        <w:tc>
          <w:tcPr>
            <w:tcW w:w="2552" w:type="dxa"/>
            <w:tcBorders>
              <w:top w:val="nil"/>
              <w:left w:val="nil"/>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nil"/>
              <w:right w:val="nil"/>
            </w:tcBorders>
          </w:tcPr>
          <w:p>
            <w:pPr>
              <w:pStyle w:val="nTable"/>
              <w:spacing w:after="40"/>
              <w:rPr>
                <w:i/>
                <w:snapToGrid w:val="0"/>
              </w:rPr>
            </w:pPr>
            <w:r>
              <w:rPr>
                <w:i/>
                <w:snapToGrid w:val="0"/>
              </w:rPr>
              <w:t>Mining Legislation Amendment Act 2014</w:t>
            </w:r>
            <w:r>
              <w:rPr>
                <w:snapToGrid w:val="0"/>
              </w:rPr>
              <w:t xml:space="preserve"> Pt. 3</w:t>
            </w:r>
          </w:p>
        </w:tc>
        <w:tc>
          <w:tcPr>
            <w:tcW w:w="1134" w:type="dxa"/>
            <w:tcBorders>
              <w:top w:val="nil"/>
              <w:left w:val="nil"/>
              <w:bottom w:val="nil"/>
              <w:right w:val="nil"/>
            </w:tcBorders>
          </w:tcPr>
          <w:p>
            <w:pPr>
              <w:pStyle w:val="nTable"/>
              <w:spacing w:after="40"/>
            </w:pPr>
            <w:r>
              <w:t>4 of 2014</w:t>
            </w:r>
          </w:p>
        </w:tc>
        <w:tc>
          <w:tcPr>
            <w:tcW w:w="1134" w:type="dxa"/>
            <w:tcBorders>
              <w:top w:val="nil"/>
              <w:left w:val="nil"/>
              <w:bottom w:val="nil"/>
              <w:right w:val="nil"/>
            </w:tcBorders>
          </w:tcPr>
          <w:p>
            <w:pPr>
              <w:pStyle w:val="nTable"/>
              <w:spacing w:after="40"/>
            </w:pPr>
            <w:r>
              <w:t>22 Apr 2014</w:t>
            </w:r>
          </w:p>
        </w:tc>
        <w:tc>
          <w:tcPr>
            <w:tcW w:w="2552" w:type="dxa"/>
            <w:tcBorders>
              <w:top w:val="nil"/>
              <w:left w:val="nil"/>
              <w:bottom w:val="nil"/>
            </w:tcBorders>
          </w:tcPr>
          <w:p>
            <w:pPr>
              <w:pStyle w:val="nTable"/>
              <w:spacing w:after="40"/>
            </w:pPr>
            <w:r>
              <w:t>30</w:t>
            </w:r>
            <w:del w:id="140" w:author="Master Repository Process" w:date="2024-01-02T14:35:00Z">
              <w:r>
                <w:delText xml:space="preserve"> </w:delText>
              </w:r>
            </w:del>
            <w:ins w:id="141" w:author="Master Repository Process" w:date="2024-01-02T14:35:00Z">
              <w:r>
                <w:t> </w:t>
              </w:r>
            </w:ins>
            <w:r>
              <w:t>Jun</w:t>
            </w:r>
            <w:del w:id="142" w:author="Master Repository Process" w:date="2024-01-02T14:35:00Z">
              <w:r>
                <w:delText xml:space="preserve"> </w:delText>
              </w:r>
            </w:del>
            <w:ins w:id="143" w:author="Master Repository Process" w:date="2024-01-02T14:35:00Z">
              <w:r>
                <w:t> </w:t>
              </w:r>
            </w:ins>
            <w:r>
              <w:t xml:space="preserve">2014 (see s. 2(b) and </w:t>
            </w:r>
            <w:r>
              <w:rPr>
                <w:i/>
              </w:rPr>
              <w:t>Gazette</w:t>
            </w:r>
            <w:r>
              <w:t xml:space="preserve"> 17 Jun 2014 p. 1953)</w:t>
            </w:r>
          </w:p>
        </w:tc>
      </w:tr>
      <w:tr>
        <w:trPr>
          <w:ins w:id="144" w:author="Master Repository Process" w:date="2024-01-02T14:35:00Z"/>
        </w:trPr>
        <w:tc>
          <w:tcPr>
            <w:tcW w:w="2268" w:type="dxa"/>
            <w:tcBorders>
              <w:top w:val="nil"/>
              <w:bottom w:val="single" w:sz="8" w:space="0" w:color="auto"/>
              <w:right w:val="nil"/>
            </w:tcBorders>
          </w:tcPr>
          <w:p>
            <w:pPr>
              <w:pStyle w:val="nTable"/>
              <w:spacing w:after="40"/>
              <w:rPr>
                <w:ins w:id="145" w:author="Master Repository Process" w:date="2024-01-02T14:35:00Z"/>
                <w:i/>
                <w:snapToGrid w:val="0"/>
              </w:rPr>
            </w:pPr>
            <w:ins w:id="146" w:author="Master Repository Process" w:date="2024-01-02T14:35:00Z">
              <w:r>
                <w:rPr>
                  <w:i/>
                </w:rPr>
                <w:t>Land and Public Works Legislation Amendment Act 2023</w:t>
              </w:r>
              <w:r>
                <w:t xml:space="preserve"> Pt. 4 Div. 9</w:t>
              </w:r>
            </w:ins>
          </w:p>
        </w:tc>
        <w:tc>
          <w:tcPr>
            <w:tcW w:w="1134" w:type="dxa"/>
            <w:tcBorders>
              <w:top w:val="nil"/>
              <w:left w:val="nil"/>
              <w:bottom w:val="single" w:sz="8" w:space="0" w:color="auto"/>
              <w:right w:val="nil"/>
            </w:tcBorders>
          </w:tcPr>
          <w:p>
            <w:pPr>
              <w:pStyle w:val="nTable"/>
              <w:spacing w:after="40"/>
              <w:rPr>
                <w:ins w:id="147" w:author="Master Repository Process" w:date="2024-01-02T14:35:00Z"/>
              </w:rPr>
            </w:pPr>
            <w:ins w:id="148" w:author="Master Repository Process" w:date="2024-01-02T14:35:00Z">
              <w:r>
                <w:t>4 of 2023</w:t>
              </w:r>
            </w:ins>
          </w:p>
        </w:tc>
        <w:tc>
          <w:tcPr>
            <w:tcW w:w="1134" w:type="dxa"/>
            <w:tcBorders>
              <w:top w:val="nil"/>
              <w:left w:val="nil"/>
              <w:bottom w:val="single" w:sz="8" w:space="0" w:color="auto"/>
              <w:right w:val="nil"/>
            </w:tcBorders>
          </w:tcPr>
          <w:p>
            <w:pPr>
              <w:pStyle w:val="nTable"/>
              <w:spacing w:after="40"/>
              <w:rPr>
                <w:ins w:id="149" w:author="Master Repository Process" w:date="2024-01-02T14:35:00Z"/>
              </w:rPr>
            </w:pPr>
            <w:ins w:id="150" w:author="Master Repository Process" w:date="2024-01-02T14:35:00Z">
              <w:r>
                <w:t>24 Mar 2023</w:t>
              </w:r>
            </w:ins>
          </w:p>
        </w:tc>
        <w:tc>
          <w:tcPr>
            <w:tcW w:w="2552" w:type="dxa"/>
            <w:tcBorders>
              <w:top w:val="nil"/>
              <w:left w:val="nil"/>
              <w:bottom w:val="single" w:sz="8" w:space="0" w:color="auto"/>
            </w:tcBorders>
          </w:tcPr>
          <w:p>
            <w:pPr>
              <w:pStyle w:val="nTable"/>
              <w:spacing w:after="40"/>
              <w:rPr>
                <w:ins w:id="151" w:author="Master Repository Process" w:date="2024-01-02T14:35:00Z"/>
              </w:rPr>
            </w:pPr>
            <w:ins w:id="152" w:author="Master Repository Process" w:date="2024-01-02T14:35:00Z">
              <w:r>
                <w:t>10 Aug 2023 (see s. 2(b) and SL 2023/132 cl. 2)</w:t>
              </w:r>
            </w:ins>
          </w:p>
        </w:tc>
      </w:tr>
    </w:tbl>
    <w:p>
      <w:pPr>
        <w:pStyle w:val="nHeading3"/>
        <w:rPr>
          <w:del w:id="153" w:author="Master Repository Process" w:date="2024-01-02T14:35:00Z"/>
        </w:rPr>
      </w:pPr>
      <w:bookmarkStart w:id="154" w:name="_Toc130564060"/>
      <w:del w:id="155" w:author="Master Repository Process" w:date="2024-01-02T14:35:00Z">
        <w:r>
          <w:delText>Uncommenced provisions table</w:delText>
        </w:r>
        <w:bookmarkEnd w:id="154"/>
      </w:del>
    </w:p>
    <w:p>
      <w:pPr>
        <w:pStyle w:val="nStatement"/>
        <w:keepNext/>
        <w:spacing w:after="240"/>
        <w:rPr>
          <w:del w:id="156" w:author="Master Repository Process" w:date="2024-01-02T14:35:00Z"/>
        </w:rPr>
      </w:pPr>
      <w:del w:id="157" w:author="Master Repository Process" w:date="2024-01-02T14:3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58" w:author="Master Repository Process" w:date="2024-01-02T14:35:00Z"/>
        </w:trPr>
        <w:tc>
          <w:tcPr>
            <w:tcW w:w="2268" w:type="dxa"/>
          </w:tcPr>
          <w:p>
            <w:pPr>
              <w:pStyle w:val="nTable"/>
              <w:spacing w:after="40"/>
              <w:rPr>
                <w:del w:id="159" w:author="Master Repository Process" w:date="2024-01-02T14:35:00Z"/>
                <w:b/>
              </w:rPr>
            </w:pPr>
            <w:del w:id="160" w:author="Master Repository Process" w:date="2024-01-02T14:35:00Z">
              <w:r>
                <w:rPr>
                  <w:b/>
                </w:rPr>
                <w:delText>Short title</w:delText>
              </w:r>
            </w:del>
          </w:p>
        </w:tc>
        <w:tc>
          <w:tcPr>
            <w:tcW w:w="1134" w:type="dxa"/>
          </w:tcPr>
          <w:p>
            <w:pPr>
              <w:pStyle w:val="nTable"/>
              <w:spacing w:after="40"/>
              <w:rPr>
                <w:del w:id="161" w:author="Master Repository Process" w:date="2024-01-02T14:35:00Z"/>
                <w:b/>
              </w:rPr>
            </w:pPr>
            <w:del w:id="162" w:author="Master Repository Process" w:date="2024-01-02T14:35:00Z">
              <w:r>
                <w:rPr>
                  <w:b/>
                </w:rPr>
                <w:delText>Number and year</w:delText>
              </w:r>
            </w:del>
          </w:p>
        </w:tc>
        <w:tc>
          <w:tcPr>
            <w:tcW w:w="1134" w:type="dxa"/>
          </w:tcPr>
          <w:p>
            <w:pPr>
              <w:pStyle w:val="nTable"/>
              <w:spacing w:after="40"/>
              <w:rPr>
                <w:del w:id="163" w:author="Master Repository Process" w:date="2024-01-02T14:35:00Z"/>
                <w:b/>
              </w:rPr>
            </w:pPr>
            <w:del w:id="164" w:author="Master Repository Process" w:date="2024-01-02T14:35:00Z">
              <w:r>
                <w:rPr>
                  <w:b/>
                </w:rPr>
                <w:delText>Assent</w:delText>
              </w:r>
            </w:del>
          </w:p>
        </w:tc>
        <w:tc>
          <w:tcPr>
            <w:tcW w:w="2552" w:type="dxa"/>
          </w:tcPr>
          <w:p>
            <w:pPr>
              <w:pStyle w:val="nTable"/>
              <w:spacing w:after="40"/>
              <w:rPr>
                <w:del w:id="165" w:author="Master Repository Process" w:date="2024-01-02T14:35:00Z"/>
                <w:b/>
              </w:rPr>
            </w:pPr>
            <w:del w:id="166" w:author="Master Repository Process" w:date="2024-01-02T14:35:00Z">
              <w:r>
                <w:rPr>
                  <w:b/>
                </w:rPr>
                <w:delText>Commencement</w:delText>
              </w:r>
            </w:del>
          </w:p>
        </w:tc>
      </w:tr>
      <w:tr>
        <w:trPr>
          <w:del w:id="167" w:author="Master Repository Process" w:date="2024-01-02T14:35:00Z"/>
        </w:trPr>
        <w:tc>
          <w:tcPr>
            <w:tcW w:w="2268" w:type="dxa"/>
          </w:tcPr>
          <w:p>
            <w:pPr>
              <w:pStyle w:val="nTable"/>
              <w:spacing w:after="40"/>
              <w:rPr>
                <w:del w:id="168" w:author="Master Repository Process" w:date="2024-01-02T14:35:00Z"/>
              </w:rPr>
            </w:pPr>
            <w:del w:id="169" w:author="Master Repository Process" w:date="2024-01-02T14:35:00Z">
              <w:r>
                <w:rPr>
                  <w:i/>
                </w:rPr>
                <w:delText>Land and Public Works Legislation Amendment Act 2023</w:delText>
              </w:r>
              <w:r>
                <w:delText xml:space="preserve"> Pt. 4 Div. 9</w:delText>
              </w:r>
            </w:del>
          </w:p>
        </w:tc>
        <w:tc>
          <w:tcPr>
            <w:tcW w:w="1134" w:type="dxa"/>
          </w:tcPr>
          <w:p>
            <w:pPr>
              <w:pStyle w:val="nTable"/>
              <w:spacing w:after="40"/>
              <w:rPr>
                <w:del w:id="170" w:author="Master Repository Process" w:date="2024-01-02T14:35:00Z"/>
              </w:rPr>
            </w:pPr>
            <w:del w:id="171" w:author="Master Repository Process" w:date="2024-01-02T14:35:00Z">
              <w:r>
                <w:delText>4 of 2023</w:delText>
              </w:r>
            </w:del>
          </w:p>
        </w:tc>
        <w:tc>
          <w:tcPr>
            <w:tcW w:w="1134" w:type="dxa"/>
          </w:tcPr>
          <w:p>
            <w:pPr>
              <w:pStyle w:val="nTable"/>
              <w:spacing w:after="40"/>
              <w:rPr>
                <w:del w:id="172" w:author="Master Repository Process" w:date="2024-01-02T14:35:00Z"/>
              </w:rPr>
            </w:pPr>
            <w:del w:id="173" w:author="Master Repository Process" w:date="2024-01-02T14:35:00Z">
              <w:r>
                <w:delText>24 Mar 2023</w:delText>
              </w:r>
            </w:del>
          </w:p>
        </w:tc>
        <w:tc>
          <w:tcPr>
            <w:tcW w:w="2552" w:type="dxa"/>
          </w:tcPr>
          <w:p>
            <w:pPr>
              <w:pStyle w:val="nTable"/>
              <w:spacing w:after="40"/>
              <w:rPr>
                <w:del w:id="174" w:author="Master Repository Process" w:date="2024-01-02T14:35:00Z"/>
              </w:rPr>
            </w:pPr>
            <w:del w:id="175" w:author="Master Repository Process" w:date="2024-01-02T14:35:00Z">
              <w:r>
                <w:delText>To be proclaimed (see s. 2(b))</w:delText>
              </w:r>
            </w:del>
          </w:p>
        </w:tc>
      </w:tr>
    </w:tbl>
    <w:p>
      <w:pPr>
        <w:rPr>
          <w:del w:id="176" w:author="Master Repository Process" w:date="2024-01-02T14:35:00Z"/>
        </w:rPr>
      </w:pPr>
    </w:p>
    <w:p>
      <w:pPr>
        <w:rPr>
          <w:del w:id="177" w:author="Master Repository Process" w:date="2024-01-02T14:35:00Z"/>
        </w:rPr>
        <w:sectPr>
          <w:headerReference w:type="even" r:id="rId24"/>
          <w:headerReference w:type="default" r:id="rId25"/>
          <w:pgSz w:w="11907" w:h="16840" w:code="9"/>
          <w:pgMar w:top="2376" w:right="2405" w:bottom="3542" w:left="2405" w:header="706" w:footer="3380" w:gutter="0"/>
          <w:cols w:space="720"/>
          <w:noEndnote/>
          <w:docGrid w:linePitch="326"/>
        </w:sectPr>
      </w:pPr>
    </w:p>
    <w:bookmarkEnd w:id="136"/>
    <w:p>
      <w:pPr>
        <w:rPr>
          <w:ins w:id="178" w:author="Master Repository Process" w:date="2024-01-02T14:35:00Z"/>
        </w:rPr>
        <w:sectPr>
          <w:headerReference w:type="even" r:id="rId26"/>
          <w:headerReference w:type="default" r:id="rId27"/>
          <w:pgSz w:w="11907" w:h="16840" w:code="9"/>
          <w:pgMar w:top="2376" w:right="2405" w:bottom="3542" w:left="2405" w:header="706" w:footer="3544" w:gutter="0"/>
          <w:cols w:space="720"/>
          <w:noEndnote/>
          <w:docGrid w:linePitch="326"/>
        </w:sectPr>
      </w:pPr>
    </w:p>
    <w:p>
      <w:ins w:id="180" w:author="Master Repository Process" w:date="2024-01-02T14:3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81" w:author="Master Repository Process" w:date="2024-01-02T14:35:00Z"/>
                                  <w:sz w:val="16"/>
                                </w:rPr>
                              </w:pPr>
                              <w:ins w:id="182" w:author="Master Repository Process" w:date="2024-01-02T14: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3" w:author="Master Repository Process" w:date="2024-01-02T14:35:00Z"/>
                                  <w:sz w:val="16"/>
                                </w:rPr>
                              </w:pPr>
                              <w:ins w:id="184" w:author="Master Repository Process" w:date="2024-01-02T14: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5" w:author="Master Repository Process" w:date="2024-01-02T14:35:00Z"/>
                                  <w:sz w:val="16"/>
                                </w:rPr>
                              </w:pPr>
                              <w:ins w:id="186" w:author="Master Repository Process" w:date="2024-01-02T14: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7" w:author="Master Repository Process" w:date="2024-01-02T14:35:00Z"/>
                                  <w:rFonts w:ascii="Arial" w:hAnsi="Arial" w:cs="Arial"/>
                                  <w:sz w:val="12"/>
                                </w:rPr>
                              </w:pPr>
                              <w:ins w:id="188" w:author="Master Repository Process" w:date="2024-01-02T14:3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89" w:author="Master Repository Process" w:date="2024-01-02T14:35:00Z"/>
                            <w:sz w:val="16"/>
                          </w:rPr>
                        </w:pPr>
                        <w:ins w:id="190" w:author="Master Repository Process" w:date="2024-01-02T14: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1" w:author="Master Repository Process" w:date="2024-01-02T14:35:00Z"/>
                            <w:sz w:val="16"/>
                          </w:rPr>
                        </w:pPr>
                        <w:ins w:id="192" w:author="Master Repository Process" w:date="2024-01-02T14: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3" w:author="Master Repository Process" w:date="2024-01-02T14:35:00Z"/>
                            <w:sz w:val="16"/>
                          </w:rPr>
                        </w:pPr>
                        <w:ins w:id="194" w:author="Master Repository Process" w:date="2024-01-02T14: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95" w:author="Master Repository Process" w:date="2024-01-02T14:35:00Z"/>
                            <w:rFonts w:ascii="Arial" w:hAnsi="Arial" w:cs="Arial"/>
                            <w:sz w:val="12"/>
                          </w:rPr>
                        </w:pPr>
                        <w:ins w:id="196" w:author="Master Repository Process" w:date="2024-01-02T14:3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9F76674"/>
    <w:multiLevelType w:val="multilevel"/>
    <w:tmpl w:val="5400E7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846"/>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 w:name="WAFER_20140424100303" w:val="RemoveTocBookmarks,RemoveUnusedBookmarks,RemoveLanguageTags,UsedStyles,ResetPageSize,UpdateArrangement"/>
    <w:docVar w:name="WAFER_20140424100303_GUID" w:val="7b2d1e14-7a41-4a0b-8d62-82c4708e360f"/>
    <w:docVar w:name="WAFER_20140424144015" w:val="RemoveTocBookmarks,RunningHeaders"/>
    <w:docVar w:name="WAFER_20140424144015_GUID" w:val="557f2ead-655e-43ed-b74d-156262c017df"/>
    <w:docVar w:name="WAFER_20140501132512" w:val="RemoveTocBookmarks,RemoveUnusedBookmarks,RemoveLanguageTags,UsedStyles,ResetPageSize"/>
    <w:docVar w:name="WAFER_20140501132512_GUID" w:val="d91ccad7-6246-4037-8b90-70fdc8370b26"/>
    <w:docVar w:name="WAFER_20140501132522" w:val="RemoveTocBookmarks,RunningHeaders"/>
    <w:docVar w:name="WAFER_20140501132522_GUID" w:val="52f84eea-c886-4fbe-b966-37339e9c12c7"/>
    <w:docVar w:name="WAFER_20140616102522" w:val="RemoveTocBookmarks,RemoveUnusedBookmarks,RemoveLanguageTags,UsedStyles,ResetPageSize,UpdateArrangement"/>
    <w:docVar w:name="WAFER_20140616102522_GUID" w:val="a430bdb7-9d6b-4a3b-a403-6108b68dd3e2"/>
    <w:docVar w:name="WAFER_20140627143518" w:val="RemoveTocBookmarks,RunningHeaders"/>
    <w:docVar w:name="WAFER_20140627143518_GUID" w:val="95f5ec74-9161-49f0-8b6d-400d71f6c3d3"/>
    <w:docVar w:name="WAFER_20150605152812" w:val="ResetPageSize,UpdateArrangement,UpdateNTable"/>
    <w:docVar w:name="WAFER_20150605152812_GUID" w:val="c85385a1-e381-4293-b9a2-163e23f7029c"/>
    <w:docVar w:name="WAFER_20151106161412" w:val="UpdateStyles,UsedStyles"/>
    <w:docVar w:name="WAFER_20151106161412_GUID" w:val="db11b706-008b-4815-9b3c-6ab32befddff"/>
    <w:docVar w:name="WAFER_20151112155214" w:val="UpdateStyles,UsedStyles"/>
    <w:docVar w:name="WAFER_20151112155214_GUID" w:val="b7cf61b1-7766-4c23-96c9-d1ea97cf87fe"/>
    <w:docVar w:name="WAFER_20230324123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3729_GUID" w:val="0b399f67-c274-4825-837a-cc6e3da7493c"/>
    <w:docVar w:name="WAFER_202308091448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44835_GUID" w:val="73c65118-98e4-429a-9552-0e18ddf8a00e"/>
    <w:docVar w:name="WAFER_20231227132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846_GUID" w:val="be20af6d-1a41-4d76-a615-27ac53e274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D21CA8-97FF-4C0E-B92D-DB75576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5307</Words>
  <Characters>24838</Characters>
  <Application>Microsoft Office Word</Application>
  <DocSecurity>0</DocSecurity>
  <Lines>709</Lines>
  <Paragraphs>478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00-e0-00 - 00-f0-01</dc:title>
  <dc:subject/>
  <dc:creator/>
  <cp:keywords/>
  <dc:description/>
  <cp:lastModifiedBy>Master Repository Process</cp:lastModifiedBy>
  <cp:revision>2</cp:revision>
  <cp:lastPrinted>2012-10-19T04:04:00Z</cp:lastPrinted>
  <dcterms:created xsi:type="dcterms:W3CDTF">2024-01-02T06:35:00Z</dcterms:created>
  <dcterms:modified xsi:type="dcterms:W3CDTF">2024-01-02T06:35:00Z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2012</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20230810</vt:lpwstr>
  </property>
  <property fmtid="{D5CDD505-2E9C-101B-9397-08002B2CF9AE}" pid="6" name="CommencementAsAt">
    <vt:filetime>2023-08-09T16:00:00Z</vt:filetime>
  </property>
  <property fmtid="{D5CDD505-2E9C-101B-9397-08002B2CF9AE}" pid="7" name="CommencementYear">
    <vt:lpwstr>2023</vt:lpwstr>
  </property>
  <property fmtid="{D5CDD505-2E9C-101B-9397-08002B2CF9AE}" pid="8" name="FromSuffix">
    <vt:lpwstr>00-e0-00</vt:lpwstr>
  </property>
  <property fmtid="{D5CDD505-2E9C-101B-9397-08002B2CF9AE}" pid="9" name="FromAsAtDate">
    <vt:lpwstr>24 Mar 2023</vt:lpwstr>
  </property>
  <property fmtid="{D5CDD505-2E9C-101B-9397-08002B2CF9AE}" pid="10" name="ToSuffix">
    <vt:lpwstr>00-f0-01</vt:lpwstr>
  </property>
  <property fmtid="{D5CDD505-2E9C-101B-9397-08002B2CF9AE}" pid="11" name="ToAsAtDate">
    <vt:lpwstr>10 Aug 2023</vt:lpwstr>
  </property>
</Properties>
</file>