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2022</w:t>
      </w:r>
      <w:r>
        <w:fldChar w:fldCharType="end"/>
      </w:r>
      <w:r>
        <w:t xml:space="preserve">, </w:t>
      </w:r>
      <w:r>
        <w:fldChar w:fldCharType="begin"/>
      </w:r>
      <w:r>
        <w:instrText xml:space="preserve"> DocProperty FromSuffix </w:instrText>
      </w:r>
      <w:r>
        <w:fldChar w:fldCharType="separate"/>
      </w:r>
      <w:r>
        <w:t>03-v0-00</w:t>
      </w:r>
      <w:r>
        <w:fldChar w:fldCharType="end"/>
      </w:r>
      <w:r>
        <w:t>] and [</w:t>
      </w:r>
      <w:r>
        <w:fldChar w:fldCharType="begin"/>
      </w:r>
      <w:r>
        <w:instrText xml:space="preserve"> DocProperty ToAsAtDate</w:instrText>
      </w:r>
      <w:r>
        <w:fldChar w:fldCharType="separate"/>
      </w:r>
      <w:r>
        <w:t>21 Sep 2023</w:t>
      </w:r>
      <w:r>
        <w:fldChar w:fldCharType="end"/>
      </w:r>
      <w:r>
        <w:t xml:space="preserve">, </w:t>
      </w:r>
      <w:r>
        <w:fldChar w:fldCharType="begin"/>
      </w:r>
      <w:r>
        <w:instrText xml:space="preserve"> DocProperty ToSuffix</w:instrText>
      </w:r>
      <w:r>
        <w:fldChar w:fldCharType="separate"/>
      </w:r>
      <w:r>
        <w:t>03-w0-01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155093805"/>
      <w:bookmarkStart w:id="2" w:name="_Toc119485127"/>
      <w:bookmarkStart w:id="3" w:name="_Toc119493201"/>
      <w:bookmarkStart w:id="4" w:name="_Toc119493449"/>
      <w:bookmarkStart w:id="5" w:name="_Toc119493697"/>
      <w:bookmarkStart w:id="6" w:name="_Toc11957340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pPr>
      <w:bookmarkStart w:id="8" w:name="_Toc155093806"/>
      <w:bookmarkStart w:id="9" w:name="_Toc119573405"/>
      <w:r>
        <w:rPr>
          <w:rStyle w:val="CharSectno"/>
        </w:rPr>
        <w:t>1</w:t>
      </w:r>
      <w:r>
        <w:t>.</w:t>
      </w:r>
      <w:r>
        <w:tab/>
        <w:t>Citation</w:t>
      </w:r>
      <w:bookmarkEnd w:id="8"/>
      <w:bookmarkEnd w:id="9"/>
    </w:p>
    <w:p>
      <w:pPr>
        <w:pStyle w:val="Subsection"/>
      </w:pPr>
      <w:r>
        <w:tab/>
      </w:r>
      <w:r>
        <w:tab/>
        <w:t xml:space="preserve">These rules are the </w:t>
      </w:r>
      <w:r>
        <w:rPr>
          <w:i/>
        </w:rPr>
        <w:t>Magistrates Court (Civil Proceedings) Rules 2005</w:t>
      </w:r>
      <w:r>
        <w:t>.</w:t>
      </w:r>
    </w:p>
    <w:p>
      <w:pPr>
        <w:pStyle w:val="Heading5"/>
        <w:spacing w:before="240"/>
      </w:pPr>
      <w:bookmarkStart w:id="10" w:name="_Toc155093807"/>
      <w:bookmarkStart w:id="11" w:name="_Toc119573406"/>
      <w:r>
        <w:rPr>
          <w:rStyle w:val="CharSectno"/>
        </w:rPr>
        <w:t>2</w:t>
      </w:r>
      <w:r>
        <w:t>.</w:t>
      </w:r>
      <w:r>
        <w:tab/>
        <w:t>Commencement</w:t>
      </w:r>
      <w:bookmarkEnd w:id="10"/>
      <w:bookmarkEnd w:id="11"/>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12" w:name="_Toc155093808"/>
      <w:bookmarkStart w:id="13" w:name="_Toc119573407"/>
      <w:r>
        <w:rPr>
          <w:rStyle w:val="CharSectno"/>
        </w:rPr>
        <w:t>3</w:t>
      </w:r>
      <w:r>
        <w:t>.</w:t>
      </w:r>
      <w:r>
        <w:tab/>
        <w:t xml:space="preserve">These rules to be read with </w:t>
      </w:r>
      <w:r>
        <w:rPr>
          <w:i/>
          <w:iCs/>
        </w:rPr>
        <w:t>Magistrates Court (General) Rules 2005</w:t>
      </w:r>
      <w:bookmarkEnd w:id="12"/>
      <w:bookmarkEnd w:id="13"/>
    </w:p>
    <w:p>
      <w:pPr>
        <w:pStyle w:val="Subsection"/>
      </w:pPr>
      <w:r>
        <w:tab/>
      </w:r>
      <w:r>
        <w:tab/>
        <w:t xml:space="preserve">These rules are to be read with the </w:t>
      </w:r>
      <w:r>
        <w:rPr>
          <w:i/>
          <w:iCs/>
        </w:rPr>
        <w:t>Magistrates Court (General) Rules 2005</w:t>
      </w:r>
      <w:r>
        <w:t>.</w:t>
      </w:r>
    </w:p>
    <w:p>
      <w:pPr>
        <w:pStyle w:val="Heading5"/>
        <w:spacing w:before="240"/>
      </w:pPr>
      <w:bookmarkStart w:id="14" w:name="_Toc155093809"/>
      <w:bookmarkStart w:id="15" w:name="_Toc119573408"/>
      <w:r>
        <w:rPr>
          <w:rStyle w:val="CharSectno"/>
        </w:rPr>
        <w:t>4</w:t>
      </w:r>
      <w:r>
        <w:t>.</w:t>
      </w:r>
      <w:r>
        <w:tab/>
        <w:t>Terms used</w:t>
      </w:r>
      <w:bookmarkEnd w:id="14"/>
      <w:bookmarkEnd w:id="15"/>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16" w:name="_Toc155093810"/>
      <w:bookmarkStart w:id="17" w:name="_Toc119573409"/>
      <w:r>
        <w:rPr>
          <w:rStyle w:val="CharSectno"/>
        </w:rPr>
        <w:t>5</w:t>
      </w:r>
      <w:r>
        <w:t>.</w:t>
      </w:r>
      <w:r>
        <w:tab/>
        <w:t>Application of these rules</w:t>
      </w:r>
      <w:bookmarkEnd w:id="16"/>
      <w:bookmarkEnd w:id="17"/>
    </w:p>
    <w:p>
      <w:pPr>
        <w:pStyle w:val="Subsection"/>
      </w:pPr>
      <w:r>
        <w:tab/>
        <w:t>(1)</w:t>
      </w:r>
      <w:r>
        <w:tab/>
        <w:t>Unless the contrary intention appears or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 SL 2021/25 r. 4.]</w:t>
      </w:r>
    </w:p>
    <w:p>
      <w:pPr>
        <w:pStyle w:val="Heading2"/>
      </w:pPr>
      <w:bookmarkStart w:id="18" w:name="_Toc155093811"/>
      <w:bookmarkStart w:id="19" w:name="_Toc119485133"/>
      <w:bookmarkStart w:id="20" w:name="_Toc119493207"/>
      <w:bookmarkStart w:id="21" w:name="_Toc119493455"/>
      <w:bookmarkStart w:id="22" w:name="_Toc119493703"/>
      <w:bookmarkStart w:id="23" w:name="_Toc119573410"/>
      <w:r>
        <w:rPr>
          <w:rStyle w:val="CharPartNo"/>
        </w:rPr>
        <w:t>Part 2</w:t>
      </w:r>
      <w:r>
        <w:t> — </w:t>
      </w:r>
      <w:r>
        <w:rPr>
          <w:rStyle w:val="CharPartText"/>
        </w:rPr>
        <w:t>Claims generally</w:t>
      </w:r>
      <w:bookmarkEnd w:id="18"/>
      <w:bookmarkEnd w:id="19"/>
      <w:bookmarkEnd w:id="20"/>
      <w:bookmarkEnd w:id="21"/>
      <w:bookmarkEnd w:id="22"/>
      <w:bookmarkEnd w:id="23"/>
    </w:p>
    <w:p>
      <w:pPr>
        <w:pStyle w:val="Heading5"/>
      </w:pPr>
      <w:bookmarkStart w:id="24" w:name="_Toc155093812"/>
      <w:bookmarkStart w:id="25" w:name="_Toc119573411"/>
      <w:r>
        <w:rPr>
          <w:rStyle w:val="CharSectno"/>
        </w:rPr>
        <w:t>6</w:t>
      </w:r>
      <w:r>
        <w:t>.</w:t>
      </w:r>
      <w:r>
        <w:tab/>
        <w:t>Application of this Part</w:t>
      </w:r>
      <w:bookmarkEnd w:id="24"/>
      <w:bookmarkEnd w:id="25"/>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26" w:name="_Toc155093813"/>
      <w:bookmarkStart w:id="27" w:name="_Toc119573412"/>
      <w:r>
        <w:rPr>
          <w:rStyle w:val="CharSectno"/>
        </w:rPr>
        <w:t>7</w:t>
      </w:r>
      <w:r>
        <w:t>.</w:t>
      </w:r>
      <w:r>
        <w:tab/>
        <w:t>Originating claim, making and serving</w:t>
      </w:r>
      <w:bookmarkEnd w:id="26"/>
      <w:bookmarkEnd w:id="27"/>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28" w:name="_Toc155093814"/>
      <w:bookmarkStart w:id="29" w:name="_Toc119573413"/>
      <w:r>
        <w:rPr>
          <w:rStyle w:val="CharSectno"/>
        </w:rPr>
        <w:t>7A</w:t>
      </w:r>
      <w:r>
        <w:t>.</w:t>
      </w:r>
      <w:r>
        <w:tab/>
        <w:t>Statement of claim</w:t>
      </w:r>
      <w:bookmarkEnd w:id="28"/>
      <w:bookmarkEnd w:id="29"/>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30" w:name="_Toc155093815"/>
      <w:bookmarkStart w:id="31" w:name="_Toc119573414"/>
      <w:r>
        <w:rPr>
          <w:rStyle w:val="CharSectno"/>
        </w:rPr>
        <w:t>8</w:t>
      </w:r>
      <w:r>
        <w:t>.</w:t>
      </w:r>
      <w:r>
        <w:tab/>
        <w:t>Making and serving third party claim</w:t>
      </w:r>
      <w:bookmarkEnd w:id="30"/>
      <w:bookmarkEnd w:id="31"/>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32" w:name="_Toc155093816"/>
      <w:bookmarkStart w:id="33" w:name="_Toc119573415"/>
      <w:r>
        <w:rPr>
          <w:rStyle w:val="CharSectno"/>
        </w:rPr>
        <w:t>9</w:t>
      </w:r>
      <w:r>
        <w:t>.</w:t>
      </w:r>
      <w:r>
        <w:tab/>
        <w:t>Response to claim</w:t>
      </w:r>
      <w:bookmarkEnd w:id="32"/>
      <w:bookmarkEnd w:id="33"/>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34" w:name="_Toc155093817"/>
      <w:bookmarkStart w:id="35" w:name="_Toc119573416"/>
      <w:r>
        <w:rPr>
          <w:rStyle w:val="CharSectno"/>
        </w:rPr>
        <w:t>10</w:t>
      </w:r>
      <w:r>
        <w:t>.</w:t>
      </w:r>
      <w:r>
        <w:tab/>
        <w:t>Statement of defence or statement of defence and counterclaim</w:t>
      </w:r>
      <w:bookmarkEnd w:id="34"/>
      <w:bookmarkEnd w:id="35"/>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36" w:name="_Toc155093818"/>
      <w:bookmarkStart w:id="37" w:name="_Toc119573417"/>
      <w:r>
        <w:rPr>
          <w:rStyle w:val="CharSectno"/>
        </w:rPr>
        <w:t>11</w:t>
      </w:r>
      <w:r>
        <w:t>.</w:t>
      </w:r>
      <w:r>
        <w:tab/>
        <w:t>Objecting to counterclaim (Act s. 9(4))</w:t>
      </w:r>
      <w:bookmarkEnd w:id="36"/>
      <w:bookmarkEnd w:id="37"/>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38" w:name="_Toc155093819"/>
      <w:bookmarkStart w:id="39" w:name="_Toc119573418"/>
      <w:r>
        <w:rPr>
          <w:rStyle w:val="CharSectno"/>
        </w:rPr>
        <w:t>12</w:t>
      </w:r>
      <w:r>
        <w:t>.</w:t>
      </w:r>
      <w:r>
        <w:tab/>
        <w:t>Reply and statement of defence to counterclaim</w:t>
      </w:r>
      <w:bookmarkEnd w:id="38"/>
      <w:bookmarkEnd w:id="39"/>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40" w:name="_Toc155093820"/>
      <w:bookmarkStart w:id="41" w:name="_Toc119485142"/>
      <w:bookmarkStart w:id="42" w:name="_Toc119493216"/>
      <w:bookmarkStart w:id="43" w:name="_Toc119493464"/>
      <w:bookmarkStart w:id="44" w:name="_Toc119493712"/>
      <w:bookmarkStart w:id="45" w:name="_Toc119573419"/>
      <w:r>
        <w:rPr>
          <w:rStyle w:val="CharPartNo"/>
        </w:rPr>
        <w:t>Part 3</w:t>
      </w:r>
      <w:r>
        <w:rPr>
          <w:rStyle w:val="CharDivNo"/>
        </w:rPr>
        <w:t> </w:t>
      </w:r>
      <w:r>
        <w:t>—</w:t>
      </w:r>
      <w:r>
        <w:rPr>
          <w:rStyle w:val="CharDivText"/>
        </w:rPr>
        <w:t> </w:t>
      </w:r>
      <w:r>
        <w:rPr>
          <w:rStyle w:val="CharPartText"/>
        </w:rPr>
        <w:t>Claims to recover possession of real property</w:t>
      </w:r>
      <w:bookmarkEnd w:id="40"/>
      <w:bookmarkEnd w:id="41"/>
      <w:bookmarkEnd w:id="42"/>
      <w:bookmarkEnd w:id="43"/>
      <w:bookmarkEnd w:id="44"/>
      <w:bookmarkEnd w:id="45"/>
    </w:p>
    <w:p>
      <w:pPr>
        <w:pStyle w:val="Heading5"/>
      </w:pPr>
      <w:bookmarkStart w:id="46" w:name="_Toc155093821"/>
      <w:bookmarkStart w:id="47" w:name="_Toc119573420"/>
      <w:r>
        <w:rPr>
          <w:rStyle w:val="CharSectno"/>
        </w:rPr>
        <w:t>13</w:t>
      </w:r>
      <w:r>
        <w:t>.</w:t>
      </w:r>
      <w:r>
        <w:tab/>
        <w:t>Claim to recover possession of real property, making</w:t>
      </w:r>
      <w:bookmarkEnd w:id="46"/>
      <w:bookmarkEnd w:id="47"/>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48" w:name="_Toc155093822"/>
      <w:bookmarkStart w:id="49" w:name="_Toc119573421"/>
      <w:r>
        <w:rPr>
          <w:rStyle w:val="CharSectno"/>
        </w:rPr>
        <w:t>14</w:t>
      </w:r>
      <w:r>
        <w:t>.</w:t>
      </w:r>
      <w:r>
        <w:tab/>
        <w:t>Notice demanding possession, lodging</w:t>
      </w:r>
      <w:bookmarkEnd w:id="48"/>
      <w:bookmarkEnd w:id="49"/>
    </w:p>
    <w:p>
      <w:pPr>
        <w:pStyle w:val="Subsection"/>
      </w:pPr>
      <w:r>
        <w:tab/>
      </w:r>
      <w:r>
        <w:tab/>
        <w:t>The claim must be lodged together with any written notice demanding possession of the property.</w:t>
      </w:r>
    </w:p>
    <w:p>
      <w:pPr>
        <w:pStyle w:val="Heading5"/>
      </w:pPr>
      <w:bookmarkStart w:id="50" w:name="_Toc155093823"/>
      <w:bookmarkStart w:id="51" w:name="_Toc119573422"/>
      <w:r>
        <w:rPr>
          <w:rStyle w:val="CharSectno"/>
        </w:rPr>
        <w:t>15</w:t>
      </w:r>
      <w:r>
        <w:t>.</w:t>
      </w:r>
      <w:r>
        <w:tab/>
        <w:t>Serving claim</w:t>
      </w:r>
      <w:bookmarkEnd w:id="50"/>
      <w:bookmarkEnd w:id="51"/>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52" w:name="_Toc155093824"/>
      <w:bookmarkStart w:id="53" w:name="_Toc119573423"/>
      <w:r>
        <w:rPr>
          <w:rStyle w:val="CharSectno"/>
        </w:rPr>
        <w:t>16</w:t>
      </w:r>
      <w:r>
        <w:t>.</w:t>
      </w:r>
      <w:r>
        <w:tab/>
        <w:t>Registrar to list case for status conference</w:t>
      </w:r>
      <w:bookmarkEnd w:id="52"/>
      <w:bookmarkEnd w:id="53"/>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54" w:name="_Toc155093825"/>
      <w:bookmarkStart w:id="55" w:name="_Toc119485147"/>
      <w:bookmarkStart w:id="56" w:name="_Toc119493221"/>
      <w:bookmarkStart w:id="57" w:name="_Toc119493469"/>
      <w:bookmarkStart w:id="58" w:name="_Toc119493717"/>
      <w:bookmarkStart w:id="59" w:name="_Toc119573424"/>
      <w:r>
        <w:rPr>
          <w:rStyle w:val="CharPartNo"/>
        </w:rPr>
        <w:t>Part 5</w:t>
      </w:r>
      <w:r>
        <w:rPr>
          <w:rStyle w:val="CharDivNo"/>
        </w:rPr>
        <w:t> </w:t>
      </w:r>
      <w:r>
        <w:t>—</w:t>
      </w:r>
      <w:r>
        <w:rPr>
          <w:rStyle w:val="CharDivText"/>
        </w:rPr>
        <w:t> </w:t>
      </w:r>
      <w:r>
        <w:rPr>
          <w:rStyle w:val="CharPartText"/>
        </w:rPr>
        <w:t>Failure to defend a claim</w:t>
      </w:r>
      <w:bookmarkEnd w:id="54"/>
      <w:bookmarkEnd w:id="55"/>
      <w:bookmarkEnd w:id="56"/>
      <w:bookmarkEnd w:id="57"/>
      <w:bookmarkEnd w:id="58"/>
      <w:bookmarkEnd w:id="59"/>
    </w:p>
    <w:p>
      <w:pPr>
        <w:pStyle w:val="Heading5"/>
      </w:pPr>
      <w:bookmarkStart w:id="60" w:name="_Toc155093826"/>
      <w:bookmarkStart w:id="61" w:name="_Toc119573425"/>
      <w:r>
        <w:rPr>
          <w:rStyle w:val="CharSectno"/>
        </w:rPr>
        <w:t>20</w:t>
      </w:r>
      <w:r>
        <w:t>.</w:t>
      </w:r>
      <w:r>
        <w:tab/>
        <w:t>Application of this Part</w:t>
      </w:r>
      <w:bookmarkEnd w:id="60"/>
      <w:bookmarkEnd w:id="61"/>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62" w:name="_Toc155093827"/>
      <w:bookmarkStart w:id="63" w:name="_Toc119573426"/>
      <w:r>
        <w:rPr>
          <w:rStyle w:val="CharSectno"/>
        </w:rPr>
        <w:t>21</w:t>
      </w:r>
      <w:r>
        <w:t>.</w:t>
      </w:r>
      <w:r>
        <w:tab/>
        <w:t>Assessing claims when application for default judgment is made</w:t>
      </w:r>
      <w:bookmarkEnd w:id="62"/>
      <w:bookmarkEnd w:id="63"/>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64" w:name="_Toc155093828"/>
      <w:bookmarkStart w:id="65" w:name="_Toc119573427"/>
      <w:r>
        <w:rPr>
          <w:rStyle w:val="CharSectno"/>
        </w:rPr>
        <w:t>23</w:t>
      </w:r>
      <w:r>
        <w:t>.</w:t>
      </w:r>
      <w:r>
        <w:tab/>
        <w:t>Claim to recover possession of personal property, default judgment for</w:t>
      </w:r>
      <w:bookmarkEnd w:id="64"/>
      <w:bookmarkEnd w:id="65"/>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66" w:name="_Toc155093829"/>
      <w:bookmarkStart w:id="67" w:name="_Toc119573428"/>
      <w:r>
        <w:rPr>
          <w:rStyle w:val="CharSectno"/>
        </w:rPr>
        <w:t>24</w:t>
      </w:r>
      <w:r>
        <w:t>.</w:t>
      </w:r>
      <w:r>
        <w:tab/>
        <w:t>Default judgment not to be given in certain cases</w:t>
      </w:r>
      <w:bookmarkEnd w:id="66"/>
      <w:bookmarkEnd w:id="67"/>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68" w:name="_Toc155093830"/>
      <w:bookmarkStart w:id="69" w:name="_Toc119573429"/>
      <w:r>
        <w:rPr>
          <w:rStyle w:val="CharSectno"/>
        </w:rPr>
        <w:t>25A</w:t>
      </w:r>
      <w:r>
        <w:t>.</w:t>
      </w:r>
      <w:r>
        <w:tab/>
        <w:t>Default judgment one year or more after originating claim, referral to Magistrate</w:t>
      </w:r>
      <w:bookmarkEnd w:id="68"/>
      <w:bookmarkEnd w:id="69"/>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70" w:name="_Toc155093831"/>
      <w:bookmarkStart w:id="71" w:name="_Toc119573430"/>
      <w:r>
        <w:rPr>
          <w:rStyle w:val="CharSectno"/>
        </w:rPr>
        <w:t>25</w:t>
      </w:r>
      <w:r>
        <w:t>.</w:t>
      </w:r>
      <w:r>
        <w:tab/>
        <w:t>Application for default judgment to be dismissed if not granted</w:t>
      </w:r>
      <w:bookmarkEnd w:id="70"/>
      <w:bookmarkEnd w:id="71"/>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72" w:name="_Toc155093832"/>
      <w:bookmarkStart w:id="73" w:name="_Toc119573431"/>
      <w:r>
        <w:rPr>
          <w:rStyle w:val="CharSectno"/>
        </w:rPr>
        <w:t>26</w:t>
      </w:r>
      <w:r>
        <w:t>.</w:t>
      </w:r>
      <w:r>
        <w:tab/>
        <w:t>Costs when registrar gives default judgment</w:t>
      </w:r>
      <w:bookmarkEnd w:id="72"/>
      <w:bookmarkEnd w:id="73"/>
    </w:p>
    <w:p>
      <w:pPr>
        <w:pStyle w:val="Subsection"/>
      </w:pPr>
      <w:r>
        <w:tab/>
      </w:r>
      <w:r>
        <w:tab/>
        <w:t>When the registrar gives default judgment under this Part the registrar may also make an order for costs.</w:t>
      </w:r>
    </w:p>
    <w:p>
      <w:pPr>
        <w:pStyle w:val="Heading2"/>
      </w:pPr>
      <w:bookmarkStart w:id="74" w:name="_Toc155093833"/>
      <w:bookmarkStart w:id="75" w:name="_Toc119485155"/>
      <w:bookmarkStart w:id="76" w:name="_Toc119493229"/>
      <w:bookmarkStart w:id="77" w:name="_Toc119493477"/>
      <w:bookmarkStart w:id="78" w:name="_Toc119493725"/>
      <w:bookmarkStart w:id="79" w:name="_Toc119573432"/>
      <w:r>
        <w:rPr>
          <w:rStyle w:val="CharPartNo"/>
        </w:rPr>
        <w:t>Part 6</w:t>
      </w:r>
      <w:r>
        <w:rPr>
          <w:rStyle w:val="CharDivNo"/>
        </w:rPr>
        <w:t> </w:t>
      </w:r>
      <w:r>
        <w:t>—</w:t>
      </w:r>
      <w:r>
        <w:rPr>
          <w:rStyle w:val="CharDivText"/>
        </w:rPr>
        <w:t> </w:t>
      </w:r>
      <w:r>
        <w:rPr>
          <w:rStyle w:val="CharPartText"/>
        </w:rPr>
        <w:t>Admission and discontinuance</w:t>
      </w:r>
      <w:bookmarkEnd w:id="74"/>
      <w:bookmarkEnd w:id="75"/>
      <w:bookmarkEnd w:id="76"/>
      <w:bookmarkEnd w:id="77"/>
      <w:bookmarkEnd w:id="78"/>
      <w:bookmarkEnd w:id="79"/>
    </w:p>
    <w:p>
      <w:pPr>
        <w:pStyle w:val="Heading5"/>
      </w:pPr>
      <w:bookmarkStart w:id="80" w:name="_Toc155093834"/>
      <w:bookmarkStart w:id="81" w:name="_Toc119573433"/>
      <w:r>
        <w:rPr>
          <w:rStyle w:val="CharSectno"/>
        </w:rPr>
        <w:t>27</w:t>
      </w:r>
      <w:r>
        <w:t>.</w:t>
      </w:r>
      <w:r>
        <w:tab/>
        <w:t>Admitting alleged facts, manner of</w:t>
      </w:r>
      <w:bookmarkEnd w:id="80"/>
      <w:bookmarkEnd w:id="81"/>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82" w:name="_Toc155093835"/>
      <w:bookmarkStart w:id="83" w:name="_Toc119573434"/>
      <w:r>
        <w:rPr>
          <w:rStyle w:val="CharSectno"/>
        </w:rPr>
        <w:t>28</w:t>
      </w:r>
      <w:r>
        <w:t>.</w:t>
      </w:r>
      <w:r>
        <w:tab/>
        <w:t>Invitation to admit alleged fact</w:t>
      </w:r>
      <w:bookmarkEnd w:id="82"/>
      <w:bookmarkEnd w:id="8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84" w:name="_Toc155093836"/>
      <w:bookmarkStart w:id="85" w:name="_Toc119573435"/>
      <w:r>
        <w:rPr>
          <w:rStyle w:val="CharSectno"/>
        </w:rPr>
        <w:t>29A</w:t>
      </w:r>
      <w:r>
        <w:t>.</w:t>
      </w:r>
      <w:r>
        <w:tab/>
        <w:t>Party admitting whole claim, judgment in case of</w:t>
      </w:r>
      <w:bookmarkEnd w:id="84"/>
      <w:bookmarkEnd w:id="85"/>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86" w:name="_Toc155093837"/>
      <w:bookmarkStart w:id="87" w:name="_Toc119573436"/>
      <w:r>
        <w:rPr>
          <w:rStyle w:val="CharSectno"/>
        </w:rPr>
        <w:t>29B</w:t>
      </w:r>
      <w:r>
        <w:t>.</w:t>
      </w:r>
      <w:r>
        <w:tab/>
        <w:t>Party admitting part of claim may offer to settle claim</w:t>
      </w:r>
      <w:bookmarkEnd w:id="86"/>
      <w:bookmarkEnd w:id="87"/>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88" w:name="_Toc155093838"/>
      <w:bookmarkStart w:id="89" w:name="_Toc119573437"/>
      <w:r>
        <w:rPr>
          <w:rStyle w:val="CharSectno"/>
        </w:rPr>
        <w:t>29C</w:t>
      </w:r>
      <w:r>
        <w:t>.</w:t>
      </w:r>
      <w:r>
        <w:tab/>
        <w:t>Party admitting whole claim may dispute amount claimed</w:t>
      </w:r>
      <w:bookmarkEnd w:id="88"/>
      <w:bookmarkEnd w:id="89"/>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90" w:name="_Toc155093839"/>
      <w:bookmarkStart w:id="91" w:name="_Toc119573438"/>
      <w:r>
        <w:rPr>
          <w:rStyle w:val="CharSectno"/>
        </w:rPr>
        <w:t>29</w:t>
      </w:r>
      <w:r>
        <w:t>.</w:t>
      </w:r>
      <w:r>
        <w:tab/>
        <w:t>Party may discontinue claim</w:t>
      </w:r>
      <w:bookmarkEnd w:id="90"/>
      <w:bookmarkEnd w:id="91"/>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92" w:name="_Toc155093840"/>
      <w:bookmarkStart w:id="93" w:name="_Toc119485162"/>
      <w:bookmarkStart w:id="94" w:name="_Toc119493236"/>
      <w:bookmarkStart w:id="95" w:name="_Toc119493484"/>
      <w:bookmarkStart w:id="96" w:name="_Toc119493732"/>
      <w:bookmarkStart w:id="97" w:name="_Toc119573439"/>
      <w:r>
        <w:rPr>
          <w:rStyle w:val="CharPartNo"/>
        </w:rPr>
        <w:t>Part 7</w:t>
      </w:r>
      <w:r>
        <w:t> — </w:t>
      </w:r>
      <w:r>
        <w:rPr>
          <w:rStyle w:val="CharPartText"/>
        </w:rPr>
        <w:t>Disclosure of documents</w:t>
      </w:r>
      <w:bookmarkEnd w:id="92"/>
      <w:bookmarkEnd w:id="93"/>
      <w:bookmarkEnd w:id="94"/>
      <w:bookmarkEnd w:id="95"/>
      <w:bookmarkEnd w:id="96"/>
      <w:bookmarkEnd w:id="97"/>
    </w:p>
    <w:p>
      <w:pPr>
        <w:pStyle w:val="Heading5"/>
      </w:pPr>
      <w:bookmarkStart w:id="98" w:name="_Toc155093841"/>
      <w:bookmarkStart w:id="99" w:name="_Toc119573440"/>
      <w:r>
        <w:rPr>
          <w:rStyle w:val="CharSectno"/>
        </w:rPr>
        <w:t>30A</w:t>
      </w:r>
      <w:r>
        <w:t>.</w:t>
      </w:r>
      <w:r>
        <w:tab/>
        <w:t>Informal disclosure</w:t>
      </w:r>
      <w:bookmarkEnd w:id="98"/>
      <w:bookmarkEnd w:id="99"/>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100" w:name="_Toc155093842"/>
      <w:bookmarkStart w:id="101" w:name="_Toc119573441"/>
      <w:r>
        <w:rPr>
          <w:rStyle w:val="CharSectno"/>
        </w:rPr>
        <w:t>30</w:t>
      </w:r>
      <w:r>
        <w:t>.</w:t>
      </w:r>
      <w:r>
        <w:tab/>
        <w:t>Party must disclose documents when ordered</w:t>
      </w:r>
      <w:bookmarkEnd w:id="100"/>
      <w:bookmarkEnd w:id="101"/>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102" w:name="_Toc155093843"/>
      <w:bookmarkStart w:id="103" w:name="_Toc119573442"/>
      <w:r>
        <w:rPr>
          <w:rStyle w:val="CharSectno"/>
        </w:rPr>
        <w:t>31</w:t>
      </w:r>
      <w:r>
        <w:t>.</w:t>
      </w:r>
      <w:r>
        <w:tab/>
        <w:t>Affidavit of disclosure</w:t>
      </w:r>
      <w:bookmarkEnd w:id="102"/>
      <w:bookmarkEnd w:id="103"/>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104" w:name="_Toc155093844"/>
      <w:bookmarkStart w:id="105" w:name="_Toc119573443"/>
      <w:r>
        <w:rPr>
          <w:rStyle w:val="CharSectno"/>
        </w:rPr>
        <w:t>32</w:t>
      </w:r>
      <w:r>
        <w:t>.</w:t>
      </w:r>
      <w:r>
        <w:tab/>
        <w:t>Objecting to disclosure of documents</w:t>
      </w:r>
      <w:bookmarkEnd w:id="104"/>
      <w:bookmarkEnd w:id="105"/>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06" w:name="_Toc155093845"/>
      <w:bookmarkStart w:id="107" w:name="_Toc119573444"/>
      <w:r>
        <w:rPr>
          <w:rStyle w:val="CharSectno"/>
        </w:rPr>
        <w:t>33</w:t>
      </w:r>
      <w:r>
        <w:t>.</w:t>
      </w:r>
      <w:r>
        <w:tab/>
        <w:t>Inspecting disclosed documents</w:t>
      </w:r>
      <w:bookmarkEnd w:id="106"/>
      <w:bookmarkEnd w:id="107"/>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08" w:name="_Toc155093846"/>
      <w:bookmarkStart w:id="109" w:name="_Toc119573445"/>
      <w:r>
        <w:rPr>
          <w:rStyle w:val="CharSectno"/>
        </w:rPr>
        <w:t>34</w:t>
      </w:r>
      <w:r>
        <w:t>.</w:t>
      </w:r>
      <w:r>
        <w:tab/>
        <w:t>Disclosed documents to be available at trial</w:t>
      </w:r>
      <w:bookmarkEnd w:id="108"/>
      <w:bookmarkEnd w:id="109"/>
    </w:p>
    <w:p>
      <w:pPr>
        <w:pStyle w:val="Subsection"/>
      </w:pPr>
      <w:r>
        <w:tab/>
      </w:r>
      <w:r>
        <w:tab/>
        <w:t>If a party discloses a document, the party must have the document available at the trial.</w:t>
      </w:r>
    </w:p>
    <w:p>
      <w:pPr>
        <w:pStyle w:val="Heading2"/>
      </w:pPr>
      <w:bookmarkStart w:id="110" w:name="_Toc155093847"/>
      <w:bookmarkStart w:id="111" w:name="_Toc119485169"/>
      <w:bookmarkStart w:id="112" w:name="_Toc119493243"/>
      <w:bookmarkStart w:id="113" w:name="_Toc119493491"/>
      <w:bookmarkStart w:id="114" w:name="_Toc119493739"/>
      <w:bookmarkStart w:id="115" w:name="_Toc119573446"/>
      <w:r>
        <w:rPr>
          <w:rStyle w:val="CharPartNo"/>
        </w:rPr>
        <w:t>Part 8</w:t>
      </w:r>
      <w:r>
        <w:rPr>
          <w:rStyle w:val="CharDivNo"/>
        </w:rPr>
        <w:t> </w:t>
      </w:r>
      <w:r>
        <w:t>—</w:t>
      </w:r>
      <w:r>
        <w:rPr>
          <w:rStyle w:val="CharDivText"/>
        </w:rPr>
        <w:t> </w:t>
      </w:r>
      <w:r>
        <w:rPr>
          <w:rStyle w:val="CharPartText"/>
        </w:rPr>
        <w:t>Answers to interrogatories and requests for further particulars</w:t>
      </w:r>
      <w:bookmarkEnd w:id="110"/>
      <w:bookmarkEnd w:id="111"/>
      <w:bookmarkEnd w:id="112"/>
      <w:bookmarkEnd w:id="113"/>
      <w:bookmarkEnd w:id="114"/>
      <w:bookmarkEnd w:id="115"/>
    </w:p>
    <w:p>
      <w:pPr>
        <w:pStyle w:val="Footnoteheading"/>
      </w:pPr>
      <w:r>
        <w:tab/>
        <w:t>[Heading amended: SL 2020/67 r. 18.]</w:t>
      </w:r>
    </w:p>
    <w:p>
      <w:pPr>
        <w:pStyle w:val="Heading5"/>
      </w:pPr>
      <w:bookmarkStart w:id="116" w:name="_Toc155093848"/>
      <w:bookmarkStart w:id="117" w:name="_Toc119573447"/>
      <w:r>
        <w:rPr>
          <w:rStyle w:val="CharSectno"/>
        </w:rPr>
        <w:t>35</w:t>
      </w:r>
      <w:r>
        <w:t>.</w:t>
      </w:r>
      <w:r>
        <w:tab/>
        <w:t>Order to answer interrogatories, application for (Act s. 16(1)(n))</w:t>
      </w:r>
      <w:bookmarkEnd w:id="116"/>
      <w:bookmarkEnd w:id="117"/>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118" w:name="_Toc155093849"/>
      <w:bookmarkStart w:id="119" w:name="_Toc119573448"/>
      <w:r>
        <w:rPr>
          <w:rStyle w:val="CharSectno"/>
        </w:rPr>
        <w:t>36</w:t>
      </w:r>
      <w:r>
        <w:t>.</w:t>
      </w:r>
      <w:r>
        <w:tab/>
        <w:t>Party must answer interrogatories when ordered</w:t>
      </w:r>
      <w:bookmarkEnd w:id="118"/>
      <w:bookmarkEnd w:id="119"/>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120" w:name="_Toc155093850"/>
      <w:bookmarkStart w:id="121" w:name="_Toc119573449"/>
      <w:r>
        <w:rPr>
          <w:rStyle w:val="CharSectno"/>
        </w:rPr>
        <w:t>37</w:t>
      </w:r>
      <w:r>
        <w:t>.</w:t>
      </w:r>
      <w:r>
        <w:tab/>
        <w:t>Affidavit of answers</w:t>
      </w:r>
      <w:bookmarkEnd w:id="120"/>
      <w:bookmarkEnd w:id="121"/>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122" w:name="_Toc155093851"/>
      <w:bookmarkStart w:id="123" w:name="_Toc119573450"/>
      <w:r>
        <w:rPr>
          <w:rStyle w:val="CharSectno"/>
        </w:rPr>
        <w:t>38</w:t>
      </w:r>
      <w:r>
        <w:t>.</w:t>
      </w:r>
      <w:r>
        <w:tab/>
        <w:t>Requesting further particulars of a pleading</w:t>
      </w:r>
      <w:bookmarkEnd w:id="122"/>
      <w:bookmarkEnd w:id="123"/>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124" w:name="_Toc155093852"/>
      <w:bookmarkStart w:id="125" w:name="_Toc119485174"/>
      <w:bookmarkStart w:id="126" w:name="_Toc119493248"/>
      <w:bookmarkStart w:id="127" w:name="_Toc119493496"/>
      <w:bookmarkStart w:id="128" w:name="_Toc119493744"/>
      <w:bookmarkStart w:id="129" w:name="_Toc119573451"/>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24"/>
      <w:bookmarkEnd w:id="125"/>
      <w:bookmarkEnd w:id="126"/>
      <w:bookmarkEnd w:id="127"/>
      <w:bookmarkEnd w:id="128"/>
      <w:bookmarkEnd w:id="129"/>
    </w:p>
    <w:p>
      <w:pPr>
        <w:pStyle w:val="Heading5"/>
      </w:pPr>
      <w:bookmarkStart w:id="130" w:name="_Toc155093853"/>
      <w:bookmarkStart w:id="131" w:name="_Toc119573452"/>
      <w:r>
        <w:rPr>
          <w:rStyle w:val="CharSectno"/>
        </w:rPr>
        <w:t>39</w:t>
      </w:r>
      <w:r>
        <w:t>.</w:t>
      </w:r>
      <w:r>
        <w:tab/>
        <w:t>Listing of pre</w:t>
      </w:r>
      <w:r>
        <w:noBreakHyphen/>
        <w:t>trial conferences</w:t>
      </w:r>
      <w:bookmarkEnd w:id="130"/>
      <w:bookmarkEnd w:id="131"/>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132" w:name="_Toc155093854"/>
      <w:bookmarkStart w:id="133" w:name="_Toc119573453"/>
      <w:r>
        <w:rPr>
          <w:rStyle w:val="CharSectno"/>
        </w:rPr>
        <w:t>40</w:t>
      </w:r>
      <w:r>
        <w:t>.</w:t>
      </w:r>
      <w:r>
        <w:tab/>
        <w:t>Pre</w:t>
      </w:r>
      <w:r>
        <w:noBreakHyphen/>
        <w:t>trial conference, purpose of and registrar’s powers at</w:t>
      </w:r>
      <w:bookmarkEnd w:id="132"/>
      <w:bookmarkEnd w:id="133"/>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134" w:name="_Toc155093855"/>
      <w:bookmarkStart w:id="135" w:name="_Toc119573454"/>
      <w:r>
        <w:rPr>
          <w:rStyle w:val="CharSectno"/>
        </w:rPr>
        <w:t>41A</w:t>
      </w:r>
      <w:r>
        <w:t>.</w:t>
      </w:r>
      <w:r>
        <w:tab/>
        <w:t>Statement of claim, effect of order to lodge</w:t>
      </w:r>
      <w:bookmarkEnd w:id="134"/>
      <w:bookmarkEnd w:id="135"/>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136" w:name="_Toc155093856"/>
      <w:bookmarkStart w:id="137" w:name="_Toc119573455"/>
      <w:r>
        <w:rPr>
          <w:rStyle w:val="CharSectno"/>
        </w:rPr>
        <w:t>41B</w:t>
      </w:r>
      <w:r>
        <w:t>.</w:t>
      </w:r>
      <w:r>
        <w:tab/>
        <w:t>Effect of order to lodge statement of defence or statement of defence and counterclaim</w:t>
      </w:r>
      <w:bookmarkEnd w:id="136"/>
      <w:bookmarkEnd w:id="137"/>
    </w:p>
    <w:p>
      <w:pPr>
        <w:pStyle w:val="Subsection"/>
      </w:pPr>
      <w:r>
        <w:tab/>
      </w:r>
      <w:r>
        <w:tab/>
        <w:t>If the registrar at the pre</w:t>
      </w:r>
      <w:r>
        <w:noBreakHyphen/>
        <w:t>trial conference orders a party to lodge and serve a statement of defence or a statement of defence and counterclaim, the party must do so in accordance with rule 10(2) to (5).</w:t>
      </w:r>
    </w:p>
    <w:p>
      <w:pPr>
        <w:pStyle w:val="Footnotesection"/>
      </w:pPr>
      <w:r>
        <w:tab/>
        <w:t>[Rule 41B inserted: Gazette 30 Sep 2016 p. 4179; amended: SL 2020/67 r. 22; SL 2021/25 r. 5.]</w:t>
      </w:r>
    </w:p>
    <w:p>
      <w:pPr>
        <w:pStyle w:val="Ednotesection"/>
      </w:pPr>
      <w:r>
        <w:t>[</w:t>
      </w:r>
      <w:r>
        <w:rPr>
          <w:b/>
        </w:rPr>
        <w:t>41C.</w:t>
      </w:r>
      <w:r>
        <w:tab/>
        <w:t>Deleted: SL 2020/67 r. 23.]</w:t>
      </w:r>
    </w:p>
    <w:p>
      <w:pPr>
        <w:pStyle w:val="Heading5"/>
      </w:pPr>
      <w:bookmarkStart w:id="138" w:name="_Toc155093857"/>
      <w:bookmarkStart w:id="139" w:name="_Toc119573456"/>
      <w:r>
        <w:rPr>
          <w:rStyle w:val="CharSectno"/>
        </w:rPr>
        <w:t>41D</w:t>
      </w:r>
      <w:r>
        <w:t>.</w:t>
      </w:r>
      <w:r>
        <w:tab/>
        <w:t>Amending documents lodged and served under Part 2</w:t>
      </w:r>
      <w:bookmarkEnd w:id="138"/>
      <w:bookmarkEnd w:id="139"/>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legal practitioner,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legal practitioner, the affidavit must be made by the party’s legal practitioner and must state that —</w:t>
      </w:r>
    </w:p>
    <w:p>
      <w:pPr>
        <w:pStyle w:val="Indenta"/>
      </w:pPr>
      <w:r>
        <w:tab/>
        <w:t>(a)</w:t>
      </w:r>
      <w:r>
        <w:tab/>
        <w:t>the party has instructed the legal practitioner that all of the allegations of fact are true and correct; and</w:t>
      </w:r>
    </w:p>
    <w:p>
      <w:pPr>
        <w:pStyle w:val="Indenta"/>
      </w:pPr>
      <w:r>
        <w:tab/>
        <w:t>(b)</w:t>
      </w:r>
      <w:r>
        <w:tab/>
        <w:t>all the arguments raised are, in the opinion of the legal practitioner, reasonable; and</w:t>
      </w:r>
    </w:p>
    <w:p>
      <w:pPr>
        <w:pStyle w:val="Indenta"/>
      </w:pPr>
      <w:r>
        <w:tab/>
        <w:t>(c)</w:t>
      </w:r>
      <w:r>
        <w:tab/>
        <w:t>in the opinion of the legal practitioner the proposed amended pleading is not frivolous, vexatious, scandalous or improper.</w:t>
      </w:r>
    </w:p>
    <w:p>
      <w:pPr>
        <w:pStyle w:val="Footnotesection"/>
      </w:pPr>
      <w:r>
        <w:tab/>
        <w:t>[Rule 41D inserted: Gazette 3 Jun 2008 p. 2131</w:t>
      </w:r>
      <w:r>
        <w:noBreakHyphen/>
        <w:t>2; amended: SL 2020/67 r. 24; SL 2022/106 r. 4.]</w:t>
      </w:r>
    </w:p>
    <w:p>
      <w:pPr>
        <w:pStyle w:val="Heading5"/>
      </w:pPr>
      <w:bookmarkStart w:id="140" w:name="_Toc155093858"/>
      <w:bookmarkStart w:id="141" w:name="_Toc119573457"/>
      <w:r>
        <w:rPr>
          <w:rStyle w:val="CharSectno"/>
        </w:rPr>
        <w:t>41</w:t>
      </w:r>
      <w:r>
        <w:t>.</w:t>
      </w:r>
      <w:r>
        <w:tab/>
        <w:t>Attendance at pre</w:t>
      </w:r>
      <w:r>
        <w:noBreakHyphen/>
        <w:t>trial conferences</w:t>
      </w:r>
      <w:bookmarkEnd w:id="140"/>
      <w:bookmarkEnd w:id="141"/>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142" w:name="_Toc155093859"/>
      <w:bookmarkStart w:id="143" w:name="_Toc119573458"/>
      <w:r>
        <w:rPr>
          <w:rStyle w:val="CharSectno"/>
        </w:rPr>
        <w:t>42</w:t>
      </w:r>
      <w:r>
        <w:t>.</w:t>
      </w:r>
      <w:r>
        <w:tab/>
        <w:t>Further pre</w:t>
      </w:r>
      <w:r>
        <w:noBreakHyphen/>
        <w:t>trial conference or status conference may be listed</w:t>
      </w:r>
      <w:bookmarkEnd w:id="142"/>
      <w:bookmarkEnd w:id="143"/>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144" w:name="_Toc155093860"/>
      <w:bookmarkStart w:id="145" w:name="_Toc119573459"/>
      <w:r>
        <w:rPr>
          <w:rStyle w:val="CharSectno"/>
        </w:rPr>
        <w:t>43</w:t>
      </w:r>
      <w:r>
        <w:t>.</w:t>
      </w:r>
      <w:r>
        <w:tab/>
        <w:t>Things said or done at pre</w:t>
      </w:r>
      <w:r>
        <w:noBreakHyphen/>
        <w:t>trial conference, status of</w:t>
      </w:r>
      <w:bookmarkEnd w:id="144"/>
      <w:bookmarkEnd w:id="145"/>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46" w:name="_Toc155093861"/>
      <w:bookmarkStart w:id="147" w:name="_Toc119485183"/>
      <w:bookmarkStart w:id="148" w:name="_Toc119493257"/>
      <w:bookmarkStart w:id="149" w:name="_Toc119493505"/>
      <w:bookmarkStart w:id="150" w:name="_Toc119493753"/>
      <w:bookmarkStart w:id="151" w:name="_Toc119573460"/>
      <w:r>
        <w:rPr>
          <w:rStyle w:val="CharPartNo"/>
        </w:rPr>
        <w:t>Part 10</w:t>
      </w:r>
      <w:r>
        <w:rPr>
          <w:rStyle w:val="CharDivNo"/>
        </w:rPr>
        <w:t> </w:t>
      </w:r>
      <w:r>
        <w:t>—</w:t>
      </w:r>
      <w:r>
        <w:rPr>
          <w:rStyle w:val="CharDivText"/>
        </w:rPr>
        <w:t> </w:t>
      </w:r>
      <w:r>
        <w:rPr>
          <w:rStyle w:val="CharPartText"/>
        </w:rPr>
        <w:t>Status conferences</w:t>
      </w:r>
      <w:bookmarkEnd w:id="146"/>
      <w:bookmarkEnd w:id="147"/>
      <w:bookmarkEnd w:id="148"/>
      <w:bookmarkEnd w:id="149"/>
      <w:bookmarkEnd w:id="150"/>
      <w:bookmarkEnd w:id="151"/>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152" w:name="_Toc155093862"/>
      <w:bookmarkStart w:id="153" w:name="_Toc119573461"/>
      <w:r>
        <w:rPr>
          <w:rStyle w:val="CharSectno"/>
        </w:rPr>
        <w:t>45</w:t>
      </w:r>
      <w:r>
        <w:t>.</w:t>
      </w:r>
      <w:r>
        <w:tab/>
        <w:t>Purpose of status conference</w:t>
      </w:r>
      <w:bookmarkEnd w:id="152"/>
      <w:bookmarkEnd w:id="153"/>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154" w:name="_Toc155093863"/>
      <w:bookmarkStart w:id="155" w:name="_Toc119573462"/>
      <w:r>
        <w:rPr>
          <w:rStyle w:val="CharSectno"/>
        </w:rPr>
        <w:t>46</w:t>
      </w:r>
      <w:r>
        <w:t>.</w:t>
      </w:r>
      <w:r>
        <w:tab/>
        <w:t>Attendance at status conference</w:t>
      </w:r>
      <w:bookmarkEnd w:id="154"/>
      <w:bookmarkEnd w:id="155"/>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156" w:name="_Toc155093864"/>
      <w:bookmarkStart w:id="157" w:name="_Toc119573463"/>
      <w:r>
        <w:rPr>
          <w:rStyle w:val="CharSectno"/>
        </w:rPr>
        <w:t>47</w:t>
      </w:r>
      <w:r>
        <w:t>.</w:t>
      </w:r>
      <w:r>
        <w:tab/>
        <w:t>Powers of magistrate at status conference</w:t>
      </w:r>
      <w:bookmarkEnd w:id="156"/>
      <w:bookmarkEnd w:id="157"/>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158" w:name="_Toc155093865"/>
      <w:bookmarkStart w:id="159" w:name="_Toc119485187"/>
      <w:bookmarkStart w:id="160" w:name="_Toc119493261"/>
      <w:bookmarkStart w:id="161" w:name="_Toc119493509"/>
      <w:bookmarkStart w:id="162" w:name="_Toc119493757"/>
      <w:bookmarkStart w:id="163" w:name="_Toc119573464"/>
      <w:r>
        <w:rPr>
          <w:rStyle w:val="CharPartNo"/>
        </w:rPr>
        <w:t>Part 11</w:t>
      </w:r>
      <w:r>
        <w:rPr>
          <w:rStyle w:val="CharDivNo"/>
        </w:rPr>
        <w:t> </w:t>
      </w:r>
      <w:r>
        <w:t>—</w:t>
      </w:r>
      <w:r>
        <w:rPr>
          <w:rStyle w:val="CharDivText"/>
        </w:rPr>
        <w:t> </w:t>
      </w:r>
      <w:r>
        <w:rPr>
          <w:rStyle w:val="CharPartText"/>
        </w:rPr>
        <w:t>Mediation</w:t>
      </w:r>
      <w:bookmarkEnd w:id="158"/>
      <w:bookmarkEnd w:id="159"/>
      <w:bookmarkEnd w:id="160"/>
      <w:bookmarkEnd w:id="161"/>
      <w:bookmarkEnd w:id="162"/>
      <w:bookmarkEnd w:id="163"/>
    </w:p>
    <w:p>
      <w:pPr>
        <w:pStyle w:val="Heading5"/>
      </w:pPr>
      <w:bookmarkStart w:id="164" w:name="_Toc155093866"/>
      <w:bookmarkStart w:id="165" w:name="_Toc119573465"/>
      <w:r>
        <w:rPr>
          <w:rStyle w:val="CharSectno"/>
        </w:rPr>
        <w:t>49</w:t>
      </w:r>
      <w:r>
        <w:t>.</w:t>
      </w:r>
      <w:r>
        <w:tab/>
        <w:t>Mediation conference, parties to arrange if Court orders mediation</w:t>
      </w:r>
      <w:bookmarkEnd w:id="164"/>
      <w:bookmarkEnd w:id="165"/>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66" w:name="_Toc155093867"/>
      <w:bookmarkStart w:id="167" w:name="_Toc119573466"/>
      <w:r>
        <w:rPr>
          <w:rStyle w:val="CharSectno"/>
        </w:rPr>
        <w:t>50</w:t>
      </w:r>
      <w:r>
        <w:t>.</w:t>
      </w:r>
      <w:r>
        <w:tab/>
        <w:t>Attendance at mediation conferences</w:t>
      </w:r>
      <w:bookmarkEnd w:id="166"/>
      <w:bookmarkEnd w:id="167"/>
    </w:p>
    <w:p>
      <w:pPr>
        <w:pStyle w:val="Subsection"/>
      </w:pPr>
      <w:r>
        <w:tab/>
      </w:r>
      <w:r>
        <w:tab/>
        <w:t>Unless the mediator otherwise approves, a party must attend a mediation conference in person.</w:t>
      </w:r>
    </w:p>
    <w:p>
      <w:pPr>
        <w:pStyle w:val="Heading5"/>
      </w:pPr>
      <w:bookmarkStart w:id="168" w:name="_Toc155093868"/>
      <w:bookmarkStart w:id="169" w:name="_Toc119573467"/>
      <w:r>
        <w:rPr>
          <w:rStyle w:val="CharSectno"/>
        </w:rPr>
        <w:t>51</w:t>
      </w:r>
      <w:r>
        <w:t>.</w:t>
      </w:r>
      <w:r>
        <w:tab/>
        <w:t>Outcome of mediation, claimant to lodge notice of</w:t>
      </w:r>
      <w:bookmarkEnd w:id="168"/>
      <w:bookmarkEnd w:id="169"/>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70" w:name="_Toc155093869"/>
      <w:bookmarkStart w:id="171" w:name="_Toc119573468"/>
      <w:r>
        <w:rPr>
          <w:rStyle w:val="CharSectno"/>
        </w:rPr>
        <w:t>52</w:t>
      </w:r>
      <w:r>
        <w:t>.</w:t>
      </w:r>
      <w:r>
        <w:tab/>
        <w:t>Further status conference if case not settled at mediation</w:t>
      </w:r>
      <w:bookmarkEnd w:id="170"/>
      <w:bookmarkEnd w:id="171"/>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172" w:name="_Toc155093870"/>
      <w:bookmarkStart w:id="173" w:name="_Toc119485192"/>
      <w:bookmarkStart w:id="174" w:name="_Toc119493266"/>
      <w:bookmarkStart w:id="175" w:name="_Toc119493514"/>
      <w:bookmarkStart w:id="176" w:name="_Toc119493762"/>
      <w:bookmarkStart w:id="177" w:name="_Toc119573469"/>
      <w:r>
        <w:rPr>
          <w:rStyle w:val="CharPartNo"/>
        </w:rPr>
        <w:t>Part 12</w:t>
      </w:r>
      <w:r>
        <w:t> — </w:t>
      </w:r>
      <w:r>
        <w:rPr>
          <w:rStyle w:val="CharPartText"/>
        </w:rPr>
        <w:t>Consent orders and settlement</w:t>
      </w:r>
      <w:bookmarkEnd w:id="172"/>
      <w:bookmarkEnd w:id="173"/>
      <w:bookmarkEnd w:id="174"/>
      <w:bookmarkEnd w:id="175"/>
      <w:bookmarkEnd w:id="176"/>
      <w:bookmarkEnd w:id="177"/>
    </w:p>
    <w:p>
      <w:pPr>
        <w:pStyle w:val="Heading3"/>
      </w:pPr>
      <w:bookmarkStart w:id="178" w:name="_Toc155093871"/>
      <w:bookmarkStart w:id="179" w:name="_Toc119485193"/>
      <w:bookmarkStart w:id="180" w:name="_Toc119493267"/>
      <w:bookmarkStart w:id="181" w:name="_Toc119493515"/>
      <w:bookmarkStart w:id="182" w:name="_Toc119493763"/>
      <w:bookmarkStart w:id="183" w:name="_Toc119573470"/>
      <w:r>
        <w:rPr>
          <w:rStyle w:val="CharDivNo"/>
        </w:rPr>
        <w:t>Division 1</w:t>
      </w:r>
      <w:r>
        <w:t> — </w:t>
      </w:r>
      <w:r>
        <w:rPr>
          <w:rStyle w:val="CharDivText"/>
        </w:rPr>
        <w:t>Consent</w:t>
      </w:r>
      <w:bookmarkEnd w:id="178"/>
      <w:bookmarkEnd w:id="179"/>
      <w:bookmarkEnd w:id="180"/>
      <w:bookmarkEnd w:id="181"/>
      <w:bookmarkEnd w:id="182"/>
      <w:bookmarkEnd w:id="183"/>
    </w:p>
    <w:p>
      <w:pPr>
        <w:pStyle w:val="Heading5"/>
      </w:pPr>
      <w:bookmarkStart w:id="184" w:name="_Toc155093872"/>
      <w:bookmarkStart w:id="185" w:name="_Toc119573471"/>
      <w:r>
        <w:rPr>
          <w:rStyle w:val="CharSectno"/>
        </w:rPr>
        <w:t>53</w:t>
      </w:r>
      <w:r>
        <w:t>.</w:t>
      </w:r>
      <w:r>
        <w:tab/>
        <w:t>Consenting to judgment or order, manner of</w:t>
      </w:r>
      <w:bookmarkEnd w:id="184"/>
      <w:bookmarkEnd w:id="185"/>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186" w:name="_Toc155093873"/>
      <w:bookmarkStart w:id="187" w:name="_Toc119573472"/>
      <w:r>
        <w:rPr>
          <w:rStyle w:val="CharSectno"/>
        </w:rPr>
        <w:t>54</w:t>
      </w:r>
      <w:r>
        <w:t>.</w:t>
      </w:r>
      <w:r>
        <w:tab/>
        <w:t>Memorandum of consent, registrar’s powers on</w:t>
      </w:r>
      <w:bookmarkEnd w:id="186"/>
      <w:bookmarkEnd w:id="187"/>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88" w:name="_Toc155093874"/>
      <w:bookmarkStart w:id="189" w:name="_Toc119573473"/>
      <w:r>
        <w:rPr>
          <w:rStyle w:val="CharSectno"/>
        </w:rPr>
        <w:t>55</w:t>
      </w:r>
      <w:r>
        <w:t>.</w:t>
      </w:r>
      <w:r>
        <w:tab/>
        <w:t>Consent by one party, manner of giving</w:t>
      </w:r>
      <w:bookmarkEnd w:id="188"/>
      <w:bookmarkEnd w:id="189"/>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90" w:name="_Toc155093875"/>
      <w:bookmarkStart w:id="191" w:name="_Toc119573474"/>
      <w:r>
        <w:rPr>
          <w:rStyle w:val="CharSectno"/>
        </w:rPr>
        <w:t>56</w:t>
      </w:r>
      <w:r>
        <w:t>.</w:t>
      </w:r>
      <w:r>
        <w:tab/>
        <w:t>Person under legal disability, settling claims involving</w:t>
      </w:r>
      <w:bookmarkEnd w:id="190"/>
      <w:bookmarkEnd w:id="191"/>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legal practitioner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 SL 2022/106 r. 4.]</w:t>
      </w:r>
    </w:p>
    <w:p>
      <w:pPr>
        <w:pStyle w:val="Heading3"/>
      </w:pPr>
      <w:bookmarkStart w:id="192" w:name="_Toc155093876"/>
      <w:bookmarkStart w:id="193" w:name="_Toc119485198"/>
      <w:bookmarkStart w:id="194" w:name="_Toc119493272"/>
      <w:bookmarkStart w:id="195" w:name="_Toc119493520"/>
      <w:bookmarkStart w:id="196" w:name="_Toc119493768"/>
      <w:bookmarkStart w:id="197" w:name="_Toc119573475"/>
      <w:r>
        <w:rPr>
          <w:rStyle w:val="CharDivNo"/>
        </w:rPr>
        <w:t>Division 2</w:t>
      </w:r>
      <w:r>
        <w:t> — </w:t>
      </w:r>
      <w:r>
        <w:rPr>
          <w:rStyle w:val="CharDivText"/>
        </w:rPr>
        <w:t>Offers of settlement</w:t>
      </w:r>
      <w:bookmarkEnd w:id="192"/>
      <w:bookmarkEnd w:id="193"/>
      <w:bookmarkEnd w:id="194"/>
      <w:bookmarkEnd w:id="195"/>
      <w:bookmarkEnd w:id="196"/>
      <w:bookmarkEnd w:id="197"/>
    </w:p>
    <w:p>
      <w:pPr>
        <w:pStyle w:val="Heading5"/>
      </w:pPr>
      <w:bookmarkStart w:id="198" w:name="_Toc155093877"/>
      <w:bookmarkStart w:id="199" w:name="_Toc119573476"/>
      <w:r>
        <w:rPr>
          <w:rStyle w:val="CharSectno"/>
        </w:rPr>
        <w:t>57</w:t>
      </w:r>
      <w:r>
        <w:t>.</w:t>
      </w:r>
      <w:r>
        <w:tab/>
        <w:t>Offer of settlement, making</w:t>
      </w:r>
      <w:bookmarkEnd w:id="198"/>
      <w:bookmarkEnd w:id="199"/>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00" w:name="_Toc155093878"/>
      <w:bookmarkStart w:id="201" w:name="_Toc119573477"/>
      <w:r>
        <w:rPr>
          <w:rStyle w:val="CharSectno"/>
        </w:rPr>
        <w:t>58</w:t>
      </w:r>
      <w:r>
        <w:t>.</w:t>
      </w:r>
      <w:r>
        <w:tab/>
        <w:t>Offers to be confidential and made without prejudice</w:t>
      </w:r>
      <w:bookmarkEnd w:id="200"/>
      <w:bookmarkEnd w:id="201"/>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02" w:name="_Toc155093879"/>
      <w:bookmarkStart w:id="203" w:name="_Toc119573478"/>
      <w:r>
        <w:rPr>
          <w:rStyle w:val="CharSectno"/>
        </w:rPr>
        <w:t>59</w:t>
      </w:r>
      <w:r>
        <w:t>.</w:t>
      </w:r>
      <w:r>
        <w:tab/>
        <w:t>Receipt of offer to be acknowledged</w:t>
      </w:r>
      <w:bookmarkEnd w:id="202"/>
      <w:bookmarkEnd w:id="203"/>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04" w:name="_Toc155093880"/>
      <w:bookmarkStart w:id="205" w:name="_Toc119573479"/>
      <w:r>
        <w:rPr>
          <w:rStyle w:val="CharSectno"/>
        </w:rPr>
        <w:t>60</w:t>
      </w:r>
      <w:r>
        <w:t>.</w:t>
      </w:r>
      <w:r>
        <w:tab/>
        <w:t>Period within which offer may be accepted</w:t>
      </w:r>
      <w:bookmarkEnd w:id="204"/>
      <w:bookmarkEnd w:id="205"/>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06" w:name="_Toc155093881"/>
      <w:bookmarkStart w:id="207" w:name="_Toc119573480"/>
      <w:r>
        <w:rPr>
          <w:rStyle w:val="CharSectno"/>
        </w:rPr>
        <w:t>61</w:t>
      </w:r>
      <w:r>
        <w:t>.</w:t>
      </w:r>
      <w:r>
        <w:tab/>
        <w:t>Accepting offer</w:t>
      </w:r>
      <w:bookmarkEnd w:id="206"/>
      <w:bookmarkEnd w:id="207"/>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08" w:name="_Toc155093882"/>
      <w:bookmarkStart w:id="209" w:name="_Toc119573481"/>
      <w:r>
        <w:rPr>
          <w:rStyle w:val="CharSectno"/>
        </w:rPr>
        <w:t>62</w:t>
      </w:r>
      <w:r>
        <w:t>.</w:t>
      </w:r>
      <w:r>
        <w:tab/>
        <w:t>Period within which offered sums must be paid</w:t>
      </w:r>
      <w:bookmarkEnd w:id="208"/>
      <w:bookmarkEnd w:id="209"/>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10" w:name="_Toc155093883"/>
      <w:bookmarkStart w:id="211" w:name="_Toc119573482"/>
      <w:r>
        <w:rPr>
          <w:rStyle w:val="CharSectno"/>
        </w:rPr>
        <w:t>63</w:t>
      </w:r>
      <w:r>
        <w:t>.</w:t>
      </w:r>
      <w:r>
        <w:tab/>
        <w:t>Withdrawing acceptance of offer</w:t>
      </w:r>
      <w:bookmarkEnd w:id="210"/>
      <w:bookmarkEnd w:id="211"/>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12" w:name="_Toc155093884"/>
      <w:bookmarkStart w:id="213" w:name="_Toc119573483"/>
      <w:r>
        <w:rPr>
          <w:rStyle w:val="CharSectno"/>
        </w:rPr>
        <w:t>64</w:t>
      </w:r>
      <w:r>
        <w:t>.</w:t>
      </w:r>
      <w:r>
        <w:tab/>
        <w:t>Requesting and giving judgment after offer accepted</w:t>
      </w:r>
      <w:bookmarkEnd w:id="212"/>
      <w:bookmarkEnd w:id="213"/>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keepNext/>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14" w:name="_Toc155093885"/>
      <w:bookmarkStart w:id="215" w:name="_Toc119573484"/>
      <w:r>
        <w:rPr>
          <w:rStyle w:val="CharSectno"/>
        </w:rPr>
        <w:t>65</w:t>
      </w:r>
      <w:r>
        <w:t>.</w:t>
      </w:r>
      <w:r>
        <w:tab/>
        <w:t>Post</w:t>
      </w:r>
      <w:r>
        <w:noBreakHyphen/>
        <w:t>offer costs, orders for</w:t>
      </w:r>
      <w:bookmarkEnd w:id="214"/>
      <w:bookmarkEnd w:id="215"/>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16" w:name="_Toc155093886"/>
      <w:bookmarkStart w:id="217" w:name="_Toc119485208"/>
      <w:bookmarkStart w:id="218" w:name="_Toc119493282"/>
      <w:bookmarkStart w:id="219" w:name="_Toc119493530"/>
      <w:bookmarkStart w:id="220" w:name="_Toc119493778"/>
      <w:bookmarkStart w:id="221" w:name="_Toc119573485"/>
      <w:r>
        <w:rPr>
          <w:rStyle w:val="CharPartNo"/>
        </w:rPr>
        <w:t>Part 13</w:t>
      </w:r>
      <w:r>
        <w:t> — </w:t>
      </w:r>
      <w:r>
        <w:rPr>
          <w:rStyle w:val="CharPartText"/>
        </w:rPr>
        <w:t>Trial</w:t>
      </w:r>
      <w:bookmarkEnd w:id="216"/>
      <w:bookmarkEnd w:id="217"/>
      <w:bookmarkEnd w:id="218"/>
      <w:bookmarkEnd w:id="219"/>
      <w:bookmarkEnd w:id="220"/>
      <w:bookmarkEnd w:id="221"/>
    </w:p>
    <w:p>
      <w:pPr>
        <w:pStyle w:val="Heading3"/>
      </w:pPr>
      <w:bookmarkStart w:id="222" w:name="_Toc155093887"/>
      <w:bookmarkStart w:id="223" w:name="_Toc119485209"/>
      <w:bookmarkStart w:id="224" w:name="_Toc119493283"/>
      <w:bookmarkStart w:id="225" w:name="_Toc119493531"/>
      <w:bookmarkStart w:id="226" w:name="_Toc119493779"/>
      <w:bookmarkStart w:id="227" w:name="_Toc119573486"/>
      <w:r>
        <w:rPr>
          <w:rStyle w:val="CharDivNo"/>
        </w:rPr>
        <w:t>Division 1</w:t>
      </w:r>
      <w:r>
        <w:t> — </w:t>
      </w:r>
      <w:r>
        <w:rPr>
          <w:rStyle w:val="CharDivText"/>
        </w:rPr>
        <w:t>General</w:t>
      </w:r>
      <w:bookmarkEnd w:id="222"/>
      <w:bookmarkEnd w:id="223"/>
      <w:bookmarkEnd w:id="224"/>
      <w:bookmarkEnd w:id="225"/>
      <w:bookmarkEnd w:id="226"/>
      <w:bookmarkEnd w:id="227"/>
    </w:p>
    <w:p>
      <w:pPr>
        <w:pStyle w:val="Heading5"/>
        <w:rPr>
          <w:spacing w:val="-6"/>
        </w:rPr>
      </w:pPr>
      <w:bookmarkStart w:id="228" w:name="_Toc155093888"/>
      <w:bookmarkStart w:id="229" w:name="_Toc119573487"/>
      <w:r>
        <w:rPr>
          <w:rStyle w:val="CharSectno"/>
        </w:rPr>
        <w:t>66</w:t>
      </w:r>
      <w:r>
        <w:t>.</w:t>
      </w:r>
      <w:r>
        <w:tab/>
        <w:t>Terms used</w:t>
      </w:r>
      <w:bookmarkEnd w:id="228"/>
      <w:bookmarkEnd w:id="229"/>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30" w:name="_Toc155093889"/>
      <w:bookmarkStart w:id="231" w:name="_Toc119573488"/>
      <w:r>
        <w:rPr>
          <w:rStyle w:val="CharSectno"/>
        </w:rPr>
        <w:t>67</w:t>
      </w:r>
      <w:r>
        <w:t>.</w:t>
      </w:r>
      <w:r>
        <w:tab/>
        <w:t>Who is first party to present case</w:t>
      </w:r>
      <w:bookmarkEnd w:id="230"/>
      <w:bookmarkEnd w:id="23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32" w:name="_Toc155093890"/>
      <w:bookmarkStart w:id="233" w:name="_Toc119573489"/>
      <w:r>
        <w:rPr>
          <w:rStyle w:val="CharSectno"/>
        </w:rPr>
        <w:t>68</w:t>
      </w:r>
      <w:r>
        <w:t>.</w:t>
      </w:r>
      <w:r>
        <w:tab/>
        <w:t>Opening addresses and adducing evidence, order of</w:t>
      </w:r>
      <w:bookmarkEnd w:id="232"/>
      <w:bookmarkEnd w:id="233"/>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34" w:name="_Toc155093891"/>
      <w:bookmarkStart w:id="235" w:name="_Toc119573490"/>
      <w:r>
        <w:rPr>
          <w:rStyle w:val="CharSectno"/>
        </w:rPr>
        <w:t>69</w:t>
      </w:r>
      <w:r>
        <w:t>.</w:t>
      </w:r>
      <w:r>
        <w:tab/>
        <w:t>Closing addresses, order of</w:t>
      </w:r>
      <w:bookmarkEnd w:id="234"/>
      <w:bookmarkEnd w:id="235"/>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36" w:name="_Toc155093892"/>
      <w:bookmarkStart w:id="237" w:name="_Toc119573491"/>
      <w:r>
        <w:rPr>
          <w:rStyle w:val="CharSectno"/>
        </w:rPr>
        <w:t>70</w:t>
      </w:r>
      <w:r>
        <w:t>.</w:t>
      </w:r>
      <w:r>
        <w:tab/>
        <w:t>Attendance at trial</w:t>
      </w:r>
      <w:bookmarkEnd w:id="236"/>
      <w:bookmarkEnd w:id="237"/>
    </w:p>
    <w:p>
      <w:pPr>
        <w:pStyle w:val="Subsection"/>
      </w:pPr>
      <w:r>
        <w:tab/>
      </w:r>
      <w:r>
        <w:tab/>
        <w:t>Unless the Court orders otherwise, a party must attend the trial in person.</w:t>
      </w:r>
    </w:p>
    <w:p>
      <w:pPr>
        <w:pStyle w:val="Heading3"/>
      </w:pPr>
      <w:bookmarkStart w:id="238" w:name="_Toc155093893"/>
      <w:bookmarkStart w:id="239" w:name="_Toc119485215"/>
      <w:bookmarkStart w:id="240" w:name="_Toc119493289"/>
      <w:bookmarkStart w:id="241" w:name="_Toc119493537"/>
      <w:bookmarkStart w:id="242" w:name="_Toc119493785"/>
      <w:bookmarkStart w:id="243" w:name="_Toc119573492"/>
      <w:r>
        <w:rPr>
          <w:rStyle w:val="CharDivNo"/>
        </w:rPr>
        <w:t>Division 2</w:t>
      </w:r>
      <w:r>
        <w:t> — </w:t>
      </w:r>
      <w:r>
        <w:rPr>
          <w:rStyle w:val="CharDivText"/>
        </w:rPr>
        <w:t>Witnesses</w:t>
      </w:r>
      <w:bookmarkEnd w:id="238"/>
      <w:bookmarkEnd w:id="239"/>
      <w:bookmarkEnd w:id="240"/>
      <w:bookmarkEnd w:id="241"/>
      <w:bookmarkEnd w:id="242"/>
      <w:bookmarkEnd w:id="243"/>
    </w:p>
    <w:p>
      <w:pPr>
        <w:pStyle w:val="Heading5"/>
      </w:pPr>
      <w:bookmarkStart w:id="244" w:name="_Toc155093894"/>
      <w:bookmarkStart w:id="245" w:name="_Toc119573493"/>
      <w:r>
        <w:rPr>
          <w:rStyle w:val="CharSectno"/>
        </w:rPr>
        <w:t>71</w:t>
      </w:r>
      <w:r>
        <w:t>.</w:t>
      </w:r>
      <w:r>
        <w:tab/>
        <w:t>Witness summons</w:t>
      </w:r>
      <w:bookmarkEnd w:id="244"/>
      <w:bookmarkEnd w:id="245"/>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keepNext/>
      </w:pPr>
      <w:r>
        <w:tab/>
        <w:t>(4)</w:t>
      </w:r>
      <w:r>
        <w:tab/>
        <w:t>The witness summons must be served personally.</w:t>
      </w:r>
    </w:p>
    <w:p>
      <w:pPr>
        <w:pStyle w:val="Subsection"/>
        <w:keepNext/>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246" w:name="_Toc155093895"/>
      <w:bookmarkStart w:id="247" w:name="_Toc119573494"/>
      <w:r>
        <w:rPr>
          <w:rStyle w:val="CharSectno"/>
        </w:rPr>
        <w:t>71A</w:t>
      </w:r>
      <w:r>
        <w:t>.</w:t>
      </w:r>
      <w:r>
        <w:tab/>
        <w:t>Compliance with witness summons</w:t>
      </w:r>
      <w:bookmarkEnd w:id="246"/>
      <w:bookmarkEnd w:id="247"/>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(1A)</w:t>
      </w:r>
      <w:r>
        <w:tab/>
        <w:t>For the purposes of subrule (1), evidentiary material and a copy of the witness summons that are delivered or sent by using the ECMS are taken to have been delivered or sent to the Court at the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 amended: SL 2022/54 r. 4.]</w:t>
      </w:r>
    </w:p>
    <w:p>
      <w:pPr>
        <w:pStyle w:val="Heading5"/>
        <w:spacing w:before="180"/>
      </w:pPr>
      <w:bookmarkStart w:id="248" w:name="_Toc155093896"/>
      <w:bookmarkStart w:id="249" w:name="_Toc119573495"/>
      <w:r>
        <w:rPr>
          <w:rStyle w:val="CharSectno"/>
        </w:rPr>
        <w:t>72</w:t>
      </w:r>
      <w:r>
        <w:t>.</w:t>
      </w:r>
      <w:r>
        <w:tab/>
        <w:t>Expert evidence, orders required for</w:t>
      </w:r>
      <w:bookmarkEnd w:id="248"/>
      <w:bookmarkEnd w:id="249"/>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250" w:name="_Toc155093897"/>
      <w:bookmarkStart w:id="251" w:name="_Toc119573496"/>
      <w:r>
        <w:rPr>
          <w:rStyle w:val="CharSectno"/>
        </w:rPr>
        <w:t>73</w:t>
      </w:r>
      <w:r>
        <w:t>.</w:t>
      </w:r>
      <w:r>
        <w:tab/>
        <w:t>Children and special witnesses, application for orders as to evidence of</w:t>
      </w:r>
      <w:bookmarkEnd w:id="250"/>
      <w:bookmarkEnd w:id="251"/>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252" w:name="_Toc155093898"/>
      <w:bookmarkStart w:id="253" w:name="_Toc119573497"/>
      <w:r>
        <w:rPr>
          <w:rStyle w:val="CharSectno"/>
        </w:rPr>
        <w:t>74</w:t>
      </w:r>
      <w:r>
        <w:t>.</w:t>
      </w:r>
      <w:r>
        <w:tab/>
        <w:t>Affidavit evidence, when may be adduced</w:t>
      </w:r>
      <w:bookmarkEnd w:id="252"/>
      <w:bookmarkEnd w:id="253"/>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54" w:name="_Toc155093899"/>
      <w:bookmarkStart w:id="255" w:name="_Toc119485221"/>
      <w:bookmarkStart w:id="256" w:name="_Toc119493295"/>
      <w:bookmarkStart w:id="257" w:name="_Toc119493543"/>
      <w:bookmarkStart w:id="258" w:name="_Toc119493791"/>
      <w:bookmarkStart w:id="259" w:name="_Toc119573498"/>
      <w:r>
        <w:rPr>
          <w:rStyle w:val="CharDivNo"/>
        </w:rPr>
        <w:t>Division 3</w:t>
      </w:r>
      <w:r>
        <w:t> — </w:t>
      </w:r>
      <w:r>
        <w:rPr>
          <w:rStyle w:val="CharDivText"/>
        </w:rPr>
        <w:t>Exhibits</w:t>
      </w:r>
      <w:bookmarkEnd w:id="254"/>
      <w:bookmarkEnd w:id="255"/>
      <w:bookmarkEnd w:id="256"/>
      <w:bookmarkEnd w:id="257"/>
      <w:bookmarkEnd w:id="258"/>
      <w:bookmarkEnd w:id="259"/>
    </w:p>
    <w:p>
      <w:pPr>
        <w:pStyle w:val="Heading5"/>
      </w:pPr>
      <w:bookmarkStart w:id="260" w:name="_Toc155093900"/>
      <w:bookmarkStart w:id="261" w:name="_Toc119573499"/>
      <w:r>
        <w:rPr>
          <w:rStyle w:val="CharSectno"/>
        </w:rPr>
        <w:t>75</w:t>
      </w:r>
      <w:r>
        <w:t>.</w:t>
      </w:r>
      <w:r>
        <w:tab/>
        <w:t>Records requiring device to read, admission of</w:t>
      </w:r>
      <w:bookmarkEnd w:id="260"/>
      <w:bookmarkEnd w:id="261"/>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62" w:name="_Toc155093901"/>
      <w:bookmarkStart w:id="263" w:name="_Toc119573500"/>
      <w:r>
        <w:rPr>
          <w:rStyle w:val="CharSectno"/>
        </w:rPr>
        <w:t>76</w:t>
      </w:r>
      <w:r>
        <w:t>.</w:t>
      </w:r>
      <w:r>
        <w:tab/>
        <w:t>Return of exhibits after trial</w:t>
      </w:r>
      <w:bookmarkEnd w:id="262"/>
      <w:bookmarkEnd w:id="263"/>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keepLines/>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264" w:name="_Toc155093902"/>
      <w:bookmarkStart w:id="265" w:name="_Toc119485224"/>
      <w:bookmarkStart w:id="266" w:name="_Toc119493298"/>
      <w:bookmarkStart w:id="267" w:name="_Toc119493546"/>
      <w:bookmarkStart w:id="268" w:name="_Toc119493794"/>
      <w:bookmarkStart w:id="269" w:name="_Toc119573501"/>
      <w:r>
        <w:rPr>
          <w:rStyle w:val="CharPartNo"/>
        </w:rPr>
        <w:t>Part 14</w:t>
      </w:r>
      <w:r>
        <w:rPr>
          <w:rStyle w:val="CharDivNo"/>
        </w:rPr>
        <w:t> </w:t>
      </w:r>
      <w:r>
        <w:t>—</w:t>
      </w:r>
      <w:r>
        <w:rPr>
          <w:rStyle w:val="CharDivText"/>
        </w:rPr>
        <w:t> </w:t>
      </w:r>
      <w:r>
        <w:rPr>
          <w:rStyle w:val="CharPartText"/>
        </w:rPr>
        <w:t>Orders and judgments</w:t>
      </w:r>
      <w:bookmarkEnd w:id="264"/>
      <w:bookmarkEnd w:id="265"/>
      <w:bookmarkEnd w:id="266"/>
      <w:bookmarkEnd w:id="267"/>
      <w:bookmarkEnd w:id="268"/>
      <w:bookmarkEnd w:id="269"/>
    </w:p>
    <w:p>
      <w:pPr>
        <w:pStyle w:val="Heading5"/>
      </w:pPr>
      <w:bookmarkStart w:id="270" w:name="_Toc155093903"/>
      <w:bookmarkStart w:id="271" w:name="_Toc119573502"/>
      <w:r>
        <w:rPr>
          <w:rStyle w:val="CharSectno"/>
        </w:rPr>
        <w:t>77</w:t>
      </w:r>
      <w:r>
        <w:t>.</w:t>
      </w:r>
      <w:r>
        <w:tab/>
        <w:t>Person under legal disability, payments to</w:t>
      </w:r>
      <w:bookmarkEnd w:id="270"/>
      <w:bookmarkEnd w:id="271"/>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272" w:name="_Toc155093904"/>
      <w:bookmarkStart w:id="273" w:name="_Toc119573503"/>
      <w:r>
        <w:rPr>
          <w:rStyle w:val="CharSectno"/>
        </w:rPr>
        <w:t>78</w:t>
      </w:r>
      <w:r>
        <w:t>.</w:t>
      </w:r>
      <w:r>
        <w:tab/>
        <w:t>Certificate of judgment, requesting</w:t>
      </w:r>
      <w:bookmarkEnd w:id="272"/>
      <w:bookmarkEnd w:id="273"/>
    </w:p>
    <w:p>
      <w:pPr>
        <w:pStyle w:val="Subsection"/>
      </w:pPr>
      <w:r>
        <w:tab/>
      </w:r>
      <w:r>
        <w:tab/>
        <w:t>If a party wants a certificate of a judgment, the party must lodge a request for the judgment in an approved form.</w:t>
      </w:r>
    </w:p>
    <w:p>
      <w:pPr>
        <w:pStyle w:val="Heading5"/>
      </w:pPr>
      <w:bookmarkStart w:id="274" w:name="_Toc155093905"/>
      <w:bookmarkStart w:id="275" w:name="_Toc119573504"/>
      <w:r>
        <w:rPr>
          <w:rStyle w:val="CharSectno"/>
        </w:rPr>
        <w:t>79</w:t>
      </w:r>
      <w:r>
        <w:t>.</w:t>
      </w:r>
      <w:r>
        <w:tab/>
        <w:t>Applying to set aside summary or default judgment (Act s. 17(3), 18(6) and 19(3))</w:t>
      </w:r>
      <w:bookmarkEnd w:id="274"/>
      <w:bookmarkEnd w:id="275"/>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276" w:name="_Toc155093906"/>
      <w:bookmarkStart w:id="277" w:name="_Toc119573505"/>
      <w:r>
        <w:rPr>
          <w:rStyle w:val="CharSectno"/>
        </w:rPr>
        <w:t>80</w:t>
      </w:r>
      <w:r>
        <w:t>.</w:t>
      </w:r>
      <w:r>
        <w:tab/>
        <w:t>Registrars’ decisions taken to be decision of Court</w:t>
      </w:r>
      <w:bookmarkEnd w:id="276"/>
      <w:bookmarkEnd w:id="277"/>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278" w:name="_Toc155093907"/>
      <w:bookmarkStart w:id="279" w:name="_Toc119485229"/>
      <w:bookmarkStart w:id="280" w:name="_Toc119493303"/>
      <w:bookmarkStart w:id="281" w:name="_Toc119493551"/>
      <w:bookmarkStart w:id="282" w:name="_Toc119493799"/>
      <w:bookmarkStart w:id="283" w:name="_Toc119573506"/>
      <w:r>
        <w:rPr>
          <w:rStyle w:val="CharPartNo"/>
        </w:rPr>
        <w:t>Part 15</w:t>
      </w:r>
      <w:r>
        <w:t> — </w:t>
      </w:r>
      <w:r>
        <w:rPr>
          <w:rStyle w:val="CharPartText"/>
        </w:rPr>
        <w:t>Costs</w:t>
      </w:r>
      <w:bookmarkEnd w:id="278"/>
      <w:bookmarkEnd w:id="279"/>
      <w:bookmarkEnd w:id="280"/>
      <w:bookmarkEnd w:id="281"/>
      <w:bookmarkEnd w:id="282"/>
      <w:bookmarkEnd w:id="283"/>
    </w:p>
    <w:p>
      <w:pPr>
        <w:pStyle w:val="Heading3"/>
      </w:pPr>
      <w:bookmarkStart w:id="284" w:name="_Toc155093908"/>
      <w:bookmarkStart w:id="285" w:name="_Toc119485230"/>
      <w:bookmarkStart w:id="286" w:name="_Toc119493304"/>
      <w:bookmarkStart w:id="287" w:name="_Toc119493552"/>
      <w:bookmarkStart w:id="288" w:name="_Toc119493800"/>
      <w:bookmarkStart w:id="289" w:name="_Toc119573507"/>
      <w:r>
        <w:rPr>
          <w:rStyle w:val="CharDivNo"/>
        </w:rPr>
        <w:t>Division 1</w:t>
      </w:r>
      <w:r>
        <w:t> — </w:t>
      </w:r>
      <w:r>
        <w:rPr>
          <w:rStyle w:val="CharDivText"/>
        </w:rPr>
        <w:t>Assessments</w:t>
      </w:r>
      <w:bookmarkEnd w:id="284"/>
      <w:bookmarkEnd w:id="285"/>
      <w:bookmarkEnd w:id="286"/>
      <w:bookmarkEnd w:id="287"/>
      <w:bookmarkEnd w:id="288"/>
      <w:bookmarkEnd w:id="289"/>
    </w:p>
    <w:p>
      <w:pPr>
        <w:pStyle w:val="Heading5"/>
        <w:spacing w:before="180"/>
      </w:pPr>
      <w:bookmarkStart w:id="290" w:name="_Toc155093909"/>
      <w:bookmarkStart w:id="291" w:name="_Toc119573508"/>
      <w:r>
        <w:rPr>
          <w:rStyle w:val="CharSectno"/>
        </w:rPr>
        <w:t>81</w:t>
      </w:r>
      <w:r>
        <w:t>.</w:t>
      </w:r>
      <w:r>
        <w:tab/>
        <w:t>Bill of costs: lodging and serving</w:t>
      </w:r>
      <w:bookmarkEnd w:id="290"/>
      <w:bookmarkEnd w:id="29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292" w:name="_Toc155093910"/>
      <w:bookmarkStart w:id="293" w:name="_Toc119573509"/>
      <w:r>
        <w:rPr>
          <w:rStyle w:val="CharSectno"/>
        </w:rPr>
        <w:t>82</w:t>
      </w:r>
      <w:r>
        <w:t>.</w:t>
      </w:r>
      <w:r>
        <w:tab/>
        <w:t>Bill of costs: objecting to</w:t>
      </w:r>
      <w:bookmarkEnd w:id="292"/>
      <w:bookmarkEnd w:id="293"/>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294" w:name="_Toc155093911"/>
      <w:bookmarkStart w:id="295" w:name="_Toc119573510"/>
      <w:r>
        <w:rPr>
          <w:rStyle w:val="CharSectno"/>
        </w:rPr>
        <w:t>83</w:t>
      </w:r>
      <w:r>
        <w:t>.</w:t>
      </w:r>
      <w:r>
        <w:tab/>
        <w:t>Assessment when objection made</w:t>
      </w:r>
      <w:bookmarkEnd w:id="294"/>
      <w:bookmarkEnd w:id="295"/>
    </w:p>
    <w:p>
      <w:pPr>
        <w:pStyle w:val="Subsection"/>
      </w:pPr>
      <w:r>
        <w:tab/>
      </w:r>
      <w:r>
        <w:tab/>
        <w:t>If an objection is made in relation to a bill of costs, a registrar must list the case for an assessment and notify the parties in writing.</w:t>
      </w:r>
    </w:p>
    <w:p>
      <w:pPr>
        <w:pStyle w:val="Heading5"/>
      </w:pPr>
      <w:bookmarkStart w:id="296" w:name="_Toc155093912"/>
      <w:bookmarkStart w:id="297" w:name="_Toc119573511"/>
      <w:r>
        <w:rPr>
          <w:rStyle w:val="CharSectno"/>
        </w:rPr>
        <w:t>84</w:t>
      </w:r>
      <w:r>
        <w:t>.</w:t>
      </w:r>
      <w:r>
        <w:tab/>
        <w:t>Assessment when no objection made</w:t>
      </w:r>
      <w:bookmarkEnd w:id="296"/>
      <w:bookmarkEnd w:id="297"/>
    </w:p>
    <w:p>
      <w:pPr>
        <w:pStyle w:val="Subsection"/>
        <w:keepNext/>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298" w:name="_Toc155093913"/>
      <w:bookmarkStart w:id="299" w:name="_Toc119573512"/>
      <w:r>
        <w:rPr>
          <w:rStyle w:val="CharSectno"/>
        </w:rPr>
        <w:t>85</w:t>
      </w:r>
      <w:r>
        <w:t>.</w:t>
      </w:r>
      <w:r>
        <w:tab/>
        <w:t>Bill of costs: form of, and supporting documents</w:t>
      </w:r>
      <w:bookmarkEnd w:id="298"/>
      <w:bookmarkEnd w:id="299"/>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300" w:name="_Toc155093914"/>
      <w:bookmarkStart w:id="301" w:name="_Toc119573513"/>
      <w:r>
        <w:rPr>
          <w:rStyle w:val="CharSectno"/>
        </w:rPr>
        <w:t>86</w:t>
      </w:r>
      <w:r>
        <w:t>.</w:t>
      </w:r>
      <w:r>
        <w:tab/>
        <w:t>Assessments, conduct of</w:t>
      </w:r>
      <w:bookmarkEnd w:id="300"/>
      <w:bookmarkEnd w:id="301"/>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02" w:name="_Toc155093915"/>
      <w:bookmarkStart w:id="303" w:name="_Toc119485237"/>
      <w:bookmarkStart w:id="304" w:name="_Toc119493311"/>
      <w:bookmarkStart w:id="305" w:name="_Toc119493559"/>
      <w:bookmarkStart w:id="306" w:name="_Toc119493807"/>
      <w:bookmarkStart w:id="307" w:name="_Toc119573514"/>
      <w:r>
        <w:rPr>
          <w:rStyle w:val="CharDivNo"/>
        </w:rPr>
        <w:t>Division 2</w:t>
      </w:r>
      <w:r>
        <w:t> — </w:t>
      </w:r>
      <w:r>
        <w:rPr>
          <w:rStyle w:val="CharDivText"/>
        </w:rPr>
        <w:t>Determining value of claim</w:t>
      </w:r>
      <w:bookmarkEnd w:id="302"/>
      <w:bookmarkEnd w:id="303"/>
      <w:bookmarkEnd w:id="304"/>
      <w:bookmarkEnd w:id="305"/>
      <w:bookmarkEnd w:id="306"/>
      <w:bookmarkEnd w:id="307"/>
    </w:p>
    <w:p>
      <w:pPr>
        <w:pStyle w:val="Heading5"/>
      </w:pPr>
      <w:bookmarkStart w:id="308" w:name="_Toc155093916"/>
      <w:bookmarkStart w:id="309" w:name="_Toc119573515"/>
      <w:r>
        <w:rPr>
          <w:rStyle w:val="CharSectno"/>
        </w:rPr>
        <w:t>87</w:t>
      </w:r>
      <w:r>
        <w:t>.</w:t>
      </w:r>
      <w:r>
        <w:tab/>
        <w:t>Value of claim to be determined under this Division</w:t>
      </w:r>
      <w:bookmarkEnd w:id="308"/>
      <w:bookmarkEnd w:id="309"/>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10" w:name="_Toc155093917"/>
      <w:bookmarkStart w:id="311" w:name="_Toc119573516"/>
      <w:r>
        <w:rPr>
          <w:rStyle w:val="CharSectno"/>
        </w:rPr>
        <w:t>88</w:t>
      </w:r>
      <w:r>
        <w:t>.</w:t>
      </w:r>
      <w:r>
        <w:tab/>
        <w:t>Originating claim successful and no successful counterclaim, value of originating claim</w:t>
      </w:r>
      <w:bookmarkEnd w:id="310"/>
      <w:bookmarkEnd w:id="311"/>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12" w:name="_Toc155093918"/>
      <w:bookmarkStart w:id="313" w:name="_Toc119573517"/>
      <w:r>
        <w:rPr>
          <w:rStyle w:val="CharSectno"/>
        </w:rPr>
        <w:t>89</w:t>
      </w:r>
      <w:r>
        <w:t>.</w:t>
      </w:r>
      <w:r>
        <w:tab/>
        <w:t>Originating claim and counterclaim successful, value of each</w:t>
      </w:r>
      <w:bookmarkEnd w:id="312"/>
      <w:bookmarkEnd w:id="313"/>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14" w:name="_Toc155093919"/>
      <w:bookmarkStart w:id="315" w:name="_Toc119573518"/>
      <w:r>
        <w:rPr>
          <w:rStyle w:val="CharSectno"/>
        </w:rPr>
        <w:t>90</w:t>
      </w:r>
      <w:r>
        <w:t>.</w:t>
      </w:r>
      <w:r>
        <w:tab/>
        <w:t>Originating claim unsuccessful and counterclaim successful, value of counterclaim</w:t>
      </w:r>
      <w:bookmarkEnd w:id="314"/>
      <w:bookmarkEnd w:id="315"/>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16" w:name="_Toc155093920"/>
      <w:bookmarkStart w:id="317" w:name="_Toc119573519"/>
      <w:r>
        <w:rPr>
          <w:rStyle w:val="CharSectno"/>
        </w:rPr>
        <w:t>91</w:t>
      </w:r>
      <w:r>
        <w:t>.</w:t>
      </w:r>
      <w:r>
        <w:tab/>
        <w:t>Originating claim and counterclaim unsuccessful, value of each</w:t>
      </w:r>
      <w:bookmarkEnd w:id="316"/>
      <w:bookmarkEnd w:id="317"/>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18" w:name="_Toc155093921"/>
      <w:bookmarkStart w:id="319" w:name="_Toc119573520"/>
      <w:r>
        <w:rPr>
          <w:rStyle w:val="CharSectno"/>
        </w:rPr>
        <w:t>92</w:t>
      </w:r>
      <w:r>
        <w:t>.</w:t>
      </w:r>
      <w:r>
        <w:tab/>
        <w:t>Claims by or against third parties, value of</w:t>
      </w:r>
      <w:bookmarkEnd w:id="318"/>
      <w:bookmarkEnd w:id="319"/>
    </w:p>
    <w:p>
      <w:pPr>
        <w:pStyle w:val="Subsection"/>
      </w:pPr>
      <w:r>
        <w:tab/>
      </w:r>
      <w:r>
        <w:tab/>
        <w:t>Rules 88 to 91, with the necessary modifications, apply to claims against or by third parties.</w:t>
      </w:r>
    </w:p>
    <w:p>
      <w:pPr>
        <w:pStyle w:val="Heading5"/>
      </w:pPr>
      <w:bookmarkStart w:id="320" w:name="_Toc155093922"/>
      <w:bookmarkStart w:id="321" w:name="_Toc119573521"/>
      <w:r>
        <w:rPr>
          <w:rStyle w:val="CharSectno"/>
        </w:rPr>
        <w:t>93</w:t>
      </w:r>
      <w:r>
        <w:t>.</w:t>
      </w:r>
      <w:r>
        <w:tab/>
        <w:t>Claims to recover possession of real property, value of</w:t>
      </w:r>
      <w:bookmarkEnd w:id="320"/>
      <w:bookmarkEnd w:id="321"/>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322" w:name="_Toc155093923"/>
      <w:bookmarkStart w:id="323" w:name="_Toc119573522"/>
      <w:r>
        <w:rPr>
          <w:rStyle w:val="CharSectno"/>
        </w:rPr>
        <w:t>94</w:t>
      </w:r>
      <w:r>
        <w:t>.</w:t>
      </w:r>
      <w:r>
        <w:tab/>
        <w:t>Claims to recover possession of personal property, value of</w:t>
      </w:r>
      <w:bookmarkEnd w:id="322"/>
      <w:bookmarkEnd w:id="32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324" w:name="_Toc155093924"/>
      <w:bookmarkStart w:id="325" w:name="_Toc119485246"/>
      <w:bookmarkStart w:id="326" w:name="_Toc119493320"/>
      <w:bookmarkStart w:id="327" w:name="_Toc119493568"/>
      <w:bookmarkStart w:id="328" w:name="_Toc119493816"/>
      <w:bookmarkStart w:id="329" w:name="_Toc119573523"/>
      <w:r>
        <w:rPr>
          <w:rStyle w:val="CharDivNo"/>
        </w:rPr>
        <w:t>Division 3</w:t>
      </w:r>
      <w:r>
        <w:t> — </w:t>
      </w:r>
      <w:r>
        <w:rPr>
          <w:rStyle w:val="CharDivText"/>
        </w:rPr>
        <w:t>Security for costs</w:t>
      </w:r>
      <w:bookmarkEnd w:id="324"/>
      <w:bookmarkEnd w:id="325"/>
      <w:bookmarkEnd w:id="326"/>
      <w:bookmarkEnd w:id="327"/>
      <w:bookmarkEnd w:id="328"/>
      <w:bookmarkEnd w:id="329"/>
    </w:p>
    <w:p>
      <w:pPr>
        <w:pStyle w:val="Footnoteheading"/>
      </w:pPr>
      <w:r>
        <w:tab/>
        <w:t>[Heading inserted: Gazette 30 Sep 2016 p. 4180.]</w:t>
      </w:r>
    </w:p>
    <w:p>
      <w:pPr>
        <w:pStyle w:val="Heading5"/>
      </w:pPr>
      <w:bookmarkStart w:id="330" w:name="_Toc155093925"/>
      <w:bookmarkStart w:id="331" w:name="_Toc119573524"/>
      <w:r>
        <w:rPr>
          <w:rStyle w:val="CharSectno"/>
        </w:rPr>
        <w:t>94A</w:t>
      </w:r>
      <w:r>
        <w:t>.</w:t>
      </w:r>
      <w:r>
        <w:tab/>
        <w:t>Term used: claimant</w:t>
      </w:r>
      <w:bookmarkEnd w:id="330"/>
      <w:bookmarkEnd w:id="331"/>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332" w:name="_Toc155093926"/>
      <w:bookmarkStart w:id="333" w:name="_Toc119573525"/>
      <w:r>
        <w:rPr>
          <w:rStyle w:val="CharSectno"/>
        </w:rPr>
        <w:t>94B</w:t>
      </w:r>
      <w:r>
        <w:t>.</w:t>
      </w:r>
      <w:r>
        <w:tab/>
        <w:t>Factors that are not grounds for ordering security for costs</w:t>
      </w:r>
      <w:bookmarkEnd w:id="332"/>
      <w:bookmarkEnd w:id="333"/>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334" w:name="_Toc155093927"/>
      <w:bookmarkStart w:id="335" w:name="_Toc119573526"/>
      <w:r>
        <w:rPr>
          <w:rStyle w:val="CharSectno"/>
        </w:rPr>
        <w:t>94C</w:t>
      </w:r>
      <w:r>
        <w:t>.</w:t>
      </w:r>
      <w:r>
        <w:tab/>
        <w:t>Grounds for ordering security for costs</w:t>
      </w:r>
      <w:bookmarkEnd w:id="334"/>
      <w:bookmarkEnd w:id="335"/>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336" w:name="_Toc155093928"/>
      <w:bookmarkStart w:id="337" w:name="_Toc119573527"/>
      <w:r>
        <w:rPr>
          <w:rStyle w:val="CharSectno"/>
        </w:rPr>
        <w:t>94D</w:t>
      </w:r>
      <w:r>
        <w:t>.</w:t>
      </w:r>
      <w:r>
        <w:tab/>
        <w:t>Court has discretion</w:t>
      </w:r>
      <w:bookmarkEnd w:id="336"/>
      <w:bookmarkEnd w:id="337"/>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338" w:name="_Toc155093929"/>
      <w:bookmarkStart w:id="339" w:name="_Toc119573528"/>
      <w:r>
        <w:rPr>
          <w:rStyle w:val="CharSectno"/>
        </w:rPr>
        <w:t>94E</w:t>
      </w:r>
      <w:r>
        <w:t>.</w:t>
      </w:r>
      <w:r>
        <w:tab/>
        <w:t>Manner of giving security</w:t>
      </w:r>
      <w:bookmarkEnd w:id="338"/>
      <w:bookmarkEnd w:id="339"/>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340" w:name="_Toc155093930"/>
      <w:bookmarkStart w:id="341" w:name="_Toc119573529"/>
      <w:r>
        <w:rPr>
          <w:rStyle w:val="CharSectno"/>
        </w:rPr>
        <w:t>94F</w:t>
      </w:r>
      <w:r>
        <w:t>.</w:t>
      </w:r>
      <w:r>
        <w:tab/>
        <w:t>Action may be stayed</w:t>
      </w:r>
      <w:bookmarkEnd w:id="340"/>
      <w:bookmarkEnd w:id="341"/>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342" w:name="_Toc155093931"/>
      <w:bookmarkStart w:id="343" w:name="_Toc119573530"/>
      <w:r>
        <w:rPr>
          <w:rStyle w:val="CharSectno"/>
        </w:rPr>
        <w:t>94G</w:t>
      </w:r>
      <w:r>
        <w:t>.</w:t>
      </w:r>
      <w:r>
        <w:tab/>
        <w:t>Payment out</w:t>
      </w:r>
      <w:bookmarkEnd w:id="342"/>
      <w:bookmarkEnd w:id="343"/>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344" w:name="_Toc155093932"/>
      <w:bookmarkStart w:id="345" w:name="_Toc119485254"/>
      <w:bookmarkStart w:id="346" w:name="_Toc119493328"/>
      <w:bookmarkStart w:id="347" w:name="_Toc119493576"/>
      <w:bookmarkStart w:id="348" w:name="_Toc119493824"/>
      <w:bookmarkStart w:id="349" w:name="_Toc119573531"/>
      <w:r>
        <w:rPr>
          <w:rStyle w:val="CharPartNo"/>
        </w:rPr>
        <w:t>Part 16A</w:t>
      </w:r>
      <w:r>
        <w:rPr>
          <w:rStyle w:val="CharDivNo"/>
        </w:rPr>
        <w:t> </w:t>
      </w:r>
      <w:r>
        <w:t>—</w:t>
      </w:r>
      <w:r>
        <w:rPr>
          <w:rStyle w:val="CharDivText"/>
        </w:rPr>
        <w:t> </w:t>
      </w:r>
      <w:r>
        <w:rPr>
          <w:rStyle w:val="CharPartText"/>
        </w:rPr>
        <w:t>Inactive cases</w:t>
      </w:r>
      <w:bookmarkEnd w:id="344"/>
      <w:bookmarkEnd w:id="345"/>
      <w:bookmarkEnd w:id="346"/>
      <w:bookmarkEnd w:id="347"/>
      <w:bookmarkEnd w:id="348"/>
      <w:bookmarkEnd w:id="349"/>
    </w:p>
    <w:p>
      <w:pPr>
        <w:pStyle w:val="Footnoteheading"/>
      </w:pPr>
      <w:r>
        <w:tab/>
        <w:t>[Heading inserted: Gazette 5 Apr 2019 p. 1012.]</w:t>
      </w:r>
    </w:p>
    <w:p>
      <w:pPr>
        <w:pStyle w:val="Heading5"/>
      </w:pPr>
      <w:bookmarkStart w:id="350" w:name="_Toc155093933"/>
      <w:bookmarkStart w:id="351" w:name="_Toc119573532"/>
      <w:r>
        <w:rPr>
          <w:rStyle w:val="CharSectno"/>
        </w:rPr>
        <w:t>95A</w:t>
      </w:r>
      <w:r>
        <w:t>.</w:t>
      </w:r>
      <w:r>
        <w:tab/>
        <w:t>Term used: inactive case</w:t>
      </w:r>
      <w:bookmarkEnd w:id="350"/>
      <w:bookmarkEnd w:id="351"/>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352" w:name="_Toc155093934"/>
      <w:bookmarkStart w:id="353" w:name="_Toc119573533"/>
      <w:r>
        <w:rPr>
          <w:rStyle w:val="CharSectno"/>
        </w:rPr>
        <w:t>95B</w:t>
      </w:r>
      <w:r>
        <w:t>.</w:t>
      </w:r>
      <w:r>
        <w:tab/>
        <w:t>Case taken to be inactive</w:t>
      </w:r>
      <w:bookmarkEnd w:id="352"/>
      <w:bookmarkEnd w:id="353"/>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354" w:name="_Toc155093935"/>
      <w:bookmarkStart w:id="355" w:name="_Toc119573534"/>
      <w:r>
        <w:rPr>
          <w:rStyle w:val="CharSectno"/>
        </w:rPr>
        <w:t>95C</w:t>
      </w:r>
      <w:r>
        <w:t>.</w:t>
      </w:r>
      <w:r>
        <w:tab/>
        <w:t>Notification of inactive case</w:t>
      </w:r>
      <w:bookmarkEnd w:id="354"/>
      <w:bookmarkEnd w:id="355"/>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legal practitioner representing a party receives a notice under subrule (1), the legal practitioner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 amended: SL 2022/106 r. 4.]</w:t>
      </w:r>
    </w:p>
    <w:p>
      <w:pPr>
        <w:pStyle w:val="Heading5"/>
      </w:pPr>
      <w:bookmarkStart w:id="356" w:name="_Toc155093936"/>
      <w:bookmarkStart w:id="357" w:name="_Toc119573535"/>
      <w:r>
        <w:rPr>
          <w:rStyle w:val="CharSectno"/>
        </w:rPr>
        <w:t>95D</w:t>
      </w:r>
      <w:r>
        <w:t>.</w:t>
      </w:r>
      <w:r>
        <w:tab/>
        <w:t>Consequences of case becoming an inactive case</w:t>
      </w:r>
      <w:bookmarkEnd w:id="356"/>
      <w:bookmarkEnd w:id="357"/>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358" w:name="_Toc155093937"/>
      <w:bookmarkStart w:id="359" w:name="_Toc119573536"/>
      <w:r>
        <w:rPr>
          <w:rStyle w:val="CharSectno"/>
        </w:rPr>
        <w:t>95E</w:t>
      </w:r>
      <w:r>
        <w:t>.</w:t>
      </w:r>
      <w:r>
        <w:tab/>
        <w:t>Cases no longer taken to be inactive</w:t>
      </w:r>
      <w:bookmarkEnd w:id="358"/>
      <w:bookmarkEnd w:id="359"/>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360" w:name="_Toc155093938"/>
      <w:bookmarkStart w:id="361" w:name="_Toc119573537"/>
      <w:r>
        <w:rPr>
          <w:rStyle w:val="CharSectno"/>
        </w:rPr>
        <w:t>95F</w:t>
      </w:r>
      <w:r>
        <w:t>.</w:t>
      </w:r>
      <w:r>
        <w:tab/>
        <w:t>Certain inactive cases taken to be dismissed</w:t>
      </w:r>
      <w:bookmarkEnd w:id="360"/>
      <w:bookmarkEnd w:id="361"/>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362" w:name="_Toc155093939"/>
      <w:bookmarkStart w:id="363" w:name="_Toc119485261"/>
      <w:bookmarkStart w:id="364" w:name="_Toc119493335"/>
      <w:bookmarkStart w:id="365" w:name="_Toc119493583"/>
      <w:bookmarkStart w:id="366" w:name="_Toc119493831"/>
      <w:bookmarkStart w:id="367" w:name="_Toc119573538"/>
      <w:r>
        <w:rPr>
          <w:rStyle w:val="CharPartNo"/>
        </w:rPr>
        <w:t>Part 16</w:t>
      </w:r>
      <w:r>
        <w:rPr>
          <w:b w:val="0"/>
        </w:rPr>
        <w:t> </w:t>
      </w:r>
      <w:r>
        <w:t>—</w:t>
      </w:r>
      <w:r>
        <w:rPr>
          <w:b w:val="0"/>
        </w:rPr>
        <w:t> </w:t>
      </w:r>
      <w:r>
        <w:rPr>
          <w:rStyle w:val="CharPartText"/>
        </w:rPr>
        <w:t>Lodging documents</w:t>
      </w:r>
      <w:bookmarkEnd w:id="362"/>
      <w:bookmarkEnd w:id="363"/>
      <w:bookmarkEnd w:id="364"/>
      <w:bookmarkEnd w:id="365"/>
      <w:bookmarkEnd w:id="366"/>
      <w:bookmarkEnd w:id="367"/>
    </w:p>
    <w:p>
      <w:pPr>
        <w:pStyle w:val="Footnoteheading"/>
      </w:pPr>
      <w:r>
        <w:tab/>
        <w:t>[Heading inserted: SL 2021/25 r. 6.]</w:t>
      </w:r>
    </w:p>
    <w:p>
      <w:pPr>
        <w:pStyle w:val="Heading5"/>
      </w:pPr>
      <w:bookmarkStart w:id="368" w:name="_Toc155093940"/>
      <w:bookmarkStart w:id="369" w:name="_Toc119573539"/>
      <w:r>
        <w:rPr>
          <w:rStyle w:val="CharSectno"/>
        </w:rPr>
        <w:t>95</w:t>
      </w:r>
      <w:r>
        <w:t>.</w:t>
      </w:r>
      <w:r>
        <w:tab/>
        <w:t>Terms used</w:t>
      </w:r>
      <w:bookmarkEnd w:id="368"/>
      <w:bookmarkEnd w:id="369"/>
    </w:p>
    <w:p>
      <w:pPr>
        <w:pStyle w:val="Subsection"/>
      </w:pPr>
      <w:r>
        <w:tab/>
      </w:r>
      <w:r>
        <w:tab/>
        <w:t xml:space="preserve">In this Part — </w:t>
      </w:r>
    </w:p>
    <w:p>
      <w:pPr>
        <w:pStyle w:val="Defstart"/>
      </w:pPr>
      <w:r>
        <w:tab/>
      </w:r>
      <w:r>
        <w:rPr>
          <w:rStyle w:val="CharDefText"/>
        </w:rPr>
        <w:t>ECMS exempt</w:t>
      </w:r>
      <w:r>
        <w:t>, in relation to a document, has the meaning given in rule 96;</w:t>
      </w:r>
    </w:p>
    <w:p>
      <w:pPr>
        <w:pStyle w:val="Defstart"/>
      </w:pPr>
      <w:r>
        <w:tab/>
      </w:r>
      <w:r>
        <w:rPr>
          <w:rStyle w:val="CharDefText"/>
        </w:rPr>
        <w:t>lodge a document</w:t>
      </w:r>
      <w:r>
        <w:t xml:space="preserve"> means to present the document for lodgment in accordance with this Part.</w:t>
      </w:r>
    </w:p>
    <w:p>
      <w:pPr>
        <w:pStyle w:val="Footnotesection"/>
      </w:pPr>
      <w:r>
        <w:tab/>
        <w:t>[Rule 95 inserted: SL 2021/25 r. 6.]</w:t>
      </w:r>
    </w:p>
    <w:p>
      <w:pPr>
        <w:pStyle w:val="Heading5"/>
      </w:pPr>
      <w:bookmarkStart w:id="370" w:name="_Toc155093941"/>
      <w:bookmarkStart w:id="371" w:name="_Toc119573540"/>
      <w:r>
        <w:rPr>
          <w:rStyle w:val="CharSectno"/>
        </w:rPr>
        <w:t>96</w:t>
      </w:r>
      <w:r>
        <w:t>.</w:t>
      </w:r>
      <w:r>
        <w:tab/>
        <w:t>ECMS exempt</w:t>
      </w:r>
      <w:bookmarkEnd w:id="370"/>
      <w:bookmarkEnd w:id="371"/>
    </w:p>
    <w:p>
      <w:pPr>
        <w:pStyle w:val="Subsection"/>
      </w:pPr>
      <w:r>
        <w:tab/>
        <w:t>(1)</w:t>
      </w:r>
      <w:r>
        <w:tab/>
        <w:t xml:space="preserve">A person is ECMS exempt in relation to a document if — </w:t>
      </w:r>
    </w:p>
    <w:p>
      <w:pPr>
        <w:pStyle w:val="Ednotepara"/>
      </w:pPr>
      <w:r>
        <w:tab/>
        <w:t>[(a)</w:t>
      </w:r>
      <w:r>
        <w:tab/>
        <w:t>deleted]</w:t>
      </w:r>
    </w:p>
    <w:p>
      <w:pPr>
        <w:pStyle w:val="Indenta"/>
      </w:pPr>
      <w:r>
        <w:tab/>
        <w:t>(b)</w:t>
      </w:r>
      <w:r>
        <w:tab/>
        <w:t xml:space="preserve">the document is lodged for the purposes of an application under the </w:t>
      </w:r>
      <w:r>
        <w:rPr>
          <w:i/>
        </w:rPr>
        <w:t>Restraining Orders Act 1997</w:t>
      </w:r>
      <w:r>
        <w:t>; or</w:t>
      </w:r>
    </w:p>
    <w:p>
      <w:pPr>
        <w:pStyle w:val="Indenta"/>
      </w:pPr>
      <w:r>
        <w:tab/>
        <w:t>(c)</w:t>
      </w:r>
      <w:r>
        <w:tab/>
        <w:t xml:space="preserve">the document is lodged for the purposes of an application under the </w:t>
      </w:r>
      <w:r>
        <w:rPr>
          <w:i/>
        </w:rPr>
        <w:t>Children and Community Services Act 2004</w:t>
      </w:r>
      <w:r>
        <w:t xml:space="preserve"> section 35; or</w:t>
      </w:r>
    </w:p>
    <w:p>
      <w:pPr>
        <w:pStyle w:val="Indenta"/>
      </w:pPr>
      <w:r>
        <w:tab/>
        <w:t>(d)</w:t>
      </w:r>
      <w:r>
        <w:tab/>
        <w:t>the document is in a class of documents declared in practice directions to be exempt from the requirement to be lodged by using the ECMS; or</w:t>
      </w:r>
    </w:p>
    <w:p>
      <w:pPr>
        <w:pStyle w:val="Indenta"/>
      </w:pPr>
      <w:r>
        <w:tab/>
        <w:t>(e)</w:t>
      </w:r>
      <w:r>
        <w:tab/>
        <w:t>the person is in a class of persons declared in practice directions to be exempt from the requirement to lodge by using the ECMS; or</w:t>
      </w:r>
    </w:p>
    <w:p>
      <w:pPr>
        <w:pStyle w:val="Indenta"/>
      </w:pPr>
      <w:r>
        <w:tab/>
        <w:t>(f)</w:t>
      </w:r>
      <w:r>
        <w:tab/>
        <w:t>the document is lodged for the purposes of an application for exemption under subrule (2) or (3); or</w:t>
      </w:r>
    </w:p>
    <w:p>
      <w:pPr>
        <w:pStyle w:val="Indenta"/>
      </w:pPr>
      <w:r>
        <w:tab/>
        <w:t>(g)</w:t>
      </w:r>
      <w:r>
        <w:tab/>
        <w:t>the person is exempt in relation to the document under subrule (2) or (3).</w:t>
      </w:r>
    </w:p>
    <w:p>
      <w:pPr>
        <w:pStyle w:val="Subsection"/>
        <w:keepNext/>
      </w:pPr>
      <w:r>
        <w:tab/>
        <w:t>(2)</w:t>
      </w:r>
      <w:r>
        <w:tab/>
        <w:t xml:space="preserve">The Court may, for any good reason and without a formal application or request, exempt a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 or</w:t>
      </w:r>
    </w:p>
    <w:p>
      <w:pPr>
        <w:pStyle w:val="Indenta"/>
      </w:pPr>
      <w:r>
        <w:tab/>
        <w:t>(c)</w:t>
      </w:r>
      <w:r>
        <w:tab/>
        <w:t>all documents relating to all proceedings.</w:t>
      </w:r>
    </w:p>
    <w:p>
      <w:pPr>
        <w:pStyle w:val="Subsection"/>
      </w:pPr>
      <w:r>
        <w:tab/>
        <w:t>(3)</w:t>
      </w:r>
      <w:r>
        <w:tab/>
        <w:t xml:space="preserve">A registrar may, on the application of a person, exempt the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w:t>
      </w:r>
    </w:p>
    <w:p>
      <w:pPr>
        <w:pStyle w:val="Subsection"/>
      </w:pPr>
      <w:r>
        <w:tab/>
        <w:t>(4)</w:t>
      </w:r>
      <w:r>
        <w:tab/>
        <w:t>The application must be in the approved form.</w:t>
      </w:r>
    </w:p>
    <w:p>
      <w:pPr>
        <w:pStyle w:val="Subsection"/>
      </w:pPr>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w:t>
      </w:r>
    </w:p>
    <w:p>
      <w:pPr>
        <w:pStyle w:val="Footnotesection"/>
      </w:pPr>
      <w:r>
        <w:tab/>
        <w:t>[Rule 96 inserted: SL 2021/25 r. 6; amended: SL 2021/133 r. 4.]</w:t>
      </w:r>
    </w:p>
    <w:p>
      <w:pPr>
        <w:pStyle w:val="Heading5"/>
      </w:pPr>
      <w:bookmarkStart w:id="372" w:name="_Toc155093942"/>
      <w:bookmarkStart w:id="373" w:name="_Toc119573541"/>
      <w:r>
        <w:rPr>
          <w:rStyle w:val="CharSectno"/>
        </w:rPr>
        <w:t>97</w:t>
      </w:r>
      <w:r>
        <w:t>.</w:t>
      </w:r>
      <w:r>
        <w:tab/>
        <w:t>General rules about lodging documents</w:t>
      </w:r>
      <w:bookmarkEnd w:id="372"/>
      <w:bookmarkEnd w:id="373"/>
    </w:p>
    <w:p>
      <w:pPr>
        <w:pStyle w:val="Subsection"/>
      </w:pPr>
      <w:r>
        <w:tab/>
        <w:t>(1)</w:t>
      </w:r>
      <w:r>
        <w:tab/>
        <w:t>A person who is required by these rules or the Court to lodge a document, or who wants to do so, must present the document to the Court for lodgment in accordance with this Part.</w:t>
      </w:r>
    </w:p>
    <w:p>
      <w:pPr>
        <w:pStyle w:val="Subsection"/>
      </w:pPr>
      <w:r>
        <w:tab/>
        <w:t>(2)</w:t>
      </w:r>
      <w:r>
        <w:tab/>
        <w:t xml:space="preserve">The person must present the document for lodgment together with — </w:t>
      </w:r>
    </w:p>
    <w:p>
      <w:pPr>
        <w:pStyle w:val="Indenta"/>
      </w:pPr>
      <w:r>
        <w:tab/>
        <w:t>(a)</w:t>
      </w:r>
      <w:r>
        <w:tab/>
        <w:t xml:space="preserve">any fee required to be paid under the </w:t>
      </w:r>
      <w:r>
        <w:rPr>
          <w:i/>
        </w:rPr>
        <w:t>Magistrates Court (Fees) Regulations 2005</w:t>
      </w:r>
      <w:r>
        <w:t>; or</w:t>
      </w:r>
    </w:p>
    <w:p>
      <w:pPr>
        <w:pStyle w:val="Indenta"/>
      </w:pPr>
      <w:r>
        <w:tab/>
        <w:t>(b)</w:t>
      </w:r>
      <w:r>
        <w:tab/>
        <w:t>any information the Court needs to enable the Court to be paid the fee.</w:t>
      </w:r>
    </w:p>
    <w:p>
      <w:pPr>
        <w:pStyle w:val="Subsection"/>
      </w:pPr>
      <w:r>
        <w:tab/>
        <w:t>(3)</w:t>
      </w:r>
      <w:r>
        <w:tab/>
        <w:t>A party required by these rules or the Court to lodge a document cannot, without the Court’s leave, refer to or rely on the document in any hearing, or in any other document to be lodged, unless it has been lodged.</w:t>
      </w:r>
    </w:p>
    <w:p>
      <w:pPr>
        <w:pStyle w:val="Subsection"/>
      </w:pPr>
      <w:r>
        <w:tab/>
        <w:t>(4)</w:t>
      </w:r>
      <w:r>
        <w:tab/>
        <w:t xml:space="preserve">For the purposes of subrule (3), a document is lodged if it has — </w:t>
      </w:r>
    </w:p>
    <w:p>
      <w:pPr>
        <w:pStyle w:val="Indenta"/>
      </w:pPr>
      <w:r>
        <w:tab/>
        <w:t>(a)</w:t>
      </w:r>
      <w:r>
        <w:tab/>
        <w:t>been lodged with the Court in accordance with this Part; and</w:t>
      </w:r>
    </w:p>
    <w:p>
      <w:pPr>
        <w:pStyle w:val="Indenta"/>
      </w:pPr>
      <w:r>
        <w:tab/>
        <w:t>(b)</w:t>
      </w:r>
      <w:r>
        <w:tab/>
        <w:t>not been rejected by the Court or a registrar under rule 98B(1); and</w:t>
      </w:r>
    </w:p>
    <w:p>
      <w:pPr>
        <w:pStyle w:val="Indenta"/>
      </w:pPr>
      <w:r>
        <w:tab/>
        <w:t>(c)</w:t>
      </w:r>
      <w:r>
        <w:tab/>
        <w:t>been recorded by the Court as having been lodged.</w:t>
      </w:r>
    </w:p>
    <w:p>
      <w:pPr>
        <w:pStyle w:val="Subsection"/>
      </w:pPr>
      <w:r>
        <w:tab/>
        <w:t>(5)</w:t>
      </w:r>
      <w:r>
        <w:tab/>
        <w:t>A party given leave under subrule (3) must lodge the document as soon as practicable after leave is given or otherwise in accordance with a relevant order of the Court.</w:t>
      </w:r>
    </w:p>
    <w:p>
      <w:pPr>
        <w:pStyle w:val="Footnotesection"/>
      </w:pPr>
      <w:r>
        <w:tab/>
        <w:t>[Rule 97 inserted: SL 2021/25 r. 6.]</w:t>
      </w:r>
    </w:p>
    <w:p>
      <w:pPr>
        <w:pStyle w:val="Heading5"/>
      </w:pPr>
      <w:bookmarkStart w:id="374" w:name="_Toc155093943"/>
      <w:bookmarkStart w:id="375" w:name="_Toc119573542"/>
      <w:r>
        <w:rPr>
          <w:rStyle w:val="CharSectno"/>
        </w:rPr>
        <w:t>98</w:t>
      </w:r>
      <w:r>
        <w:t>.</w:t>
      </w:r>
      <w:r>
        <w:tab/>
        <w:t>Registry at which originating claims and applications must be lodged</w:t>
      </w:r>
      <w:bookmarkEnd w:id="374"/>
      <w:bookmarkEnd w:id="375"/>
    </w:p>
    <w:p>
      <w:pPr>
        <w:pStyle w:val="Subsection"/>
      </w:pPr>
      <w:r>
        <w:tab/>
        <w:t>(1)</w:t>
      </w:r>
      <w:r>
        <w:tab/>
        <w:t xml:space="preserve">Except as provided in this rule, an originating claim or an application referred to in rule 124 may be lodged at any registry of the Court where there is at least 1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pPr>
      <w:r>
        <w:tab/>
        <w:t>(3)</w:t>
      </w:r>
      <w:r>
        <w:tab/>
        <w:t xml:space="preserve">An application under the </w:t>
      </w:r>
      <w:r>
        <w:rPr>
          <w:i/>
        </w:rPr>
        <w:t>Fines, Penalties and Infringement Notices Enforcement Act 1994</w:t>
      </w:r>
      <w:r>
        <w:t xml:space="preserve"> section 52N(1) must be lodged at the registry of the Court referred to in subrule (1) that is nearest to the last known address of the offender (as defined in rule 123).</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98 inserted: SL 2021/25 r. 6.]</w:t>
      </w:r>
    </w:p>
    <w:p>
      <w:pPr>
        <w:pStyle w:val="Heading5"/>
      </w:pPr>
      <w:bookmarkStart w:id="376" w:name="_Toc155093944"/>
      <w:bookmarkStart w:id="377" w:name="_Toc119573543"/>
      <w:r>
        <w:rPr>
          <w:rStyle w:val="CharSectno"/>
        </w:rPr>
        <w:t>98A</w:t>
      </w:r>
      <w:r>
        <w:t>.</w:t>
      </w:r>
      <w:r>
        <w:tab/>
        <w:t>Lodging multiple copies</w:t>
      </w:r>
      <w:bookmarkEnd w:id="376"/>
      <w:bookmarkEnd w:id="377"/>
    </w:p>
    <w:p>
      <w:pPr>
        <w:pStyle w:val="Subsection"/>
      </w:pPr>
      <w:r>
        <w:tab/>
        <w:t>(1)</w:t>
      </w:r>
      <w:r>
        <w:tab/>
        <w:t>A person must not present more than 1 copy of a document to the Court for lodgment unless these rules or the Court requires more than 1 copy to be lodged.</w:t>
      </w:r>
    </w:p>
    <w:p>
      <w:pPr>
        <w:pStyle w:val="Subsection"/>
      </w:pPr>
      <w:r>
        <w:tab/>
        <w:t>(2)</w:t>
      </w:r>
      <w:r>
        <w:tab/>
        <w:t xml:space="preserve">A person is taken to have complied with a requirement in these rules or in the </w:t>
      </w:r>
      <w:r>
        <w:rPr>
          <w:i/>
        </w:rPr>
        <w:t>Magistrates Court (General) Rules 2005</w:t>
      </w:r>
      <w:r>
        <w:t xml:space="preserve"> or by the Court to lodge 2 or more copies of a document if the document is lodged by using the ECMS or by email.</w:t>
      </w:r>
    </w:p>
    <w:p>
      <w:pPr>
        <w:pStyle w:val="Footnotesection"/>
      </w:pPr>
      <w:r>
        <w:tab/>
        <w:t>[Rule 98A inserted: SL 2021/25 r. 6; amended: SL 2021/133 r. 5.]</w:t>
      </w:r>
    </w:p>
    <w:p>
      <w:pPr>
        <w:pStyle w:val="Heading5"/>
      </w:pPr>
      <w:bookmarkStart w:id="378" w:name="_Toc155093945"/>
      <w:bookmarkStart w:id="379" w:name="_Toc119573544"/>
      <w:r>
        <w:rPr>
          <w:rStyle w:val="CharSectno"/>
        </w:rPr>
        <w:t>98B</w:t>
      </w:r>
      <w:r>
        <w:t>.</w:t>
      </w:r>
      <w:r>
        <w:tab/>
        <w:t>Powers of the Court in relation to lodgment</w:t>
      </w:r>
      <w:bookmarkEnd w:id="378"/>
      <w:bookmarkEnd w:id="379"/>
    </w:p>
    <w:p>
      <w:pPr>
        <w:pStyle w:val="Subsection"/>
      </w:pPr>
      <w:r>
        <w:tab/>
        <w:t>(1)</w:t>
      </w:r>
      <w:r>
        <w:tab/>
        <w:t xml:space="preserve">The Court or a registrar may reject a document that is presented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in accordance with this Part.</w:t>
      </w:r>
    </w:p>
    <w:p>
      <w:pPr>
        <w:pStyle w:val="Subsection"/>
      </w:pPr>
      <w:r>
        <w:tab/>
        <w:t>(2)</w:t>
      </w:r>
      <w:r>
        <w:tab/>
        <w:t>If the Court or a registrar rejects a document under subrule (1), a registrar must notify the person who presented the document for lodgment.</w:t>
      </w:r>
    </w:p>
    <w:p>
      <w:pPr>
        <w:pStyle w:val="Subsection"/>
      </w:pPr>
      <w:r>
        <w:tab/>
        <w:t>(3)</w:t>
      </w:r>
      <w:r>
        <w:tab/>
        <w:t>If a document is lodged other than by using the ECMS, the Court or a registrar may, where necessary, convert the document to an electronic format and record it in the ECMS as if it had been lodged by using the ECMS.</w:t>
      </w:r>
    </w:p>
    <w:p>
      <w:pPr>
        <w:pStyle w:val="Footnotesection"/>
      </w:pPr>
      <w:r>
        <w:tab/>
        <w:t>[Rule 98B inserted: SL 2021/25 r. 6.]</w:t>
      </w:r>
    </w:p>
    <w:p>
      <w:pPr>
        <w:pStyle w:val="Heading5"/>
      </w:pPr>
      <w:bookmarkStart w:id="380" w:name="_Toc155093946"/>
      <w:bookmarkStart w:id="381" w:name="_Toc119573545"/>
      <w:r>
        <w:rPr>
          <w:rStyle w:val="CharSectno"/>
        </w:rPr>
        <w:t>98C</w:t>
      </w:r>
      <w:r>
        <w:t>.</w:t>
      </w:r>
      <w:r>
        <w:tab/>
        <w:t>Requirement to lodge documents using the ECMS</w:t>
      </w:r>
      <w:bookmarkEnd w:id="380"/>
      <w:bookmarkEnd w:id="381"/>
    </w:p>
    <w:p>
      <w:pPr>
        <w:pStyle w:val="Subsection"/>
      </w:pPr>
      <w:r>
        <w:tab/>
        <w:t>(1)</w:t>
      </w:r>
      <w:r>
        <w:tab/>
        <w:t xml:space="preserve">A person must present a document for lodgment by using the ECMS unless — </w:t>
      </w:r>
    </w:p>
    <w:p>
      <w:pPr>
        <w:pStyle w:val="Indenta"/>
      </w:pPr>
      <w:r>
        <w:tab/>
        <w:t>(a)</w:t>
      </w:r>
      <w:r>
        <w:tab/>
        <w:t>the person is ECMS exempt in relation to the document; or</w:t>
      </w:r>
    </w:p>
    <w:p>
      <w:pPr>
        <w:pStyle w:val="Indenta"/>
      </w:pPr>
      <w:r>
        <w:tab/>
        <w:t>(b)</w:t>
      </w:r>
      <w:r>
        <w:tab/>
        <w:t xml:space="preserve">the ECMS — </w:t>
      </w:r>
    </w:p>
    <w:p>
      <w:pPr>
        <w:pStyle w:val="Indenti"/>
      </w:pPr>
      <w:r>
        <w:tab/>
        <w:t>(i)</w:t>
      </w:r>
      <w:r>
        <w:tab/>
        <w:t>has been declared unavailable for use under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A person who is not required to present a document for lodgment by using the ECMS may, subject to rule 96(5), lodge the document —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 or</w:t>
      </w:r>
    </w:p>
    <w:p>
      <w:pPr>
        <w:pStyle w:val="Indenta"/>
      </w:pPr>
      <w:r>
        <w:tab/>
        <w:t>(e)</w:t>
      </w:r>
      <w:r>
        <w:tab/>
        <w:t>by using the ECMS.</w:t>
      </w:r>
    </w:p>
    <w:p>
      <w:pPr>
        <w:pStyle w:val="Subsection"/>
      </w:pPr>
      <w:r>
        <w:tab/>
        <w:t>(3)</w:t>
      </w:r>
      <w:r>
        <w:tab/>
        <w:t>The Court may at any time, on the application of a party or on the Court’s own initiative, order a person who has presented a document for lodgment by using the ECMS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98C inserted: SL 2021/25 r. 6.]</w:t>
      </w:r>
    </w:p>
    <w:p>
      <w:pPr>
        <w:pStyle w:val="Heading5"/>
      </w:pPr>
      <w:bookmarkStart w:id="382" w:name="_Toc155093947"/>
      <w:bookmarkStart w:id="383" w:name="_Toc119573546"/>
      <w:r>
        <w:rPr>
          <w:rStyle w:val="CharSectno"/>
        </w:rPr>
        <w:t>98D</w:t>
      </w:r>
      <w:r>
        <w:t>.</w:t>
      </w:r>
      <w:r>
        <w:tab/>
        <w:t>Lodging by email</w:t>
      </w:r>
      <w:bookmarkEnd w:id="382"/>
      <w:bookmarkEnd w:id="383"/>
    </w:p>
    <w:p>
      <w:pPr>
        <w:pStyle w:val="Subsection"/>
      </w:pPr>
      <w:r>
        <w:tab/>
        <w:t>(1)</w:t>
      </w:r>
      <w:r>
        <w:tab/>
        <w:t xml:space="preserve">An email by which documents are presented for lodgment in relation to a proceeding must — </w:t>
      </w:r>
    </w:p>
    <w:p>
      <w:pPr>
        <w:pStyle w:val="Indenta"/>
      </w:pPr>
      <w:r>
        <w:tab/>
        <w:t>(a)</w:t>
      </w:r>
      <w:r>
        <w:tab/>
        <w:t>state the sender’s name; and</w:t>
      </w:r>
    </w:p>
    <w:p>
      <w:pPr>
        <w:pStyle w:val="Indenta"/>
      </w:pPr>
      <w:r>
        <w:tab/>
        <w:t>(b)</w:t>
      </w:r>
      <w:r>
        <w:tab/>
        <w:t>state the title and number of the proceeding to which the documents relate; and</w:t>
      </w:r>
    </w:p>
    <w:p>
      <w:pPr>
        <w:pStyle w:val="Indenta"/>
      </w:pPr>
      <w:r>
        <w:tab/>
        <w:t>(c)</w:t>
      </w:r>
      <w:r>
        <w:tab/>
        <w:t>list and describe the documents being presented for lodgment by the email; and</w:t>
      </w:r>
    </w:p>
    <w:p>
      <w:pPr>
        <w:pStyle w:val="Indenta"/>
      </w:pPr>
      <w:r>
        <w:tab/>
        <w:t>(d)</w:t>
      </w:r>
      <w:r>
        <w:tab/>
        <w:t>give an explanation of the basis on which the documents may be lodged by email instead of by using the ECMS.</w:t>
      </w:r>
    </w:p>
    <w:p>
      <w:pPr>
        <w:pStyle w:val="Subsection"/>
      </w:pPr>
      <w:r>
        <w:tab/>
        <w:t>(2)</w:t>
      </w:r>
      <w:r>
        <w:tab/>
        <w:t xml:space="preserve">A person who presents a document for lodgment by email must — </w:t>
      </w:r>
    </w:p>
    <w:p>
      <w:pPr>
        <w:pStyle w:val="Indenta"/>
      </w:pPr>
      <w:r>
        <w:tab/>
        <w:t>(a)</w:t>
      </w:r>
      <w:r>
        <w:tab/>
        <w:t>endorse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and produce it if required to do so by the Court.</w:t>
      </w:r>
    </w:p>
    <w:p>
      <w:pPr>
        <w:pStyle w:val="Subsection"/>
      </w:pPr>
      <w:r>
        <w:tab/>
        <w:t>(3)</w:t>
      </w:r>
      <w:r>
        <w:tab/>
        <w:t>A document presented for lodgment by email must be sent to the email address of the Court registry where the case is being heard.</w:t>
      </w:r>
    </w:p>
    <w:p>
      <w:pPr>
        <w:pStyle w:val="Subsection"/>
      </w:pPr>
      <w:r>
        <w:tab/>
        <w:t>(4)</w:t>
      </w:r>
      <w:r>
        <w:tab/>
        <w:t>The Court may at any time, on the application of a party or on the Court’s own initiative, order a person who has presented a document for lodgment by email to do either or both of the following —</w:t>
      </w:r>
    </w:p>
    <w:p>
      <w:pPr>
        <w:pStyle w:val="Indenta"/>
      </w:pPr>
      <w:r>
        <w:tab/>
        <w:t>(a)</w:t>
      </w:r>
      <w:r>
        <w:tab/>
        <w:t>have the original document with the person at any conference or hearing in the course of the case concerned;</w:t>
      </w:r>
    </w:p>
    <w:p>
      <w:pPr>
        <w:pStyle w:val="Indenta"/>
        <w:keepNext/>
      </w:pPr>
      <w:r>
        <w:tab/>
        <w:t>(b)</w:t>
      </w:r>
      <w:r>
        <w:tab/>
        <w:t>lodge the original document by a means specified in the order.</w:t>
      </w:r>
    </w:p>
    <w:p>
      <w:pPr>
        <w:pStyle w:val="Footnotesection"/>
      </w:pPr>
      <w:r>
        <w:tab/>
        <w:t>[Rule 98D inserted: SL 2021/25 r. 6.]</w:t>
      </w:r>
    </w:p>
    <w:p>
      <w:pPr>
        <w:pStyle w:val="Heading5"/>
      </w:pPr>
      <w:bookmarkStart w:id="384" w:name="_Toc155093948"/>
      <w:bookmarkStart w:id="385" w:name="_Toc119573547"/>
      <w:r>
        <w:rPr>
          <w:rStyle w:val="CharSectno"/>
        </w:rPr>
        <w:t>98E</w:t>
      </w:r>
      <w:r>
        <w:t>.</w:t>
      </w:r>
      <w:r>
        <w:tab/>
        <w:t>Form of documents lodged using ECMS or by email</w:t>
      </w:r>
      <w:bookmarkEnd w:id="384"/>
      <w:bookmarkEnd w:id="385"/>
    </w:p>
    <w:p>
      <w:pPr>
        <w:pStyle w:val="Subsection"/>
      </w:pPr>
      <w:r>
        <w:tab/>
        <w:t>(1)</w:t>
      </w:r>
      <w:r>
        <w:tab/>
        <w:t xml:space="preserve">This rule applies to a document presented for lodgment — </w:t>
      </w:r>
    </w:p>
    <w:p>
      <w:pPr>
        <w:pStyle w:val="Indenta"/>
      </w:pPr>
      <w:r>
        <w:tab/>
        <w:t>(a)</w:t>
      </w:r>
      <w:r>
        <w:tab/>
        <w:t>by using the ECMS; or</w:t>
      </w:r>
    </w:p>
    <w:p>
      <w:pPr>
        <w:pStyle w:val="Indenta"/>
      </w:pPr>
      <w:r>
        <w:tab/>
        <w:t>(b)</w:t>
      </w:r>
      <w:r>
        <w:tab/>
        <w:t>by email.</w:t>
      </w:r>
    </w:p>
    <w:p>
      <w:pPr>
        <w:pStyle w:val="Subsection"/>
      </w:pPr>
      <w:r>
        <w:tab/>
        <w:t>(2)</w:t>
      </w:r>
      <w:r>
        <w:tab/>
        <w:t>Subrule (3) applies to a document that —</w:t>
      </w:r>
    </w:p>
    <w:p>
      <w:pPr>
        <w:pStyle w:val="Indenta"/>
      </w:pPr>
      <w:r>
        <w:tab/>
        <w:t>(a)</w:t>
      </w:r>
      <w:r>
        <w:tab/>
        <w:t xml:space="preserve">under these rules or the </w:t>
      </w:r>
      <w:r>
        <w:rPr>
          <w:i/>
        </w:rPr>
        <w:t>Magistrates Court (General) Rules 2005</w:t>
      </w:r>
      <w:r>
        <w:t>, must be signed before it is lodged; and</w:t>
      </w:r>
    </w:p>
    <w:p>
      <w:pPr>
        <w:pStyle w:val="Indenta"/>
      </w:pPr>
      <w:r>
        <w:tab/>
        <w:t>(b)</w:t>
      </w:r>
      <w:r>
        <w:tab/>
        <w:t>is not listed in subrule (4).</w:t>
      </w:r>
    </w:p>
    <w:p>
      <w:pPr>
        <w:pStyle w:val="Subsection"/>
      </w:pPr>
      <w:r>
        <w:tab/>
        <w:t>(3)</w:t>
      </w:r>
      <w:r>
        <w:tab/>
        <w:t xml:space="preserve">If a document to which this subrule applies is to be presented for lodgment — </w:t>
      </w:r>
    </w:p>
    <w:p>
      <w:pPr>
        <w:pStyle w:val="Indenta"/>
      </w:pPr>
      <w:r>
        <w:tab/>
        <w:t>(a)</w:t>
      </w:r>
      <w:r>
        <w:tab/>
        <w:t>the document must be signed; and</w:t>
      </w:r>
    </w:p>
    <w:p>
      <w:pPr>
        <w:pStyle w:val="Indenta"/>
      </w:pPr>
      <w:r>
        <w:tab/>
        <w:t>(b)</w:t>
      </w:r>
      <w:r>
        <w:tab/>
        <w:t>a copy of the document, in .docx format, must be presented instead of the signed copy; and</w:t>
      </w:r>
    </w:p>
    <w:p>
      <w:pPr>
        <w:pStyle w:val="Indenta"/>
      </w:pPr>
      <w:r>
        <w:tab/>
        <w:t>(c)</w:t>
      </w:r>
      <w:r>
        <w:tab/>
        <w:t>the copy of the document in .docx format must, at any place in it where a signature would otherwise be required, state the name of the person who is required to sign it.</w:t>
      </w:r>
    </w:p>
    <w:p>
      <w:pPr>
        <w:pStyle w:val="Subsection"/>
      </w:pPr>
      <w:r>
        <w:tab/>
        <w:t>(4)</w:t>
      </w:r>
      <w:r>
        <w:tab/>
        <w:t>Subrule (5) applies to the following documents —</w:t>
      </w:r>
    </w:p>
    <w:p>
      <w:pPr>
        <w:pStyle w:val="Indenta"/>
      </w:pPr>
      <w:r>
        <w:tab/>
        <w:t>(a)</w:t>
      </w:r>
      <w:r>
        <w:tab/>
        <w:t>an affidavit;</w:t>
      </w:r>
    </w:p>
    <w:p>
      <w:pPr>
        <w:pStyle w:val="Indenta"/>
      </w:pPr>
      <w:r>
        <w:tab/>
        <w:t>(b)</w:t>
      </w:r>
      <w:r>
        <w:tab/>
        <w:t>a consent to the Court doing anything;</w:t>
      </w:r>
    </w:p>
    <w:p>
      <w:pPr>
        <w:pStyle w:val="Indenta"/>
      </w:pPr>
      <w:r>
        <w:tab/>
        <w:t>(c)</w:t>
      </w:r>
      <w:r>
        <w:tab/>
        <w:t>a document to be signed by a person who is not a party to the proceedings.</w:t>
      </w:r>
    </w:p>
    <w:p>
      <w:pPr>
        <w:pStyle w:val="Subsection"/>
      </w:pPr>
      <w:r>
        <w:tab/>
        <w:t>(5)</w:t>
      </w:r>
      <w:r>
        <w:tab/>
        <w:t xml:space="preserve">A document to which this subrule applies must be — </w:t>
      </w:r>
    </w:p>
    <w:p>
      <w:pPr>
        <w:pStyle w:val="Indenta"/>
      </w:pPr>
      <w:r>
        <w:tab/>
        <w:t>(a)</w:t>
      </w:r>
      <w:r>
        <w:tab/>
        <w:t>signed; and</w:t>
      </w:r>
    </w:p>
    <w:p>
      <w:pPr>
        <w:pStyle w:val="Indenta"/>
        <w:rPr>
          <w:rStyle w:val="DraftersNotes"/>
          <w:b w:val="0"/>
          <w:i w:val="0"/>
        </w:rPr>
      </w:pPr>
      <w:r>
        <w:tab/>
        <w:t>(b)</w:t>
      </w:r>
      <w:r>
        <w:tab/>
        <w:t>presented in .pdf format.</w:t>
      </w:r>
    </w:p>
    <w:p>
      <w:pPr>
        <w:pStyle w:val="Subsection"/>
      </w:pPr>
      <w:r>
        <w:tab/>
        <w:t>(6)</w:t>
      </w:r>
      <w:r>
        <w:tab/>
        <w:t>A person who presents a document for lodgment under subrule (3) or (5) must keep the signed copy and produce it if required to do so by the Court.</w:t>
      </w:r>
    </w:p>
    <w:p>
      <w:pPr>
        <w:pStyle w:val="Footnotesection"/>
      </w:pPr>
      <w:r>
        <w:tab/>
        <w:t>[Rule 98E inserted: SL 2021/25 r. 6.]</w:t>
      </w:r>
    </w:p>
    <w:p>
      <w:pPr>
        <w:pStyle w:val="Heading5"/>
      </w:pPr>
      <w:bookmarkStart w:id="386" w:name="_Toc155093949"/>
      <w:bookmarkStart w:id="387" w:name="_Toc119573548"/>
      <w:r>
        <w:rPr>
          <w:rStyle w:val="CharSectno"/>
        </w:rPr>
        <w:t>98F</w:t>
      </w:r>
      <w:r>
        <w:t>.</w:t>
      </w:r>
      <w:r>
        <w:tab/>
        <w:t>Lodging by post</w:t>
      </w:r>
      <w:bookmarkEnd w:id="386"/>
      <w:bookmarkEnd w:id="387"/>
    </w:p>
    <w:p>
      <w:pPr>
        <w:pStyle w:val="Subsection"/>
      </w:pPr>
      <w:r>
        <w:tab/>
        <w:t>(1)</w:t>
      </w:r>
      <w:r>
        <w:tab/>
        <w:t xml:space="preserve">A document presented for lodgment by post must have a cover page — </w:t>
      </w:r>
    </w:p>
    <w:p>
      <w:pPr>
        <w:pStyle w:val="Indenta"/>
      </w:pPr>
      <w:r>
        <w:tab/>
        <w:t>(a)</w:t>
      </w:r>
      <w:r>
        <w:tab/>
        <w:t>stating the name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post instead of by using the ECMS.</w:t>
      </w:r>
    </w:p>
    <w:p>
      <w:pPr>
        <w:pStyle w:val="Subsection"/>
      </w:pPr>
      <w:r>
        <w:tab/>
        <w:t>(2)</w:t>
      </w:r>
      <w:r>
        <w:tab/>
        <w:t>A document presented for lodgment by post must be sent to the postal address of the Court registry where the case is being heard.</w:t>
      </w:r>
    </w:p>
    <w:p>
      <w:pPr>
        <w:pStyle w:val="Footnotesection"/>
      </w:pPr>
      <w:r>
        <w:tab/>
        <w:t>[Rule 98F inserted: SL 2021/25 r. 6.]</w:t>
      </w:r>
    </w:p>
    <w:p>
      <w:pPr>
        <w:pStyle w:val="Heading5"/>
      </w:pPr>
      <w:bookmarkStart w:id="388" w:name="_Toc155093950"/>
      <w:bookmarkStart w:id="389" w:name="_Toc119573549"/>
      <w:r>
        <w:rPr>
          <w:rStyle w:val="CharSectno"/>
        </w:rPr>
        <w:t>98G</w:t>
      </w:r>
      <w:r>
        <w:t>.</w:t>
      </w:r>
      <w:r>
        <w:tab/>
        <w:t>Lodging by fax</w:t>
      </w:r>
      <w:bookmarkEnd w:id="388"/>
      <w:bookmarkEnd w:id="389"/>
    </w:p>
    <w:p>
      <w:pPr>
        <w:pStyle w:val="Subsection"/>
      </w:pPr>
      <w:r>
        <w:tab/>
        <w:t>(1)</w:t>
      </w:r>
      <w:r>
        <w:tab/>
        <w:t xml:space="preserve">A document presented for lodgment by fax must have a cover page — </w:t>
      </w:r>
    </w:p>
    <w:p>
      <w:pPr>
        <w:pStyle w:val="Indenta"/>
      </w:pPr>
      <w:r>
        <w:tab/>
        <w:t>(a)</w:t>
      </w:r>
      <w:r>
        <w:tab/>
        <w:t>stating the name, postal address, telephone number and fax number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fax instead of by using the ECMS; and</w:t>
      </w:r>
    </w:p>
    <w:p>
      <w:pPr>
        <w:pStyle w:val="Indenta"/>
      </w:pPr>
      <w:r>
        <w:tab/>
        <w:t>(e)</w:t>
      </w:r>
      <w:r>
        <w:tab/>
        <w:t>stating the number of pages (including the cover page) being sent by fax.</w:t>
      </w:r>
    </w:p>
    <w:p>
      <w:pPr>
        <w:pStyle w:val="Subsection"/>
      </w:pPr>
      <w:r>
        <w:tab/>
        <w:t>(2)</w:t>
      </w:r>
      <w:r>
        <w:tab/>
        <w:t xml:space="preserve">A person who presents a document for lodgment by fax must — </w:t>
      </w:r>
    </w:p>
    <w:p>
      <w:pPr>
        <w:pStyle w:val="Indenta"/>
      </w:pPr>
      <w:r>
        <w:tab/>
        <w:t>(a)</w:t>
      </w:r>
      <w:r>
        <w:tab/>
        <w:t>endorse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produce the items referred to in paragraph (b) if directed to do so by the Court.</w:t>
      </w:r>
    </w:p>
    <w:p>
      <w:pPr>
        <w:pStyle w:val="Subsection"/>
      </w:pPr>
      <w:r>
        <w:tab/>
        <w:t>(3)</w:t>
      </w:r>
      <w:r>
        <w:tab/>
        <w:t>A document presented for lodgment by fax must be sent to the fax number of the Court registry where the case is being heard.</w:t>
      </w:r>
    </w:p>
    <w:p>
      <w:pPr>
        <w:pStyle w:val="Subsection"/>
      </w:pPr>
      <w:r>
        <w:tab/>
        <w:t>(4)</w:t>
      </w:r>
      <w:r>
        <w:tab/>
        <w:t>A person must not present a document for lodgment by fax that, with any attachments and a cover page, has more than 20 pages and any such document received by the Court is taken not to have been presented for lodgment.</w:t>
      </w:r>
    </w:p>
    <w:p>
      <w:pPr>
        <w:pStyle w:val="Subsection"/>
      </w:pPr>
      <w:r>
        <w:tab/>
        <w:t>(5)</w:t>
      </w:r>
      <w:r>
        <w:tab/>
        <w:t>The Court may at any time, on the application of a party or on the Court’s own initiative, order a person who has presented a document for lodgment by fax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98G inserted: SL 2021/25 r. 6.]</w:t>
      </w:r>
    </w:p>
    <w:p>
      <w:pPr>
        <w:pStyle w:val="Heading5"/>
      </w:pPr>
      <w:bookmarkStart w:id="390" w:name="_Toc155093951"/>
      <w:bookmarkStart w:id="391" w:name="_Toc119573550"/>
      <w:r>
        <w:rPr>
          <w:rStyle w:val="CharSectno"/>
        </w:rPr>
        <w:t>98H</w:t>
      </w:r>
      <w:r>
        <w:t>.</w:t>
      </w:r>
      <w:r>
        <w:tab/>
        <w:t>Time of lodgment</w:t>
      </w:r>
      <w:bookmarkEnd w:id="390"/>
      <w:bookmarkEnd w:id="391"/>
    </w:p>
    <w:p>
      <w:pPr>
        <w:pStyle w:val="Subsection"/>
        <w:keepNext/>
        <w:keepLines/>
      </w:pPr>
      <w:r>
        <w:tab/>
        <w:t>(1)</w:t>
      </w:r>
      <w:r>
        <w:tab/>
        <w:t>A document lodged by using the ECMS is taken to have been lodged on the day and at the time recorded by the ECMS.</w:t>
      </w:r>
    </w:p>
    <w:p>
      <w:pPr>
        <w:pStyle w:val="Subsection"/>
        <w:keepNext/>
        <w:keepLines/>
      </w:pPr>
      <w:r>
        <w:tab/>
        <w:t>(2)</w:t>
      </w:r>
      <w:r>
        <w:tab/>
        <w:t>Subrule (1) does not apply to a document that is recorded in the ECMS under rule 98B(3) as if it had been lodged by using the ECMS.</w:t>
      </w:r>
    </w:p>
    <w:p>
      <w:pPr>
        <w:pStyle w:val="Subsection"/>
      </w:pPr>
      <w:r>
        <w:tab/>
        <w:t>(3)</w:t>
      </w:r>
      <w:r>
        <w:tab/>
        <w:t xml:space="preserve">A document lodged by email or fax is taken to have been lodged — </w:t>
      </w:r>
    </w:p>
    <w:p>
      <w:pPr>
        <w:pStyle w:val="Indenta"/>
      </w:pPr>
      <w:r>
        <w:tab/>
        <w:t>(a)</w:t>
      </w:r>
      <w:r>
        <w:tab/>
        <w:t>if the whole document is received before 4 pm on a day when the Court registry is open for business, on that day;</w:t>
      </w:r>
    </w:p>
    <w:p>
      <w:pPr>
        <w:pStyle w:val="Indenta"/>
      </w:pPr>
      <w:r>
        <w:tab/>
        <w:t>(b)</w:t>
      </w:r>
      <w:r>
        <w:tab/>
        <w:t>otherwise, on the next day when the Court registry is open for business.</w:t>
      </w:r>
    </w:p>
    <w:p>
      <w:pPr>
        <w:pStyle w:val="Footnotesection"/>
      </w:pPr>
      <w:r>
        <w:tab/>
        <w:t>[Rule 98H inserted: SL 2021/25 r. 6.]</w:t>
      </w:r>
    </w:p>
    <w:p>
      <w:pPr>
        <w:pStyle w:val="Heading5"/>
      </w:pPr>
      <w:bookmarkStart w:id="392" w:name="_Toc155093952"/>
      <w:bookmarkStart w:id="393" w:name="_Toc119573551"/>
      <w:r>
        <w:rPr>
          <w:rStyle w:val="CharSectno"/>
        </w:rPr>
        <w:t>99</w:t>
      </w:r>
      <w:r>
        <w:t>.</w:t>
      </w:r>
      <w:r>
        <w:tab/>
        <w:t>Chief Magistrate may declare ECMS unavailable</w:t>
      </w:r>
      <w:bookmarkEnd w:id="392"/>
      <w:bookmarkEnd w:id="393"/>
    </w:p>
    <w:p>
      <w:pPr>
        <w:pStyle w:val="Subsection"/>
      </w:pPr>
      <w:r>
        <w:tab/>
        <w:t>(1)</w:t>
      </w:r>
      <w:r>
        <w:tab/>
        <w:t>The Chief Magistrate may, in any manner the Chief Magistrate thinks fit, declare that the ECMS is unavailable for use for a period specified by the Chief Magistrate.</w:t>
      </w:r>
    </w:p>
    <w:p>
      <w:pPr>
        <w:pStyle w:val="Subsection"/>
      </w:pPr>
      <w:r>
        <w:tab/>
        <w:t>(2)</w:t>
      </w:r>
      <w:r>
        <w:tab/>
        <w:t>The Chief Magistrate, in writing, may delegate the Chief Magistrate’s function under this rule to 1 or more other officers of the Court.</w:t>
      </w:r>
    </w:p>
    <w:p>
      <w:pPr>
        <w:pStyle w:val="Subsection"/>
      </w:pPr>
      <w:r>
        <w:tab/>
        <w:t>(3)</w:t>
      </w:r>
      <w:r>
        <w:tab/>
        <w:t>For the purposes of these rules, a declaration made by a delegate of the Chief Magistrate under this rule is taken to be a declaration made by the Chief Magistrate.</w:t>
      </w:r>
    </w:p>
    <w:p>
      <w:pPr>
        <w:pStyle w:val="Footnotesection"/>
      </w:pPr>
      <w:r>
        <w:tab/>
        <w:t>[Rule 99 inserted: SL 2021/25 r. 6.]</w:t>
      </w:r>
    </w:p>
    <w:p>
      <w:pPr>
        <w:pStyle w:val="Heading2"/>
      </w:pPr>
      <w:bookmarkStart w:id="394" w:name="_Toc155093953"/>
      <w:bookmarkStart w:id="395" w:name="_Toc119485275"/>
      <w:bookmarkStart w:id="396" w:name="_Toc119493349"/>
      <w:bookmarkStart w:id="397" w:name="_Toc119493597"/>
      <w:bookmarkStart w:id="398" w:name="_Toc119493845"/>
      <w:bookmarkStart w:id="399" w:name="_Toc119573552"/>
      <w:r>
        <w:rPr>
          <w:rStyle w:val="CharPartNo"/>
        </w:rPr>
        <w:t>Part 17</w:t>
      </w:r>
      <w:r>
        <w:t> — </w:t>
      </w:r>
      <w:r>
        <w:rPr>
          <w:rStyle w:val="CharPartText"/>
        </w:rPr>
        <w:t>Serving documents</w:t>
      </w:r>
      <w:bookmarkEnd w:id="394"/>
      <w:bookmarkEnd w:id="395"/>
      <w:bookmarkEnd w:id="396"/>
      <w:bookmarkEnd w:id="397"/>
      <w:bookmarkEnd w:id="398"/>
      <w:bookmarkEnd w:id="399"/>
    </w:p>
    <w:p>
      <w:pPr>
        <w:pStyle w:val="Heading3"/>
      </w:pPr>
      <w:bookmarkStart w:id="400" w:name="_Toc155093954"/>
      <w:bookmarkStart w:id="401" w:name="_Toc119485276"/>
      <w:bookmarkStart w:id="402" w:name="_Toc119493350"/>
      <w:bookmarkStart w:id="403" w:name="_Toc119493598"/>
      <w:bookmarkStart w:id="404" w:name="_Toc119493846"/>
      <w:bookmarkStart w:id="405" w:name="_Toc119573553"/>
      <w:r>
        <w:rPr>
          <w:rStyle w:val="CharDivNo"/>
        </w:rPr>
        <w:t>Division 1</w:t>
      </w:r>
      <w:r>
        <w:t> — </w:t>
      </w:r>
      <w:r>
        <w:rPr>
          <w:rStyle w:val="CharDivText"/>
        </w:rPr>
        <w:t>General</w:t>
      </w:r>
      <w:bookmarkEnd w:id="400"/>
      <w:bookmarkEnd w:id="401"/>
      <w:bookmarkEnd w:id="402"/>
      <w:bookmarkEnd w:id="403"/>
      <w:bookmarkEnd w:id="404"/>
      <w:bookmarkEnd w:id="405"/>
    </w:p>
    <w:p>
      <w:pPr>
        <w:pStyle w:val="Heading5"/>
      </w:pPr>
      <w:bookmarkStart w:id="406" w:name="_Toc155093955"/>
      <w:bookmarkStart w:id="407" w:name="_Toc119573554"/>
      <w:r>
        <w:rPr>
          <w:rStyle w:val="CharSectno"/>
        </w:rPr>
        <w:t>99A</w:t>
      </w:r>
      <w:r>
        <w:t>.</w:t>
      </w:r>
      <w:r>
        <w:tab/>
        <w:t>Terms used</w:t>
      </w:r>
      <w:bookmarkEnd w:id="406"/>
      <w:bookmarkEnd w:id="407"/>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408" w:name="_Toc155093956"/>
      <w:bookmarkStart w:id="409" w:name="_Toc119573555"/>
      <w:r>
        <w:rPr>
          <w:rStyle w:val="CharSectno"/>
        </w:rPr>
        <w:t>100</w:t>
      </w:r>
      <w:r>
        <w:t>.</w:t>
      </w:r>
      <w:r>
        <w:tab/>
        <w:t>Service of documents</w:t>
      </w:r>
      <w:bookmarkEnd w:id="408"/>
      <w:bookmarkEnd w:id="409"/>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10" w:name="_Toc155093957"/>
      <w:bookmarkStart w:id="411" w:name="_Toc119573556"/>
      <w:r>
        <w:rPr>
          <w:rStyle w:val="CharSectno"/>
        </w:rPr>
        <w:t>101</w:t>
      </w:r>
      <w:r>
        <w:t>.</w:t>
      </w:r>
      <w:r>
        <w:tab/>
        <w:t>How documents served</w:t>
      </w:r>
      <w:bookmarkEnd w:id="410"/>
      <w:bookmarkEnd w:id="411"/>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412" w:name="_Toc155093958"/>
      <w:bookmarkStart w:id="413" w:name="_Toc119573557"/>
      <w:r>
        <w:rPr>
          <w:rStyle w:val="CharSectno"/>
        </w:rPr>
        <w:t>102</w:t>
      </w:r>
      <w:r>
        <w:t>.</w:t>
      </w:r>
      <w:r>
        <w:tab/>
        <w:t>Address for service in lodged documents</w:t>
      </w:r>
      <w:bookmarkEnd w:id="412"/>
      <w:bookmarkEnd w:id="413"/>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legal practitioner under subrule (5), the legal practitioner lodges a notice in the approved form — </w:t>
      </w:r>
    </w:p>
    <w:p>
      <w:pPr>
        <w:pStyle w:val="Indenti"/>
      </w:pPr>
      <w:r>
        <w:tab/>
        <w:t>(i)</w:t>
      </w:r>
      <w:r>
        <w:tab/>
        <w:t>stating that the legal practitioner no longer acts for the party; and</w:t>
      </w:r>
    </w:p>
    <w:p>
      <w:pPr>
        <w:pStyle w:val="Indenti"/>
      </w:pPr>
      <w:r>
        <w:tab/>
        <w:t>(ii)</w:t>
      </w:r>
      <w:r>
        <w:tab/>
        <w:t>specifying the party’s address for service under subrule (2), (3) or (4), as the case requires, or any new address for service under subrule (5) that is known to the legal practitioner;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legal practitioner, the address for service must be the usual place of residence or principal place of business address or the postal address of the individual.</w:t>
      </w:r>
    </w:p>
    <w:p>
      <w:pPr>
        <w:pStyle w:val="Subsection"/>
      </w:pPr>
      <w:r>
        <w:tab/>
        <w:t>(3A)</w:t>
      </w:r>
      <w:r>
        <w:tab/>
        <w:t>A party who is an individual not represented by a legal practitioner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legal practitioner, the address for service must be the principal place of business of the partnership.</w:t>
      </w:r>
    </w:p>
    <w:p>
      <w:pPr>
        <w:pStyle w:val="Subsection"/>
      </w:pPr>
      <w:r>
        <w:tab/>
        <w:t>(4)</w:t>
      </w:r>
      <w:r>
        <w:tab/>
        <w:t>If the party lodging the document is a corporation that is not represented by a legal practitioner, the address for service must be the registered office or principal place of business of the corporation.</w:t>
      </w:r>
    </w:p>
    <w:p>
      <w:pPr>
        <w:pStyle w:val="Subsection"/>
      </w:pPr>
      <w:r>
        <w:tab/>
        <w:t>(5)</w:t>
      </w:r>
      <w:r>
        <w:tab/>
        <w:t>If the party lodging the document is represented by a legal practitioner, the address for service must be the principal place of business of the legal practitioner or the legal practitioner’s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 SL 2022/106 r. 4.]</w:t>
      </w:r>
    </w:p>
    <w:p>
      <w:pPr>
        <w:pStyle w:val="Heading5"/>
      </w:pPr>
      <w:bookmarkStart w:id="414" w:name="_Toc155093959"/>
      <w:bookmarkStart w:id="415" w:name="_Toc119573558"/>
      <w:r>
        <w:rPr>
          <w:rStyle w:val="CharSectno"/>
        </w:rPr>
        <w:t>103</w:t>
      </w:r>
      <w:r>
        <w:t>.</w:t>
      </w:r>
      <w:r>
        <w:tab/>
        <w:t>Certificate of service by enforcement officer, administrative staff member or departmental officer</w:t>
      </w:r>
      <w:bookmarkEnd w:id="414"/>
      <w:bookmarkEnd w:id="415"/>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416" w:name="_Toc155093960"/>
      <w:bookmarkStart w:id="417" w:name="_Toc119573559"/>
      <w:r>
        <w:rPr>
          <w:rStyle w:val="CharSectno"/>
        </w:rPr>
        <w:t>104</w:t>
      </w:r>
      <w:r>
        <w:t>.</w:t>
      </w:r>
      <w:r>
        <w:tab/>
        <w:t>Affidavit of service by other persons</w:t>
      </w:r>
      <w:bookmarkEnd w:id="416"/>
      <w:bookmarkEnd w:id="417"/>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418" w:name="_Toc155093961"/>
      <w:bookmarkStart w:id="419" w:name="_Toc119485283"/>
      <w:bookmarkStart w:id="420" w:name="_Toc119493357"/>
      <w:bookmarkStart w:id="421" w:name="_Toc119493605"/>
      <w:bookmarkStart w:id="422" w:name="_Toc119493853"/>
      <w:bookmarkStart w:id="423" w:name="_Toc119573560"/>
      <w:r>
        <w:rPr>
          <w:rStyle w:val="CharDivNo"/>
        </w:rPr>
        <w:t>Division 2</w:t>
      </w:r>
      <w:r>
        <w:t> — </w:t>
      </w:r>
      <w:r>
        <w:rPr>
          <w:rStyle w:val="CharDivText"/>
        </w:rPr>
        <w:t>Personal service</w:t>
      </w:r>
      <w:bookmarkEnd w:id="418"/>
      <w:bookmarkEnd w:id="419"/>
      <w:bookmarkEnd w:id="420"/>
      <w:bookmarkEnd w:id="421"/>
      <w:bookmarkEnd w:id="422"/>
      <w:bookmarkEnd w:id="423"/>
    </w:p>
    <w:p>
      <w:pPr>
        <w:pStyle w:val="Heading5"/>
      </w:pPr>
      <w:bookmarkStart w:id="424" w:name="_Toc155093962"/>
      <w:bookmarkStart w:id="425" w:name="_Toc119573561"/>
      <w:r>
        <w:rPr>
          <w:rStyle w:val="CharSectno"/>
        </w:rPr>
        <w:t>105</w:t>
      </w:r>
      <w:r>
        <w:t>.</w:t>
      </w:r>
      <w:r>
        <w:tab/>
        <w:t>Personal service on individual, how effected</w:t>
      </w:r>
      <w:bookmarkEnd w:id="424"/>
      <w:bookmarkEnd w:id="425"/>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keepLines/>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Footnotesection"/>
      </w:pPr>
      <w:r>
        <w:tab/>
        <w:t>[Rule 105 amended: SL 2022/106 r. 4.]</w:t>
      </w:r>
    </w:p>
    <w:p>
      <w:pPr>
        <w:pStyle w:val="Heading5"/>
      </w:pPr>
      <w:bookmarkStart w:id="426" w:name="_Toc155093963"/>
      <w:bookmarkStart w:id="427" w:name="_Toc119573562"/>
      <w:r>
        <w:rPr>
          <w:rStyle w:val="CharSectno"/>
        </w:rPr>
        <w:t>106</w:t>
      </w:r>
      <w:r>
        <w:t>.</w:t>
      </w:r>
      <w:r>
        <w:tab/>
        <w:t>Personal service on partnership, how effected</w:t>
      </w:r>
      <w:bookmarkEnd w:id="426"/>
      <w:bookmarkEnd w:id="427"/>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legal practitioner who is acting for the partnership.</w:t>
      </w:r>
    </w:p>
    <w:p>
      <w:pPr>
        <w:pStyle w:val="Footnotesection"/>
      </w:pPr>
      <w:r>
        <w:tab/>
        <w:t>[Rule 106 amended: SL 2022/106 r. 4.]</w:t>
      </w:r>
    </w:p>
    <w:p>
      <w:pPr>
        <w:pStyle w:val="Heading5"/>
      </w:pPr>
      <w:bookmarkStart w:id="428" w:name="_Toc155093964"/>
      <w:bookmarkStart w:id="429" w:name="_Toc119573563"/>
      <w:r>
        <w:rPr>
          <w:rStyle w:val="CharSectno"/>
        </w:rPr>
        <w:t>107</w:t>
      </w:r>
      <w:r>
        <w:t>.</w:t>
      </w:r>
      <w:r>
        <w:tab/>
        <w:t>Personal service on corporation, how effected</w:t>
      </w:r>
      <w:bookmarkEnd w:id="428"/>
      <w:bookmarkEnd w:id="429"/>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legal practitioner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 amended: SL 2022/106 r. 4.]</w:t>
      </w:r>
    </w:p>
    <w:p>
      <w:pPr>
        <w:pStyle w:val="Heading5"/>
      </w:pPr>
      <w:bookmarkStart w:id="430" w:name="_Toc155093965"/>
      <w:bookmarkStart w:id="431" w:name="_Toc119573564"/>
      <w:r>
        <w:rPr>
          <w:rStyle w:val="CharSectno"/>
        </w:rPr>
        <w:t>108</w:t>
      </w:r>
      <w:r>
        <w:t>.</w:t>
      </w:r>
      <w:r>
        <w:tab/>
        <w:t>Personal service on public authority, how effected</w:t>
      </w:r>
      <w:bookmarkEnd w:id="430"/>
      <w:bookmarkEnd w:id="431"/>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legal practitioner who is acting for the public authority.</w:t>
      </w:r>
    </w:p>
    <w:p>
      <w:pPr>
        <w:pStyle w:val="Footnotesection"/>
      </w:pPr>
      <w:r>
        <w:tab/>
        <w:t>[Rule 108 amended: SL 2022/106 r. 4.]</w:t>
      </w:r>
    </w:p>
    <w:p>
      <w:pPr>
        <w:pStyle w:val="Heading3"/>
      </w:pPr>
      <w:bookmarkStart w:id="432" w:name="_Toc155093966"/>
      <w:bookmarkStart w:id="433" w:name="_Toc119485288"/>
      <w:bookmarkStart w:id="434" w:name="_Toc119493362"/>
      <w:bookmarkStart w:id="435" w:name="_Toc119493610"/>
      <w:bookmarkStart w:id="436" w:name="_Toc119493858"/>
      <w:bookmarkStart w:id="437" w:name="_Toc119573565"/>
      <w:r>
        <w:rPr>
          <w:rStyle w:val="CharDivNo"/>
        </w:rPr>
        <w:t>Division 3</w:t>
      </w:r>
      <w:r>
        <w:t> — </w:t>
      </w:r>
      <w:r>
        <w:rPr>
          <w:rStyle w:val="CharDivText"/>
        </w:rPr>
        <w:t>Miscellaneous</w:t>
      </w:r>
      <w:bookmarkEnd w:id="432"/>
      <w:bookmarkEnd w:id="433"/>
      <w:bookmarkEnd w:id="434"/>
      <w:bookmarkEnd w:id="435"/>
      <w:bookmarkEnd w:id="436"/>
      <w:bookmarkEnd w:id="437"/>
    </w:p>
    <w:p>
      <w:pPr>
        <w:pStyle w:val="Footnoteheading"/>
        <w:rPr>
          <w:rFonts w:ascii="Times" w:hAnsi="Times"/>
        </w:rPr>
      </w:pPr>
      <w:r>
        <w:tab/>
        <w:t>[Heading inserted: Gazette 3 Jun 2008 p. 2135.]</w:t>
      </w:r>
    </w:p>
    <w:p>
      <w:pPr>
        <w:pStyle w:val="Heading5"/>
      </w:pPr>
      <w:bookmarkStart w:id="438" w:name="_Toc155093967"/>
      <w:bookmarkStart w:id="439" w:name="_Toc119573566"/>
      <w:r>
        <w:rPr>
          <w:rStyle w:val="CharSectno"/>
        </w:rPr>
        <w:t>109A</w:t>
      </w:r>
      <w:r>
        <w:t>.</w:t>
      </w:r>
      <w:r>
        <w:tab/>
        <w:t>Substituted service, applying for (Act s. 16(1)(t))</w:t>
      </w:r>
      <w:bookmarkEnd w:id="438"/>
      <w:bookmarkEnd w:id="439"/>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440" w:name="_Toc155093968"/>
      <w:bookmarkStart w:id="441" w:name="_Toc119485290"/>
      <w:bookmarkStart w:id="442" w:name="_Toc119493364"/>
      <w:bookmarkStart w:id="443" w:name="_Toc119493612"/>
      <w:bookmarkStart w:id="444" w:name="_Toc119493860"/>
      <w:bookmarkStart w:id="445" w:name="_Toc119573567"/>
      <w:r>
        <w:rPr>
          <w:rStyle w:val="CharPartNo"/>
        </w:rPr>
        <w:t>Part 18</w:t>
      </w:r>
      <w:r>
        <w:rPr>
          <w:rStyle w:val="CharDivNo"/>
        </w:rPr>
        <w:t> </w:t>
      </w:r>
      <w:r>
        <w:t>—</w:t>
      </w:r>
      <w:r>
        <w:rPr>
          <w:rStyle w:val="CharDivText"/>
        </w:rPr>
        <w:t> </w:t>
      </w:r>
      <w:r>
        <w:rPr>
          <w:rStyle w:val="CharPartText"/>
        </w:rPr>
        <w:t>Applications</w:t>
      </w:r>
      <w:bookmarkEnd w:id="440"/>
      <w:bookmarkEnd w:id="441"/>
      <w:bookmarkEnd w:id="442"/>
      <w:bookmarkEnd w:id="443"/>
      <w:bookmarkEnd w:id="444"/>
      <w:bookmarkEnd w:id="445"/>
    </w:p>
    <w:p>
      <w:pPr>
        <w:pStyle w:val="Heading5"/>
      </w:pPr>
      <w:bookmarkStart w:id="446" w:name="_Toc155093969"/>
      <w:bookmarkStart w:id="447" w:name="_Toc119573568"/>
      <w:r>
        <w:rPr>
          <w:rStyle w:val="CharSectno"/>
        </w:rPr>
        <w:t>109</w:t>
      </w:r>
      <w:r>
        <w:t>.</w:t>
      </w:r>
      <w:r>
        <w:tab/>
        <w:t>Applying for Court order except judgment</w:t>
      </w:r>
      <w:bookmarkEnd w:id="446"/>
      <w:bookmarkEnd w:id="447"/>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448" w:name="_Toc155093970"/>
      <w:bookmarkStart w:id="449" w:name="_Toc119573569"/>
      <w:r>
        <w:rPr>
          <w:rStyle w:val="CharSectno"/>
        </w:rPr>
        <w:t>110</w:t>
      </w:r>
      <w:r>
        <w:t>.</w:t>
      </w:r>
      <w:r>
        <w:tab/>
        <w:t>Supporting affidavit</w:t>
      </w:r>
      <w:bookmarkEnd w:id="448"/>
      <w:bookmarkEnd w:id="449"/>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450" w:name="_Toc155093971"/>
      <w:bookmarkStart w:id="451" w:name="_Toc119573570"/>
      <w:r>
        <w:rPr>
          <w:rStyle w:val="CharSectno"/>
        </w:rPr>
        <w:t>111</w:t>
      </w:r>
      <w:r>
        <w:t>.</w:t>
      </w:r>
      <w:r>
        <w:tab/>
        <w:t>Application must be served</w:t>
      </w:r>
      <w:bookmarkEnd w:id="450"/>
      <w:bookmarkEnd w:id="451"/>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452" w:name="_Toc155093972"/>
      <w:bookmarkStart w:id="453" w:name="_Toc119573571"/>
      <w:r>
        <w:rPr>
          <w:rStyle w:val="CharSectno"/>
        </w:rPr>
        <w:t>112</w:t>
      </w:r>
      <w:r>
        <w:t>.</w:t>
      </w:r>
      <w:r>
        <w:tab/>
        <w:t>Response to application</w:t>
      </w:r>
      <w:bookmarkEnd w:id="452"/>
      <w:bookmarkEnd w:id="453"/>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454" w:name="_Toc155093973"/>
      <w:bookmarkStart w:id="455" w:name="_Toc119573572"/>
      <w:r>
        <w:rPr>
          <w:rStyle w:val="CharSectno"/>
        </w:rPr>
        <w:t>113</w:t>
      </w:r>
      <w:r>
        <w:t>.</w:t>
      </w:r>
      <w:r>
        <w:tab/>
        <w:t>Dealing with application</w:t>
      </w:r>
      <w:bookmarkEnd w:id="454"/>
      <w:bookmarkEnd w:id="455"/>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456" w:name="_Toc155093974"/>
      <w:bookmarkStart w:id="457" w:name="_Toc119573573"/>
      <w:r>
        <w:rPr>
          <w:rStyle w:val="CharSectno"/>
        </w:rPr>
        <w:t>113A</w:t>
      </w:r>
      <w:r>
        <w:t>.</w:t>
      </w:r>
      <w:r>
        <w:tab/>
        <w:t>No response filed</w:t>
      </w:r>
      <w:bookmarkEnd w:id="456"/>
      <w:bookmarkEnd w:id="457"/>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458" w:name="_Toc155093975"/>
      <w:bookmarkStart w:id="459" w:name="_Toc119485297"/>
      <w:bookmarkStart w:id="460" w:name="_Toc119493371"/>
      <w:bookmarkStart w:id="461" w:name="_Toc119493619"/>
      <w:bookmarkStart w:id="462" w:name="_Toc119493867"/>
      <w:bookmarkStart w:id="463" w:name="_Toc119573574"/>
      <w:r>
        <w:rPr>
          <w:rStyle w:val="CharPartNo"/>
        </w:rPr>
        <w:t>Part 19</w:t>
      </w:r>
      <w:r>
        <w:rPr>
          <w:rStyle w:val="CharDivNo"/>
        </w:rPr>
        <w:t> </w:t>
      </w:r>
      <w:r>
        <w:t>—</w:t>
      </w:r>
      <w:r>
        <w:rPr>
          <w:rStyle w:val="CharDivText"/>
        </w:rPr>
        <w:t> </w:t>
      </w:r>
      <w:r>
        <w:rPr>
          <w:rStyle w:val="CharPartText"/>
        </w:rPr>
        <w:t>Affidavits</w:t>
      </w:r>
      <w:bookmarkEnd w:id="458"/>
      <w:bookmarkEnd w:id="459"/>
      <w:bookmarkEnd w:id="460"/>
      <w:bookmarkEnd w:id="461"/>
      <w:bookmarkEnd w:id="462"/>
      <w:bookmarkEnd w:id="463"/>
    </w:p>
    <w:p>
      <w:pPr>
        <w:pStyle w:val="Heading5"/>
      </w:pPr>
      <w:bookmarkStart w:id="464" w:name="_Toc155093976"/>
      <w:bookmarkStart w:id="465" w:name="_Toc119573575"/>
      <w:r>
        <w:rPr>
          <w:rStyle w:val="CharSectno"/>
        </w:rPr>
        <w:t>114</w:t>
      </w:r>
      <w:r>
        <w:t>.</w:t>
      </w:r>
      <w:r>
        <w:tab/>
        <w:t>Form of affidavits</w:t>
      </w:r>
      <w:bookmarkEnd w:id="464"/>
      <w:bookmarkEnd w:id="465"/>
    </w:p>
    <w:p>
      <w:pPr>
        <w:pStyle w:val="Subsection"/>
      </w:pPr>
      <w:r>
        <w:tab/>
      </w:r>
      <w:r>
        <w:tab/>
        <w:t>An affidavit must be in the approved form.</w:t>
      </w:r>
    </w:p>
    <w:p>
      <w:pPr>
        <w:pStyle w:val="Heading5"/>
      </w:pPr>
      <w:bookmarkStart w:id="466" w:name="_Toc155093977"/>
      <w:bookmarkStart w:id="467" w:name="_Toc119573576"/>
      <w:r>
        <w:rPr>
          <w:rStyle w:val="CharSectno"/>
        </w:rPr>
        <w:t>115</w:t>
      </w:r>
      <w:r>
        <w:t>.</w:t>
      </w:r>
      <w:r>
        <w:tab/>
        <w:t>Content of affidavits</w:t>
      </w:r>
      <w:bookmarkEnd w:id="466"/>
      <w:bookmarkEnd w:id="467"/>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468" w:name="_Toc155093978"/>
      <w:bookmarkStart w:id="469" w:name="_Toc119485300"/>
      <w:bookmarkStart w:id="470" w:name="_Toc119493374"/>
      <w:bookmarkStart w:id="471" w:name="_Toc119493622"/>
      <w:bookmarkStart w:id="472" w:name="_Toc119493870"/>
      <w:bookmarkStart w:id="473" w:name="_Toc119573577"/>
      <w:r>
        <w:rPr>
          <w:rStyle w:val="CharPartNo"/>
        </w:rPr>
        <w:t>Part 20</w:t>
      </w:r>
      <w:r>
        <w:t> — </w:t>
      </w:r>
      <w:r>
        <w:rPr>
          <w:rStyle w:val="CharPartText"/>
        </w:rPr>
        <w:t>Litigation guardians</w:t>
      </w:r>
      <w:bookmarkEnd w:id="468"/>
      <w:bookmarkEnd w:id="469"/>
      <w:bookmarkEnd w:id="470"/>
      <w:bookmarkEnd w:id="471"/>
      <w:bookmarkEnd w:id="472"/>
      <w:bookmarkEnd w:id="473"/>
    </w:p>
    <w:p>
      <w:pPr>
        <w:pStyle w:val="Heading5"/>
      </w:pPr>
      <w:bookmarkStart w:id="474" w:name="_Toc155093979"/>
      <w:bookmarkStart w:id="475" w:name="_Toc119573578"/>
      <w:r>
        <w:rPr>
          <w:rStyle w:val="CharSectno"/>
        </w:rPr>
        <w:t>116</w:t>
      </w:r>
      <w:r>
        <w:t>.</w:t>
      </w:r>
      <w:r>
        <w:tab/>
        <w:t>Terms used</w:t>
      </w:r>
      <w:bookmarkEnd w:id="474"/>
      <w:bookmarkEnd w:id="475"/>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76" w:name="_Toc155093980"/>
      <w:bookmarkStart w:id="477" w:name="_Toc119573579"/>
      <w:r>
        <w:rPr>
          <w:rStyle w:val="CharSectno"/>
        </w:rPr>
        <w:t>117</w:t>
      </w:r>
      <w:r>
        <w:t>.</w:t>
      </w:r>
      <w:r>
        <w:tab/>
        <w:t>Application of this Part</w:t>
      </w:r>
      <w:bookmarkEnd w:id="476"/>
      <w:bookmarkEnd w:id="477"/>
    </w:p>
    <w:p>
      <w:pPr>
        <w:pStyle w:val="Subsection"/>
      </w:pPr>
      <w:r>
        <w:tab/>
      </w:r>
      <w:r>
        <w:tab/>
        <w:t>This Part applies in relation to a person under a legal disability if the person is, or intends to be, a party to a case.</w:t>
      </w:r>
    </w:p>
    <w:p>
      <w:pPr>
        <w:pStyle w:val="Heading5"/>
      </w:pPr>
      <w:bookmarkStart w:id="478" w:name="_Toc155093981"/>
      <w:bookmarkStart w:id="479" w:name="_Toc119573580"/>
      <w:r>
        <w:rPr>
          <w:rStyle w:val="CharSectno"/>
        </w:rPr>
        <w:t>118</w:t>
      </w:r>
      <w:r>
        <w:t>.</w:t>
      </w:r>
      <w:r>
        <w:tab/>
        <w:t>Represented persons to have litigation guardians</w:t>
      </w:r>
      <w:bookmarkEnd w:id="478"/>
      <w:bookmarkEnd w:id="479"/>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480" w:name="_Toc155093982"/>
      <w:bookmarkStart w:id="481" w:name="_Toc119573581"/>
      <w:r>
        <w:rPr>
          <w:rStyle w:val="CharSectno"/>
        </w:rPr>
        <w:t>119</w:t>
      </w:r>
      <w:r>
        <w:t>.</w:t>
      </w:r>
      <w:r>
        <w:tab/>
        <w:t>Litigation guardian of represented person must lodge affidavit</w:t>
      </w:r>
      <w:bookmarkEnd w:id="480"/>
      <w:bookmarkEnd w:id="481"/>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482" w:name="_Toc155093983"/>
      <w:bookmarkStart w:id="483" w:name="_Toc119573582"/>
      <w:r>
        <w:rPr>
          <w:rStyle w:val="CharSectno"/>
        </w:rPr>
        <w:t>120</w:t>
      </w:r>
      <w:r>
        <w:t>.</w:t>
      </w:r>
      <w:r>
        <w:tab/>
        <w:t>Children, litigation guardians for</w:t>
      </w:r>
      <w:bookmarkEnd w:id="482"/>
      <w:bookmarkEnd w:id="483"/>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484" w:name="_Toc155093984"/>
      <w:bookmarkStart w:id="485" w:name="_Toc119573583"/>
      <w:r>
        <w:rPr>
          <w:rStyle w:val="CharSectno"/>
        </w:rPr>
        <w:t>121</w:t>
      </w:r>
      <w:r>
        <w:t>.</w:t>
      </w:r>
      <w:r>
        <w:tab/>
        <w:t>Litigation guardian of child must lodge affidavit</w:t>
      </w:r>
      <w:bookmarkEnd w:id="484"/>
      <w:bookmarkEnd w:id="485"/>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486" w:name="_Toc155093985"/>
      <w:bookmarkStart w:id="487" w:name="_Toc119573584"/>
      <w:r>
        <w:rPr>
          <w:rStyle w:val="CharSectno"/>
        </w:rPr>
        <w:t>122</w:t>
      </w:r>
      <w:r>
        <w:t>.</w:t>
      </w:r>
      <w:r>
        <w:tab/>
        <w:t>Litigation guardian, application by to be appointed</w:t>
      </w:r>
      <w:bookmarkEnd w:id="486"/>
      <w:bookmarkEnd w:id="487"/>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rPr>
          <w:ins w:id="488" w:author="Master Repository Process" w:date="2024-01-02T13:18:00Z"/>
        </w:rPr>
      </w:pPr>
      <w:bookmarkStart w:id="489" w:name="_Toc155093986"/>
      <w:ins w:id="490" w:author="Master Repository Process" w:date="2024-01-02T13:18:00Z">
        <w:r>
          <w:rPr>
            <w:rStyle w:val="CharPartNo"/>
          </w:rPr>
          <w:t>Part 20A</w:t>
        </w:r>
        <w:r>
          <w:t> — Litigation funders</w:t>
        </w:r>
        <w:bookmarkEnd w:id="489"/>
      </w:ins>
    </w:p>
    <w:p>
      <w:pPr>
        <w:pStyle w:val="Footnoteheading"/>
        <w:rPr>
          <w:ins w:id="491" w:author="Master Repository Process" w:date="2024-01-02T13:18:00Z"/>
        </w:rPr>
      </w:pPr>
      <w:ins w:id="492" w:author="Master Repository Process" w:date="2024-01-02T13:18:00Z">
        <w:r>
          <w:tab/>
          <w:t>[Heading inserted: SL 2023/148 r. 4.]</w:t>
        </w:r>
      </w:ins>
    </w:p>
    <w:p>
      <w:pPr>
        <w:pStyle w:val="Heading5"/>
        <w:rPr>
          <w:ins w:id="493" w:author="Master Repository Process" w:date="2024-01-02T13:18:00Z"/>
        </w:rPr>
      </w:pPr>
      <w:bookmarkStart w:id="494" w:name="_Toc155093987"/>
      <w:ins w:id="495" w:author="Master Repository Process" w:date="2024-01-02T13:18:00Z">
        <w:r>
          <w:rPr>
            <w:rStyle w:val="CharSectno"/>
          </w:rPr>
          <w:t>122A</w:t>
        </w:r>
        <w:r>
          <w:t>.</w:t>
        </w:r>
        <w:r>
          <w:tab/>
          <w:t>Term used: litigation funder</w:t>
        </w:r>
        <w:bookmarkEnd w:id="494"/>
      </w:ins>
    </w:p>
    <w:p>
      <w:pPr>
        <w:pStyle w:val="Subsection"/>
        <w:rPr>
          <w:ins w:id="496" w:author="Master Repository Process" w:date="2024-01-02T13:18:00Z"/>
        </w:rPr>
      </w:pPr>
      <w:ins w:id="497" w:author="Master Repository Process" w:date="2024-01-02T13:18:00Z">
        <w:r>
          <w:tab/>
        </w:r>
        <w:r>
          <w:tab/>
          <w:t xml:space="preserve">In this Part — </w:t>
        </w:r>
      </w:ins>
    </w:p>
    <w:p>
      <w:pPr>
        <w:pStyle w:val="Defstart"/>
        <w:rPr>
          <w:ins w:id="498" w:author="Master Repository Process" w:date="2024-01-02T13:18:00Z"/>
        </w:rPr>
      </w:pPr>
      <w:ins w:id="499" w:author="Master Repository Process" w:date="2024-01-02T13:18:00Z">
        <w:r>
          <w:tab/>
        </w:r>
        <w:r>
          <w:rPr>
            <w:rStyle w:val="CharDefText"/>
          </w:rPr>
          <w:t>litigation funder</w:t>
        </w:r>
        <w:r>
          <w:t xml:space="preserve"> means a person who — </w:t>
        </w:r>
      </w:ins>
    </w:p>
    <w:p>
      <w:pPr>
        <w:pStyle w:val="Defpara"/>
        <w:rPr>
          <w:ins w:id="500" w:author="Master Repository Process" w:date="2024-01-02T13:18:00Z"/>
        </w:rPr>
      </w:pPr>
      <w:ins w:id="501" w:author="Master Repository Process" w:date="2024-01-02T13:18:00Z">
        <w:r>
          <w:tab/>
          <w:t>(a)</w:t>
        </w:r>
        <w:r>
          <w:tab/>
          <w:t>provides funding or other financial assistance to a claimant for the purposes of conducting the claimant’s case; and</w:t>
        </w:r>
      </w:ins>
    </w:p>
    <w:p>
      <w:pPr>
        <w:pStyle w:val="Defpara"/>
        <w:rPr>
          <w:ins w:id="502" w:author="Master Repository Process" w:date="2024-01-02T13:18:00Z"/>
        </w:rPr>
      </w:pPr>
      <w:ins w:id="503" w:author="Master Repository Process" w:date="2024-01-02T13:18:00Z">
        <w:r>
          <w:tab/>
          <w:t>(b)</w:t>
        </w:r>
        <w:r>
          <w:tab/>
          <w:t>exercises direct or indirect control or influence over the conduct of the claimant’s case; and</w:t>
        </w:r>
      </w:ins>
    </w:p>
    <w:p>
      <w:pPr>
        <w:pStyle w:val="Defpara"/>
        <w:rPr>
          <w:ins w:id="504" w:author="Master Repository Process" w:date="2024-01-02T13:18:00Z"/>
        </w:rPr>
      </w:pPr>
      <w:ins w:id="505" w:author="Master Repository Process" w:date="2024-01-02T13:18:00Z">
        <w:r>
          <w:tab/>
          <w:t>(c)</w:t>
        </w:r>
        <w:r>
          <w:tab/>
          <w:t xml:space="preserve">does not exercise control or influence as — </w:t>
        </w:r>
      </w:ins>
    </w:p>
    <w:p>
      <w:pPr>
        <w:pStyle w:val="Defsubpara"/>
        <w:rPr>
          <w:ins w:id="506" w:author="Master Repository Process" w:date="2024-01-02T13:18:00Z"/>
        </w:rPr>
      </w:pPr>
      <w:ins w:id="507" w:author="Master Repository Process" w:date="2024-01-02T13:18:00Z">
        <w:r>
          <w:tab/>
          <w:t>(i)</w:t>
        </w:r>
        <w:r>
          <w:tab/>
          <w:t>a legal practitioner advising or representing the claimant; or</w:t>
        </w:r>
      </w:ins>
    </w:p>
    <w:p>
      <w:pPr>
        <w:pStyle w:val="Defsubpara"/>
        <w:rPr>
          <w:ins w:id="508" w:author="Master Repository Process" w:date="2024-01-02T13:18:00Z"/>
        </w:rPr>
      </w:pPr>
      <w:ins w:id="509" w:author="Master Repository Process" w:date="2024-01-02T13:18:00Z">
        <w:r>
          <w:tab/>
          <w:t>(ii)</w:t>
        </w:r>
        <w:r>
          <w:tab/>
          <w:t>the claimant’s insurer.</w:t>
        </w:r>
      </w:ins>
    </w:p>
    <w:p>
      <w:pPr>
        <w:pStyle w:val="Footnotesection"/>
        <w:rPr>
          <w:ins w:id="510" w:author="Master Repository Process" w:date="2024-01-02T13:18:00Z"/>
        </w:rPr>
      </w:pPr>
      <w:ins w:id="511" w:author="Master Repository Process" w:date="2024-01-02T13:18:00Z">
        <w:r>
          <w:tab/>
          <w:t>[Rule 122A inserted: SL 2023/148 r. 4]</w:t>
        </w:r>
      </w:ins>
    </w:p>
    <w:p>
      <w:pPr>
        <w:pStyle w:val="Heading5"/>
        <w:rPr>
          <w:ins w:id="512" w:author="Master Repository Process" w:date="2024-01-02T13:18:00Z"/>
        </w:rPr>
      </w:pPr>
      <w:bookmarkStart w:id="513" w:name="_Toc155093988"/>
      <w:ins w:id="514" w:author="Master Repository Process" w:date="2024-01-02T13:18:00Z">
        <w:r>
          <w:rPr>
            <w:rStyle w:val="CharSectno"/>
          </w:rPr>
          <w:t>122B</w:t>
        </w:r>
        <w:r>
          <w:t>.</w:t>
        </w:r>
        <w:r>
          <w:tab/>
          <w:t>Claimant to notify Court of litigation funder</w:t>
        </w:r>
        <w:bookmarkEnd w:id="513"/>
      </w:ins>
    </w:p>
    <w:p>
      <w:pPr>
        <w:pStyle w:val="Subsection"/>
        <w:rPr>
          <w:ins w:id="515" w:author="Master Repository Process" w:date="2024-01-02T13:18:00Z"/>
        </w:rPr>
      </w:pPr>
      <w:ins w:id="516" w:author="Master Repository Process" w:date="2024-01-02T13:18:00Z">
        <w:r>
          <w:tab/>
          <w:t>(1)</w:t>
        </w:r>
        <w:r>
          <w:tab/>
          <w:t>A claimant who receives funding or other financial assistance from a litigation funder must notify the Court of the existence of the litigation funder.</w:t>
        </w:r>
      </w:ins>
    </w:p>
    <w:p>
      <w:pPr>
        <w:pStyle w:val="Subsection"/>
        <w:rPr>
          <w:ins w:id="517" w:author="Master Repository Process" w:date="2024-01-02T13:18:00Z"/>
        </w:rPr>
      </w:pPr>
      <w:ins w:id="518" w:author="Master Repository Process" w:date="2024-01-02T13:18:00Z">
        <w:r>
          <w:tab/>
          <w:t>(2)</w:t>
        </w:r>
        <w:r>
          <w:tab/>
          <w:t>The notice must be given in writing as soon as is reasonably practicable after the person provides or agrees to provide funding or other financial assistance to the claimant.</w:t>
        </w:r>
      </w:ins>
    </w:p>
    <w:p>
      <w:pPr>
        <w:pStyle w:val="Footnotesection"/>
        <w:rPr>
          <w:ins w:id="519" w:author="Master Repository Process" w:date="2024-01-02T13:18:00Z"/>
        </w:rPr>
      </w:pPr>
      <w:ins w:id="520" w:author="Master Repository Process" w:date="2024-01-02T13:18:00Z">
        <w:r>
          <w:tab/>
          <w:t>[Rule 122B inserted: SL 2023/148 r. 4]</w:t>
        </w:r>
      </w:ins>
    </w:p>
    <w:p>
      <w:pPr>
        <w:pStyle w:val="Heading5"/>
        <w:rPr>
          <w:ins w:id="521" w:author="Master Repository Process" w:date="2024-01-02T13:18:00Z"/>
        </w:rPr>
      </w:pPr>
      <w:bookmarkStart w:id="522" w:name="_Toc155093989"/>
      <w:ins w:id="523" w:author="Master Repository Process" w:date="2024-01-02T13:18:00Z">
        <w:r>
          <w:rPr>
            <w:rStyle w:val="CharSectno"/>
          </w:rPr>
          <w:t>122C</w:t>
        </w:r>
        <w:r>
          <w:t>.</w:t>
        </w:r>
        <w:r>
          <w:tab/>
          <w:t>Disclosure of agreements relating to litigation funder</w:t>
        </w:r>
        <w:bookmarkEnd w:id="522"/>
      </w:ins>
    </w:p>
    <w:p>
      <w:pPr>
        <w:pStyle w:val="Subsection"/>
        <w:keepNext/>
        <w:rPr>
          <w:ins w:id="524" w:author="Master Repository Process" w:date="2024-01-02T13:18:00Z"/>
        </w:rPr>
      </w:pPr>
      <w:ins w:id="525" w:author="Master Repository Process" w:date="2024-01-02T13:18:00Z">
        <w:r>
          <w:tab/>
        </w:r>
        <w:r>
          <w:tab/>
          <w:t>The Court may, at any time, order the claimant to give to the Court a copy of any agreement relating to funding or other financial assistance a litigation funder provides or is to provide to the claimant for the purposes of conducting the case.</w:t>
        </w:r>
      </w:ins>
    </w:p>
    <w:p>
      <w:pPr>
        <w:pStyle w:val="Footnotesection"/>
        <w:rPr>
          <w:ins w:id="526" w:author="Master Repository Process" w:date="2024-01-02T13:18:00Z"/>
        </w:rPr>
      </w:pPr>
      <w:ins w:id="527" w:author="Master Repository Process" w:date="2024-01-02T13:18:00Z">
        <w:r>
          <w:tab/>
          <w:t>[Rule 122C inserted: SL 2023/148 r. 4]</w:t>
        </w:r>
      </w:ins>
    </w:p>
    <w:p>
      <w:pPr>
        <w:pStyle w:val="Heading2"/>
      </w:pPr>
      <w:bookmarkStart w:id="528" w:name="_Toc155093990"/>
      <w:bookmarkStart w:id="529" w:name="_Toc119485308"/>
      <w:bookmarkStart w:id="530" w:name="_Toc119493382"/>
      <w:bookmarkStart w:id="531" w:name="_Toc119493630"/>
      <w:bookmarkStart w:id="532" w:name="_Toc119493878"/>
      <w:bookmarkStart w:id="533" w:name="_Toc119573585"/>
      <w:r>
        <w:rPr>
          <w:rStyle w:val="CharPartNo"/>
        </w:rPr>
        <w:t>Part 21</w:t>
      </w:r>
      <w:r>
        <w:t> — </w:t>
      </w:r>
      <w:r>
        <w:rPr>
          <w:rStyle w:val="CharPartText"/>
        </w:rPr>
        <w:t>Jurisdiction conferred by other Acts</w:t>
      </w:r>
      <w:bookmarkEnd w:id="528"/>
      <w:bookmarkEnd w:id="529"/>
      <w:bookmarkEnd w:id="530"/>
      <w:bookmarkEnd w:id="531"/>
      <w:bookmarkEnd w:id="532"/>
      <w:bookmarkEnd w:id="533"/>
    </w:p>
    <w:p>
      <w:pPr>
        <w:pStyle w:val="Heading3"/>
      </w:pPr>
      <w:bookmarkStart w:id="534" w:name="_Toc155093991"/>
      <w:bookmarkStart w:id="535" w:name="_Toc119485309"/>
      <w:bookmarkStart w:id="536" w:name="_Toc119493383"/>
      <w:bookmarkStart w:id="537" w:name="_Toc119493631"/>
      <w:bookmarkStart w:id="538" w:name="_Toc119493879"/>
      <w:bookmarkStart w:id="539" w:name="_Toc119573586"/>
      <w:r>
        <w:rPr>
          <w:rStyle w:val="CharDivNo"/>
        </w:rPr>
        <w:t>Division 1</w:t>
      </w:r>
      <w:r>
        <w:t> — </w:t>
      </w:r>
      <w:r>
        <w:rPr>
          <w:rStyle w:val="CharDivText"/>
        </w:rPr>
        <w:t>General</w:t>
      </w:r>
      <w:bookmarkEnd w:id="534"/>
      <w:bookmarkEnd w:id="535"/>
      <w:bookmarkEnd w:id="536"/>
      <w:bookmarkEnd w:id="537"/>
      <w:bookmarkEnd w:id="538"/>
      <w:bookmarkEnd w:id="539"/>
    </w:p>
    <w:p>
      <w:pPr>
        <w:pStyle w:val="Heading5"/>
        <w:spacing w:before="180"/>
      </w:pPr>
      <w:bookmarkStart w:id="540" w:name="_Toc155093992"/>
      <w:bookmarkStart w:id="541" w:name="_Toc119573587"/>
      <w:r>
        <w:rPr>
          <w:rStyle w:val="CharSectno"/>
        </w:rPr>
        <w:t>123</w:t>
      </w:r>
      <w:r>
        <w:t>.</w:t>
      </w:r>
      <w:r>
        <w:tab/>
        <w:t>Terms used</w:t>
      </w:r>
      <w:bookmarkEnd w:id="540"/>
      <w:bookmarkEnd w:id="541"/>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rPr>
          <w:b/>
        </w:rPr>
        <w:tab/>
      </w:r>
      <w:r>
        <w:rPr>
          <w:rStyle w:val="CharDefText"/>
        </w:rPr>
        <w:t>conferring Act</w:t>
      </w:r>
      <w:r>
        <w:t xml:space="preserve"> means legislation referred to in rule 124;</w:t>
      </w:r>
    </w:p>
    <w:p>
      <w:pPr>
        <w:pStyle w:val="Defstart"/>
      </w:pPr>
      <w:r>
        <w:tab/>
      </w:r>
      <w:r>
        <w:rPr>
          <w:rStyle w:val="CharDefText"/>
        </w:rPr>
        <w:t>Fines Enforcement Registrar</w:t>
      </w:r>
      <w:r>
        <w:t xml:space="preserve"> means the Registrar as defined in the </w:t>
      </w:r>
      <w:r>
        <w:rPr>
          <w:i/>
        </w:rPr>
        <w:t>Fines, Penalties and Infringement Notices Enforcement Act 1994</w:t>
      </w:r>
      <w:r>
        <w:t xml:space="preserve"> section 3(1);</w:t>
      </w:r>
    </w:p>
    <w:p>
      <w:pPr>
        <w:pStyle w:val="Defstart"/>
      </w:pPr>
      <w:r>
        <w:tab/>
      </w:r>
      <w:r>
        <w:rPr>
          <w:rStyle w:val="CharDefText"/>
        </w:rPr>
        <w:t>offender</w:t>
      </w:r>
      <w:r>
        <w:t> —</w:t>
      </w:r>
    </w:p>
    <w:p>
      <w:pPr>
        <w:pStyle w:val="Defpara"/>
      </w:pPr>
      <w:r>
        <w:tab/>
        <w:t>(a)</w:t>
      </w:r>
      <w:r>
        <w:tab/>
        <w:t xml:space="preserve">has the meaning given in the </w:t>
      </w:r>
      <w:r>
        <w:rPr>
          <w:i/>
        </w:rPr>
        <w:t>Fines, Penalties and Infringement Notices Enforcement Act 1994</w:t>
      </w:r>
      <w:r>
        <w:t xml:space="preserve"> section 28(1); and </w:t>
      </w:r>
    </w:p>
    <w:p>
      <w:pPr>
        <w:pStyle w:val="Defpara"/>
      </w:pPr>
      <w:r>
        <w:tab/>
        <w:t>(b)</w:t>
      </w:r>
      <w:r>
        <w:tab/>
        <w:t>includes a person liable to pay an amount referred to in Part 5 of that Act;</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 inquiry</w:t>
      </w:r>
      <w:r>
        <w:t xml:space="preserve"> has the meaning given in the </w:t>
      </w:r>
      <w:r>
        <w:rPr>
          <w:i/>
        </w:rPr>
        <w:t>Fines, Penalties and Infringement Notices Enforcement Act 1994</w:t>
      </w:r>
      <w:r>
        <w:t xml:space="preserve"> section 52M(1).</w:t>
      </w:r>
    </w:p>
    <w:p>
      <w:pPr>
        <w:pStyle w:val="Footnotesection"/>
      </w:pPr>
      <w:r>
        <w:tab/>
        <w:t>[Rule 123 amended: Gazette 2 Jul 2010 p. 3193; 20 May 2011 p. 1842; SL 2021/25 r. 7.]</w:t>
      </w:r>
    </w:p>
    <w:p>
      <w:pPr>
        <w:pStyle w:val="Heading5"/>
        <w:spacing w:before="180"/>
      </w:pPr>
      <w:bookmarkStart w:id="542" w:name="_Toc155093993"/>
      <w:bookmarkStart w:id="543" w:name="_Toc119573588"/>
      <w:r>
        <w:rPr>
          <w:rStyle w:val="CharSectno"/>
        </w:rPr>
        <w:t>124</w:t>
      </w:r>
      <w:r>
        <w:t>.</w:t>
      </w:r>
      <w:r>
        <w:tab/>
        <w:t>Applications to which this Division applies</w:t>
      </w:r>
      <w:bookmarkEnd w:id="542"/>
      <w:bookmarkEnd w:id="543"/>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keepNext/>
              <w:spacing w:before="20"/>
              <w:rPr>
                <w:b/>
                <w:bCs/>
              </w:rPr>
            </w:pPr>
            <w:r>
              <w:rPr>
                <w:b/>
                <w:bCs/>
              </w:rPr>
              <w:t>Written law</w:t>
            </w:r>
          </w:p>
        </w:tc>
        <w:tc>
          <w:tcPr>
            <w:tcW w:w="3119" w:type="dxa"/>
            <w:tcBorders>
              <w:top w:val="single" w:sz="4" w:space="0" w:color="auto"/>
              <w:bottom w:val="single" w:sz="4" w:space="0" w:color="auto"/>
            </w:tcBorders>
          </w:tcPr>
          <w:p>
            <w:pPr>
              <w:pStyle w:val="TableNAm"/>
              <w:keepNext/>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52N(1),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 SL 2021/25 r. 8.]</w:t>
      </w:r>
    </w:p>
    <w:p>
      <w:pPr>
        <w:pStyle w:val="Heading5"/>
      </w:pPr>
      <w:bookmarkStart w:id="544" w:name="_Toc155093994"/>
      <w:bookmarkStart w:id="545" w:name="_Toc119573589"/>
      <w:r>
        <w:rPr>
          <w:rStyle w:val="CharSectno"/>
        </w:rPr>
        <w:t>125</w:t>
      </w:r>
      <w:r>
        <w:t>.</w:t>
      </w:r>
      <w:r>
        <w:tab/>
        <w:t>Application, form of</w:t>
      </w:r>
      <w:bookmarkEnd w:id="544"/>
      <w:bookmarkEnd w:id="545"/>
    </w:p>
    <w:p>
      <w:pPr>
        <w:pStyle w:val="Subsection"/>
      </w:pPr>
      <w:r>
        <w:tab/>
      </w:r>
      <w:r>
        <w:tab/>
        <w:t>Unless the conferring Act provides otherwise, an application must be in the approved form.</w:t>
      </w:r>
    </w:p>
    <w:p>
      <w:pPr>
        <w:pStyle w:val="Heading5"/>
      </w:pPr>
      <w:bookmarkStart w:id="546" w:name="_Toc155093995"/>
      <w:bookmarkStart w:id="547" w:name="_Toc119573590"/>
      <w:r>
        <w:rPr>
          <w:rStyle w:val="CharSectno"/>
        </w:rPr>
        <w:t>126</w:t>
      </w:r>
      <w:r>
        <w:t>.</w:t>
      </w:r>
      <w:r>
        <w:tab/>
        <w:t>Application must be served</w:t>
      </w:r>
      <w:bookmarkEnd w:id="546"/>
      <w:bookmarkEnd w:id="547"/>
    </w:p>
    <w:p>
      <w:pPr>
        <w:pStyle w:val="Subsection"/>
      </w:pPr>
      <w:r>
        <w:tab/>
        <w:t>(1)</w:t>
      </w:r>
      <w:r>
        <w:tab/>
        <w:t>Except as provided in the conferring Act or in rule 129B, 129C, 129D, 130A,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 SL 2021/25 r. 9.]</w:t>
      </w:r>
    </w:p>
    <w:p>
      <w:pPr>
        <w:pStyle w:val="Heading5"/>
      </w:pPr>
      <w:bookmarkStart w:id="548" w:name="_Toc155093996"/>
      <w:bookmarkStart w:id="549" w:name="_Toc119573591"/>
      <w:r>
        <w:rPr>
          <w:rStyle w:val="CharSectno"/>
        </w:rPr>
        <w:t>127</w:t>
      </w:r>
      <w:r>
        <w:t>.</w:t>
      </w:r>
      <w:r>
        <w:tab/>
        <w:t>Registrar to list case for status conference</w:t>
      </w:r>
      <w:bookmarkEnd w:id="548"/>
      <w:bookmarkEnd w:id="549"/>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52N(1),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 SL 2021/25 r. 10.]</w:t>
      </w:r>
    </w:p>
    <w:p>
      <w:pPr>
        <w:pStyle w:val="Heading5"/>
      </w:pPr>
      <w:bookmarkStart w:id="550" w:name="_Toc155093997"/>
      <w:bookmarkStart w:id="551" w:name="_Toc119573592"/>
      <w:r>
        <w:rPr>
          <w:rStyle w:val="CharSectno"/>
        </w:rPr>
        <w:t>128</w:t>
      </w:r>
      <w:r>
        <w:t>.</w:t>
      </w:r>
      <w:r>
        <w:tab/>
        <w:t>Application of rules generally</w:t>
      </w:r>
      <w:bookmarkEnd w:id="550"/>
      <w:bookmarkEnd w:id="551"/>
    </w:p>
    <w:p>
      <w:pPr>
        <w:pStyle w:val="Subsection"/>
      </w:pPr>
      <w:r>
        <w:tab/>
        <w:t>(1)</w:t>
      </w:r>
      <w:r>
        <w:tab/>
        <w:t xml:space="preserve">This rule does not apply to an application made to the Court under — </w:t>
      </w:r>
    </w:p>
    <w:p>
      <w:pPr>
        <w:pStyle w:val="Indenta"/>
      </w:pPr>
      <w:r>
        <w:tab/>
        <w:t>(a)</w:t>
      </w:r>
      <w:r>
        <w:tab/>
        <w:t xml:space="preserve">the </w:t>
      </w:r>
      <w:r>
        <w:rPr>
          <w:i/>
        </w:rPr>
        <w:t>Mandatory Testing (Infectious Diseases) Act 2014</w:t>
      </w:r>
      <w:r>
        <w:t xml:space="preserve"> section 16; or</w:t>
      </w:r>
    </w:p>
    <w:p>
      <w:pPr>
        <w:pStyle w:val="Indenta"/>
      </w:pPr>
      <w:r>
        <w:tab/>
        <w:t>(b)</w:t>
      </w:r>
      <w:r>
        <w:tab/>
        <w:t xml:space="preserve">the </w:t>
      </w:r>
      <w:r>
        <w:rPr>
          <w:i/>
        </w:rPr>
        <w:t xml:space="preserve">Fines, Penalties and Infringement Notices Enforcement Act 1994 </w:t>
      </w:r>
      <w:r>
        <w:t>section 52N(1).</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 SL 2021/25 r. 11.]</w:t>
      </w:r>
    </w:p>
    <w:p>
      <w:pPr>
        <w:pStyle w:val="Heading5"/>
        <w:keepNext w:val="0"/>
        <w:keepLines w:val="0"/>
      </w:pPr>
      <w:bookmarkStart w:id="552" w:name="_Toc155093998"/>
      <w:bookmarkStart w:id="553" w:name="_Toc119573593"/>
      <w:r>
        <w:rPr>
          <w:rStyle w:val="CharSectno"/>
        </w:rPr>
        <w:t>129A</w:t>
      </w:r>
      <w:r>
        <w:t>.</w:t>
      </w:r>
      <w:r>
        <w:tab/>
        <w:t>Dealing with application</w:t>
      </w:r>
      <w:bookmarkEnd w:id="552"/>
      <w:bookmarkEnd w:id="553"/>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554" w:name="_Toc155093999"/>
      <w:bookmarkStart w:id="555" w:name="_Toc119573594"/>
      <w:r>
        <w:rPr>
          <w:rStyle w:val="CharSectno"/>
        </w:rPr>
        <w:t>129AB</w:t>
      </w:r>
      <w:r>
        <w:t>.</w:t>
      </w:r>
      <w:r>
        <w:tab/>
      </w:r>
      <w:r>
        <w:rPr>
          <w:i/>
        </w:rPr>
        <w:t xml:space="preserve">Animal Welfare Act 2002 </w:t>
      </w:r>
      <w:r>
        <w:t>s. 44 and 56, application under</w:t>
      </w:r>
      <w:bookmarkEnd w:id="554"/>
      <w:bookmarkEnd w:id="555"/>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556" w:name="_Toc155094000"/>
      <w:bookmarkStart w:id="557" w:name="_Toc119573595"/>
      <w:r>
        <w:rPr>
          <w:rStyle w:val="CharSectno"/>
        </w:rPr>
        <w:t>129B</w:t>
      </w:r>
      <w:r>
        <w:t>.</w:t>
      </w:r>
      <w:r>
        <w:tab/>
      </w:r>
      <w:r>
        <w:rPr>
          <w:i/>
          <w:iCs/>
        </w:rPr>
        <w:t>Criminal and Found Property Disposal Act 2006</w:t>
      </w:r>
      <w:r>
        <w:t>, application under</w:t>
      </w:r>
      <w:bookmarkEnd w:id="556"/>
      <w:bookmarkEnd w:id="557"/>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558" w:name="_Toc155094001"/>
      <w:bookmarkStart w:id="559" w:name="_Toc119573596"/>
      <w:r>
        <w:rPr>
          <w:rStyle w:val="CharSectno"/>
        </w:rPr>
        <w:t>129C</w:t>
      </w:r>
      <w:r>
        <w:t>.</w:t>
      </w:r>
      <w:r>
        <w:tab/>
      </w:r>
      <w:r>
        <w:rPr>
          <w:i/>
          <w:iCs/>
        </w:rPr>
        <w:t xml:space="preserve">Criminal Investigation Act 2006 </w:t>
      </w:r>
      <w:r>
        <w:rPr>
          <w:iCs/>
        </w:rPr>
        <w:t>s. 49(1) and 147(5)</w:t>
      </w:r>
      <w:r>
        <w:t>, application under</w:t>
      </w:r>
      <w:bookmarkEnd w:id="558"/>
      <w:bookmarkEnd w:id="559"/>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560" w:name="_Toc155094002"/>
      <w:bookmarkStart w:id="561" w:name="_Toc119573597"/>
      <w:r>
        <w:rPr>
          <w:rStyle w:val="CharSectno"/>
        </w:rPr>
        <w:t>129D</w:t>
      </w:r>
      <w:r>
        <w:t>.</w:t>
      </w:r>
      <w:r>
        <w:tab/>
      </w:r>
      <w:r>
        <w:rPr>
          <w:i/>
        </w:rPr>
        <w:t>Mandatory Testing (Infectious Diseases) Act 2014</w:t>
      </w:r>
      <w:bookmarkEnd w:id="560"/>
      <w:bookmarkEnd w:id="561"/>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562" w:name="_Toc155094003"/>
      <w:bookmarkStart w:id="563" w:name="_Toc119573598"/>
      <w:r>
        <w:rPr>
          <w:rStyle w:val="CharSectno"/>
        </w:rPr>
        <w:t>129</w:t>
      </w:r>
      <w:r>
        <w:t>.</w:t>
      </w:r>
      <w:r>
        <w:tab/>
      </w:r>
      <w:r>
        <w:rPr>
          <w:i/>
          <w:iCs/>
        </w:rPr>
        <w:t>Disposal of Uncollected Goods Act 1970</w:t>
      </w:r>
      <w:r>
        <w:t>, application under</w:t>
      </w:r>
      <w:bookmarkEnd w:id="562"/>
      <w:bookmarkEnd w:id="563"/>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564" w:name="_Toc155094004"/>
      <w:bookmarkStart w:id="565" w:name="_Toc119573599"/>
      <w:r>
        <w:rPr>
          <w:rStyle w:val="CharSectno"/>
        </w:rPr>
        <w:t>130A</w:t>
      </w:r>
      <w:r>
        <w:t>.</w:t>
      </w:r>
      <w:r>
        <w:tab/>
        <w:t xml:space="preserve">Application under </w:t>
      </w:r>
      <w:r>
        <w:rPr>
          <w:i/>
        </w:rPr>
        <w:t>Fines, Penalties and Infringement Notices Enforcement Act 1994</w:t>
      </w:r>
      <w:r>
        <w:t xml:space="preserve"> s. 52N(1)</w:t>
      </w:r>
      <w:bookmarkEnd w:id="564"/>
      <w:bookmarkEnd w:id="565"/>
    </w:p>
    <w:p>
      <w:pPr>
        <w:pStyle w:val="Subsection"/>
      </w:pPr>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p>
    <w:p>
      <w:pPr>
        <w:pStyle w:val="Subsection"/>
      </w:pPr>
      <w:r>
        <w:tab/>
        <w:t>(2)</w:t>
      </w:r>
      <w:r>
        <w:tab/>
        <w:t xml:space="preserve">The evidence required by the </w:t>
      </w:r>
      <w:r>
        <w:rPr>
          <w:i/>
        </w:rPr>
        <w:t xml:space="preserve">Fines, Penalties and Infringement Notices Enforcement Act 1994 </w:t>
      </w:r>
      <w:r>
        <w:t>section 52O(2)(b) must be provided by way of affidavit.</w:t>
      </w:r>
    </w:p>
    <w:p>
      <w:pPr>
        <w:pStyle w:val="Subsection"/>
      </w:pPr>
      <w:r>
        <w:tab/>
        <w:t>(3)</w:t>
      </w:r>
      <w:r>
        <w:tab/>
        <w:t>Rule 126(1) does not apply to the application.</w:t>
      </w:r>
    </w:p>
    <w:p>
      <w:pPr>
        <w:pStyle w:val="Subsection"/>
      </w:pPr>
      <w:r>
        <w:tab/>
        <w:t>(4)</w:t>
      </w:r>
      <w:r>
        <w:tab/>
        <w:t>Parts 16, 19 and 22 apply, with any necessary modifications, to the application.</w:t>
      </w:r>
    </w:p>
    <w:p>
      <w:pPr>
        <w:pStyle w:val="Footnotesection"/>
      </w:pPr>
      <w:r>
        <w:tab/>
        <w:t>[Rule 130A inserted: SL 2021/25 r. 12.]</w:t>
      </w:r>
    </w:p>
    <w:p>
      <w:pPr>
        <w:pStyle w:val="Heading5"/>
      </w:pPr>
      <w:bookmarkStart w:id="566" w:name="_Toc155094005"/>
      <w:bookmarkStart w:id="567" w:name="_Toc119573600"/>
      <w:r>
        <w:rPr>
          <w:rStyle w:val="CharSectno"/>
        </w:rPr>
        <w:t>130B</w:t>
      </w:r>
      <w:r>
        <w:t>.</w:t>
      </w:r>
      <w:r>
        <w:tab/>
        <w:t xml:space="preserve">Dealing with application under </w:t>
      </w:r>
      <w:r>
        <w:rPr>
          <w:i/>
        </w:rPr>
        <w:t>Fines, Penalties and Infringement Notices Enforcement Act 1994</w:t>
      </w:r>
      <w:r>
        <w:t xml:space="preserve"> s. 52N(1)</w:t>
      </w:r>
      <w:bookmarkEnd w:id="566"/>
      <w:bookmarkEnd w:id="567"/>
    </w:p>
    <w:p>
      <w:pPr>
        <w:pStyle w:val="Subsection"/>
      </w:pPr>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p>
    <w:p>
      <w:pPr>
        <w:pStyle w:val="Indenta"/>
      </w:pPr>
      <w:r>
        <w:tab/>
        <w:t>(a)</w:t>
      </w:r>
      <w:r>
        <w:tab/>
        <w:t>grant the application; or</w:t>
      </w:r>
    </w:p>
    <w:p>
      <w:pPr>
        <w:pStyle w:val="Indenta"/>
      </w:pPr>
      <w:r>
        <w:tab/>
        <w:t>(b)</w:t>
      </w:r>
      <w:r>
        <w:tab/>
        <w:t>direct that the application be listed for hearing by a magistrate.</w:t>
      </w:r>
    </w:p>
    <w:p>
      <w:pPr>
        <w:pStyle w:val="Subsection"/>
      </w:pPr>
      <w:r>
        <w:tab/>
        <w:t>(2)</w:t>
      </w:r>
      <w:r>
        <w:tab/>
        <w:t>The Court must notify the Fines Enforcement Registrar of the details of a hearing referred to in subrule (1)(b).</w:t>
      </w:r>
    </w:p>
    <w:p>
      <w:pPr>
        <w:pStyle w:val="Subsection"/>
      </w:pPr>
      <w:r>
        <w:tab/>
        <w:t>(3)</w:t>
      </w:r>
      <w:r>
        <w:tab/>
        <w:t>The notification must be at least 5 clear days before the date listed for the hearing unless the magistrate considers the hearing to be urgent.</w:t>
      </w:r>
    </w:p>
    <w:p>
      <w:pPr>
        <w:pStyle w:val="Subsection"/>
      </w:pPr>
      <w:r>
        <w:tab/>
        <w:t>(4)</w:t>
      </w:r>
      <w:r>
        <w:tab/>
        <w:t>The magistrate hearing the application may grant or refuse it.</w:t>
      </w:r>
    </w:p>
    <w:p>
      <w:pPr>
        <w:pStyle w:val="Footnotesection"/>
      </w:pPr>
      <w:r>
        <w:tab/>
        <w:t>[Rule 130B inserted: SL 2021/25 r. 12.]</w:t>
      </w:r>
    </w:p>
    <w:p>
      <w:pPr>
        <w:pStyle w:val="Heading5"/>
      </w:pPr>
      <w:bookmarkStart w:id="568" w:name="_Toc155094006"/>
      <w:bookmarkStart w:id="569" w:name="_Toc119573601"/>
      <w:r>
        <w:rPr>
          <w:rStyle w:val="CharSectno"/>
        </w:rPr>
        <w:t>130C</w:t>
      </w:r>
      <w:r>
        <w:t>.</w:t>
      </w:r>
      <w:r>
        <w:tab/>
        <w:t xml:space="preserve">Process where summons issued under </w:t>
      </w:r>
      <w:r>
        <w:rPr>
          <w:i/>
        </w:rPr>
        <w:t>Fines, Penalties and Infringement Notices Enforcement Act 1994</w:t>
      </w:r>
      <w:r>
        <w:t xml:space="preserve"> Pt. 4 Div. 3E</w:t>
      </w:r>
      <w:bookmarkEnd w:id="568"/>
      <w:bookmarkEnd w:id="569"/>
    </w:p>
    <w:p>
      <w:pPr>
        <w:pStyle w:val="Subsection"/>
      </w:pPr>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p>
    <w:p>
      <w:pPr>
        <w:pStyle w:val="Subsection"/>
      </w:pPr>
      <w:r>
        <w:tab/>
        <w:t>(2)</w:t>
      </w:r>
      <w:r>
        <w:tab/>
        <w:t>The inquiry must be held at the registry of the Court at which the application for the inquiry was lodged.</w:t>
      </w:r>
    </w:p>
    <w:p>
      <w:pPr>
        <w:pStyle w:val="Subsection"/>
      </w:pPr>
      <w:r>
        <w:tab/>
        <w:t>(3)</w:t>
      </w:r>
      <w:r>
        <w:tab/>
        <w:t xml:space="preserve">The Fines Enforcement Registrar must arrange service of the summons in accordance with the </w:t>
      </w:r>
      <w:r>
        <w:rPr>
          <w:i/>
        </w:rPr>
        <w:t xml:space="preserve">Fines, Penalties and Infringement Notices Enforcement Act 1994 </w:t>
      </w:r>
      <w:r>
        <w:t>section 52V.</w:t>
      </w:r>
    </w:p>
    <w:p>
      <w:pPr>
        <w:pStyle w:val="Footnotesection"/>
      </w:pPr>
      <w:r>
        <w:tab/>
        <w:t>[Rule 130C inserted: SL 2021/25 r. 12.]</w:t>
      </w:r>
    </w:p>
    <w:p>
      <w:pPr>
        <w:pStyle w:val="Heading5"/>
      </w:pPr>
      <w:bookmarkStart w:id="570" w:name="_Toc155094007"/>
      <w:bookmarkStart w:id="571" w:name="_Toc119573602"/>
      <w:r>
        <w:rPr>
          <w:rStyle w:val="CharSectno"/>
        </w:rPr>
        <w:t>130D</w:t>
      </w:r>
      <w:r>
        <w:t>.</w:t>
      </w:r>
      <w:r>
        <w:tab/>
        <w:t>Process where arrest warrant issued under</w:t>
      </w:r>
      <w:r>
        <w:rPr>
          <w:i/>
        </w:rPr>
        <w:t xml:space="preserve"> Fines, Penalties and Infringement Notices Enforcement Act 1994</w:t>
      </w:r>
      <w:r>
        <w:t xml:space="preserve"> Pt. 4 Div. 3E</w:t>
      </w:r>
      <w:bookmarkEnd w:id="570"/>
      <w:bookmarkEnd w:id="571"/>
    </w:p>
    <w:p>
      <w:pPr>
        <w:pStyle w:val="Subsection"/>
      </w:pPr>
      <w:r>
        <w:tab/>
        <w:t>(1)</w:t>
      </w:r>
      <w:r>
        <w:tab/>
        <w:t xml:space="preserve">In this rule — </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p>
    <w:p>
      <w:pPr>
        <w:pStyle w:val="Subsection"/>
      </w:pPr>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p>
    <w:p>
      <w:pPr>
        <w:pStyle w:val="Subsection"/>
      </w:pPr>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p>
    <w:p>
      <w:pPr>
        <w:pStyle w:val="Footnotesection"/>
      </w:pPr>
      <w:r>
        <w:tab/>
        <w:t>[Rule 130D inserted: SL 2021/25 r. 12.]</w:t>
      </w:r>
    </w:p>
    <w:p>
      <w:pPr>
        <w:pStyle w:val="Heading5"/>
      </w:pPr>
      <w:bookmarkStart w:id="572" w:name="_Toc155094008"/>
      <w:bookmarkStart w:id="573" w:name="_Toc119573603"/>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572"/>
      <w:bookmarkEnd w:id="573"/>
    </w:p>
    <w:p>
      <w:pPr>
        <w:pStyle w:val="Subsection"/>
      </w:pPr>
      <w:r>
        <w:tab/>
        <w:t>(1)</w:t>
      </w:r>
      <w:r>
        <w:tab/>
        <w:t>This rule applies if the Court decides to hold a warrant of commitment inquiry.</w:t>
      </w:r>
    </w:p>
    <w:p>
      <w:pPr>
        <w:pStyle w:val="Subsection"/>
      </w:pPr>
      <w:r>
        <w:tab/>
        <w:t>(2)</w:t>
      </w:r>
      <w:r>
        <w:tab/>
        <w:t>The Court must notify the Fines Enforcement Registrar of the time and location at which the inquiry will be held.</w:t>
      </w:r>
    </w:p>
    <w:p>
      <w:pPr>
        <w:pStyle w:val="Subsection"/>
      </w:pPr>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p>
    <w:p>
      <w:pPr>
        <w:pStyle w:val="Subsection"/>
      </w:pPr>
      <w:r>
        <w:tab/>
        <w:t>(4)</w:t>
      </w:r>
      <w:r>
        <w:tab/>
        <w:t xml:space="preserve">The Fines Enforcement Registrar may appear before the Court at the inquiry — </w:t>
      </w:r>
    </w:p>
    <w:p>
      <w:pPr>
        <w:pStyle w:val="Indenta"/>
      </w:pPr>
      <w:r>
        <w:tab/>
        <w:t>(a)</w:t>
      </w:r>
      <w:r>
        <w:tab/>
        <w:t xml:space="preserve">in the case of an inquiry held outside the metropolitan region (as defined in the </w:t>
      </w:r>
      <w:r>
        <w:rPr>
          <w:i/>
        </w:rPr>
        <w:t>Planning and Development Act 2005</w:t>
      </w:r>
      <w:r>
        <w:t xml:space="preserve"> section 4(1)) — in person or by video link or audio link; or</w:t>
      </w:r>
    </w:p>
    <w:p>
      <w:pPr>
        <w:pStyle w:val="Indenta"/>
      </w:pPr>
      <w:r>
        <w:tab/>
        <w:t>(b)</w:t>
      </w:r>
      <w:r>
        <w:tab/>
        <w:t>in any other case — in person or, with the leave of the Court, by video link or audio link.</w:t>
      </w:r>
    </w:p>
    <w:p>
      <w:pPr>
        <w:pStyle w:val="Subsection"/>
      </w:pPr>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p>
    <w:p>
      <w:pPr>
        <w:pStyle w:val="Footnotesection"/>
      </w:pPr>
      <w:r>
        <w:tab/>
        <w:t>[Rule 130E inserted: SL 2021/25 r. 12.]</w:t>
      </w:r>
    </w:p>
    <w:p>
      <w:pPr>
        <w:pStyle w:val="Heading5"/>
      </w:pPr>
      <w:bookmarkStart w:id="574" w:name="_Toc155094009"/>
      <w:bookmarkStart w:id="575" w:name="_Toc119573604"/>
      <w:r>
        <w:rPr>
          <w:rStyle w:val="CharSectno"/>
        </w:rPr>
        <w:t>130</w:t>
      </w:r>
      <w:r>
        <w:t>.</w:t>
      </w:r>
      <w:r>
        <w:tab/>
      </w:r>
      <w:r>
        <w:rPr>
          <w:i/>
        </w:rPr>
        <w:t>Fines, Penalties and Infringement Notices Enforcement Act 1994</w:t>
      </w:r>
      <w:r>
        <w:t xml:space="preserve"> s. 69(1), application under</w:t>
      </w:r>
      <w:bookmarkEnd w:id="574"/>
      <w:bookmarkEnd w:id="575"/>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keepNext/>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576" w:name="_Toc155094010"/>
      <w:bookmarkStart w:id="577" w:name="_Toc119573605"/>
      <w:r>
        <w:rPr>
          <w:rStyle w:val="CharSectno"/>
        </w:rPr>
        <w:t>131AA</w:t>
      </w:r>
      <w:r>
        <w:t>.</w:t>
      </w:r>
      <w:r>
        <w:tab/>
      </w:r>
      <w:r>
        <w:rPr>
          <w:i/>
        </w:rPr>
        <w:t>Fines, Penalties and Infringement Notices Enforcement Act 1994</w:t>
      </w:r>
      <w:r>
        <w:t xml:space="preserve"> s. 94(2), application under</w:t>
      </w:r>
      <w:bookmarkEnd w:id="576"/>
      <w:bookmarkEnd w:id="577"/>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578" w:name="_Toc155094011"/>
      <w:bookmarkStart w:id="579" w:name="_Toc119573606"/>
      <w:r>
        <w:rPr>
          <w:rStyle w:val="CharSectno"/>
        </w:rPr>
        <w:t>131AB</w:t>
      </w:r>
      <w:r>
        <w:t>.</w:t>
      </w:r>
      <w:r>
        <w:tab/>
      </w:r>
      <w:r>
        <w:rPr>
          <w:i/>
        </w:rPr>
        <w:t>Fines, Penalties and Infringement Notices Enforcement Act 1994</w:t>
      </w:r>
      <w:r>
        <w:t xml:space="preserve"> s. 94, location of interpleader proceedings</w:t>
      </w:r>
      <w:bookmarkEnd w:id="578"/>
      <w:bookmarkEnd w:id="579"/>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580" w:name="_Toc155094012"/>
      <w:bookmarkStart w:id="581" w:name="_Toc119573607"/>
      <w:r>
        <w:rPr>
          <w:rStyle w:val="CharSectno"/>
        </w:rPr>
        <w:t>131AC</w:t>
      </w:r>
      <w:r>
        <w:t>.</w:t>
      </w:r>
      <w:r>
        <w:tab/>
      </w:r>
      <w:r>
        <w:rPr>
          <w:i/>
        </w:rPr>
        <w:t>Fines, Penalties and Infringement Notices Enforcement Act 1994</w:t>
      </w:r>
      <w:r>
        <w:t xml:space="preserve"> s. 94, interpleader proceedings</w:t>
      </w:r>
      <w:bookmarkEnd w:id="580"/>
      <w:bookmarkEnd w:id="581"/>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582" w:name="_Toc155094013"/>
      <w:bookmarkStart w:id="583" w:name="_Toc119573608"/>
      <w:r>
        <w:rPr>
          <w:rStyle w:val="CharSectno"/>
        </w:rPr>
        <w:t>131AD</w:t>
      </w:r>
      <w:r>
        <w:t>.</w:t>
      </w:r>
      <w:r>
        <w:tab/>
      </w:r>
      <w:r>
        <w:rPr>
          <w:i/>
        </w:rPr>
        <w:t>Fines, Penalties and Infringement Notices Enforcement Act 1994</w:t>
      </w:r>
      <w:r>
        <w:t xml:space="preserve"> s. 94, power to delay sale</w:t>
      </w:r>
      <w:bookmarkEnd w:id="582"/>
      <w:bookmarkEnd w:id="583"/>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584" w:name="_Toc155094014"/>
      <w:bookmarkStart w:id="585" w:name="_Toc119573609"/>
      <w:r>
        <w:rPr>
          <w:rStyle w:val="CharSectno"/>
        </w:rPr>
        <w:t>131A</w:t>
      </w:r>
      <w:r>
        <w:t>.</w:t>
      </w:r>
      <w:r>
        <w:tab/>
      </w:r>
      <w:r>
        <w:rPr>
          <w:i/>
          <w:iCs/>
        </w:rPr>
        <w:t>National Consumer Credit Protection Act 2009</w:t>
      </w:r>
      <w:r>
        <w:t xml:space="preserve"> (Cwlth) s. 199(1)(b), application under</w:t>
      </w:r>
      <w:bookmarkEnd w:id="584"/>
      <w:bookmarkEnd w:id="585"/>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586" w:name="_Toc155094015"/>
      <w:bookmarkStart w:id="587" w:name="_Toc119573610"/>
      <w:r>
        <w:rPr>
          <w:rStyle w:val="CharSectno"/>
        </w:rPr>
        <w:t>131B</w:t>
      </w:r>
      <w:r>
        <w:t>.</w:t>
      </w:r>
      <w:r>
        <w:tab/>
      </w:r>
      <w:r>
        <w:rPr>
          <w:i/>
        </w:rPr>
        <w:t>Prohibited Behaviour Orders Act 2010</w:t>
      </w:r>
      <w:r>
        <w:t>, application under</w:t>
      </w:r>
      <w:bookmarkEnd w:id="586"/>
      <w:bookmarkEnd w:id="587"/>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588" w:name="_Toc155094016"/>
      <w:bookmarkStart w:id="589" w:name="_Toc119573611"/>
      <w:r>
        <w:rPr>
          <w:rStyle w:val="CharSectno"/>
        </w:rPr>
        <w:t>131C</w:t>
      </w:r>
      <w:r>
        <w:t>.</w:t>
      </w:r>
      <w:r>
        <w:tab/>
      </w:r>
      <w:r>
        <w:rPr>
          <w:i/>
        </w:rPr>
        <w:t xml:space="preserve">Weapons Act 1999 </w:t>
      </w:r>
      <w:r>
        <w:t>s. 17(1), application under</w:t>
      </w:r>
      <w:bookmarkEnd w:id="588"/>
      <w:bookmarkEnd w:id="589"/>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590" w:name="_Toc155094017"/>
      <w:bookmarkStart w:id="591" w:name="_Toc119485335"/>
      <w:bookmarkStart w:id="592" w:name="_Toc119493409"/>
      <w:bookmarkStart w:id="593" w:name="_Toc119493657"/>
      <w:bookmarkStart w:id="594" w:name="_Toc119493905"/>
      <w:bookmarkStart w:id="595" w:name="_Toc119573612"/>
      <w:r>
        <w:rPr>
          <w:rStyle w:val="CharDivNo"/>
        </w:rPr>
        <w:t>Division 1A</w:t>
      </w:r>
      <w:r>
        <w:t> — </w:t>
      </w:r>
      <w:r>
        <w:rPr>
          <w:rStyle w:val="CharDivText"/>
          <w:i/>
        </w:rPr>
        <w:t>Restraining Orders Act 1997</w:t>
      </w:r>
      <w:bookmarkEnd w:id="590"/>
      <w:bookmarkEnd w:id="591"/>
      <w:bookmarkEnd w:id="592"/>
      <w:bookmarkEnd w:id="593"/>
      <w:bookmarkEnd w:id="594"/>
      <w:bookmarkEnd w:id="595"/>
    </w:p>
    <w:p>
      <w:pPr>
        <w:pStyle w:val="Footnoteheading"/>
        <w:keepNext/>
      </w:pPr>
      <w:r>
        <w:tab/>
        <w:t>[Heading inserted: SL 2020/141 r. 4.]</w:t>
      </w:r>
    </w:p>
    <w:p>
      <w:pPr>
        <w:pStyle w:val="Heading5"/>
        <w:tabs>
          <w:tab w:val="clear" w:pos="879"/>
          <w:tab w:val="left" w:pos="993"/>
        </w:tabs>
      </w:pPr>
      <w:bookmarkStart w:id="596" w:name="_Toc155094018"/>
      <w:bookmarkStart w:id="597" w:name="_Toc119573613"/>
      <w:r>
        <w:rPr>
          <w:rStyle w:val="CharSectno"/>
        </w:rPr>
        <w:t>131CAA</w:t>
      </w:r>
      <w:r>
        <w:t>.</w:t>
      </w:r>
      <w:r>
        <w:tab/>
        <w:t>Terms used</w:t>
      </w:r>
      <w:bookmarkEnd w:id="596"/>
      <w:bookmarkEnd w:id="597"/>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pPr>
      <w:r>
        <w:tab/>
        <w:t>[Rule 131CAA inserted: SL 2020/141 r. 4.]</w:t>
      </w:r>
    </w:p>
    <w:p>
      <w:pPr>
        <w:pStyle w:val="Heading5"/>
        <w:tabs>
          <w:tab w:val="clear" w:pos="879"/>
          <w:tab w:val="left" w:pos="993"/>
        </w:tabs>
        <w:rPr>
          <w:rStyle w:val="CharSectno"/>
        </w:rPr>
      </w:pPr>
      <w:bookmarkStart w:id="598" w:name="_Toc155094019"/>
      <w:bookmarkStart w:id="599" w:name="_Toc119573614"/>
      <w:r>
        <w:rPr>
          <w:rStyle w:val="CharSectno"/>
        </w:rPr>
        <w:t>131CAB</w:t>
      </w:r>
      <w:r>
        <w:t>.</w:t>
      </w:r>
      <w:r>
        <w:tab/>
        <w:t>Fixing conference under s. 49D</w:t>
      </w:r>
      <w:bookmarkEnd w:id="598"/>
      <w:bookmarkEnd w:id="599"/>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Subsection"/>
      </w:pPr>
      <w:r>
        <w:tab/>
        <w:t>(4)</w:t>
      </w:r>
      <w:r>
        <w:tab/>
        <w:t>Subrule (3) is satisfied if the ECMS fixes the conference.</w:t>
      </w:r>
    </w:p>
    <w:p>
      <w:pPr>
        <w:pStyle w:val="Footnotesection"/>
      </w:pPr>
      <w:r>
        <w:tab/>
        <w:t>[Rule 131CAB inserted: SL 2020/141 r. 4; amended: SL 2021/45 r. 4.]</w:t>
      </w:r>
    </w:p>
    <w:p>
      <w:pPr>
        <w:pStyle w:val="Heading5"/>
      </w:pPr>
      <w:bookmarkStart w:id="600" w:name="_Toc155094020"/>
      <w:bookmarkStart w:id="601" w:name="_Toc119573615"/>
      <w:r>
        <w:rPr>
          <w:rStyle w:val="CharSectno"/>
        </w:rPr>
        <w:t>131CA</w:t>
      </w:r>
      <w:r>
        <w:t>.</w:t>
      </w:r>
      <w:r>
        <w:tab/>
        <w:t>Fixing hearing under s. 9 or 26</w:t>
      </w:r>
      <w:bookmarkEnd w:id="600"/>
      <w:bookmarkEnd w:id="601"/>
    </w:p>
    <w:p>
      <w:pPr>
        <w:pStyle w:val="Subsection"/>
      </w:pPr>
      <w:r>
        <w:tab/>
        <w:t>(1)</w:t>
      </w:r>
      <w:r>
        <w:tab/>
        <w:t>This rule applies for the purposes of sections 9 and 26(2).</w:t>
      </w:r>
    </w:p>
    <w:p>
      <w:pPr>
        <w:pStyle w:val="Subsection"/>
      </w:pPr>
      <w:r>
        <w:tab/>
        <w:t>(2)</w:t>
      </w:r>
      <w:r>
        <w:tab/>
        <w:t xml:space="preserve">If under the Act the Court must fix a hearing, the Court must fix the hearing by — </w:t>
      </w:r>
    </w:p>
    <w:p>
      <w:pPr>
        <w:pStyle w:val="Indenta"/>
      </w:pPr>
      <w:r>
        <w:tab/>
        <w:t>(a)</w:t>
      </w:r>
      <w:r>
        <w:tab/>
        <w:t>fixing a day, time and place for the hearing; and</w:t>
      </w:r>
    </w:p>
    <w:p>
      <w:pPr>
        <w:pStyle w:val="Indenta"/>
      </w:pPr>
      <w:r>
        <w:tab/>
        <w:t>(b)</w:t>
      </w:r>
      <w:r>
        <w:tab/>
        <w:t>notifying the parties of the hearing.</w:t>
      </w:r>
    </w:p>
    <w:p>
      <w:pPr>
        <w:pStyle w:val="Subsection"/>
      </w:pPr>
      <w:r>
        <w:tab/>
        <w:t>(3)</w:t>
      </w:r>
      <w:r>
        <w:tab/>
        <w:t xml:space="preserve">If under the Act the Court must summons a person to a hearing, the Court must summons the person to the hearing by — </w:t>
      </w:r>
    </w:p>
    <w:p>
      <w:pPr>
        <w:pStyle w:val="Indenta"/>
      </w:pPr>
      <w:r>
        <w:tab/>
        <w:t>(a)</w:t>
      </w:r>
      <w:r>
        <w:tab/>
        <w:t>preparing a summons in the form set out in Schedule 1 Form 16; and</w:t>
      </w:r>
    </w:p>
    <w:p>
      <w:pPr>
        <w:pStyle w:val="Indenta"/>
      </w:pPr>
      <w:r>
        <w:tab/>
        <w:t>(b)</w:t>
      </w:r>
      <w:r>
        <w:tab/>
        <w:t>causing the summons to be served on the person.</w:t>
      </w:r>
    </w:p>
    <w:p>
      <w:pPr>
        <w:pStyle w:val="Subsection"/>
      </w:pPr>
      <w:r>
        <w:tab/>
        <w:t>(4)</w:t>
      </w:r>
      <w:r>
        <w:tab/>
        <w:t>Subrule (2) is satisfied if the ECMS fixes the hearing.</w:t>
      </w:r>
    </w:p>
    <w:p>
      <w:pPr>
        <w:pStyle w:val="Subsection"/>
      </w:pPr>
      <w:r>
        <w:tab/>
        <w:t>(5)</w:t>
      </w:r>
      <w:r>
        <w:tab/>
        <w:t xml:space="preserve">Despite subrule (2), if under section 26(2) an applicant wishes to have the first hearing held in the absence of the respondent — </w:t>
      </w:r>
    </w:p>
    <w:p>
      <w:pPr>
        <w:pStyle w:val="Indenta"/>
      </w:pPr>
      <w:r>
        <w:tab/>
        <w:t>(a)</w:t>
      </w:r>
      <w:r>
        <w:tab/>
        <w:t xml:space="preserve">the Court may fix the first hearing by — </w:t>
      </w:r>
    </w:p>
    <w:p>
      <w:pPr>
        <w:pStyle w:val="Indenti"/>
      </w:pPr>
      <w:r>
        <w:tab/>
        <w:t>(i)</w:t>
      </w:r>
      <w:r>
        <w:tab/>
        <w:t>fixing a day, time and place for the first hearing; and</w:t>
      </w:r>
    </w:p>
    <w:p>
      <w:pPr>
        <w:pStyle w:val="Indenti"/>
      </w:pPr>
      <w:r>
        <w:tab/>
        <w:t>(ii)</w:t>
      </w:r>
      <w:r>
        <w:tab/>
        <w:t xml:space="preserve">notifying the applicant of the first hearing; </w:t>
      </w:r>
    </w:p>
    <w:p>
      <w:pPr>
        <w:pStyle w:val="Indenta"/>
      </w:pPr>
      <w:r>
        <w:tab/>
      </w:r>
      <w:r>
        <w:tab/>
        <w:t>or</w:t>
      </w:r>
    </w:p>
    <w:p>
      <w:pPr>
        <w:pStyle w:val="Indenta"/>
      </w:pPr>
      <w:r>
        <w:tab/>
        <w:t>(b)</w:t>
      </w:r>
      <w:r>
        <w:tab/>
        <w:t xml:space="preserve">an approved user acting for the applicant may select the day, time and place (the </w:t>
      </w:r>
      <w:r>
        <w:rPr>
          <w:rStyle w:val="CharDefText"/>
        </w:rPr>
        <w:t>hearing details</w:t>
      </w:r>
      <w:r>
        <w:t>) for the first hearing by means of the ECMS.</w:t>
      </w:r>
    </w:p>
    <w:p>
      <w:pPr>
        <w:pStyle w:val="Subsection"/>
      </w:pPr>
      <w:r>
        <w:tab/>
        <w:t>(6)</w:t>
      </w:r>
      <w:r>
        <w:tab/>
        <w:t>If the hearing details have been selected under subrule (5)(b), the Court must give notice to confirm the hearing details by means of the ECMS to the approved user.</w:t>
      </w:r>
    </w:p>
    <w:p>
      <w:pPr>
        <w:pStyle w:val="Footnotesection"/>
      </w:pPr>
      <w:r>
        <w:tab/>
        <w:t>[Rule 131CA inserted: SL 2021/45 r. 5.]</w:t>
      </w:r>
    </w:p>
    <w:p>
      <w:pPr>
        <w:pStyle w:val="Heading5"/>
      </w:pPr>
      <w:bookmarkStart w:id="602" w:name="_Toc155094021"/>
      <w:bookmarkStart w:id="603" w:name="_Toc119573616"/>
      <w:r>
        <w:rPr>
          <w:rStyle w:val="CharSectno"/>
        </w:rPr>
        <w:t>131CB</w:t>
      </w:r>
      <w:r>
        <w:t>.</w:t>
      </w:r>
      <w:r>
        <w:tab/>
        <w:t>Preparing, serving and delivering restraining orders under s. 10(1)</w:t>
      </w:r>
      <w:bookmarkEnd w:id="602"/>
      <w:bookmarkEnd w:id="603"/>
    </w:p>
    <w:p>
      <w:pPr>
        <w:pStyle w:val="Subsection"/>
      </w:pPr>
      <w:r>
        <w:tab/>
        <w:t>(1)</w:t>
      </w:r>
      <w:r>
        <w:tab/>
        <w:t>This rule applies for the purposes of section 10(1).</w:t>
      </w:r>
    </w:p>
    <w:p>
      <w:pPr>
        <w:pStyle w:val="Subsection"/>
      </w:pPr>
      <w:r>
        <w:tab/>
        <w:t>(2)</w:t>
      </w:r>
      <w:r>
        <w:tab/>
        <w:t>A restraining order is to be prepared by means of the ECMS in the form set out in Schedule 1 Form 2, 4, 6 or 9, as appropriate.</w:t>
      </w:r>
    </w:p>
    <w:p>
      <w:pPr>
        <w:pStyle w:val="Subsection"/>
        <w:keepNext/>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604" w:name="_Toc155094022"/>
      <w:bookmarkStart w:id="605" w:name="_Toc119573617"/>
      <w:r>
        <w:rPr>
          <w:rStyle w:val="CharSectno"/>
        </w:rPr>
        <w:t>131CC</w:t>
      </w:r>
      <w:r>
        <w:t>.</w:t>
      </w:r>
      <w:r>
        <w:tab/>
        <w:t>Application for FVRO under s. 24A</w:t>
      </w:r>
      <w:bookmarkEnd w:id="604"/>
      <w:bookmarkEnd w:id="605"/>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606" w:name="_Toc155094023"/>
      <w:bookmarkStart w:id="607" w:name="_Toc119573618"/>
      <w:r>
        <w:rPr>
          <w:rStyle w:val="CharSectno"/>
        </w:rPr>
        <w:t>131CD</w:t>
      </w:r>
      <w:r>
        <w:t>.</w:t>
      </w:r>
      <w:r>
        <w:tab/>
        <w:t>Application for VRO under s. 25</w:t>
      </w:r>
      <w:bookmarkEnd w:id="606"/>
      <w:bookmarkEnd w:id="607"/>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 amended: SL 2020/141 r. 8.]</w:t>
      </w:r>
    </w:p>
    <w:p>
      <w:pPr>
        <w:pStyle w:val="Heading5"/>
      </w:pPr>
      <w:bookmarkStart w:id="608" w:name="_Toc155094024"/>
      <w:bookmarkStart w:id="609" w:name="_Toc119573619"/>
      <w:r>
        <w:rPr>
          <w:rStyle w:val="CharSectno"/>
        </w:rPr>
        <w:t>131CE</w:t>
      </w:r>
      <w:r>
        <w:t>.</w:t>
      </w:r>
      <w:r>
        <w:tab/>
        <w:t>Applicant’s declaration if application is to be made by ECMS</w:t>
      </w:r>
      <w:bookmarkEnd w:id="608"/>
      <w:bookmarkEnd w:id="609"/>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610" w:name="_Toc155094025"/>
      <w:bookmarkStart w:id="611" w:name="_Toc119573620"/>
      <w:r>
        <w:rPr>
          <w:rStyle w:val="CharSectno"/>
        </w:rPr>
        <w:t>131CF</w:t>
      </w:r>
      <w:r>
        <w:t>.</w:t>
      </w:r>
      <w:r>
        <w:tab/>
        <w:t xml:space="preserve">Relationship with </w:t>
      </w:r>
      <w:r>
        <w:rPr>
          <w:i/>
        </w:rPr>
        <w:t>Magistrates Court (General) Rules 2005</w:t>
      </w:r>
      <w:r>
        <w:t xml:space="preserve"> Pt. 2 Div. 3</w:t>
      </w:r>
      <w:bookmarkEnd w:id="610"/>
      <w:bookmarkEnd w:id="611"/>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612" w:name="_Toc155094026"/>
      <w:bookmarkStart w:id="613" w:name="_Toc119573621"/>
      <w:r>
        <w:rPr>
          <w:rStyle w:val="CharSectno"/>
        </w:rPr>
        <w:t>131D</w:t>
      </w:r>
      <w:r>
        <w:t>.</w:t>
      </w:r>
      <w:r>
        <w:tab/>
        <w:t>Forms under Act</w:t>
      </w:r>
      <w:bookmarkEnd w:id="612"/>
      <w:bookmarkEnd w:id="613"/>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 amended: SL 2020/141 r. 9.]</w:t>
      </w:r>
    </w:p>
    <w:p>
      <w:pPr>
        <w:pStyle w:val="Heading5"/>
        <w:rPr>
          <w:ins w:id="614" w:author="Master Repository Process" w:date="2024-01-02T13:18:00Z"/>
        </w:rPr>
      </w:pPr>
      <w:bookmarkStart w:id="615" w:name="_Toc155094027"/>
      <w:ins w:id="616" w:author="Master Repository Process" w:date="2024-01-02T13:18:00Z">
        <w:r>
          <w:rPr>
            <w:rStyle w:val="CharSectno"/>
          </w:rPr>
          <w:t>131E</w:t>
        </w:r>
        <w:r>
          <w:t>.</w:t>
        </w:r>
        <w:r>
          <w:tab/>
          <w:t>Court may notify or give documents by email</w:t>
        </w:r>
        <w:bookmarkEnd w:id="615"/>
      </w:ins>
    </w:p>
    <w:p>
      <w:pPr>
        <w:pStyle w:val="Subsection"/>
        <w:rPr>
          <w:ins w:id="617" w:author="Master Repository Process" w:date="2024-01-02T13:18:00Z"/>
        </w:rPr>
      </w:pPr>
      <w:ins w:id="618" w:author="Master Repository Process" w:date="2024-01-02T13:18:00Z">
        <w:r>
          <w:tab/>
          <w:t>(1)</w:t>
        </w:r>
        <w:r>
          <w:tab/>
          <w:t>Subject to subrule (2), the Court may, under this Division, notify a person of a thing, or deliver a copy of a document to them, by email.</w:t>
        </w:r>
      </w:ins>
    </w:p>
    <w:p>
      <w:pPr>
        <w:pStyle w:val="Subsection"/>
        <w:rPr>
          <w:ins w:id="619" w:author="Master Repository Process" w:date="2024-01-02T13:18:00Z"/>
        </w:rPr>
      </w:pPr>
      <w:ins w:id="620" w:author="Master Repository Process" w:date="2024-01-02T13:18:00Z">
        <w:r>
          <w:tab/>
          <w:t>(2)</w:t>
        </w:r>
        <w:r>
          <w:tab/>
          <w:t xml:space="preserve">This rule does not authorise the use of email — </w:t>
        </w:r>
      </w:ins>
    </w:p>
    <w:p>
      <w:pPr>
        <w:pStyle w:val="Indenta"/>
        <w:rPr>
          <w:ins w:id="621" w:author="Master Repository Process" w:date="2024-01-02T13:18:00Z"/>
        </w:rPr>
      </w:pPr>
      <w:ins w:id="622" w:author="Master Repository Process" w:date="2024-01-02T13:18:00Z">
        <w:r>
          <w:tab/>
          <w:t>(a)</w:t>
        </w:r>
        <w:r>
          <w:tab/>
          <w:t>to serve a summons relating to a restraining order; or</w:t>
        </w:r>
      </w:ins>
    </w:p>
    <w:p>
      <w:pPr>
        <w:pStyle w:val="Indenta"/>
        <w:rPr>
          <w:ins w:id="623" w:author="Master Repository Process" w:date="2024-01-02T13:18:00Z"/>
        </w:rPr>
      </w:pPr>
      <w:ins w:id="624" w:author="Master Repository Process" w:date="2024-01-02T13:18:00Z">
        <w:r>
          <w:tab/>
          <w:t>(b)</w:t>
        </w:r>
        <w:r>
          <w:tab/>
          <w:t>to serve a restraining order on a person bound by it; or</w:t>
        </w:r>
      </w:ins>
    </w:p>
    <w:p>
      <w:pPr>
        <w:pStyle w:val="Indenta"/>
        <w:rPr>
          <w:ins w:id="625" w:author="Master Repository Process" w:date="2024-01-02T13:18:00Z"/>
        </w:rPr>
      </w:pPr>
      <w:ins w:id="626" w:author="Master Repository Process" w:date="2024-01-02T13:18:00Z">
        <w:r>
          <w:tab/>
          <w:t>(c)</w:t>
        </w:r>
        <w:r>
          <w:tab/>
          <w:t>to make a notification or deliver a document to a person who has not provided to the Court an email address, for themselves.</w:t>
        </w:r>
      </w:ins>
    </w:p>
    <w:p>
      <w:pPr>
        <w:pStyle w:val="Footnotesection"/>
        <w:rPr>
          <w:ins w:id="627" w:author="Master Repository Process" w:date="2024-01-02T13:18:00Z"/>
        </w:rPr>
      </w:pPr>
      <w:ins w:id="628" w:author="Master Repository Process" w:date="2024-01-02T13:18:00Z">
        <w:r>
          <w:tab/>
          <w:t>[Rule 131E inserted: SL 2023/148 r. 5]</w:t>
        </w:r>
      </w:ins>
    </w:p>
    <w:p>
      <w:pPr>
        <w:pStyle w:val="Heading3"/>
        <w:spacing w:before="200"/>
      </w:pPr>
      <w:bookmarkStart w:id="629" w:name="_Toc155094028"/>
      <w:bookmarkStart w:id="630" w:name="_Toc119485345"/>
      <w:bookmarkStart w:id="631" w:name="_Toc119493419"/>
      <w:bookmarkStart w:id="632" w:name="_Toc119493667"/>
      <w:bookmarkStart w:id="633" w:name="_Toc119493915"/>
      <w:bookmarkStart w:id="634" w:name="_Toc119573622"/>
      <w:r>
        <w:rPr>
          <w:rStyle w:val="CharDivNo"/>
        </w:rPr>
        <w:t>Division 2</w:t>
      </w:r>
      <w:r>
        <w:t> — </w:t>
      </w:r>
      <w:r>
        <w:rPr>
          <w:rStyle w:val="CharDivText"/>
          <w:i/>
          <w:iCs/>
        </w:rPr>
        <w:t>Civil Judgments Enforcement Act 2004</w:t>
      </w:r>
      <w:bookmarkEnd w:id="629"/>
      <w:bookmarkEnd w:id="630"/>
      <w:bookmarkEnd w:id="631"/>
      <w:bookmarkEnd w:id="632"/>
      <w:bookmarkEnd w:id="633"/>
      <w:bookmarkEnd w:id="634"/>
    </w:p>
    <w:p>
      <w:pPr>
        <w:pStyle w:val="Heading5"/>
        <w:spacing w:before="180"/>
      </w:pPr>
      <w:bookmarkStart w:id="635" w:name="_Toc155094029"/>
      <w:bookmarkStart w:id="636" w:name="_Toc119573623"/>
      <w:r>
        <w:rPr>
          <w:rStyle w:val="CharSectno"/>
        </w:rPr>
        <w:t>131</w:t>
      </w:r>
      <w:r>
        <w:t>.</w:t>
      </w:r>
      <w:r>
        <w:tab/>
        <w:t>Means inquiries, registrars’ powers for</w:t>
      </w:r>
      <w:bookmarkEnd w:id="635"/>
      <w:bookmarkEnd w:id="636"/>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637" w:name="_Toc155094030"/>
      <w:bookmarkStart w:id="638" w:name="_Toc119573624"/>
      <w:r>
        <w:rPr>
          <w:rStyle w:val="CharSectno"/>
        </w:rPr>
        <w:t>132</w:t>
      </w:r>
      <w:r>
        <w:t>.</w:t>
      </w:r>
      <w:r>
        <w:tab/>
        <w:t>Other applications and requests dealt with by registrars</w:t>
      </w:r>
      <w:bookmarkEnd w:id="637"/>
      <w:bookmarkEnd w:id="638"/>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639" w:name="_Toc155094031"/>
      <w:bookmarkStart w:id="640" w:name="_Toc119485348"/>
      <w:bookmarkStart w:id="641" w:name="_Toc119493422"/>
      <w:bookmarkStart w:id="642" w:name="_Toc119493670"/>
      <w:bookmarkStart w:id="643" w:name="_Toc119493918"/>
      <w:bookmarkStart w:id="644" w:name="_Toc119573625"/>
      <w:r>
        <w:rPr>
          <w:rStyle w:val="CharDivNo"/>
        </w:rPr>
        <w:t>Division 3A</w:t>
      </w:r>
      <w:r>
        <w:t> — </w:t>
      </w:r>
      <w:r>
        <w:rPr>
          <w:rStyle w:val="CharDivText"/>
          <w:i/>
          <w:iCs/>
        </w:rPr>
        <w:t>Warehousemen’s Liens Act 1952</w:t>
      </w:r>
      <w:bookmarkEnd w:id="639"/>
      <w:bookmarkEnd w:id="640"/>
      <w:bookmarkEnd w:id="641"/>
      <w:bookmarkEnd w:id="642"/>
      <w:bookmarkEnd w:id="643"/>
      <w:bookmarkEnd w:id="644"/>
    </w:p>
    <w:p>
      <w:pPr>
        <w:pStyle w:val="Footnoteheading"/>
      </w:pPr>
      <w:r>
        <w:tab/>
        <w:t>[Heading inserted: Gazette 23 Jan 2015 p. 411.]</w:t>
      </w:r>
    </w:p>
    <w:p>
      <w:pPr>
        <w:pStyle w:val="Heading5"/>
        <w:tabs>
          <w:tab w:val="clear" w:pos="879"/>
          <w:tab w:val="left" w:pos="993"/>
        </w:tabs>
        <w:rPr>
          <w:rStyle w:val="CharSectno"/>
        </w:rPr>
      </w:pPr>
      <w:bookmarkStart w:id="645" w:name="_Toc155094032"/>
      <w:bookmarkStart w:id="646" w:name="_Toc119573626"/>
      <w:r>
        <w:rPr>
          <w:rStyle w:val="CharSectno"/>
        </w:rPr>
        <w:t>133AAA</w:t>
      </w:r>
      <w:r>
        <w:t>.</w:t>
      </w:r>
      <w:r>
        <w:tab/>
        <w:t>Terms used</w:t>
      </w:r>
      <w:bookmarkEnd w:id="645"/>
      <w:bookmarkEnd w:id="646"/>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647" w:name="_Toc155094033"/>
      <w:bookmarkStart w:id="648" w:name="_Toc119573627"/>
      <w:r>
        <w:rPr>
          <w:rStyle w:val="CharSectno"/>
        </w:rPr>
        <w:t>133AAB</w:t>
      </w:r>
      <w:r>
        <w:t>.</w:t>
      </w:r>
      <w:r>
        <w:tab/>
        <w:t>Application for order under s. 7(7A)</w:t>
      </w:r>
      <w:bookmarkEnd w:id="647"/>
      <w:bookmarkEnd w:id="648"/>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649" w:name="_Toc155094034"/>
      <w:bookmarkStart w:id="650" w:name="_Toc119573628"/>
      <w:r>
        <w:rPr>
          <w:rStyle w:val="CharSectno"/>
        </w:rPr>
        <w:t>133AAC</w:t>
      </w:r>
      <w:r>
        <w:t>.</w:t>
      </w:r>
      <w:r>
        <w:tab/>
        <w:t>Payments into court under s. 10(2A)</w:t>
      </w:r>
      <w:bookmarkEnd w:id="649"/>
      <w:bookmarkEnd w:id="650"/>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651" w:name="_Toc155094035"/>
      <w:bookmarkStart w:id="652" w:name="_Toc119573629"/>
      <w:r>
        <w:rPr>
          <w:rStyle w:val="CharSectno"/>
        </w:rPr>
        <w:t>133AAD</w:t>
      </w:r>
      <w:r>
        <w:t>.</w:t>
      </w:r>
      <w:r>
        <w:tab/>
        <w:t>Application for order under s. 10(2B)</w:t>
      </w:r>
      <w:bookmarkEnd w:id="651"/>
      <w:bookmarkEnd w:id="652"/>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653" w:name="_Toc155094036"/>
      <w:bookmarkStart w:id="654" w:name="_Toc119573630"/>
      <w:r>
        <w:rPr>
          <w:rStyle w:val="CharSectno"/>
        </w:rPr>
        <w:t>133AAE</w:t>
      </w:r>
      <w:r>
        <w:t>.</w:t>
      </w:r>
      <w:r>
        <w:tab/>
        <w:t>Court may act on its own initiative under s. 10(2B)</w:t>
      </w:r>
      <w:bookmarkEnd w:id="653"/>
      <w:bookmarkEnd w:id="654"/>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655" w:name="_Toc155094037"/>
      <w:bookmarkStart w:id="656" w:name="_Toc119485354"/>
      <w:bookmarkStart w:id="657" w:name="_Toc119493428"/>
      <w:bookmarkStart w:id="658" w:name="_Toc119493676"/>
      <w:bookmarkStart w:id="659" w:name="_Toc119493924"/>
      <w:bookmarkStart w:id="660" w:name="_Toc119573631"/>
      <w:r>
        <w:rPr>
          <w:rStyle w:val="CharDivNo"/>
        </w:rPr>
        <w:t>Division 3</w:t>
      </w:r>
      <w:r>
        <w:t> — </w:t>
      </w:r>
      <w:r>
        <w:rPr>
          <w:rStyle w:val="CharDivText"/>
          <w:iCs/>
        </w:rPr>
        <w:t>Applications under other written laws</w:t>
      </w:r>
      <w:bookmarkEnd w:id="655"/>
      <w:bookmarkEnd w:id="656"/>
      <w:bookmarkEnd w:id="657"/>
      <w:bookmarkEnd w:id="658"/>
      <w:bookmarkEnd w:id="659"/>
      <w:bookmarkEnd w:id="660"/>
    </w:p>
    <w:p>
      <w:pPr>
        <w:pStyle w:val="Footnoteheading"/>
        <w:keepNext/>
        <w:keepLines/>
      </w:pPr>
      <w:r>
        <w:tab/>
        <w:t>[Heading inserted: Gazette 23 Mar 2012 p. 1367.]</w:t>
      </w:r>
    </w:p>
    <w:p>
      <w:pPr>
        <w:pStyle w:val="Heading5"/>
        <w:tabs>
          <w:tab w:val="clear" w:pos="879"/>
          <w:tab w:val="left" w:pos="993"/>
        </w:tabs>
      </w:pPr>
      <w:bookmarkStart w:id="661" w:name="_Toc155094038"/>
      <w:bookmarkStart w:id="662" w:name="_Toc119573632"/>
      <w:r>
        <w:rPr>
          <w:rStyle w:val="CharSectno"/>
        </w:rPr>
        <w:t>133AA</w:t>
      </w:r>
      <w:r>
        <w:t>.</w:t>
      </w:r>
      <w:r>
        <w:tab/>
        <w:t>Applications under other written laws, making etc.</w:t>
      </w:r>
      <w:bookmarkEnd w:id="661"/>
      <w:bookmarkEnd w:id="662"/>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663" w:name="_Toc155094039"/>
      <w:bookmarkStart w:id="664" w:name="_Toc119485356"/>
      <w:bookmarkStart w:id="665" w:name="_Toc119493430"/>
      <w:bookmarkStart w:id="666" w:name="_Toc119493678"/>
      <w:bookmarkStart w:id="667" w:name="_Toc119493926"/>
      <w:bookmarkStart w:id="668" w:name="_Toc119573633"/>
      <w:r>
        <w:rPr>
          <w:rStyle w:val="CharPartNo"/>
        </w:rPr>
        <w:t>Part 22</w:t>
      </w:r>
      <w:r>
        <w:rPr>
          <w:rStyle w:val="CharDivNo"/>
        </w:rPr>
        <w:t> </w:t>
      </w:r>
      <w:r>
        <w:t>—</w:t>
      </w:r>
      <w:r>
        <w:rPr>
          <w:rStyle w:val="CharDivText"/>
        </w:rPr>
        <w:t> </w:t>
      </w:r>
      <w:r>
        <w:rPr>
          <w:rStyle w:val="CharPartText"/>
        </w:rPr>
        <w:t>Miscellaneous</w:t>
      </w:r>
      <w:bookmarkEnd w:id="663"/>
      <w:bookmarkEnd w:id="664"/>
      <w:bookmarkEnd w:id="665"/>
      <w:bookmarkEnd w:id="666"/>
      <w:bookmarkEnd w:id="667"/>
      <w:bookmarkEnd w:id="668"/>
    </w:p>
    <w:p>
      <w:pPr>
        <w:pStyle w:val="Heading5"/>
      </w:pPr>
      <w:bookmarkStart w:id="669" w:name="_Toc155094040"/>
      <w:bookmarkStart w:id="670" w:name="_Toc119573634"/>
      <w:r>
        <w:rPr>
          <w:rStyle w:val="CharSectno"/>
        </w:rPr>
        <w:t>133A</w:t>
      </w:r>
      <w:r>
        <w:t>.</w:t>
      </w:r>
      <w:r>
        <w:tab/>
        <w:t>Change of venue, application for (Act s. 22)</w:t>
      </w:r>
      <w:bookmarkEnd w:id="669"/>
      <w:bookmarkEnd w:id="670"/>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671" w:name="_Toc155094041"/>
      <w:bookmarkStart w:id="672" w:name="_Toc119573635"/>
      <w:r>
        <w:rPr>
          <w:rStyle w:val="CharSectno"/>
        </w:rPr>
        <w:t>133B</w:t>
      </w:r>
      <w:r>
        <w:t>.</w:t>
      </w:r>
      <w:r>
        <w:tab/>
        <w:t>Typographical and other errors, correcting</w:t>
      </w:r>
      <w:bookmarkEnd w:id="671"/>
      <w:bookmarkEnd w:id="672"/>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673" w:name="_Toc155094042"/>
      <w:bookmarkStart w:id="674" w:name="_Toc119573636"/>
      <w:r>
        <w:rPr>
          <w:rStyle w:val="CharSectno"/>
        </w:rPr>
        <w:t>133</w:t>
      </w:r>
      <w:r>
        <w:t>.</w:t>
      </w:r>
      <w:r>
        <w:tab/>
        <w:t>Forms to be available</w:t>
      </w:r>
      <w:bookmarkEnd w:id="673"/>
      <w:bookmarkEnd w:id="674"/>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Lines w:val="0"/>
        <w:spacing w:before="180"/>
      </w:pPr>
      <w:bookmarkStart w:id="675" w:name="_Toc155094043"/>
      <w:bookmarkStart w:id="676" w:name="_Toc119573637"/>
      <w:r>
        <w:rPr>
          <w:rStyle w:val="CharSectno"/>
        </w:rPr>
        <w:t>134</w:t>
      </w:r>
      <w:r>
        <w:t>.</w:t>
      </w:r>
      <w:r>
        <w:tab/>
        <w:t>Partnerships, conduct of cases by</w:t>
      </w:r>
      <w:bookmarkEnd w:id="675"/>
      <w:bookmarkEnd w:id="676"/>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677" w:name="_Toc155094044"/>
      <w:bookmarkStart w:id="678" w:name="_Toc119573638"/>
      <w:r>
        <w:rPr>
          <w:rStyle w:val="CharSectno"/>
        </w:rPr>
        <w:t>135</w:t>
      </w:r>
      <w:r>
        <w:t>.</w:t>
      </w:r>
      <w:r>
        <w:tab/>
        <w:t>Who may sign or do other things for partnerships, corporations etc.</w:t>
      </w:r>
      <w:bookmarkEnd w:id="677"/>
      <w:bookmarkEnd w:id="678"/>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679" w:name="_Toc155094045"/>
      <w:bookmarkStart w:id="680" w:name="_Toc119573639"/>
      <w:r>
        <w:rPr>
          <w:rStyle w:val="CharSectno"/>
        </w:rPr>
        <w:t>136</w:t>
      </w:r>
      <w:r>
        <w:t>.</w:t>
      </w:r>
      <w:r>
        <w:tab/>
        <w:t>Cases remitted from superior court</w:t>
      </w:r>
      <w:bookmarkEnd w:id="679"/>
      <w:bookmarkEnd w:id="680"/>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681" w:name="_Toc155094046"/>
      <w:bookmarkStart w:id="682" w:name="_Toc119573640"/>
      <w:r>
        <w:rPr>
          <w:rStyle w:val="CharSectno"/>
        </w:rPr>
        <w:t>137</w:t>
      </w:r>
      <w:r>
        <w:t>.</w:t>
      </w:r>
      <w:r>
        <w:tab/>
        <w:t>Payments into Court</w:t>
      </w:r>
      <w:bookmarkEnd w:id="681"/>
      <w:bookmarkEnd w:id="682"/>
    </w:p>
    <w:p>
      <w:pPr>
        <w:pStyle w:val="Subsection"/>
      </w:pPr>
      <w:r>
        <w:tab/>
      </w:r>
      <w:r>
        <w:tab/>
        <w:t>When a party makes a payment of money into Court, the Court must give to the party a written receipt for the money.</w:t>
      </w:r>
    </w:p>
    <w:p>
      <w:pPr>
        <w:pStyle w:val="Heading5"/>
      </w:pPr>
      <w:bookmarkStart w:id="683" w:name="_Toc155094047"/>
      <w:bookmarkStart w:id="684" w:name="_Toc119573641"/>
      <w:r>
        <w:rPr>
          <w:rStyle w:val="CharSectno"/>
        </w:rPr>
        <w:t>138</w:t>
      </w:r>
      <w:r>
        <w:t>.</w:t>
      </w:r>
      <w:r>
        <w:tab/>
      </w:r>
      <w:r>
        <w:rPr>
          <w:i/>
        </w:rPr>
        <w:t>Residential Tenancies Act 1987</w:t>
      </w:r>
      <w:r>
        <w:t xml:space="preserve"> s. 18(2)(b), notices under</w:t>
      </w:r>
      <w:bookmarkEnd w:id="683"/>
      <w:bookmarkEnd w:id="684"/>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685" w:name="_Toc155094048"/>
      <w:bookmarkStart w:id="686" w:name="_Toc119485365"/>
      <w:bookmarkStart w:id="687" w:name="_Toc119493439"/>
      <w:bookmarkStart w:id="688" w:name="_Toc119493687"/>
      <w:bookmarkStart w:id="689" w:name="_Toc119493935"/>
      <w:bookmarkStart w:id="690" w:name="_Toc119573642"/>
      <w:r>
        <w:rPr>
          <w:rStyle w:val="CharPartNo"/>
        </w:rPr>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685"/>
      <w:bookmarkEnd w:id="686"/>
      <w:bookmarkEnd w:id="687"/>
      <w:bookmarkEnd w:id="688"/>
      <w:bookmarkEnd w:id="689"/>
      <w:bookmarkEnd w:id="690"/>
    </w:p>
    <w:p>
      <w:pPr>
        <w:pStyle w:val="Footnoteheading"/>
      </w:pPr>
      <w:r>
        <w:tab/>
        <w:t>[Heading inserted: SL 2020/67 r. 42.]</w:t>
      </w:r>
    </w:p>
    <w:p>
      <w:pPr>
        <w:pStyle w:val="Heading5"/>
      </w:pPr>
      <w:bookmarkStart w:id="691" w:name="_Toc155094049"/>
      <w:bookmarkStart w:id="692" w:name="_Toc119573643"/>
      <w:r>
        <w:rPr>
          <w:rStyle w:val="CharSectno"/>
        </w:rPr>
        <w:t>139</w:t>
      </w:r>
      <w:r>
        <w:t>.</w:t>
      </w:r>
      <w:r>
        <w:tab/>
        <w:t>Terms used in this Part</w:t>
      </w:r>
      <w:bookmarkEnd w:id="691"/>
      <w:bookmarkEnd w:id="692"/>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693" w:name="_Toc155094050"/>
      <w:bookmarkStart w:id="694" w:name="_Toc119573644"/>
      <w:r>
        <w:rPr>
          <w:rStyle w:val="CharSectno"/>
        </w:rPr>
        <w:t>140</w:t>
      </w:r>
      <w:r>
        <w:t>.</w:t>
      </w:r>
      <w:r>
        <w:tab/>
        <w:t>Application of amended Rules in relation to transitional cases</w:t>
      </w:r>
      <w:bookmarkEnd w:id="693"/>
      <w:bookmarkEnd w:id="694"/>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695" w:name="_Toc155094051"/>
      <w:bookmarkStart w:id="696" w:name="_Toc119573645"/>
      <w:r>
        <w:rPr>
          <w:rStyle w:val="CharSectno"/>
        </w:rPr>
        <w:t>141</w:t>
      </w:r>
      <w:r>
        <w:t>.</w:t>
      </w:r>
      <w:r>
        <w:tab/>
        <w:t>Application of former Rules in relation to certain transitional cases</w:t>
      </w:r>
      <w:bookmarkEnd w:id="695"/>
      <w:bookmarkEnd w:id="696"/>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697" w:name="_Toc155094052"/>
      <w:bookmarkStart w:id="698" w:name="_Toc119573646"/>
      <w:r>
        <w:rPr>
          <w:rStyle w:val="CharSectno"/>
        </w:rPr>
        <w:t>142</w:t>
      </w:r>
      <w:r>
        <w:t>.</w:t>
      </w:r>
      <w:r>
        <w:tab/>
        <w:t>Listing transitional cases for a status conference</w:t>
      </w:r>
      <w:bookmarkEnd w:id="697"/>
      <w:bookmarkEnd w:id="698"/>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699" w:name="_Toc155094053"/>
      <w:bookmarkStart w:id="700" w:name="_Toc119573647"/>
      <w:r>
        <w:rPr>
          <w:rStyle w:val="CharSectno"/>
        </w:rPr>
        <w:t>143</w:t>
      </w:r>
      <w:r>
        <w:t>.</w:t>
      </w:r>
      <w:r>
        <w:tab/>
        <w:t>Court or registrar may give directions in relation to transitional issues</w:t>
      </w:r>
      <w:bookmarkEnd w:id="699"/>
      <w:bookmarkEnd w:id="700"/>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 amended: SL 2021/25 r. 13.]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701" w:name="_Toc155094054"/>
      <w:bookmarkStart w:id="702" w:name="_Toc119485371"/>
      <w:bookmarkStart w:id="703" w:name="_Toc119493445"/>
      <w:bookmarkStart w:id="704" w:name="_Toc119493693"/>
      <w:bookmarkStart w:id="705" w:name="_Toc119493941"/>
      <w:bookmarkStart w:id="706" w:name="_Toc119573648"/>
      <w:r>
        <w:rPr>
          <w:rStyle w:val="CharSchNo"/>
        </w:rPr>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701"/>
      <w:bookmarkEnd w:id="702"/>
      <w:bookmarkEnd w:id="703"/>
      <w:bookmarkEnd w:id="704"/>
      <w:bookmarkEnd w:id="705"/>
      <w:bookmarkEnd w:id="706"/>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1"/>
          <w:headerReference w:type="default" r:id="rId22"/>
          <w:pgSz w:w="11907" w:h="16840" w:code="9"/>
          <w:pgMar w:top="2381" w:right="2410" w:bottom="3544" w:left="2410" w:header="720" w:footer="3544" w:gutter="0"/>
          <w:cols w:space="720"/>
        </w:sectPr>
      </w:pPr>
    </w:p>
    <w:p>
      <w:pPr>
        <w:pStyle w:val="yMiscellaneousHeading"/>
        <w:keepNext w:val="0"/>
        <w:widowControl w:val="0"/>
        <w:rPr>
          <w:b/>
        </w:rPr>
      </w:pPr>
      <w:r>
        <w:rPr>
          <w:b/>
        </w:rPr>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bottom w:val="nil"/>
              <w:right w:val="single" w:sz="4" w:space="0" w:color="auto"/>
            </w:tcBorders>
            <w:shd w:val="pct10" w:color="auto" w:fill="FFFFFF"/>
            <w:hideMark/>
          </w:tcPr>
          <w:p>
            <w:pPr>
              <w:pStyle w:val="yTableNAm"/>
              <w:widowControl w:val="0"/>
              <w:spacing w:before="0"/>
              <w:rPr>
                <w:sz w:val="16"/>
                <w:szCs w:val="16"/>
              </w:rPr>
            </w:pPr>
            <w:bookmarkStart w:id="708" w:name="_Hlk115703200"/>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hideMark/>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bottom w:val="nil"/>
              <w:right w:val="single" w:sz="4" w:space="0" w:color="auto"/>
            </w:tcBorders>
            <w:hideMark/>
          </w:tcPr>
          <w:p>
            <w:pPr>
              <w:pStyle w:val="yTableNAm"/>
              <w:widowControl w:val="0"/>
              <w:spacing w:before="0"/>
              <w:rPr>
                <w:sz w:val="16"/>
                <w:szCs w:val="16"/>
              </w:rPr>
            </w:pPr>
            <w:r>
              <w:rPr>
                <w:sz w:val="16"/>
                <w:szCs w:val="16"/>
              </w:rPr>
              <w:t>Date of birth:</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i/>
                <w:sz w:val="14"/>
                <w:szCs w:val="14"/>
              </w:rPr>
            </w:pPr>
          </w:p>
        </w:tc>
        <w:tc>
          <w:tcPr>
            <w:tcW w:w="5035" w:type="dxa"/>
            <w:gridSpan w:val="3"/>
            <w:tcBorders>
              <w:top w:val="single" w:sz="4" w:space="0" w:color="auto"/>
              <w:left w:val="single" w:sz="4" w:space="0" w:color="auto"/>
              <w:bottom w:val="single" w:sz="4" w:space="0" w:color="auto"/>
              <w:right w:val="single" w:sz="4" w:space="0" w:color="auto"/>
            </w:tcBorders>
            <w:hideMark/>
          </w:tcPr>
          <w:p>
            <w:pPr>
              <w:pStyle w:val="yTableNAm"/>
              <w:widowControl w:val="0"/>
              <w:spacing w:before="0"/>
              <w:rPr>
                <w:sz w:val="16"/>
                <w:szCs w:val="16"/>
              </w:rPr>
            </w:pPr>
            <w:r>
              <w:rPr>
                <w:sz w:val="16"/>
                <w:szCs w:val="16"/>
              </w:rPr>
              <w:t>Other names:</w:t>
            </w:r>
          </w:p>
        </w:tc>
        <w:tc>
          <w:tcPr>
            <w:tcW w:w="1205" w:type="dxa"/>
            <w:gridSpan w:val="3"/>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i/>
                <w:sz w:val="14"/>
                <w:szCs w:val="14"/>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i/>
                <w:sz w:val="14"/>
                <w:szCs w:val="14"/>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i/>
                <w:sz w:val="14"/>
                <w:szCs w:val="14"/>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 w:val="left" w:pos="2519"/>
                <w:tab w:val="left" w:pos="4079"/>
              </w:tabs>
              <w:spacing w:before="0"/>
              <w:rPr>
                <w:sz w:val="16"/>
                <w:szCs w:val="16"/>
              </w:rPr>
            </w:pPr>
            <w:r>
              <w:rPr>
                <w:sz w:val="16"/>
                <w:szCs w:val="16"/>
              </w:rPr>
              <w:t>Email:</w:t>
            </w:r>
          </w:p>
        </w:tc>
      </w:tr>
      <w:tr>
        <w:trPr>
          <w:gridAfter w:val="1"/>
          <w:wAfter w:w="168" w:type="dxa"/>
          <w:trHeight w:val="80"/>
        </w:trPr>
        <w:tc>
          <w:tcPr>
            <w:tcW w:w="7062" w:type="dxa"/>
            <w:gridSpan w:val="6"/>
            <w:tcBorders>
              <w:top w:val="single" w:sz="4" w:space="0" w:color="auto"/>
              <w:left w:val="nil"/>
              <w:bottom w:val="single" w:sz="4" w:space="0" w:color="auto"/>
              <w:right w:val="nil"/>
            </w:tcBorders>
            <w:tcMar>
              <w:top w:w="0" w:type="dxa"/>
              <w:left w:w="108" w:type="dxa"/>
              <w:bottom w:w="0" w:type="dxa"/>
              <w:right w:w="108" w:type="dxa"/>
            </w:tcMar>
          </w:tcPr>
          <w:p>
            <w:pPr>
              <w:pStyle w:val="yTableNAm"/>
              <w:widowControl w:val="0"/>
              <w:spacing w:before="0"/>
              <w:rPr>
                <w:sz w:val="16"/>
                <w:szCs w:val="16"/>
              </w:rPr>
            </w:pPr>
          </w:p>
        </w:tc>
      </w:tr>
      <w:tr>
        <w:trPr>
          <w:cantSplit/>
          <w:trHeight w:val="80"/>
        </w:trPr>
        <w:tc>
          <w:tcPr>
            <w:tcW w:w="990" w:type="dxa"/>
            <w:vMerge w:val="restart"/>
            <w:tcBorders>
              <w:top w:val="single" w:sz="4" w:space="0" w:color="auto"/>
              <w:left w:val="single" w:sz="4" w:space="0" w:color="auto"/>
              <w:bottom w:val="nil"/>
              <w:right w:val="single" w:sz="4" w:space="0" w:color="auto"/>
            </w:tcBorders>
            <w:shd w:val="pct10" w:color="auto" w:fill="FFFFFF"/>
            <w:hideMark/>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top w:val="single" w:sz="4" w:space="0" w:color="auto"/>
              <w:left w:val="single" w:sz="4" w:space="0" w:color="auto"/>
              <w:bottom w:val="single" w:sz="4" w:space="0" w:color="auto"/>
              <w:right w:val="single" w:sz="4" w:space="0" w:color="auto"/>
            </w:tcBorders>
            <w:hideMark/>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bottom w:val="nil"/>
              <w:right w:val="single" w:sz="4" w:space="0" w:color="auto"/>
            </w:tcBorders>
            <w:hideMark/>
          </w:tcPr>
          <w:p>
            <w:pPr>
              <w:pStyle w:val="yTableNAm"/>
              <w:widowControl w:val="0"/>
              <w:spacing w:before="0"/>
              <w:rPr>
                <w:sz w:val="16"/>
                <w:szCs w:val="16"/>
              </w:rPr>
            </w:pPr>
            <w:r>
              <w:rPr>
                <w:sz w:val="16"/>
                <w:szCs w:val="16"/>
              </w:rPr>
              <w:t>Date of birth:</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5035" w:type="dxa"/>
            <w:gridSpan w:val="3"/>
            <w:tcBorders>
              <w:top w:val="single" w:sz="4" w:space="0" w:color="auto"/>
              <w:left w:val="single" w:sz="4" w:space="0" w:color="auto"/>
              <w:bottom w:val="nil"/>
              <w:right w:val="single" w:sz="4" w:space="0" w:color="auto"/>
            </w:tcBorders>
            <w:hideMark/>
          </w:tcPr>
          <w:p>
            <w:pPr>
              <w:pStyle w:val="yTableNAm"/>
              <w:widowControl w:val="0"/>
              <w:spacing w:before="0"/>
              <w:rPr>
                <w:sz w:val="16"/>
                <w:szCs w:val="16"/>
              </w:rPr>
            </w:pPr>
            <w:r>
              <w:rPr>
                <w:sz w:val="16"/>
                <w:szCs w:val="16"/>
              </w:rPr>
              <w:t>Other names:</w:t>
            </w:r>
          </w:p>
        </w:tc>
        <w:tc>
          <w:tcPr>
            <w:tcW w:w="1205" w:type="dxa"/>
            <w:gridSpan w:val="3"/>
            <w:vMerge/>
            <w:tcBorders>
              <w:top w:val="single" w:sz="4" w:space="0" w:color="auto"/>
              <w:left w:val="single" w:sz="4" w:space="0" w:color="auto"/>
              <w:bottom w:val="nil"/>
              <w:right w:val="single" w:sz="4" w:space="0" w:color="auto"/>
            </w:tcBorders>
            <w:vAlign w:val="center"/>
            <w:hideMark/>
          </w:tcPr>
          <w:p>
            <w:pPr>
              <w:rPr>
                <w:sz w:val="16"/>
                <w:szCs w:val="16"/>
              </w:rPr>
            </w:pP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nil"/>
              <w:right w:val="single" w:sz="4" w:space="0" w:color="auto"/>
            </w:tcBorders>
            <w:hideMark/>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6240" w:type="dxa"/>
            <w:gridSpan w:val="6"/>
            <w:tcBorders>
              <w:top w:val="nil"/>
              <w:left w:val="single" w:sz="4" w:space="0" w:color="auto"/>
              <w:bottom w:val="single" w:sz="4" w:space="0" w:color="auto"/>
              <w:right w:val="single" w:sz="4" w:space="0" w:color="auto"/>
            </w:tcBorders>
            <w:hideMark/>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332"/>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24"/>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 w:val="left" w:pos="2519"/>
                <w:tab w:val="left" w:pos="4079"/>
              </w:tabs>
              <w:spacing w:before="0"/>
              <w:rPr>
                <w:sz w:val="16"/>
                <w:szCs w:val="16"/>
              </w:rPr>
            </w:pPr>
            <w:r>
              <w:rPr>
                <w:sz w:val="16"/>
                <w:szCs w:val="16"/>
              </w:rPr>
              <w:t>Email:</w:t>
            </w:r>
          </w:p>
        </w:tc>
      </w:tr>
      <w:tr>
        <w:trPr>
          <w:gridAfter w:val="1"/>
          <w:wAfter w:w="168" w:type="dxa"/>
          <w:trHeight w:val="80"/>
        </w:trPr>
        <w:tc>
          <w:tcPr>
            <w:tcW w:w="7062" w:type="dxa"/>
            <w:gridSpan w:val="6"/>
            <w:tcBorders>
              <w:top w:val="single" w:sz="4" w:space="0" w:color="auto"/>
              <w:left w:val="nil"/>
              <w:bottom w:val="single" w:sz="4" w:space="0" w:color="auto"/>
              <w:right w:val="nil"/>
            </w:tcBorders>
            <w:tcMar>
              <w:top w:w="0" w:type="dxa"/>
              <w:left w:w="108" w:type="dxa"/>
              <w:bottom w:w="0" w:type="dxa"/>
              <w:right w:w="108" w:type="dxa"/>
            </w:tcMar>
          </w:tcPr>
          <w:p>
            <w:pPr>
              <w:pStyle w:val="yTableNAm"/>
              <w:widowControl w:val="0"/>
              <w:spacing w:before="0"/>
              <w:rPr>
                <w:sz w:val="16"/>
                <w:szCs w:val="16"/>
              </w:rPr>
            </w:pPr>
          </w:p>
        </w:tc>
      </w:tr>
      <w:tr>
        <w:trPr>
          <w:cantSplit/>
          <w:trHeight w:val="80"/>
        </w:trPr>
        <w:tc>
          <w:tcPr>
            <w:tcW w:w="990" w:type="dxa"/>
            <w:vMerge w:val="restart"/>
            <w:tcBorders>
              <w:top w:val="single" w:sz="4" w:space="0" w:color="auto"/>
              <w:left w:val="single" w:sz="4" w:space="0" w:color="auto"/>
              <w:bottom w:val="single" w:sz="4" w:space="0" w:color="auto"/>
              <w:right w:val="single" w:sz="4" w:space="0" w:color="auto"/>
            </w:tcBorders>
            <w:shd w:val="pct10" w:color="auto" w:fill="FFFFFF"/>
            <w:hideMark/>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top w:val="single" w:sz="4" w:space="0" w:color="auto"/>
              <w:left w:val="single" w:sz="4" w:space="0" w:color="auto"/>
              <w:bottom w:val="single" w:sz="4" w:space="0" w:color="auto"/>
              <w:right w:val="single" w:sz="4" w:space="0" w:color="auto"/>
            </w:tcBorders>
            <w:hideMark/>
          </w:tcPr>
          <w:p>
            <w:pPr>
              <w:pStyle w:val="yTableNAm"/>
              <w:keepNext/>
              <w:keepLines/>
              <w:spacing w:before="0"/>
              <w:rPr>
                <w:sz w:val="16"/>
                <w:szCs w:val="16"/>
              </w:rPr>
            </w:pPr>
            <w:r>
              <w:rPr>
                <w:sz w:val="16"/>
                <w:szCs w:val="16"/>
              </w:rPr>
              <w:t>Family name:</w:t>
            </w:r>
          </w:p>
        </w:tc>
        <w:tc>
          <w:tcPr>
            <w:tcW w:w="1143" w:type="dxa"/>
            <w:gridSpan w:val="2"/>
            <w:vMerge w:val="restart"/>
            <w:tcBorders>
              <w:top w:val="single" w:sz="4" w:space="0" w:color="auto"/>
              <w:left w:val="single" w:sz="4" w:space="0" w:color="auto"/>
              <w:bottom w:val="single" w:sz="4" w:space="0" w:color="auto"/>
              <w:right w:val="single" w:sz="4" w:space="0" w:color="auto"/>
            </w:tcBorders>
            <w:hideMark/>
          </w:tcPr>
          <w:p>
            <w:pPr>
              <w:pStyle w:val="yTableNAm"/>
              <w:keepNext/>
              <w:keepLines/>
              <w:spacing w:before="0"/>
              <w:rPr>
                <w:sz w:val="16"/>
                <w:szCs w:val="16"/>
              </w:rPr>
            </w:pPr>
            <w:r>
              <w:rPr>
                <w:sz w:val="16"/>
                <w:szCs w:val="16"/>
              </w:rPr>
              <w:t>Date of birth:</w:t>
            </w: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5097" w:type="dxa"/>
            <w:gridSpan w:val="4"/>
            <w:tcBorders>
              <w:top w:val="single" w:sz="4" w:space="0" w:color="auto"/>
              <w:left w:val="single" w:sz="4" w:space="0" w:color="auto"/>
              <w:bottom w:val="single" w:sz="4" w:space="0" w:color="auto"/>
              <w:right w:val="single" w:sz="4" w:space="0" w:color="auto"/>
            </w:tcBorders>
            <w:hideMark/>
          </w:tcPr>
          <w:p>
            <w:pPr>
              <w:pStyle w:val="yTableNAm"/>
              <w:keepNext/>
              <w:keepLines/>
              <w:spacing w:before="0"/>
              <w:rPr>
                <w:sz w:val="16"/>
                <w:szCs w:val="16"/>
              </w:rPr>
            </w:pPr>
            <w:r>
              <w:rPr>
                <w:sz w:val="16"/>
                <w:szCs w:val="16"/>
              </w:rPr>
              <w:t>Other names:</w:t>
            </w:r>
          </w:p>
        </w:tc>
        <w:tc>
          <w:tcPr>
            <w:tcW w:w="1143" w:type="dxa"/>
            <w:gridSpan w:val="2"/>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tabs>
                <w:tab w:val="clear" w:pos="567"/>
                <w:tab w:val="left" w:pos="965"/>
                <w:tab w:val="left" w:pos="2519"/>
                <w:tab w:val="left" w:pos="4079"/>
              </w:tabs>
              <w:spacing w:before="0"/>
              <w:rPr>
                <w:sz w:val="16"/>
                <w:szCs w:val="16"/>
              </w:rPr>
            </w:pPr>
            <w:r>
              <w:rPr>
                <w:sz w:val="16"/>
                <w:szCs w:val="16"/>
              </w:rPr>
              <w:t>Email:</w:t>
            </w:r>
          </w:p>
        </w:tc>
      </w:tr>
      <w:bookmarkEnd w:id="708"/>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680"/>
        </w:trPr>
        <w:tc>
          <w:tcPr>
            <w:tcW w:w="990" w:type="dxa"/>
            <w:tcBorders>
              <w:bottom w:val="single" w:sz="4" w:space="0" w:color="auto"/>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nil"/>
              <w:left w:val="nil"/>
              <w:bottom w:val="single" w:sz="4" w:space="0" w:color="auto"/>
              <w:right w:val="nil"/>
            </w:tcBorders>
          </w:tcPr>
          <w:p>
            <w:pPr>
              <w:pStyle w:val="yTableNAm"/>
              <w:keepNext/>
              <w:keepLines/>
              <w:spacing w:before="0"/>
              <w:rPr>
                <w:sz w:val="16"/>
                <w:szCs w:val="16"/>
              </w:rPr>
            </w:pPr>
          </w:p>
        </w:tc>
      </w:tr>
      <w:tr>
        <w:tblPrEx>
          <w:tblLook w:val="0000" w:firstRow="0" w:lastRow="0" w:firstColumn="0" w:lastColumn="0" w:noHBand="0" w:noVBand="0"/>
        </w:tblPrEx>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blPrEx>
          <w:tblLook w:val="0000" w:firstRow="0" w:lastRow="0" w:firstColumn="0" w:lastColumn="0" w:noHBand="0" w:noVBand="0"/>
        </w:tblPrEx>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blPrEx>
          <w:tblLook w:val="0000" w:firstRow="0" w:lastRow="0" w:firstColumn="0" w:lastColumn="0" w:noHBand="0" w:noVBand="0"/>
        </w:tblPrEx>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blPrEx>
          <w:tblLook w:val="0000" w:firstRow="0" w:lastRow="0" w:firstColumn="0" w:lastColumn="0" w:noHBand="0" w:noVBand="0"/>
        </w:tblPrEx>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blPrEx>
          <w:tblLook w:val="0000" w:firstRow="0" w:lastRow="0" w:firstColumn="0" w:lastColumn="0" w:noHBand="0" w:noVBand="0"/>
        </w:tblPrEx>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Look w:val="0000" w:firstRow="0" w:lastRow="0" w:firstColumn="0" w:lastColumn="0" w:noHBand="0" w:noVBand="0"/>
        </w:tblPrEx>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szCs w:val="16"/>
              </w:rPr>
            </w:pPr>
            <w:r>
              <w:rPr>
                <w:sz w:val="16"/>
                <w:szCs w:val="16"/>
              </w:rP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blPrEx>
          <w:tblLook w:val="0000" w:firstRow="0" w:lastRow="0" w:firstColumn="0" w:lastColumn="0" w:noHBand="0" w:noVBand="0"/>
        </w:tblPrEx>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If yes, has this application been made with the written consent of a person who, under the relevant child welfare law, has responsibility for the control or care of the child?</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blPrEx>
          <w:tblLook w:val="0000" w:firstRow="0" w:lastRow="0" w:firstColumn="0" w:lastColumn="0" w:noHBand="0" w:noVBand="0"/>
        </w:tblPrEx>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Is the respondent a child who is under the control or in the care of a person under a child welfare law?</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blPrEx>
          <w:tblLook w:val="0000" w:firstRow="0" w:lastRow="0" w:firstColumn="0" w:lastColumn="0" w:noHBand="0" w:noVBand="0"/>
        </w:tblPrEx>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Is the respondent under 16 years of age?</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blPrEx>
          <w:tblLook w:val="0000" w:firstRow="0" w:lastRow="0" w:firstColumn="0" w:lastColumn="0" w:noHBand="0" w:noVBand="0"/>
        </w:tblPrEx>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rPr>
            </w:pPr>
            <w:r>
              <w:rPr>
                <w:sz w:val="16"/>
              </w:rPr>
              <w:sym w:font="Wingdings" w:char="F09F"/>
            </w:r>
            <w:r>
              <w:rPr>
                <w:sz w:val="16"/>
              </w:rPr>
              <w:tab/>
              <w:t>a parent or guardian of the respondent;</w:t>
            </w:r>
          </w:p>
          <w:p>
            <w:pPr>
              <w:pStyle w:val="yTableNAm"/>
              <w:spacing w:before="40"/>
              <w:ind w:left="369" w:hanging="369"/>
              <w:rPr>
                <w:sz w:val="16"/>
              </w:rPr>
            </w:pPr>
            <w:r>
              <w:rPr>
                <w:sz w:val="16"/>
              </w:rPr>
              <w:sym w:font="Wingdings" w:char="F09F"/>
            </w:r>
            <w:r>
              <w:rPr>
                <w:sz w:val="16"/>
              </w:rPr>
              <w:tab/>
              <w:t>a person responsible for the day to day care of the respondent;</w:t>
            </w:r>
          </w:p>
          <w:p>
            <w:pPr>
              <w:pStyle w:val="yTableNAm"/>
              <w:spacing w:before="40"/>
              <w:ind w:left="369" w:hanging="369"/>
              <w:rPr>
                <w:rStyle w:val="DraftersNotes"/>
                <w:b w:val="0"/>
                <w:i w:val="0"/>
              </w:rPr>
            </w:pPr>
            <w:r>
              <w:rPr>
                <w:sz w:val="16"/>
              </w:rPr>
              <w:sym w:font="Wingdings" w:char="F09F"/>
            </w:r>
            <w:r>
              <w:rPr>
                <w:sz w:val="16"/>
              </w:rPr>
              <w:tab/>
              <w:t>a person with whom the respondent habitually resides?</w:t>
            </w:r>
          </w:p>
        </w:tc>
        <w:tc>
          <w:tcPr>
            <w:tcW w:w="2130" w:type="dxa"/>
            <w:gridSpan w:val="4"/>
            <w:tcBorders>
              <w:bottom w:val="single" w:sz="4" w:space="0" w:color="auto"/>
            </w:tcBorders>
            <w:noWrap/>
          </w:tcPr>
          <w:p>
            <w:pPr>
              <w:pStyle w:val="yTableNAm"/>
              <w:spacing w:before="0"/>
              <w:rPr>
                <w:sz w:val="16"/>
              </w:rPr>
            </w:pPr>
            <w:r>
              <w:rPr>
                <w:sz w:val="16"/>
              </w:rPr>
              <w:sym w:font="Wingdings" w:char="F072"/>
            </w:r>
            <w:r>
              <w:rPr>
                <w:sz w:val="16"/>
              </w:rPr>
              <w:t xml:space="preserve">  Yes   </w:t>
            </w:r>
            <w:r>
              <w:rPr>
                <w:sz w:val="16"/>
              </w:rPr>
              <w:sym w:font="Wingdings" w:char="F072"/>
            </w:r>
            <w:r>
              <w:rPr>
                <w:sz w:val="16"/>
              </w:rPr>
              <w:t>  No</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item or firearms authorisation?</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Look w:val="0000" w:firstRow="0" w:lastRow="0" w:firstColumn="0" w:lastColumn="0" w:noHBand="0" w:noVBand="0"/>
        </w:tblPrEx>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item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Look w:val="0000" w:firstRow="0" w:lastRow="0" w:firstColumn="0" w:lastColumn="0" w:noHBand="0" w:noVBand="0"/>
        </w:tblPrEx>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Look w:val="0000" w:firstRow="0" w:lastRow="0" w:firstColumn="0" w:lastColumn="0" w:noHBand="0" w:noVBand="0"/>
        </w:tblPrEx>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blPrEx>
          <w:tblLook w:val="0000" w:firstRow="0" w:lastRow="0" w:firstColumn="0" w:lastColumn="0" w:noHBand="0" w:noVBand="0"/>
        </w:tblPrEx>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blPrEx>
          <w:tblLook w:val="0000" w:firstRow="0" w:lastRow="0" w:firstColumn="0" w:lastColumn="0" w:noHBand="0" w:noVBand="0"/>
        </w:tblPrEx>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blPrEx>
          <w:tblLook w:val="0000" w:firstRow="0" w:lastRow="0" w:firstColumn="0" w:lastColumn="0" w:noHBand="0" w:noVBand="0"/>
        </w:tblPrEx>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blPrEx>
          <w:tblLook w:val="0000" w:firstRow="0" w:lastRow="0" w:firstColumn="0" w:lastColumn="0" w:noHBand="0" w:noVBand="0"/>
        </w:tblPrEx>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10; amended: SL 2022/15 r. 4(1); SL 2022/188 r. 4(1).]</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2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7"/>
        <w:gridCol w:w="86"/>
        <w:gridCol w:w="8"/>
        <w:gridCol w:w="1951"/>
        <w:gridCol w:w="561"/>
        <w:gridCol w:w="564"/>
        <w:gridCol w:w="1380"/>
        <w:gridCol w:w="17"/>
        <w:gridCol w:w="279"/>
        <w:gridCol w:w="1120"/>
        <w:gridCol w:w="327"/>
      </w:tblGrid>
      <w:tr>
        <w:trPr>
          <w:cantSplit/>
          <w:trHeight w:val="226"/>
        </w:trPr>
        <w:tc>
          <w:tcPr>
            <w:tcW w:w="2982"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687" w:type="dxa"/>
            <w:gridSpan w:val="6"/>
          </w:tcPr>
          <w:p>
            <w:pPr>
              <w:pStyle w:val="yTableNAm"/>
              <w:spacing w:before="0"/>
              <w:rPr>
                <w:sz w:val="18"/>
                <w:szCs w:val="18"/>
              </w:rPr>
            </w:pPr>
            <w:r>
              <w:rPr>
                <w:sz w:val="18"/>
                <w:szCs w:val="18"/>
              </w:rPr>
              <w:t>Number:</w:t>
            </w:r>
          </w:p>
        </w:tc>
      </w:tr>
      <w:tr>
        <w:trPr>
          <w:cantSplit/>
          <w:trHeight w:val="214"/>
        </w:trPr>
        <w:tc>
          <w:tcPr>
            <w:tcW w:w="2982"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68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82"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68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327" w:type="dxa"/>
        </w:trPr>
        <w:tc>
          <w:tcPr>
            <w:tcW w:w="6903" w:type="dxa"/>
            <w:gridSpan w:val="10"/>
            <w:tcBorders>
              <w:top w:val="nil"/>
              <w:left w:val="nil"/>
              <w:right w:val="nil"/>
            </w:tcBorders>
          </w:tcPr>
          <w:p>
            <w:pPr>
              <w:pStyle w:val="yTableNAm"/>
              <w:spacing w:before="0"/>
              <w:rPr>
                <w:sz w:val="8"/>
              </w:rPr>
            </w:pPr>
          </w:p>
        </w:tc>
      </w:tr>
      <w:tr>
        <w:trPr>
          <w:cantSplit/>
          <w:trHeight w:val="80"/>
        </w:trPr>
        <w:tc>
          <w:tcPr>
            <w:tcW w:w="937" w:type="dxa"/>
            <w:vMerge w:val="restart"/>
            <w:tcBorders>
              <w:top w:val="single" w:sz="4" w:space="0" w:color="000000"/>
              <w:left w:val="single" w:sz="4" w:space="0" w:color="000000"/>
            </w:tcBorders>
            <w:shd w:val="pct10" w:color="auto" w:fill="FFFFFF"/>
          </w:tcPr>
          <w:p>
            <w:pPr>
              <w:pStyle w:val="yTableNAm"/>
              <w:spacing w:before="0"/>
              <w:rPr>
                <w:b/>
                <w:sz w:val="18"/>
                <w:szCs w:val="18"/>
              </w:rPr>
            </w:pPr>
            <w:r>
              <w:rPr>
                <w:sz w:val="18"/>
                <w:szCs w:val="18"/>
              </w:rPr>
              <w:t>Person who is bound by this order</w:t>
            </w:r>
          </w:p>
        </w:tc>
        <w:tc>
          <w:tcPr>
            <w:tcW w:w="4550"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743"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37" w:type="dxa"/>
            <w:vMerge/>
            <w:tcBorders>
              <w:left w:val="single" w:sz="4" w:space="0" w:color="000000"/>
            </w:tcBorders>
            <w:shd w:val="pct10" w:color="auto" w:fill="FFFFFF"/>
          </w:tcPr>
          <w:p>
            <w:pPr>
              <w:pStyle w:val="yTableNAm"/>
              <w:spacing w:before="0"/>
              <w:rPr>
                <w:sz w:val="18"/>
                <w:szCs w:val="18"/>
              </w:rPr>
            </w:pPr>
          </w:p>
        </w:tc>
        <w:tc>
          <w:tcPr>
            <w:tcW w:w="4550"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743"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37" w:type="dxa"/>
            <w:vMerge/>
            <w:tcBorders>
              <w:left w:val="single" w:sz="4" w:space="0" w:color="000000"/>
            </w:tcBorders>
            <w:shd w:val="pct10" w:color="auto" w:fill="FFFFFF"/>
          </w:tcPr>
          <w:p>
            <w:pPr>
              <w:pStyle w:val="yTableNAm"/>
              <w:spacing w:before="0"/>
              <w:rPr>
                <w:sz w:val="18"/>
                <w:szCs w:val="18"/>
              </w:rPr>
            </w:pPr>
          </w:p>
        </w:tc>
        <w:tc>
          <w:tcPr>
            <w:tcW w:w="6293"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37" w:type="dxa"/>
            <w:vMerge/>
            <w:tcBorders>
              <w:left w:val="single" w:sz="4" w:space="0" w:color="000000"/>
            </w:tcBorders>
            <w:shd w:val="pct10" w:color="auto" w:fill="FFFFFF"/>
          </w:tcPr>
          <w:p>
            <w:pPr>
              <w:pStyle w:val="yTableNAm"/>
              <w:spacing w:before="0"/>
              <w:rPr>
                <w:sz w:val="18"/>
                <w:szCs w:val="18"/>
              </w:rPr>
            </w:pPr>
          </w:p>
        </w:tc>
        <w:tc>
          <w:tcPr>
            <w:tcW w:w="6293"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37" w:type="dxa"/>
            <w:vMerge/>
            <w:tcBorders>
              <w:left w:val="single" w:sz="4" w:space="0" w:color="000000"/>
            </w:tcBorders>
            <w:shd w:val="pct10" w:color="auto" w:fill="FFFFFF"/>
          </w:tcPr>
          <w:p>
            <w:pPr>
              <w:pStyle w:val="yTableNAm"/>
              <w:spacing w:before="0"/>
              <w:rPr>
                <w:sz w:val="18"/>
                <w:szCs w:val="18"/>
              </w:rPr>
            </w:pPr>
          </w:p>
        </w:tc>
        <w:tc>
          <w:tcPr>
            <w:tcW w:w="6293"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937"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293"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Email:</w:t>
            </w: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4"/>
              </w:rPr>
            </w:pPr>
          </w:p>
        </w:tc>
      </w:tr>
      <w:tr>
        <w:trPr>
          <w:cantSplit/>
          <w:trHeight w:val="320"/>
        </w:trPr>
        <w:tc>
          <w:tcPr>
            <w:tcW w:w="1023" w:type="dxa"/>
            <w:gridSpan w:val="2"/>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6"/>
          </w:tcPr>
          <w:p>
            <w:pPr>
              <w:pStyle w:val="yTableNAm"/>
              <w:spacing w:before="0"/>
              <w:rPr>
                <w:sz w:val="18"/>
                <w:szCs w:val="18"/>
              </w:rPr>
            </w:pPr>
            <w:r>
              <w:rPr>
                <w:sz w:val="18"/>
                <w:szCs w:val="18"/>
              </w:rPr>
              <w:t>Family name:</w:t>
            </w:r>
          </w:p>
        </w:tc>
        <w:tc>
          <w:tcPr>
            <w:tcW w:w="1726" w:type="dxa"/>
            <w:gridSpan w:val="3"/>
            <w:vMerge w:val="restart"/>
          </w:tcPr>
          <w:p>
            <w:pPr>
              <w:pStyle w:val="yTableNAm"/>
              <w:spacing w:before="0"/>
              <w:rPr>
                <w:sz w:val="18"/>
                <w:szCs w:val="18"/>
              </w:rPr>
            </w:pPr>
            <w:r>
              <w:rPr>
                <w:sz w:val="18"/>
                <w:szCs w:val="18"/>
              </w:rPr>
              <w:t>Date of birth:</w:t>
            </w:r>
          </w:p>
        </w:tc>
      </w:tr>
      <w:tr>
        <w:trPr>
          <w:cantSplit/>
          <w:trHeight w:val="241"/>
        </w:trPr>
        <w:tc>
          <w:tcPr>
            <w:tcW w:w="1023" w:type="dxa"/>
            <w:gridSpan w:val="2"/>
            <w:vMerge/>
            <w:tcBorders>
              <w:bottom w:val="single" w:sz="4" w:space="0" w:color="auto"/>
            </w:tcBorders>
            <w:shd w:val="pct10" w:color="auto" w:fill="FFFFFF"/>
          </w:tcPr>
          <w:p>
            <w:pPr>
              <w:pStyle w:val="yTableNAm"/>
              <w:spacing w:before="0"/>
              <w:rPr>
                <w:sz w:val="18"/>
                <w:szCs w:val="18"/>
              </w:rPr>
            </w:pPr>
          </w:p>
        </w:tc>
        <w:tc>
          <w:tcPr>
            <w:tcW w:w="4481" w:type="dxa"/>
            <w:gridSpan w:val="6"/>
          </w:tcPr>
          <w:p>
            <w:pPr>
              <w:pStyle w:val="yTableNAm"/>
              <w:spacing w:before="0"/>
              <w:rPr>
                <w:sz w:val="18"/>
                <w:szCs w:val="18"/>
              </w:rPr>
            </w:pPr>
            <w:r>
              <w:rPr>
                <w:sz w:val="18"/>
                <w:szCs w:val="18"/>
              </w:rPr>
              <w:t>Other names:</w:t>
            </w:r>
          </w:p>
        </w:tc>
        <w:tc>
          <w:tcPr>
            <w:tcW w:w="1726" w:type="dxa"/>
            <w:gridSpan w:val="3"/>
            <w:vMerge/>
          </w:tcPr>
          <w:p>
            <w:pPr>
              <w:pStyle w:val="yTableNAm"/>
              <w:spacing w:before="0"/>
              <w:rPr>
                <w:sz w:val="18"/>
                <w:szCs w:val="18"/>
              </w:rPr>
            </w:pP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8"/>
                <w:szCs w:val="18"/>
              </w:rPr>
            </w:pPr>
          </w:p>
        </w:tc>
      </w:tr>
      <w:tr>
        <w:trPr>
          <w:cantSplit/>
          <w:trHeight w:val="308"/>
        </w:trPr>
        <w:tc>
          <w:tcPr>
            <w:tcW w:w="102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72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314"/>
        </w:trPr>
        <w:tc>
          <w:tcPr>
            <w:tcW w:w="1023"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726" w:type="dxa"/>
            <w:gridSpan w:val="3"/>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8"/>
                <w:szCs w:val="18"/>
              </w:rPr>
            </w:pPr>
          </w:p>
        </w:tc>
      </w:tr>
      <w:tr>
        <w:trPr>
          <w:cantSplit/>
          <w:trHeight w:val="432"/>
        </w:trPr>
        <w:tc>
          <w:tcPr>
            <w:tcW w:w="1023"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207" w:type="dxa"/>
            <w:gridSpan w:val="9"/>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4"/>
              </w:rPr>
            </w:pPr>
          </w:p>
        </w:tc>
      </w:tr>
      <w:tr>
        <w:trPr>
          <w:cantSplit/>
          <w:trHeight w:val="1474"/>
        </w:trPr>
        <w:tc>
          <w:tcPr>
            <w:tcW w:w="102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20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4"/>
              </w:rPr>
            </w:pPr>
          </w:p>
        </w:tc>
      </w:tr>
      <w:tr>
        <w:trPr>
          <w:cantSplit/>
          <w:trHeight w:val="1741"/>
        </w:trPr>
        <w:tc>
          <w:tcPr>
            <w:tcW w:w="1023" w:type="dxa"/>
            <w:gridSpan w:val="2"/>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207" w:type="dxa"/>
            <w:gridSpan w:val="9"/>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trHeight w:hRule="exact" w:val="80"/>
          <w:jc w:val="center"/>
        </w:trPr>
        <w:tc>
          <w:tcPr>
            <w:tcW w:w="7230" w:type="dxa"/>
            <w:gridSpan w:val="11"/>
            <w:tcBorders>
              <w:top w:val="nil"/>
              <w:left w:val="nil"/>
              <w:bottom w:val="single" w:sz="4" w:space="0" w:color="auto"/>
              <w:right w:val="nil"/>
            </w:tcBorders>
          </w:tcPr>
          <w:p>
            <w:pPr>
              <w:pStyle w:val="yTableNAm"/>
              <w:keepNext/>
            </w:pPr>
          </w:p>
        </w:tc>
      </w:tr>
      <w:tr>
        <w:tblPrEx>
          <w:jc w:val="center"/>
          <w:tblInd w:w="0" w:type="dxa"/>
        </w:tblPrEx>
        <w:trPr>
          <w:cantSplit/>
          <w:trHeight w:val="80"/>
          <w:jc w:val="center"/>
        </w:trPr>
        <w:tc>
          <w:tcPr>
            <w:tcW w:w="7230"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keepNext/>
              <w:keepLines/>
              <w:spacing w:before="0"/>
              <w:rPr>
                <w:sz w:val="14"/>
              </w:rPr>
            </w:pPr>
          </w:p>
        </w:tc>
      </w:tr>
      <w:tr>
        <w:trPr>
          <w:cantSplit/>
          <w:trHeight w:val="80"/>
        </w:trPr>
        <w:tc>
          <w:tcPr>
            <w:tcW w:w="1031" w:type="dxa"/>
            <w:gridSpan w:val="3"/>
            <w:tcBorders>
              <w:top w:val="single" w:sz="4" w:space="0" w:color="000000"/>
              <w:left w:val="single" w:sz="4" w:space="0" w:color="000000"/>
              <w:bottom w:val="single" w:sz="4" w:space="0" w:color="auto"/>
              <w:right w:val="nil"/>
            </w:tcBorders>
            <w:shd w:val="pct10" w:color="auto" w:fill="auto"/>
          </w:tcPr>
          <w:p>
            <w:pPr>
              <w:pStyle w:val="yTableNAm"/>
              <w:keepNext/>
              <w:keepLines/>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keepNext/>
              <w:keepLines/>
              <w:spacing w:before="0"/>
              <w:rPr>
                <w:sz w:val="18"/>
                <w:szCs w:val="18"/>
              </w:rPr>
            </w:pPr>
            <w:r>
              <w:rPr>
                <w:sz w:val="18"/>
                <w:szCs w:val="18"/>
              </w:rPr>
              <w:t>Date order made:</w:t>
            </w:r>
          </w:p>
        </w:tc>
        <w:tc>
          <w:tcPr>
            <w:tcW w:w="3123" w:type="dxa"/>
            <w:gridSpan w:val="5"/>
            <w:tcBorders>
              <w:top w:val="single" w:sz="4" w:space="0" w:color="000000"/>
              <w:left w:val="single" w:sz="4" w:space="0" w:color="000000"/>
              <w:bottom w:val="single" w:sz="4" w:space="0" w:color="auto"/>
              <w:right w:val="single" w:sz="4" w:space="0" w:color="auto"/>
            </w:tcBorders>
          </w:tcPr>
          <w:p>
            <w:pPr>
              <w:pStyle w:val="yTableNAm"/>
              <w:keepNext/>
              <w:keepLines/>
              <w:spacing w:before="0"/>
              <w:rPr>
                <w:sz w:val="18"/>
                <w:szCs w:val="18"/>
              </w:rPr>
            </w:pPr>
            <w:r>
              <w:rPr>
                <w:sz w:val="18"/>
                <w:szCs w:val="18"/>
              </w:rPr>
              <w:t>Time order made:</w:t>
            </w: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keepNext/>
              <w:keepLines/>
              <w:spacing w:before="0"/>
              <w:rPr>
                <w:sz w:val="18"/>
                <w:szCs w:val="18"/>
              </w:rPr>
            </w:pPr>
          </w:p>
        </w:tc>
      </w:tr>
      <w:tr>
        <w:trPr>
          <w:cantSplit/>
          <w:trHeight w:val="80"/>
        </w:trPr>
        <w:tc>
          <w:tcPr>
            <w:tcW w:w="1031" w:type="dxa"/>
            <w:gridSpan w:val="3"/>
            <w:tcBorders>
              <w:top w:val="single" w:sz="4" w:space="0" w:color="auto"/>
              <w:left w:val="single" w:sz="4" w:space="0" w:color="000000"/>
              <w:bottom w:val="single" w:sz="4" w:space="0" w:color="000000"/>
              <w:right w:val="nil"/>
            </w:tcBorders>
            <w:shd w:val="pct10" w:color="auto" w:fill="auto"/>
          </w:tcPr>
          <w:p>
            <w:pPr>
              <w:pStyle w:val="yTableNAm"/>
              <w:keepNext/>
              <w:keepLines/>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keepNext/>
              <w:keepLines/>
              <w:spacing w:before="0"/>
              <w:rPr>
                <w:sz w:val="18"/>
                <w:szCs w:val="18"/>
              </w:rPr>
            </w:pPr>
          </w:p>
        </w:tc>
        <w:tc>
          <w:tcPr>
            <w:tcW w:w="1447" w:type="dxa"/>
            <w:gridSpan w:val="2"/>
            <w:tcBorders>
              <w:top w:val="single" w:sz="4" w:space="0" w:color="auto"/>
              <w:left w:val="single" w:sz="4" w:space="0" w:color="000000"/>
              <w:bottom w:val="single" w:sz="4" w:space="0" w:color="000000"/>
              <w:right w:val="single" w:sz="4" w:space="0" w:color="auto"/>
            </w:tcBorders>
          </w:tcPr>
          <w:p>
            <w:pPr>
              <w:pStyle w:val="yTableNAm"/>
              <w:keepNext/>
              <w:keepLines/>
              <w:spacing w:before="0"/>
              <w:rPr>
                <w:sz w:val="18"/>
                <w:szCs w:val="18"/>
              </w:rPr>
            </w:pPr>
            <w:r>
              <w:rPr>
                <w:sz w:val="18"/>
                <w:szCs w:val="18"/>
              </w:rPr>
              <w:t>Date:</w:t>
            </w:r>
          </w:p>
        </w:tc>
      </w:tr>
    </w:tbl>
    <w:p>
      <w:pPr>
        <w:pStyle w:val="yMiscellaneousHeading"/>
        <w:keepNext w:val="0"/>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legal practitioner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w:t>
            </w:r>
            <w:ins w:id="709" w:author="Master Repository Process" w:date="2024-01-02T13:18:00Z">
              <w:r>
                <w:rPr>
                  <w:sz w:val="16"/>
                  <w:szCs w:val="16"/>
                </w:rPr>
                <w:t>), (1A</w:t>
              </w:r>
            </w:ins>
            <w:r>
              <w:rPr>
                <w:sz w:val="16"/>
                <w:szCs w:val="16"/>
              </w:rPr>
              <w:t>) or</w:t>
            </w:r>
            <w:del w:id="710" w:author="Master Repository Process" w:date="2024-01-02T13:18:00Z">
              <w:r>
                <w:rPr>
                  <w:sz w:val="16"/>
                  <w:szCs w:val="16"/>
                </w:rPr>
                <w:delText> </w:delText>
              </w:r>
            </w:del>
            <w:ins w:id="711" w:author="Master Repository Process" w:date="2024-01-02T13:18:00Z">
              <w:r>
                <w:rPr>
                  <w:sz w:val="16"/>
                  <w:szCs w:val="16"/>
                </w:rPr>
                <w:t xml:space="preserve"> </w:t>
              </w:r>
            </w:ins>
            <w:r>
              <w:rPr>
                <w:sz w:val="16"/>
                <w:szCs w:val="16"/>
              </w:rPr>
              <w:t>(2a)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Email:</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 xml:space="preserve">Will you be represented by a </w:t>
            </w:r>
            <w:r>
              <w:rPr>
                <w:sz w:val="18"/>
                <w:szCs w:val="18"/>
              </w:rPr>
              <w:t>legal practitioner</w:t>
            </w:r>
            <w:r>
              <w:rPr>
                <w:sz w:val="18"/>
              </w:rPr>
              <w:t xml:space="preserve">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r>
            <w:r>
              <w:rPr>
                <w:sz w:val="18"/>
                <w:szCs w:val="18"/>
              </w:rPr>
              <w:t>legal practitioner’s</w:t>
            </w:r>
            <w:r>
              <w:rPr>
                <w:sz w:val="18"/>
              </w:rPr>
              <w:t xml:space="preserve"> name:</w:t>
            </w:r>
          </w:p>
          <w:p>
            <w:pPr>
              <w:pStyle w:val="yTableNAm"/>
              <w:tabs>
                <w:tab w:val="clear" w:pos="567"/>
                <w:tab w:val="left" w:pos="1026"/>
              </w:tabs>
              <w:spacing w:before="0"/>
              <w:rPr>
                <w:sz w:val="18"/>
              </w:rPr>
            </w:pPr>
            <w:r>
              <w:rPr>
                <w:sz w:val="18"/>
              </w:rPr>
              <w:tab/>
            </w:r>
            <w:r>
              <w:rPr>
                <w:sz w:val="18"/>
                <w:szCs w:val="18"/>
              </w:rPr>
              <w:t>legal practitioner’s</w:t>
            </w:r>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item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Email:</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pPr>
              <w:pStyle w:val="yTableNAm"/>
              <w:spacing w:before="80"/>
              <w:rPr>
                <w:b/>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legal practitioner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w:t>
            </w:r>
            <w:ins w:id="712" w:author="Master Repository Process" w:date="2024-01-02T13:18:00Z">
              <w:r>
                <w:rPr>
                  <w:sz w:val="16"/>
                  <w:szCs w:val="16"/>
                </w:rPr>
                <w:t>), (1A</w:t>
              </w:r>
            </w:ins>
            <w:r>
              <w:rPr>
                <w:sz w:val="16"/>
                <w:szCs w:val="16"/>
              </w:rPr>
              <w:t>)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 SL 2020/141 r. 11, 23 and 24; SL 2022/106 r. 4; SL 2022/188 r. 4(2</w:t>
      </w:r>
      <w:del w:id="713" w:author="Master Repository Process" w:date="2024-01-02T13:18:00Z">
        <w:r>
          <w:delText>).]</w:delText>
        </w:r>
      </w:del>
      <w:ins w:id="714" w:author="Master Repository Process" w:date="2024-01-02T13:18:00Z">
        <w:r>
          <w:t>); SL 2023/148 r. 6.]</w:t>
        </w:r>
      </w:ins>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 xml:space="preserve">If, in the future, you want the order varied or cancelled you may apply to the court. If you would like more information about doing this you should consult your </w:t>
            </w:r>
            <w:r>
              <w:rPr>
                <w:sz w:val="16"/>
                <w:szCs w:val="16"/>
              </w:rPr>
              <w:t>legal practitioner</w:t>
            </w:r>
            <w:r>
              <w:rPr>
                <w:sz w:val="16"/>
              </w:rPr>
              <w:t xml:space="preserve">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w:t>
            </w:r>
            <w:del w:id="715" w:author="Master Repository Process" w:date="2024-01-02T13:18:00Z">
              <w:r>
                <w:rPr>
                  <w:sz w:val="16"/>
                </w:rPr>
                <w:delText> </w:delText>
              </w:r>
            </w:del>
            <w:ins w:id="716" w:author="Master Repository Process" w:date="2024-01-02T13:18:00Z">
              <w:r>
                <w:rPr>
                  <w:sz w:val="16"/>
                </w:rPr>
                <w:t xml:space="preserve"> </w:t>
              </w:r>
            </w:ins>
            <w:r>
              <w:rPr>
                <w:sz w:val="16"/>
              </w:rPr>
              <w:t>61(1</w:t>
            </w:r>
            <w:ins w:id="717" w:author="Master Repository Process" w:date="2024-01-02T13:18:00Z">
              <w:r>
                <w:rPr>
                  <w:sz w:val="16"/>
                </w:rPr>
                <w:t>), (1A</w:t>
              </w:r>
            </w:ins>
            <w:r>
              <w:rPr>
                <w:sz w:val="16"/>
              </w:rPr>
              <w:t>) or</w:t>
            </w:r>
            <w:del w:id="718" w:author="Master Repository Process" w:date="2024-01-02T13:18:00Z">
              <w:r>
                <w:rPr>
                  <w:sz w:val="16"/>
                </w:rPr>
                <w:delText> </w:delText>
              </w:r>
            </w:del>
            <w:ins w:id="719" w:author="Master Repository Process" w:date="2024-01-02T13:18:00Z">
              <w:r>
                <w:rPr>
                  <w:sz w:val="16"/>
                </w:rPr>
                <w:t xml:space="preserve"> </w:t>
              </w:r>
            </w:ins>
            <w:r>
              <w:rPr>
                <w:sz w:val="16"/>
              </w:rPr>
              <w:t>(2a)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 xml:space="preserve">If, in the future, you want the order varied or cancelled you may apply to the court. The person who is bound by this order may also apply to have the order varied or cancelled. If you would like more information about doing this you should consult your </w:t>
            </w:r>
            <w:r>
              <w:rPr>
                <w:sz w:val="16"/>
                <w:szCs w:val="16"/>
              </w:rPr>
              <w:t>legal practitioner</w:t>
            </w:r>
            <w:r>
              <w:rPr>
                <w:sz w:val="16"/>
              </w:rPr>
              <w:t xml:space="preserve">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w:t>
            </w:r>
            <w:del w:id="720" w:author="Master Repository Process" w:date="2024-01-02T13:18:00Z">
              <w:r>
                <w:rPr>
                  <w:sz w:val="16"/>
                </w:rPr>
                <w:delText> </w:delText>
              </w:r>
            </w:del>
            <w:ins w:id="721" w:author="Master Repository Process" w:date="2024-01-02T13:18:00Z">
              <w:r>
                <w:rPr>
                  <w:sz w:val="16"/>
                </w:rPr>
                <w:t xml:space="preserve"> </w:t>
              </w:r>
            </w:ins>
            <w:r>
              <w:rPr>
                <w:sz w:val="16"/>
              </w:rPr>
              <w:t>61(1</w:t>
            </w:r>
            <w:ins w:id="722" w:author="Master Repository Process" w:date="2024-01-02T13:18:00Z">
              <w:r>
                <w:rPr>
                  <w:sz w:val="16"/>
                </w:rPr>
                <w:t>), (1A</w:t>
              </w:r>
            </w:ins>
            <w:r>
              <w:rPr>
                <w:sz w:val="16"/>
              </w:rPr>
              <w:t>)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 SL 2022/106 r. </w:t>
      </w:r>
      <w:del w:id="723" w:author="Master Repository Process" w:date="2024-01-02T13:18:00Z">
        <w:r>
          <w:delText>4</w:delText>
        </w:r>
      </w:del>
      <w:ins w:id="724" w:author="Master Repository Process" w:date="2024-01-02T13:18:00Z">
        <w:r>
          <w:t>4; SL 2023/148 r. 6</w:t>
        </w:r>
      </w:ins>
      <w:r>
        <w:t>.]</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w:t>
            </w:r>
            <w:del w:id="725" w:author="Master Repository Process" w:date="2024-01-02T13:18:00Z">
              <w:r>
                <w:rPr>
                  <w:sz w:val="20"/>
                </w:rPr>
                <w:delText> </w:delText>
              </w:r>
            </w:del>
            <w:ins w:id="726" w:author="Master Repository Process" w:date="2024-01-02T13:18:00Z">
              <w:r>
                <w:rPr>
                  <w:sz w:val="20"/>
                </w:rPr>
                <w:t xml:space="preserve"> </w:t>
              </w:r>
            </w:ins>
            <w:r>
              <w:rPr>
                <w:sz w:val="20"/>
              </w:rPr>
              <w:t>61(1</w:t>
            </w:r>
            <w:ins w:id="727" w:author="Master Repository Process" w:date="2024-01-02T13:18:00Z">
              <w:r>
                <w:rPr>
                  <w:sz w:val="20"/>
                </w:rPr>
                <w:t>), (1A</w:t>
              </w:r>
            </w:ins>
            <w:r>
              <w:rPr>
                <w:sz w:val="20"/>
              </w:rPr>
              <w:t>)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w:t>
            </w:r>
            <w:del w:id="728" w:author="Master Repository Process" w:date="2024-01-02T13:18:00Z">
              <w:r>
                <w:rPr>
                  <w:sz w:val="20"/>
                </w:rPr>
                <w:delText> </w:delText>
              </w:r>
            </w:del>
            <w:ins w:id="729" w:author="Master Repository Process" w:date="2024-01-02T13:18:00Z">
              <w:r>
                <w:rPr>
                  <w:sz w:val="20"/>
                </w:rPr>
                <w:t xml:space="preserve"> </w:t>
              </w:r>
            </w:ins>
            <w:r>
              <w:rPr>
                <w:sz w:val="20"/>
              </w:rPr>
              <w:t>61(1</w:t>
            </w:r>
            <w:ins w:id="730" w:author="Master Repository Process" w:date="2024-01-02T13:18:00Z">
              <w:r>
                <w:rPr>
                  <w:sz w:val="20"/>
                </w:rPr>
                <w:t>), (1A</w:t>
              </w:r>
            </w:ins>
            <w:r>
              <w:rPr>
                <w:sz w:val="20"/>
              </w:rPr>
              <w:t>)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w:t>
      </w:r>
      <w:ins w:id="731" w:author="Master Repository Process" w:date="2024-01-02T13:18:00Z">
        <w:r>
          <w:t>; SL 2023/148 r. 6</w:t>
        </w:r>
      </w:ins>
      <w:r>
        <w:t>.]</w:t>
      </w:r>
    </w:p>
    <w:p>
      <w:pPr>
        <w:pStyle w:val="yMiscellaneousHeading"/>
        <w:keepNext w:val="0"/>
        <w:pageBreakBefore/>
        <w:widowControl w:val="0"/>
        <w:rPr>
          <w:b/>
        </w:rPr>
      </w:pPr>
      <w:r>
        <w:rPr>
          <w:b/>
        </w:rPr>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503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bookmarkStart w:id="732" w:name="_Hlk115705887"/>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4"/>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4"/>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4"/>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Email:</w:t>
            </w:r>
          </w:p>
        </w:tc>
      </w:tr>
      <w:tr>
        <w:tblPrEx>
          <w:tblCellMar>
            <w:left w:w="108" w:type="dxa"/>
            <w:right w:w="108" w:type="dxa"/>
          </w:tblCellMar>
        </w:tblPrEx>
        <w:trPr>
          <w:gridAfter w:val="1"/>
          <w:wAfter w:w="168" w:type="dxa"/>
          <w:trHeight w:hRule="exact" w:val="80"/>
        </w:trPr>
        <w:tc>
          <w:tcPr>
            <w:tcW w:w="7062" w:type="dxa"/>
            <w:gridSpan w:val="4"/>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35" w:type="dxa"/>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4"/>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4"/>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344"/>
        </w:trPr>
        <w:tc>
          <w:tcPr>
            <w:tcW w:w="990" w:type="dxa"/>
            <w:vMerge/>
            <w:shd w:val="pct10" w:color="auto" w:fill="FFFFFF"/>
          </w:tcPr>
          <w:p>
            <w:pPr>
              <w:pStyle w:val="yTableNAm"/>
              <w:spacing w:before="0"/>
              <w:rPr>
                <w:sz w:val="16"/>
                <w:szCs w:val="16"/>
              </w:rPr>
            </w:pPr>
          </w:p>
        </w:tc>
        <w:tc>
          <w:tcPr>
            <w:tcW w:w="6240" w:type="dxa"/>
            <w:gridSpan w:val="4"/>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4"/>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Email:</w:t>
            </w:r>
          </w:p>
        </w:tc>
      </w:tr>
      <w:tr>
        <w:tblPrEx>
          <w:tblCellMar>
            <w:left w:w="108" w:type="dxa"/>
            <w:right w:w="108" w:type="dxa"/>
          </w:tblCellMar>
        </w:tblPrEx>
        <w:trPr>
          <w:gridAfter w:val="1"/>
          <w:wAfter w:w="168" w:type="dxa"/>
          <w:trHeight w:hRule="exact" w:val="80"/>
        </w:trPr>
        <w:tc>
          <w:tcPr>
            <w:tcW w:w="7062" w:type="dxa"/>
            <w:gridSpan w:val="4"/>
            <w:tcBorders>
              <w:top w:val="single" w:sz="4" w:space="0" w:color="auto"/>
              <w:left w:val="nil"/>
              <w:bottom w:val="nil"/>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keepNext/>
              <w:spacing w:before="0"/>
              <w:rPr>
                <w:sz w:val="16"/>
                <w:szCs w:val="16"/>
              </w:rPr>
            </w:pPr>
            <w:r>
              <w:rPr>
                <w:sz w:val="16"/>
                <w:szCs w:val="16"/>
              </w:rPr>
              <w:t>Respondent</w:t>
            </w:r>
          </w:p>
          <w:p>
            <w:pPr>
              <w:pStyle w:val="yTableNAm"/>
              <w:keepNext/>
              <w:spacing w:before="0"/>
              <w:rPr>
                <w:i/>
                <w:sz w:val="14"/>
                <w:szCs w:val="14"/>
              </w:rPr>
            </w:pPr>
            <w:r>
              <w:rPr>
                <w:sz w:val="14"/>
                <w:szCs w:val="14"/>
              </w:rPr>
              <w:t>[</w:t>
            </w:r>
            <w:r>
              <w:rPr>
                <w:i/>
                <w:sz w:val="14"/>
                <w:szCs w:val="14"/>
              </w:rPr>
              <w:t>Fill in as many</w:t>
            </w:r>
          </w:p>
          <w:p>
            <w:pPr>
              <w:pStyle w:val="yTableNAm"/>
              <w:keepNext/>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2"/>
            <w:tcBorders>
              <w:bottom w:val="single" w:sz="4" w:space="0" w:color="auto"/>
            </w:tcBorders>
          </w:tcPr>
          <w:p>
            <w:pPr>
              <w:pStyle w:val="yTableNAm"/>
              <w:keepNext/>
              <w:spacing w:before="0"/>
              <w:rPr>
                <w:sz w:val="16"/>
                <w:szCs w:val="16"/>
              </w:rPr>
            </w:pPr>
            <w:r>
              <w:rPr>
                <w:sz w:val="16"/>
                <w:szCs w:val="16"/>
              </w:rPr>
              <w:t>Family name:</w:t>
            </w:r>
          </w:p>
        </w:tc>
        <w:tc>
          <w:tcPr>
            <w:tcW w:w="1143" w:type="dxa"/>
            <w:gridSpan w:val="2"/>
            <w:vMerge w:val="restart"/>
            <w:tcBorders>
              <w:bottom w:val="nil"/>
            </w:tcBorders>
          </w:tcPr>
          <w:p>
            <w:pPr>
              <w:pStyle w:val="yTableNAm"/>
              <w:keepNext/>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spacing w:before="0"/>
              <w:rPr>
                <w:sz w:val="16"/>
                <w:szCs w:val="16"/>
              </w:rPr>
            </w:pPr>
          </w:p>
        </w:tc>
        <w:tc>
          <w:tcPr>
            <w:tcW w:w="5097" w:type="dxa"/>
            <w:gridSpan w:val="2"/>
          </w:tcPr>
          <w:p>
            <w:pPr>
              <w:pStyle w:val="yTableNAm"/>
              <w:keepNext/>
              <w:spacing w:before="0"/>
              <w:rPr>
                <w:sz w:val="16"/>
                <w:szCs w:val="16"/>
              </w:rPr>
            </w:pPr>
            <w:r>
              <w:rPr>
                <w:sz w:val="16"/>
                <w:szCs w:val="16"/>
              </w:rPr>
              <w:t>Other names:</w:t>
            </w:r>
          </w:p>
        </w:tc>
        <w:tc>
          <w:tcPr>
            <w:tcW w:w="1143" w:type="dxa"/>
            <w:gridSpan w:val="2"/>
            <w:vMerge/>
          </w:tcPr>
          <w:p>
            <w:pPr>
              <w:pStyle w:val="yTableNAm"/>
              <w:keepNext/>
              <w:spacing w:before="0"/>
              <w:rPr>
                <w:sz w:val="16"/>
                <w:szCs w:val="16"/>
              </w:rPr>
            </w:pPr>
          </w:p>
        </w:tc>
      </w:tr>
      <w:tr>
        <w:trPr>
          <w:cantSplit/>
          <w:trHeight w:val="80"/>
        </w:trPr>
        <w:tc>
          <w:tcPr>
            <w:tcW w:w="990" w:type="dxa"/>
            <w:vMerge/>
            <w:shd w:val="pct10" w:color="auto" w:fill="FFFFFF"/>
          </w:tcPr>
          <w:p>
            <w:pPr>
              <w:pStyle w:val="yTableNAm"/>
              <w:keepNext/>
              <w:spacing w:before="0"/>
              <w:rPr>
                <w:sz w:val="16"/>
                <w:szCs w:val="16"/>
              </w:rPr>
            </w:pPr>
          </w:p>
        </w:tc>
        <w:tc>
          <w:tcPr>
            <w:tcW w:w="6240" w:type="dxa"/>
            <w:gridSpan w:val="4"/>
          </w:tcPr>
          <w:p>
            <w:pPr>
              <w:pStyle w:val="yTableNAm"/>
              <w:keepNext/>
              <w:tabs>
                <w:tab w:val="clear" w:pos="567"/>
                <w:tab w:val="left" w:pos="965"/>
              </w:tabs>
              <w:spacing w:before="0"/>
              <w:rPr>
                <w:sz w:val="16"/>
                <w:szCs w:val="16"/>
              </w:rPr>
            </w:pPr>
            <w:r>
              <w:rPr>
                <w:sz w:val="16"/>
                <w:szCs w:val="16"/>
              </w:rPr>
              <w:t>Home</w:t>
            </w:r>
            <w:r>
              <w:rPr>
                <w:sz w:val="16"/>
                <w:szCs w:val="16"/>
              </w:rPr>
              <w:tab/>
              <w:t>street:</w:t>
            </w:r>
          </w:p>
          <w:p>
            <w:pPr>
              <w:pStyle w:val="yTableNAm"/>
              <w:keepNext/>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keepNext/>
              <w:spacing w:before="0"/>
              <w:rPr>
                <w:sz w:val="16"/>
                <w:szCs w:val="16"/>
              </w:rPr>
            </w:pPr>
          </w:p>
        </w:tc>
        <w:tc>
          <w:tcPr>
            <w:tcW w:w="6240" w:type="dxa"/>
            <w:gridSpan w:val="4"/>
            <w:tcBorders>
              <w:bottom w:val="single" w:sz="4" w:space="0" w:color="auto"/>
            </w:tcBorders>
          </w:tcPr>
          <w:p>
            <w:pPr>
              <w:pStyle w:val="yTableNAm"/>
              <w:keepNext/>
              <w:tabs>
                <w:tab w:val="clear" w:pos="567"/>
                <w:tab w:val="left" w:pos="965"/>
              </w:tabs>
              <w:spacing w:before="0"/>
              <w:rPr>
                <w:sz w:val="16"/>
                <w:szCs w:val="16"/>
              </w:rPr>
            </w:pPr>
            <w:r>
              <w:rPr>
                <w:sz w:val="16"/>
                <w:szCs w:val="16"/>
              </w:rPr>
              <w:t>Work</w:t>
            </w:r>
            <w:r>
              <w:rPr>
                <w:sz w:val="16"/>
                <w:szCs w:val="16"/>
              </w:rPr>
              <w:tab/>
              <w:t>street:</w:t>
            </w:r>
          </w:p>
          <w:p>
            <w:pPr>
              <w:pStyle w:val="yTableNAm"/>
              <w:keepNext/>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keepNext/>
              <w:spacing w:before="0"/>
              <w:rPr>
                <w:sz w:val="16"/>
                <w:szCs w:val="16"/>
              </w:rPr>
            </w:pPr>
          </w:p>
        </w:tc>
        <w:tc>
          <w:tcPr>
            <w:tcW w:w="6240" w:type="dxa"/>
            <w:gridSpan w:val="4"/>
            <w:tcBorders>
              <w:bottom w:val="single" w:sz="4" w:space="0" w:color="auto"/>
            </w:tcBorders>
          </w:tcPr>
          <w:p>
            <w:pPr>
              <w:pStyle w:val="yTableNAm"/>
              <w:keepNext/>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0" w:type="dxa"/>
            <w:vMerge/>
            <w:tcBorders>
              <w:bottom w:val="single" w:sz="4" w:space="0" w:color="auto"/>
            </w:tcBorders>
            <w:shd w:val="pct10" w:color="auto" w:fill="FFFFFF"/>
          </w:tcPr>
          <w:p>
            <w:pPr>
              <w:pStyle w:val="yTableNAm"/>
              <w:keepNext/>
              <w:spacing w:before="0"/>
              <w:rPr>
                <w:sz w:val="16"/>
                <w:szCs w:val="16"/>
              </w:rPr>
            </w:pPr>
          </w:p>
        </w:tc>
        <w:tc>
          <w:tcPr>
            <w:tcW w:w="6240" w:type="dxa"/>
            <w:gridSpan w:val="4"/>
            <w:tcBorders>
              <w:bottom w:val="single" w:sz="4" w:space="0" w:color="auto"/>
            </w:tcBorders>
          </w:tcPr>
          <w:p>
            <w:pPr>
              <w:pStyle w:val="yTableNAm"/>
              <w:keepNext/>
              <w:tabs>
                <w:tab w:val="clear" w:pos="567"/>
                <w:tab w:val="left" w:pos="965"/>
                <w:tab w:val="left" w:pos="2519"/>
                <w:tab w:val="left" w:pos="4079"/>
              </w:tabs>
              <w:spacing w:before="0"/>
              <w:rPr>
                <w:sz w:val="16"/>
                <w:szCs w:val="16"/>
              </w:rPr>
            </w:pPr>
            <w:r>
              <w:rPr>
                <w:sz w:val="16"/>
                <w:szCs w:val="16"/>
              </w:rPr>
              <w:t>Email:</w:t>
            </w:r>
          </w:p>
        </w:tc>
      </w:tr>
      <w:bookmarkEnd w:id="732"/>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87"/>
        <w:gridCol w:w="975"/>
        <w:gridCol w:w="168"/>
      </w:tblGrid>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5"/>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5"/>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5"/>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5"/>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6"/>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3"/>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3"/>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rPr>
            </w:pPr>
            <w:r>
              <w:rPr>
                <w:sz w:val="16"/>
              </w:rPr>
              <w:t>Is the person seeking to be protected a child who is under the control or in the care of a person under a child welfare law?</w:t>
            </w:r>
          </w:p>
        </w:tc>
        <w:tc>
          <w:tcPr>
            <w:tcW w:w="2130" w:type="dxa"/>
            <w:gridSpan w:val="3"/>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rStyle w:val="DraftersNotes"/>
                <w:b w:val="0"/>
                <w:i w:val="0"/>
                <w:sz w:val="16"/>
              </w:rPr>
            </w:pPr>
            <w:r>
              <w:rPr>
                <w:sz w:val="16"/>
              </w:rPr>
              <w:t>If yes, has this application been made with the written consent of a person who, under the relevant child welfare law, has responsibility for the control or care of the child?</w:t>
            </w:r>
          </w:p>
        </w:tc>
        <w:tc>
          <w:tcPr>
            <w:tcW w:w="2130" w:type="dxa"/>
            <w:gridSpan w:val="3"/>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rPr>
            </w:pPr>
            <w:r>
              <w:rPr>
                <w:sz w:val="16"/>
              </w:rPr>
              <w:t>Is the respondent a child who is under the control or in the care of a person under a child welfare law?</w:t>
            </w:r>
          </w:p>
        </w:tc>
        <w:tc>
          <w:tcPr>
            <w:tcW w:w="2130" w:type="dxa"/>
            <w:gridSpan w:val="3"/>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rPr>
            </w:pPr>
            <w:r>
              <w:rPr>
                <w:sz w:val="16"/>
              </w:rPr>
              <w:t>Is the respondent under 16 years of age?</w:t>
            </w:r>
          </w:p>
        </w:tc>
        <w:tc>
          <w:tcPr>
            <w:tcW w:w="2130" w:type="dxa"/>
            <w:gridSpan w:val="3"/>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szCs w:val="16"/>
              </w:rPr>
            </w:pPr>
            <w:r>
              <w:rPr>
                <w:sz w:val="16"/>
                <w:szCs w:val="16"/>
              </w:rPr>
              <w:sym w:font="Wingdings" w:char="F09F"/>
            </w:r>
            <w:r>
              <w:rPr>
                <w:sz w:val="16"/>
                <w:szCs w:val="16"/>
              </w:rPr>
              <w:tab/>
              <w:t>a parent or guardian of the respondent;</w:t>
            </w:r>
          </w:p>
          <w:p>
            <w:pPr>
              <w:pStyle w:val="yTableNAm"/>
              <w:spacing w:before="40"/>
              <w:ind w:left="369" w:hanging="369"/>
              <w:rPr>
                <w:sz w:val="16"/>
                <w:szCs w:val="16"/>
              </w:rPr>
            </w:pPr>
            <w:r>
              <w:rPr>
                <w:sz w:val="16"/>
                <w:szCs w:val="16"/>
              </w:rPr>
              <w:sym w:font="Wingdings" w:char="F09F"/>
            </w:r>
            <w:r>
              <w:rPr>
                <w:sz w:val="16"/>
                <w:szCs w:val="16"/>
              </w:rPr>
              <w:tab/>
              <w:t>a person responsible for the day to day care of the respondent;</w:t>
            </w:r>
          </w:p>
          <w:p>
            <w:pPr>
              <w:pStyle w:val="yTableNAm"/>
              <w:spacing w:before="40"/>
              <w:ind w:left="369" w:hanging="369"/>
              <w:rPr>
                <w:rStyle w:val="DraftersNotes"/>
                <w:b w:val="0"/>
                <w:i w:val="0"/>
                <w:sz w:val="16"/>
                <w:szCs w:val="16"/>
              </w:rPr>
            </w:pPr>
            <w:r>
              <w:rPr>
                <w:sz w:val="16"/>
                <w:szCs w:val="16"/>
              </w:rPr>
              <w:sym w:font="Wingdings" w:char="F09F"/>
            </w:r>
            <w:r>
              <w:rPr>
                <w:sz w:val="16"/>
                <w:szCs w:val="16"/>
              </w:rPr>
              <w:tab/>
              <w:t>a person with whom the respondent habitually resides?</w:t>
            </w:r>
          </w:p>
        </w:tc>
        <w:tc>
          <w:tcPr>
            <w:tcW w:w="2130" w:type="dxa"/>
            <w:gridSpan w:val="3"/>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No</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item or firearms authorisation?</w:t>
            </w:r>
          </w:p>
        </w:tc>
        <w:tc>
          <w:tcPr>
            <w:tcW w:w="2130" w:type="dxa"/>
            <w:gridSpan w:val="3"/>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item at work?</w:t>
            </w:r>
          </w:p>
        </w:tc>
        <w:tc>
          <w:tcPr>
            <w:tcW w:w="2130" w:type="dxa"/>
            <w:gridSpan w:val="3"/>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3"/>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3"/>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6"/>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5"/>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3"/>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6"/>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3"/>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2"/>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5"/>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5"/>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14; amended: SL 2022/15 r. 4(1); SL 2022/188 r. 4(3).]</w:t>
      </w:r>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
        <w:gridCol w:w="968"/>
        <w:gridCol w:w="12"/>
        <w:gridCol w:w="8"/>
        <w:gridCol w:w="1950"/>
        <w:gridCol w:w="561"/>
        <w:gridCol w:w="564"/>
        <w:gridCol w:w="1395"/>
        <w:gridCol w:w="280"/>
        <w:gridCol w:w="1120"/>
        <w:gridCol w:w="186"/>
        <w:gridCol w:w="14"/>
        <w:gridCol w:w="10"/>
      </w:tblGrid>
      <w:tr>
        <w:trPr>
          <w:gridBefore w:val="1"/>
          <w:wBefore w:w="10" w:type="dxa"/>
          <w:cantSplit/>
          <w:trHeight w:val="226"/>
        </w:trPr>
        <w:tc>
          <w:tcPr>
            <w:tcW w:w="2938"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9" w:type="dxa"/>
            <w:gridSpan w:val="7"/>
          </w:tcPr>
          <w:p>
            <w:pPr>
              <w:pStyle w:val="yTableNAm"/>
              <w:spacing w:before="0"/>
              <w:rPr>
                <w:sz w:val="18"/>
                <w:szCs w:val="18"/>
              </w:rPr>
            </w:pPr>
            <w:r>
              <w:rPr>
                <w:sz w:val="18"/>
                <w:szCs w:val="18"/>
              </w:rPr>
              <w:t>Number:</w:t>
            </w:r>
          </w:p>
        </w:tc>
      </w:tr>
      <w:tr>
        <w:trPr>
          <w:gridBefore w:val="1"/>
          <w:wBefore w:w="10" w:type="dxa"/>
          <w:cantSplit/>
          <w:trHeight w:val="214"/>
        </w:trPr>
        <w:tc>
          <w:tcPr>
            <w:tcW w:w="2938"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9" w:type="dxa"/>
            <w:gridSpan w:val="7"/>
            <w:tcBorders>
              <w:bottom w:val="nil"/>
            </w:tcBorders>
          </w:tcPr>
          <w:p>
            <w:pPr>
              <w:pStyle w:val="yTableNAm"/>
              <w:spacing w:before="0"/>
              <w:rPr>
                <w:sz w:val="18"/>
                <w:szCs w:val="18"/>
              </w:rPr>
            </w:pPr>
            <w:r>
              <w:rPr>
                <w:sz w:val="18"/>
                <w:szCs w:val="18"/>
              </w:rPr>
              <w:t>Jurisdiction:</w:t>
            </w:r>
          </w:p>
        </w:tc>
      </w:tr>
      <w:tr>
        <w:trPr>
          <w:gridBefore w:val="1"/>
          <w:wBefore w:w="10" w:type="dxa"/>
          <w:cantSplit/>
          <w:trHeight w:val="203"/>
        </w:trPr>
        <w:tc>
          <w:tcPr>
            <w:tcW w:w="2938"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9"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3"/>
          <w:wBefore w:w="10" w:type="dxa"/>
          <w:wAfter w:w="210" w:type="dxa"/>
        </w:trPr>
        <w:tc>
          <w:tcPr>
            <w:tcW w:w="6858" w:type="dxa"/>
            <w:gridSpan w:val="9"/>
            <w:tcBorders>
              <w:top w:val="nil"/>
              <w:left w:val="nil"/>
              <w:right w:val="nil"/>
            </w:tcBorders>
          </w:tcPr>
          <w:p>
            <w:pPr>
              <w:pStyle w:val="yTableNAm"/>
              <w:spacing w:before="0"/>
              <w:rPr>
                <w:sz w:val="8"/>
              </w:rPr>
            </w:pPr>
          </w:p>
        </w:tc>
      </w:tr>
      <w:tr>
        <w:trPr>
          <w:gridAfter w:val="1"/>
          <w:wAfter w:w="10" w:type="dxa"/>
          <w:cantSplit/>
          <w:trHeight w:val="80"/>
        </w:trPr>
        <w:tc>
          <w:tcPr>
            <w:tcW w:w="978" w:type="dxa"/>
            <w:gridSpan w:val="2"/>
            <w:vMerge w:val="restart"/>
            <w:tcBorders>
              <w:top w:val="single" w:sz="4" w:space="0" w:color="000000"/>
              <w:left w:val="single" w:sz="4" w:space="0" w:color="000000"/>
            </w:tcBorders>
            <w:shd w:val="pct10" w:color="auto" w:fill="FFFFFF"/>
          </w:tcPr>
          <w:p>
            <w:pPr>
              <w:pStyle w:val="yTableNAm"/>
              <w:spacing w:before="0"/>
              <w:rPr>
                <w:b/>
                <w:sz w:val="18"/>
                <w:szCs w:val="18"/>
              </w:rPr>
            </w:pPr>
            <w:r>
              <w:rPr>
                <w:sz w:val="18"/>
                <w:szCs w:val="18"/>
              </w:rPr>
              <w:t>Person who is bound by this order</w:t>
            </w:r>
          </w:p>
        </w:tc>
        <w:tc>
          <w:tcPr>
            <w:tcW w:w="4490"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600"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After w:val="1"/>
          <w:wAfter w:w="10" w:type="dxa"/>
          <w:cantSplit/>
          <w:trHeight w:val="80"/>
        </w:trPr>
        <w:tc>
          <w:tcPr>
            <w:tcW w:w="978" w:type="dxa"/>
            <w:gridSpan w:val="2"/>
            <w:vMerge/>
            <w:tcBorders>
              <w:left w:val="single" w:sz="4" w:space="0" w:color="000000"/>
            </w:tcBorders>
            <w:shd w:val="pct10" w:color="auto" w:fill="FFFFFF"/>
          </w:tcPr>
          <w:p>
            <w:pPr>
              <w:pStyle w:val="yTableNAm"/>
              <w:spacing w:before="0"/>
              <w:rPr>
                <w:sz w:val="18"/>
                <w:szCs w:val="18"/>
              </w:rPr>
            </w:pPr>
          </w:p>
        </w:tc>
        <w:tc>
          <w:tcPr>
            <w:tcW w:w="4490"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600"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After w:val="2"/>
          <w:wAfter w:w="24" w:type="dxa"/>
          <w:cantSplit/>
          <w:trHeight w:val="80"/>
        </w:trPr>
        <w:tc>
          <w:tcPr>
            <w:tcW w:w="978" w:type="dxa"/>
            <w:gridSpan w:val="2"/>
            <w:vMerge/>
            <w:tcBorders>
              <w:left w:val="single" w:sz="4" w:space="0" w:color="000000"/>
            </w:tcBorders>
            <w:shd w:val="pct10" w:color="auto" w:fill="FFFFFF"/>
          </w:tcPr>
          <w:p>
            <w:pPr>
              <w:pStyle w:val="yTableNAm"/>
              <w:spacing w:before="0"/>
              <w:rPr>
                <w:sz w:val="18"/>
                <w:szCs w:val="18"/>
              </w:rPr>
            </w:pPr>
          </w:p>
        </w:tc>
        <w:tc>
          <w:tcPr>
            <w:tcW w:w="6076"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After w:val="2"/>
          <w:wAfter w:w="24" w:type="dxa"/>
          <w:cantSplit/>
          <w:trHeight w:val="80"/>
        </w:trPr>
        <w:tc>
          <w:tcPr>
            <w:tcW w:w="978" w:type="dxa"/>
            <w:gridSpan w:val="2"/>
            <w:vMerge/>
            <w:tcBorders>
              <w:left w:val="single" w:sz="4" w:space="0" w:color="000000"/>
            </w:tcBorders>
            <w:shd w:val="pct10" w:color="auto" w:fill="FFFFFF"/>
          </w:tcPr>
          <w:p>
            <w:pPr>
              <w:pStyle w:val="yTableNAm"/>
              <w:spacing w:before="0"/>
              <w:rPr>
                <w:sz w:val="18"/>
                <w:szCs w:val="18"/>
              </w:rPr>
            </w:pPr>
          </w:p>
        </w:tc>
        <w:tc>
          <w:tcPr>
            <w:tcW w:w="6076"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gridAfter w:val="2"/>
          <w:wAfter w:w="24" w:type="dxa"/>
          <w:cantSplit/>
          <w:trHeight w:val="80"/>
        </w:trPr>
        <w:tc>
          <w:tcPr>
            <w:tcW w:w="978" w:type="dxa"/>
            <w:gridSpan w:val="2"/>
            <w:vMerge/>
            <w:tcBorders>
              <w:left w:val="single" w:sz="4" w:space="0" w:color="000000"/>
            </w:tcBorders>
            <w:shd w:val="pct10" w:color="auto" w:fill="FFFFFF"/>
          </w:tcPr>
          <w:p>
            <w:pPr>
              <w:pStyle w:val="yTableNAm"/>
              <w:spacing w:before="0"/>
              <w:rPr>
                <w:sz w:val="18"/>
                <w:szCs w:val="18"/>
              </w:rPr>
            </w:pPr>
          </w:p>
        </w:tc>
        <w:tc>
          <w:tcPr>
            <w:tcW w:w="6076"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2"/>
          <w:wAfter w:w="24" w:type="dxa"/>
          <w:cantSplit/>
          <w:trHeight w:val="80"/>
        </w:trPr>
        <w:tc>
          <w:tcPr>
            <w:tcW w:w="978"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6076"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Email</w:t>
            </w:r>
          </w:p>
        </w:tc>
      </w:tr>
      <w:tr>
        <w:tblPrEx>
          <w:tblCellMar>
            <w:left w:w="108" w:type="dxa"/>
            <w:right w:w="108" w:type="dxa"/>
          </w:tblCellMar>
        </w:tblPrEx>
        <w:trPr>
          <w:gridBefore w:val="1"/>
          <w:gridAfter w:val="3"/>
          <w:wBefore w:w="10" w:type="dxa"/>
          <w:wAfter w:w="210" w:type="dxa"/>
        </w:trPr>
        <w:tc>
          <w:tcPr>
            <w:tcW w:w="6858" w:type="dxa"/>
            <w:gridSpan w:val="9"/>
            <w:tcBorders>
              <w:top w:val="nil"/>
              <w:left w:val="nil"/>
              <w:right w:val="nil"/>
            </w:tcBorders>
          </w:tcPr>
          <w:p>
            <w:pPr>
              <w:pStyle w:val="yTableNAm"/>
              <w:spacing w:before="0"/>
              <w:rPr>
                <w:sz w:val="8"/>
              </w:rPr>
            </w:pPr>
          </w:p>
        </w:tc>
      </w:tr>
      <w:tr>
        <w:trPr>
          <w:gridBefore w:val="1"/>
          <w:wBefore w:w="10" w:type="dxa"/>
          <w:cantSplit/>
          <w:trHeight w:val="320"/>
        </w:trPr>
        <w:tc>
          <w:tcPr>
            <w:tcW w:w="980" w:type="dxa"/>
            <w:gridSpan w:val="2"/>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78" w:type="dxa"/>
            <w:gridSpan w:val="5"/>
          </w:tcPr>
          <w:p>
            <w:pPr>
              <w:pStyle w:val="yTableNAm"/>
              <w:spacing w:before="0"/>
              <w:rPr>
                <w:sz w:val="18"/>
                <w:szCs w:val="18"/>
              </w:rPr>
            </w:pPr>
            <w:r>
              <w:rPr>
                <w:sz w:val="18"/>
                <w:szCs w:val="18"/>
              </w:rPr>
              <w:t>Family name:</w:t>
            </w:r>
          </w:p>
        </w:tc>
        <w:tc>
          <w:tcPr>
            <w:tcW w:w="1610" w:type="dxa"/>
            <w:gridSpan w:val="5"/>
            <w:vMerge w:val="restart"/>
          </w:tcPr>
          <w:p>
            <w:pPr>
              <w:pStyle w:val="yTableNAm"/>
              <w:spacing w:before="0"/>
              <w:rPr>
                <w:sz w:val="18"/>
                <w:szCs w:val="18"/>
              </w:rPr>
            </w:pPr>
            <w:r>
              <w:rPr>
                <w:sz w:val="18"/>
                <w:szCs w:val="18"/>
              </w:rPr>
              <w:t>Date of birth:</w:t>
            </w:r>
          </w:p>
        </w:tc>
      </w:tr>
      <w:tr>
        <w:trPr>
          <w:gridBefore w:val="1"/>
          <w:wBefore w:w="10" w:type="dxa"/>
          <w:cantSplit/>
          <w:trHeight w:val="241"/>
        </w:trPr>
        <w:tc>
          <w:tcPr>
            <w:tcW w:w="980" w:type="dxa"/>
            <w:gridSpan w:val="2"/>
            <w:vMerge/>
            <w:tcBorders>
              <w:bottom w:val="single" w:sz="4" w:space="0" w:color="auto"/>
            </w:tcBorders>
            <w:shd w:val="pct10" w:color="auto" w:fill="FFFFFF"/>
          </w:tcPr>
          <w:p>
            <w:pPr>
              <w:pStyle w:val="yTableNAm"/>
              <w:spacing w:before="0"/>
              <w:rPr>
                <w:sz w:val="18"/>
                <w:szCs w:val="18"/>
              </w:rPr>
            </w:pPr>
          </w:p>
        </w:tc>
        <w:tc>
          <w:tcPr>
            <w:tcW w:w="4478" w:type="dxa"/>
            <w:gridSpan w:val="5"/>
          </w:tcPr>
          <w:p>
            <w:pPr>
              <w:pStyle w:val="yTableNAm"/>
              <w:spacing w:before="0"/>
              <w:rPr>
                <w:sz w:val="18"/>
                <w:szCs w:val="18"/>
              </w:rPr>
            </w:pPr>
            <w:r>
              <w:rPr>
                <w:sz w:val="18"/>
                <w:szCs w:val="18"/>
              </w:rPr>
              <w:t>Other names:</w:t>
            </w:r>
          </w:p>
        </w:tc>
        <w:tc>
          <w:tcPr>
            <w:tcW w:w="1610" w:type="dxa"/>
            <w:gridSpan w:val="5"/>
            <w:vMerge/>
          </w:tcPr>
          <w:p>
            <w:pPr>
              <w:pStyle w:val="yTableNAm"/>
              <w:spacing w:before="0"/>
              <w:rPr>
                <w:sz w:val="18"/>
                <w:szCs w:val="18"/>
              </w:rPr>
            </w:pP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80"/>
        </w:trPr>
        <w:tc>
          <w:tcPr>
            <w:tcW w:w="980"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78"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10"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10" w:type="dxa"/>
          <w:cantSplit/>
          <w:trHeight w:val="80"/>
        </w:trPr>
        <w:tc>
          <w:tcPr>
            <w:tcW w:w="980"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4478"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10"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460"/>
        </w:trPr>
        <w:tc>
          <w:tcPr>
            <w:tcW w:w="980"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8" w:type="dxa"/>
            <w:gridSpan w:val="10"/>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1514"/>
        </w:trPr>
        <w:tc>
          <w:tcPr>
            <w:tcW w:w="980"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8"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1608"/>
        </w:trPr>
        <w:tc>
          <w:tcPr>
            <w:tcW w:w="980" w:type="dxa"/>
            <w:gridSpan w:val="2"/>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8" w:type="dxa"/>
            <w:gridSpan w:val="10"/>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80"/>
        </w:trPr>
        <w:tc>
          <w:tcPr>
            <w:tcW w:w="988"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5"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5"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80"/>
        </w:trPr>
        <w:tc>
          <w:tcPr>
            <w:tcW w:w="988"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0" w:type="dxa"/>
            <w:gridSpan w:val="5"/>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30" w:type="dxa"/>
            <w:gridSpan w:val="4"/>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legal practitioner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w:t>
            </w:r>
            <w:del w:id="733" w:author="Master Repository Process" w:date="2024-01-02T13:18:00Z">
              <w:r>
                <w:rPr>
                  <w:sz w:val="16"/>
                  <w:szCs w:val="16"/>
                </w:rPr>
                <w:delText> </w:delText>
              </w:r>
            </w:del>
            <w:ins w:id="734" w:author="Master Repository Process" w:date="2024-01-02T13:18:00Z">
              <w:r>
                <w:rPr>
                  <w:sz w:val="16"/>
                  <w:szCs w:val="16"/>
                </w:rPr>
                <w:t xml:space="preserve"> </w:t>
              </w:r>
            </w:ins>
            <w:r>
              <w:rPr>
                <w:sz w:val="16"/>
                <w:szCs w:val="16"/>
              </w:rPr>
              <w:t>61(1</w:t>
            </w:r>
            <w:ins w:id="735" w:author="Master Repository Process" w:date="2024-01-02T13:18:00Z">
              <w:r>
                <w:rPr>
                  <w:sz w:val="16"/>
                  <w:szCs w:val="16"/>
                </w:rPr>
                <w:t>), (1A</w:t>
              </w:r>
            </w:ins>
            <w:r>
              <w:rPr>
                <w:sz w:val="16"/>
                <w:szCs w:val="16"/>
              </w:rPr>
              <w:t>) or</w:t>
            </w:r>
            <w:del w:id="736" w:author="Master Repository Process" w:date="2024-01-02T13:18:00Z">
              <w:r>
                <w:rPr>
                  <w:sz w:val="16"/>
                  <w:szCs w:val="16"/>
                </w:rPr>
                <w:delText> </w:delText>
              </w:r>
            </w:del>
            <w:ins w:id="737" w:author="Master Repository Process" w:date="2024-01-02T13:18:00Z">
              <w:r>
                <w:rPr>
                  <w:sz w:val="16"/>
                  <w:szCs w:val="16"/>
                </w:rPr>
                <w:t xml:space="preserve"> </w:t>
              </w:r>
            </w:ins>
            <w:r>
              <w:rPr>
                <w:sz w:val="16"/>
                <w:szCs w:val="16"/>
              </w:rPr>
              <w:t>(2a)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Email:</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 xml:space="preserve">Will you be represented by a </w:t>
            </w:r>
            <w:r>
              <w:rPr>
                <w:sz w:val="18"/>
                <w:szCs w:val="18"/>
              </w:rPr>
              <w:t>legal practitioner</w:t>
            </w:r>
            <w:r>
              <w:rPr>
                <w:sz w:val="18"/>
              </w:rPr>
              <w:t xml:space="preserve">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r>
            <w:r>
              <w:rPr>
                <w:sz w:val="18"/>
                <w:szCs w:val="18"/>
              </w:rPr>
              <w:t>legal practitioner’s</w:t>
            </w:r>
            <w:r>
              <w:rPr>
                <w:sz w:val="18"/>
              </w:rPr>
              <w:t xml:space="preserve"> name:</w:t>
            </w:r>
          </w:p>
          <w:p>
            <w:pPr>
              <w:pStyle w:val="yTableNAm"/>
              <w:spacing w:before="0"/>
              <w:rPr>
                <w:sz w:val="18"/>
              </w:rPr>
            </w:pPr>
            <w:r>
              <w:rPr>
                <w:sz w:val="18"/>
              </w:rPr>
              <w:tab/>
            </w:r>
            <w:r>
              <w:rPr>
                <w:sz w:val="18"/>
                <w:szCs w:val="18"/>
              </w:rPr>
              <w:t>legal practitioner’s</w:t>
            </w:r>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being in possession of a firearm</w:t>
            </w:r>
            <w:r>
              <w:rPr>
                <w:sz w:val="16"/>
              </w:rPr>
              <w:t xml:space="preserve"> </w:t>
            </w:r>
            <w:r>
              <w:rPr>
                <w:sz w:val="18"/>
              </w:rPr>
              <w:t xml:space="preserve">item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Email:</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 xml:space="preserve">If, in the future, you want the order varied or cancelled you may apply to the court. The person who is bound by this order may also apply to have the order varied or cancelled. If you would like more information about doing this you should consult your </w:t>
            </w:r>
            <w:r>
              <w:rPr>
                <w:sz w:val="18"/>
                <w:szCs w:val="18"/>
              </w:rPr>
              <w:t>legal practitioner</w:t>
            </w:r>
            <w:r>
              <w:rPr>
                <w:sz w:val="18"/>
              </w:rPr>
              <w:t xml:space="preserve">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w:t>
            </w:r>
            <w:del w:id="738" w:author="Master Repository Process" w:date="2024-01-02T13:18:00Z">
              <w:r>
                <w:rPr>
                  <w:sz w:val="18"/>
                </w:rPr>
                <w:delText> </w:delText>
              </w:r>
            </w:del>
            <w:ins w:id="739" w:author="Master Repository Process" w:date="2024-01-02T13:18:00Z">
              <w:r>
                <w:rPr>
                  <w:sz w:val="18"/>
                </w:rPr>
                <w:t xml:space="preserve"> </w:t>
              </w:r>
            </w:ins>
            <w:r>
              <w:rPr>
                <w:sz w:val="18"/>
              </w:rPr>
              <w:t>61(1</w:t>
            </w:r>
            <w:ins w:id="740" w:author="Master Repository Process" w:date="2024-01-02T13:18:00Z">
              <w:r>
                <w:rPr>
                  <w:sz w:val="18"/>
                </w:rPr>
                <w:t>), (1A</w:t>
              </w:r>
            </w:ins>
            <w:r>
              <w:rPr>
                <w:sz w:val="18"/>
              </w:rPr>
              <w:t>)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 SL 2022/106 r. 4; SL 2022/188 r. 4(4</w:t>
      </w:r>
      <w:del w:id="741" w:author="Master Repository Process" w:date="2024-01-02T13:18:00Z">
        <w:r>
          <w:delText>).]</w:delText>
        </w:r>
      </w:del>
      <w:ins w:id="742" w:author="Master Repository Process" w:date="2024-01-02T13:18:00Z">
        <w:r>
          <w:t>); SL 2023/148 r. 6.]</w:t>
        </w:r>
      </w:ins>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w:t>
            </w:r>
            <w:del w:id="743" w:author="Master Repository Process" w:date="2024-01-02T13:18:00Z">
              <w:r>
                <w:rPr>
                  <w:sz w:val="20"/>
                </w:rPr>
                <w:delText> </w:delText>
              </w:r>
            </w:del>
            <w:ins w:id="744" w:author="Master Repository Process" w:date="2024-01-02T13:18:00Z">
              <w:r>
                <w:rPr>
                  <w:sz w:val="20"/>
                </w:rPr>
                <w:t xml:space="preserve"> </w:t>
              </w:r>
            </w:ins>
            <w:r>
              <w:rPr>
                <w:sz w:val="20"/>
              </w:rPr>
              <w:t>61(1</w:t>
            </w:r>
            <w:ins w:id="745" w:author="Master Repository Process" w:date="2024-01-02T13:18:00Z">
              <w:r>
                <w:rPr>
                  <w:sz w:val="20"/>
                </w:rPr>
                <w:t>), (1A</w:t>
              </w:r>
            </w:ins>
            <w:r>
              <w:rPr>
                <w:sz w:val="20"/>
              </w:rPr>
              <w:t>)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w:t>
            </w:r>
            <w:del w:id="746" w:author="Master Repository Process" w:date="2024-01-02T13:18:00Z">
              <w:r>
                <w:rPr>
                  <w:sz w:val="20"/>
                </w:rPr>
                <w:delText> </w:delText>
              </w:r>
            </w:del>
            <w:ins w:id="747" w:author="Master Repository Process" w:date="2024-01-02T13:18:00Z">
              <w:r>
                <w:rPr>
                  <w:sz w:val="20"/>
                </w:rPr>
                <w:t xml:space="preserve"> </w:t>
              </w:r>
            </w:ins>
            <w:r>
              <w:rPr>
                <w:sz w:val="20"/>
              </w:rPr>
              <w:t>61(1</w:t>
            </w:r>
            <w:ins w:id="748" w:author="Master Repository Process" w:date="2024-01-02T13:18:00Z">
              <w:r>
                <w:rPr>
                  <w:sz w:val="20"/>
                </w:rPr>
                <w:t>), (1A</w:t>
              </w:r>
            </w:ins>
            <w:r>
              <w:rPr>
                <w:sz w:val="20"/>
              </w:rPr>
              <w:t>)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w:t>
      </w:r>
      <w:ins w:id="749" w:author="Master Repository Process" w:date="2024-01-02T13:18:00Z">
        <w:r>
          <w:t>; SL 2023/148 r. 6</w:t>
        </w:r>
      </w:ins>
      <w:r>
        <w:t>.]</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5"/>
        <w:gridCol w:w="10"/>
        <w:gridCol w:w="10"/>
        <w:gridCol w:w="1980"/>
        <w:gridCol w:w="529"/>
        <w:gridCol w:w="38"/>
        <w:gridCol w:w="709"/>
        <w:gridCol w:w="849"/>
        <w:gridCol w:w="918"/>
        <w:gridCol w:w="62"/>
        <w:gridCol w:w="12"/>
        <w:gridCol w:w="23"/>
        <w:gridCol w:w="1216"/>
      </w:tblGrid>
      <w:tr>
        <w:trPr>
          <w:cantSplit/>
          <w:trHeight w:val="226"/>
          <w:tblHeader/>
        </w:trPr>
        <w:tc>
          <w:tcPr>
            <w:tcW w:w="3015" w:type="dxa"/>
            <w:gridSpan w:val="4"/>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gridSpan w:val="2"/>
            <w:vMerge w:val="restart"/>
            <w:tcBorders>
              <w:top w:val="nil"/>
              <w:left w:val="nil"/>
            </w:tcBorders>
          </w:tcPr>
          <w:p>
            <w:pPr>
              <w:pStyle w:val="yTableNAm"/>
              <w:spacing w:before="0"/>
              <w:rPr>
                <w:sz w:val="16"/>
              </w:rPr>
            </w:pPr>
          </w:p>
        </w:tc>
        <w:tc>
          <w:tcPr>
            <w:tcW w:w="3789" w:type="dxa"/>
            <w:gridSpan w:val="7"/>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301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rPr>
            </w:pPr>
          </w:p>
        </w:tc>
        <w:tc>
          <w:tcPr>
            <w:tcW w:w="3789"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301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rPr>
            </w:pPr>
          </w:p>
        </w:tc>
        <w:tc>
          <w:tcPr>
            <w:tcW w:w="3789"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71" w:type="dxa"/>
            <w:gridSpan w:val="13"/>
            <w:tcBorders>
              <w:top w:val="nil"/>
              <w:left w:val="nil"/>
              <w:right w:val="nil"/>
            </w:tcBorders>
          </w:tcPr>
          <w:p>
            <w:pPr>
              <w:pStyle w:val="yTableNAm"/>
              <w:spacing w:before="0"/>
              <w:rPr>
                <w:sz w:val="8"/>
              </w:rPr>
            </w:pPr>
          </w:p>
        </w:tc>
      </w:tr>
      <w:tr>
        <w:trPr>
          <w:cantSplit/>
          <w:trHeight w:val="238"/>
        </w:trPr>
        <w:tc>
          <w:tcPr>
            <w:tcW w:w="1015" w:type="dxa"/>
            <w:vMerge w:val="restart"/>
            <w:shd w:val="pct10" w:color="auto" w:fill="FFFFFF"/>
          </w:tcPr>
          <w:p>
            <w:pPr>
              <w:pStyle w:val="yTableNAm"/>
              <w:spacing w:before="0"/>
              <w:rPr>
                <w:sz w:val="18"/>
                <w:szCs w:val="18"/>
              </w:rPr>
            </w:pPr>
            <w:bookmarkStart w:id="750" w:name="_Hlk115768360"/>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40" w:type="dxa"/>
            <w:gridSpan w:val="11"/>
          </w:tcPr>
          <w:p>
            <w:pPr>
              <w:pStyle w:val="yTableNAm"/>
              <w:spacing w:before="0"/>
              <w:rPr>
                <w:sz w:val="18"/>
                <w:szCs w:val="18"/>
              </w:rPr>
            </w:pPr>
            <w:r>
              <w:rPr>
                <w:sz w:val="18"/>
                <w:szCs w:val="18"/>
              </w:rPr>
              <w:t>Family name:</w:t>
            </w:r>
          </w:p>
        </w:tc>
        <w:tc>
          <w:tcPr>
            <w:tcW w:w="1216" w:type="dxa"/>
            <w:vMerge w:val="restart"/>
          </w:tcPr>
          <w:p>
            <w:pPr>
              <w:pStyle w:val="yTableNAm"/>
              <w:spacing w:before="0"/>
              <w:rPr>
                <w:sz w:val="18"/>
                <w:szCs w:val="18"/>
              </w:rPr>
            </w:pPr>
            <w:r>
              <w:rPr>
                <w:sz w:val="18"/>
                <w:szCs w:val="18"/>
              </w:rPr>
              <w:t>Date of birth:</w:t>
            </w:r>
          </w:p>
        </w:tc>
      </w:tr>
      <w:tr>
        <w:trPr>
          <w:cantSplit/>
          <w:trHeight w:val="80"/>
        </w:trPr>
        <w:tc>
          <w:tcPr>
            <w:tcW w:w="1015" w:type="dxa"/>
            <w:vMerge/>
            <w:shd w:val="pct10" w:color="auto" w:fill="FFFFFF"/>
          </w:tcPr>
          <w:p>
            <w:pPr>
              <w:pStyle w:val="yTableNAm"/>
              <w:spacing w:before="0"/>
              <w:rPr>
                <w:sz w:val="16"/>
              </w:rPr>
            </w:pPr>
          </w:p>
        </w:tc>
        <w:tc>
          <w:tcPr>
            <w:tcW w:w="5140" w:type="dxa"/>
            <w:gridSpan w:val="11"/>
            <w:tcBorders>
              <w:bottom w:val="single" w:sz="4" w:space="0" w:color="auto"/>
            </w:tcBorders>
          </w:tcPr>
          <w:p>
            <w:pPr>
              <w:pStyle w:val="yTableNAm"/>
              <w:spacing w:before="0"/>
              <w:rPr>
                <w:sz w:val="18"/>
                <w:szCs w:val="18"/>
              </w:rPr>
            </w:pPr>
            <w:r>
              <w:rPr>
                <w:sz w:val="18"/>
                <w:szCs w:val="18"/>
              </w:rPr>
              <w:t>Other names:</w:t>
            </w:r>
          </w:p>
        </w:tc>
        <w:tc>
          <w:tcPr>
            <w:tcW w:w="1216" w:type="dxa"/>
            <w:vMerge/>
            <w:tcBorders>
              <w:bottom w:val="single" w:sz="4" w:space="0" w:color="auto"/>
            </w:tcBorders>
          </w:tcPr>
          <w:p>
            <w:pPr>
              <w:pStyle w:val="yTableNAm"/>
              <w:spacing w:before="0"/>
              <w:rPr>
                <w:sz w:val="18"/>
                <w:szCs w:val="18"/>
              </w:rPr>
            </w:pP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1015" w:type="dxa"/>
            <w:vMerge/>
            <w:tcBorders>
              <w:bottom w:val="nil"/>
            </w:tcBorders>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Email:</w:t>
            </w:r>
          </w:p>
        </w:tc>
      </w:tr>
      <w:tr>
        <w:trPr>
          <w:cantSplit/>
          <w:trHeight w:hRule="exact" w:val="80"/>
        </w:trPr>
        <w:tc>
          <w:tcPr>
            <w:tcW w:w="7371" w:type="dxa"/>
            <w:gridSpan w:val="13"/>
            <w:tcBorders>
              <w:left w:val="nil"/>
              <w:bottom w:val="single" w:sz="4" w:space="0" w:color="auto"/>
              <w:right w:val="nil"/>
            </w:tcBorders>
          </w:tcPr>
          <w:p>
            <w:pPr>
              <w:pStyle w:val="yTableNAm"/>
              <w:spacing w:before="0"/>
              <w:rPr>
                <w:sz w:val="16"/>
              </w:rPr>
            </w:pPr>
          </w:p>
        </w:tc>
      </w:tr>
      <w:tr>
        <w:trPr>
          <w:cantSplit/>
          <w:trHeight w:val="80"/>
        </w:trPr>
        <w:tc>
          <w:tcPr>
            <w:tcW w:w="1015" w:type="dxa"/>
            <w:vMerge w:val="restart"/>
            <w:shd w:val="pct10" w:color="auto" w:fill="FFFFFF"/>
          </w:tcPr>
          <w:p>
            <w:pPr>
              <w:pStyle w:val="yTableNAm"/>
              <w:spacing w:before="0"/>
              <w:rPr>
                <w:sz w:val="18"/>
                <w:szCs w:val="18"/>
              </w:rPr>
            </w:pPr>
            <w:r>
              <w:rPr>
                <w:sz w:val="18"/>
                <w:szCs w:val="18"/>
              </w:rPr>
              <w:t>Person seeking to be protected</w:t>
            </w:r>
          </w:p>
        </w:tc>
        <w:tc>
          <w:tcPr>
            <w:tcW w:w="5043" w:type="dxa"/>
            <w:gridSpan w:val="8"/>
            <w:tcBorders>
              <w:bottom w:val="single" w:sz="4" w:space="0" w:color="auto"/>
            </w:tcBorders>
          </w:tcPr>
          <w:p>
            <w:pPr>
              <w:pStyle w:val="yTableNAm"/>
              <w:spacing w:before="0"/>
              <w:rPr>
                <w:sz w:val="18"/>
                <w:szCs w:val="18"/>
              </w:rPr>
            </w:pPr>
            <w:r>
              <w:rPr>
                <w:sz w:val="18"/>
                <w:szCs w:val="18"/>
              </w:rPr>
              <w:t>Family name:</w:t>
            </w:r>
          </w:p>
        </w:tc>
        <w:tc>
          <w:tcPr>
            <w:tcW w:w="1313" w:type="dxa"/>
            <w:gridSpan w:val="4"/>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1015" w:type="dxa"/>
            <w:vMerge/>
            <w:shd w:val="pct10" w:color="auto" w:fill="FFFFFF"/>
          </w:tcPr>
          <w:p>
            <w:pPr>
              <w:pStyle w:val="yTableNAm"/>
              <w:spacing w:before="0"/>
              <w:rPr>
                <w:sz w:val="16"/>
              </w:rPr>
            </w:pPr>
          </w:p>
        </w:tc>
        <w:tc>
          <w:tcPr>
            <w:tcW w:w="5043" w:type="dxa"/>
            <w:gridSpan w:val="8"/>
            <w:tcBorders>
              <w:bottom w:val="nil"/>
            </w:tcBorders>
          </w:tcPr>
          <w:p>
            <w:pPr>
              <w:pStyle w:val="yTableNAm"/>
              <w:spacing w:before="0"/>
              <w:rPr>
                <w:sz w:val="18"/>
                <w:szCs w:val="18"/>
              </w:rPr>
            </w:pPr>
            <w:r>
              <w:rPr>
                <w:sz w:val="18"/>
                <w:szCs w:val="18"/>
              </w:rPr>
              <w:t>Other names:</w:t>
            </w:r>
          </w:p>
        </w:tc>
        <w:tc>
          <w:tcPr>
            <w:tcW w:w="1313" w:type="dxa"/>
            <w:gridSpan w:val="4"/>
            <w:vMerge/>
            <w:tcBorders>
              <w:bottom w:val="nil"/>
            </w:tcBorders>
          </w:tcPr>
          <w:p>
            <w:pPr>
              <w:pStyle w:val="yTableNAm"/>
              <w:spacing w:before="0"/>
              <w:rPr>
                <w:sz w:val="18"/>
                <w:szCs w:val="18"/>
              </w:rPr>
            </w:pP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1015" w:type="dxa"/>
            <w:vMerge/>
            <w:tcBorders>
              <w:bottom w:val="nil"/>
            </w:tcBorders>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Email:</w:t>
            </w:r>
          </w:p>
        </w:tc>
      </w:tr>
      <w:tr>
        <w:trPr>
          <w:cantSplit/>
          <w:trHeight w:hRule="exact" w:val="80"/>
        </w:trPr>
        <w:tc>
          <w:tcPr>
            <w:tcW w:w="7371" w:type="dxa"/>
            <w:gridSpan w:val="13"/>
            <w:tcBorders>
              <w:left w:val="nil"/>
              <w:right w:val="nil"/>
            </w:tcBorders>
          </w:tcPr>
          <w:p>
            <w:pPr>
              <w:pStyle w:val="yTableNAm"/>
              <w:spacing w:before="0"/>
              <w:rPr>
                <w:sz w:val="16"/>
              </w:rPr>
            </w:pPr>
          </w:p>
        </w:tc>
      </w:tr>
      <w:tr>
        <w:trPr>
          <w:cantSplit/>
          <w:trHeight w:val="80"/>
        </w:trPr>
        <w:tc>
          <w:tcPr>
            <w:tcW w:w="1015" w:type="dxa"/>
            <w:vMerge w:val="restart"/>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5" w:type="dxa"/>
            <w:gridSpan w:val="9"/>
            <w:tcBorders>
              <w:bottom w:val="single" w:sz="4" w:space="0" w:color="auto"/>
            </w:tcBorders>
          </w:tcPr>
          <w:p>
            <w:pPr>
              <w:pStyle w:val="yTableNAm"/>
              <w:spacing w:before="0"/>
              <w:rPr>
                <w:sz w:val="18"/>
                <w:szCs w:val="18"/>
              </w:rPr>
            </w:pPr>
            <w:r>
              <w:rPr>
                <w:sz w:val="18"/>
                <w:szCs w:val="18"/>
              </w:rPr>
              <w:t>Family name:</w:t>
            </w:r>
          </w:p>
        </w:tc>
        <w:tc>
          <w:tcPr>
            <w:tcW w:w="1251"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1015" w:type="dxa"/>
            <w:vMerge/>
            <w:shd w:val="pct10" w:color="auto" w:fill="FFFFFF"/>
          </w:tcPr>
          <w:p>
            <w:pPr>
              <w:pStyle w:val="yTableNAm"/>
              <w:spacing w:before="0"/>
              <w:rPr>
                <w:sz w:val="16"/>
              </w:rPr>
            </w:pPr>
          </w:p>
        </w:tc>
        <w:tc>
          <w:tcPr>
            <w:tcW w:w="5105" w:type="dxa"/>
            <w:gridSpan w:val="9"/>
          </w:tcPr>
          <w:p>
            <w:pPr>
              <w:pStyle w:val="yTableNAm"/>
              <w:spacing w:before="0"/>
              <w:rPr>
                <w:sz w:val="18"/>
                <w:szCs w:val="18"/>
              </w:rPr>
            </w:pPr>
            <w:r>
              <w:rPr>
                <w:sz w:val="18"/>
                <w:szCs w:val="18"/>
              </w:rPr>
              <w:t>Other names:</w:t>
            </w:r>
          </w:p>
        </w:tc>
        <w:tc>
          <w:tcPr>
            <w:tcW w:w="1251" w:type="dxa"/>
            <w:gridSpan w:val="3"/>
            <w:vMerge/>
          </w:tcPr>
          <w:p>
            <w:pPr>
              <w:pStyle w:val="yTableNAm"/>
              <w:spacing w:before="0"/>
              <w:rPr>
                <w:sz w:val="18"/>
                <w:szCs w:val="18"/>
              </w:rPr>
            </w:pPr>
          </w:p>
        </w:tc>
      </w:tr>
      <w:tr>
        <w:trPr>
          <w:cantSplit/>
          <w:trHeight w:val="80"/>
        </w:trPr>
        <w:tc>
          <w:tcPr>
            <w:tcW w:w="1015" w:type="dxa"/>
            <w:vMerge/>
            <w:shd w:val="pct10" w:color="auto" w:fill="FFFFFF"/>
          </w:tcPr>
          <w:p>
            <w:pPr>
              <w:pStyle w:val="yTableNAm"/>
              <w:spacing w:before="0"/>
              <w:rPr>
                <w:sz w:val="16"/>
              </w:rPr>
            </w:pPr>
          </w:p>
        </w:tc>
        <w:tc>
          <w:tcPr>
            <w:tcW w:w="6356" w:type="dxa"/>
            <w:gridSpan w:val="12"/>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015" w:type="dxa"/>
            <w:vMerge/>
            <w:shd w:val="pct10" w:color="auto" w:fill="FFFFFF"/>
          </w:tcPr>
          <w:p>
            <w:pPr>
              <w:pStyle w:val="yTableNAm"/>
              <w:spacing w:before="0"/>
              <w:rPr>
                <w:sz w:val="16"/>
              </w:rPr>
            </w:pPr>
          </w:p>
        </w:tc>
        <w:tc>
          <w:tcPr>
            <w:tcW w:w="6356" w:type="dxa"/>
            <w:gridSpan w:val="12"/>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1015" w:type="dxa"/>
            <w:vMerge/>
            <w:tcBorders>
              <w:bottom w:val="single" w:sz="4" w:space="0" w:color="auto"/>
            </w:tcBorders>
            <w:shd w:val="pct10" w:color="auto" w:fill="FFFFFF"/>
          </w:tcPr>
          <w:p>
            <w:pPr>
              <w:pStyle w:val="yTableNAm"/>
              <w:spacing w:before="0"/>
              <w:rPr>
                <w:sz w:val="16"/>
              </w:rPr>
            </w:pPr>
          </w:p>
        </w:tc>
        <w:tc>
          <w:tcPr>
            <w:tcW w:w="6356" w:type="dxa"/>
            <w:gridSpan w:val="12"/>
            <w:tcBorders>
              <w:bottom w:val="single" w:sz="4" w:space="0" w:color="auto"/>
            </w:tcBorders>
          </w:tcPr>
          <w:p>
            <w:pPr>
              <w:pStyle w:val="yTableNAm"/>
              <w:tabs>
                <w:tab w:val="clear" w:pos="567"/>
                <w:tab w:val="left" w:pos="965"/>
                <w:tab w:val="left" w:pos="2519"/>
                <w:tab w:val="left" w:pos="4079"/>
              </w:tabs>
              <w:spacing w:before="0"/>
              <w:rPr>
                <w:sz w:val="18"/>
                <w:szCs w:val="18"/>
              </w:rPr>
            </w:pPr>
            <w:r>
              <w:rPr>
                <w:sz w:val="18"/>
                <w:szCs w:val="18"/>
              </w:rPr>
              <w:t>Email:</w:t>
            </w:r>
          </w:p>
        </w:tc>
      </w:tr>
      <w:bookmarkEnd w:id="750"/>
      <w:tr>
        <w:trPr>
          <w:cantSplit/>
          <w:trHeight w:hRule="exact" w:val="80"/>
        </w:trPr>
        <w:tc>
          <w:tcPr>
            <w:tcW w:w="7371" w:type="dxa"/>
            <w:gridSpan w:val="13"/>
            <w:tcBorders>
              <w:left w:val="nil"/>
              <w:right w:val="nil"/>
            </w:tcBorders>
          </w:tcPr>
          <w:p>
            <w:pPr>
              <w:pStyle w:val="yTableNAm"/>
              <w:spacing w:before="0"/>
              <w:rPr>
                <w:sz w:val="18"/>
                <w:szCs w:val="18"/>
              </w:rPr>
            </w:pPr>
          </w:p>
        </w:tc>
      </w:tr>
      <w:tr>
        <w:trPr>
          <w:cantSplit/>
          <w:trHeight w:val="1227"/>
        </w:trPr>
        <w:tc>
          <w:tcPr>
            <w:tcW w:w="1035" w:type="dxa"/>
            <w:gridSpan w:val="3"/>
            <w:tcBorders>
              <w:bottom w:val="nil"/>
            </w:tcBorders>
            <w:shd w:val="pct10" w:color="auto" w:fill="FFFFFF"/>
          </w:tcPr>
          <w:p>
            <w:pPr>
              <w:pStyle w:val="yTableNAm"/>
              <w:spacing w:before="0"/>
              <w:rPr>
                <w:sz w:val="18"/>
                <w:szCs w:val="18"/>
              </w:rPr>
            </w:pPr>
            <w:r>
              <w:rPr>
                <w:sz w:val="18"/>
                <w:szCs w:val="18"/>
              </w:rPr>
              <w:t>Grounds for application</w:t>
            </w:r>
          </w:p>
        </w:tc>
        <w:tc>
          <w:tcPr>
            <w:tcW w:w="6336" w:type="dxa"/>
            <w:gridSpan w:val="10"/>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71" w:type="dxa"/>
            <w:gridSpan w:val="13"/>
            <w:tcBorders>
              <w:left w:val="nil"/>
              <w:right w:val="nil"/>
            </w:tcBorders>
          </w:tcPr>
          <w:p>
            <w:pPr>
              <w:pStyle w:val="yTableNAm"/>
              <w:spacing w:before="0"/>
              <w:rPr>
                <w:sz w:val="18"/>
                <w:szCs w:val="18"/>
              </w:rPr>
            </w:pPr>
          </w:p>
        </w:tc>
      </w:tr>
      <w:tr>
        <w:trPr>
          <w:cantSplit/>
          <w:trHeight w:val="663"/>
        </w:trPr>
        <w:tc>
          <w:tcPr>
            <w:tcW w:w="1025" w:type="dxa"/>
            <w:gridSpan w:val="2"/>
            <w:vMerge w:val="restart"/>
            <w:shd w:val="pct10" w:color="auto" w:fill="FFFFFF"/>
            <w:noWrap/>
          </w:tcPr>
          <w:p>
            <w:pPr>
              <w:pStyle w:val="yTableNAm"/>
              <w:spacing w:before="0"/>
              <w:rPr>
                <w:sz w:val="18"/>
                <w:szCs w:val="18"/>
              </w:rPr>
            </w:pPr>
            <w:r>
              <w:rPr>
                <w:sz w:val="18"/>
                <w:szCs w:val="18"/>
              </w:rPr>
              <w:t>Information relating to children</w:t>
            </w:r>
          </w:p>
        </w:tc>
        <w:tc>
          <w:tcPr>
            <w:tcW w:w="4115" w:type="dxa"/>
            <w:gridSpan w:val="6"/>
            <w:noWrap/>
          </w:tcPr>
          <w:p>
            <w:pPr>
              <w:pStyle w:val="yTableNAm"/>
              <w:spacing w:before="0"/>
              <w:rPr>
                <w:sz w:val="18"/>
              </w:rPr>
            </w:pPr>
            <w:r>
              <w:rPr>
                <w:sz w:val="18"/>
              </w:rPr>
              <w:t>Is the person seeking to be protected a child who is under the control or in the care of a person under a child welfare law?</w:t>
            </w:r>
          </w:p>
        </w:tc>
        <w:tc>
          <w:tcPr>
            <w:tcW w:w="2231" w:type="dxa"/>
            <w:gridSpan w:val="5"/>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cantSplit/>
          <w:trHeight w:val="843"/>
        </w:trPr>
        <w:tc>
          <w:tcPr>
            <w:tcW w:w="1025" w:type="dxa"/>
            <w:gridSpan w:val="2"/>
            <w:vMerge/>
            <w:shd w:val="pct10" w:color="auto" w:fill="FFFFFF"/>
            <w:noWrap/>
          </w:tcPr>
          <w:p/>
        </w:tc>
        <w:tc>
          <w:tcPr>
            <w:tcW w:w="4115" w:type="dxa"/>
            <w:gridSpan w:val="6"/>
            <w:noWrap/>
          </w:tcPr>
          <w:p>
            <w:pPr>
              <w:pStyle w:val="yTableNAm"/>
              <w:spacing w:before="0"/>
              <w:rPr>
                <w:rStyle w:val="DraftersNotes"/>
                <w:b w:val="0"/>
                <w:i w:val="0"/>
                <w:sz w:val="18"/>
                <w:szCs w:val="18"/>
              </w:rPr>
            </w:pPr>
            <w:r>
              <w:rPr>
                <w:sz w:val="18"/>
              </w:rPr>
              <w:t>If yes, has this application been made with the written consent of a person who, under the relevant child welfare law, has responsibility for the control or care of the child?</w:t>
            </w:r>
          </w:p>
        </w:tc>
        <w:tc>
          <w:tcPr>
            <w:tcW w:w="2231" w:type="dxa"/>
            <w:gridSpan w:val="5"/>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cantSplit/>
          <w:trHeight w:val="642"/>
        </w:trPr>
        <w:tc>
          <w:tcPr>
            <w:tcW w:w="1025" w:type="dxa"/>
            <w:gridSpan w:val="2"/>
            <w:vMerge/>
            <w:shd w:val="pct10" w:color="auto" w:fill="FFFFFF"/>
            <w:noWrap/>
          </w:tcPr>
          <w:p/>
        </w:tc>
        <w:tc>
          <w:tcPr>
            <w:tcW w:w="4115" w:type="dxa"/>
            <w:gridSpan w:val="6"/>
            <w:noWrap/>
          </w:tcPr>
          <w:p>
            <w:pPr>
              <w:pStyle w:val="yTableNAm"/>
              <w:spacing w:before="0"/>
              <w:rPr>
                <w:sz w:val="18"/>
              </w:rPr>
            </w:pPr>
            <w:r>
              <w:rPr>
                <w:sz w:val="18"/>
              </w:rPr>
              <w:t>Is the respondent a child who is under the control or in the care of a person under a child welfare law?</w:t>
            </w:r>
          </w:p>
        </w:tc>
        <w:tc>
          <w:tcPr>
            <w:tcW w:w="2231" w:type="dxa"/>
            <w:gridSpan w:val="5"/>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cantSplit/>
          <w:trHeight w:hRule="exact" w:val="80"/>
        </w:trPr>
        <w:tc>
          <w:tcPr>
            <w:tcW w:w="7371" w:type="dxa"/>
            <w:gridSpan w:val="13"/>
            <w:tcBorders>
              <w:left w:val="nil"/>
              <w:bottom w:val="nil"/>
              <w:right w:val="nil"/>
            </w:tcBorders>
          </w:tcPr>
          <w:p>
            <w:pPr>
              <w:pStyle w:val="yTableNAm"/>
              <w:spacing w:before="0"/>
              <w:rPr>
                <w:sz w:val="16"/>
              </w:rPr>
            </w:pPr>
            <w:r>
              <w:rPr>
                <w:sz w:val="16"/>
              </w:rPr>
              <w:tab/>
            </w:r>
          </w:p>
        </w:tc>
      </w:tr>
      <w:tr>
        <w:trPr>
          <w:cantSplit/>
          <w:trHeight w:val="80"/>
        </w:trPr>
        <w:tc>
          <w:tcPr>
            <w:tcW w:w="1035" w:type="dxa"/>
            <w:gridSpan w:val="3"/>
            <w:tcBorders>
              <w:top w:val="nil"/>
              <w:left w:val="nil"/>
              <w:bottom w:val="single" w:sz="4" w:space="0" w:color="auto"/>
              <w:right w:val="nil"/>
            </w:tcBorders>
            <w:shd w:val="clear" w:color="auto" w:fill="auto"/>
          </w:tcPr>
          <w:p>
            <w:pPr>
              <w:pStyle w:val="yTableNAm"/>
              <w:keepNext/>
              <w:spacing w:before="0"/>
              <w:rPr>
                <w:sz w:val="10"/>
                <w:szCs w:val="18"/>
              </w:rPr>
            </w:pPr>
          </w:p>
        </w:tc>
        <w:tc>
          <w:tcPr>
            <w:tcW w:w="2509" w:type="dxa"/>
            <w:gridSpan w:val="2"/>
            <w:tcBorders>
              <w:top w:val="nil"/>
              <w:left w:val="nil"/>
              <w:bottom w:val="single" w:sz="4" w:space="0" w:color="auto"/>
              <w:right w:val="nil"/>
            </w:tcBorders>
          </w:tcPr>
          <w:p>
            <w:pPr>
              <w:pStyle w:val="yTableNAm"/>
              <w:keepNext/>
              <w:spacing w:before="0"/>
              <w:rPr>
                <w:sz w:val="10"/>
                <w:szCs w:val="18"/>
              </w:rPr>
            </w:pPr>
          </w:p>
        </w:tc>
        <w:tc>
          <w:tcPr>
            <w:tcW w:w="1596" w:type="dxa"/>
            <w:gridSpan w:val="3"/>
            <w:tcBorders>
              <w:top w:val="single" w:sz="4" w:space="0" w:color="auto"/>
              <w:left w:val="nil"/>
              <w:bottom w:val="single" w:sz="4" w:space="0" w:color="auto"/>
              <w:right w:val="nil"/>
            </w:tcBorders>
          </w:tcPr>
          <w:p>
            <w:pPr>
              <w:pStyle w:val="yTableNAm"/>
              <w:keepNext/>
              <w:spacing w:before="0"/>
              <w:rPr>
                <w:sz w:val="10"/>
                <w:szCs w:val="18"/>
              </w:rPr>
            </w:pPr>
          </w:p>
        </w:tc>
        <w:tc>
          <w:tcPr>
            <w:tcW w:w="2231" w:type="dxa"/>
            <w:gridSpan w:val="5"/>
            <w:tcBorders>
              <w:top w:val="nil"/>
              <w:left w:val="nil"/>
              <w:bottom w:val="single" w:sz="4" w:space="0" w:color="auto"/>
              <w:right w:val="nil"/>
            </w:tcBorders>
          </w:tcPr>
          <w:p>
            <w:pPr>
              <w:pStyle w:val="yTableNAm"/>
              <w:keepNext/>
              <w:spacing w:before="0"/>
              <w:rPr>
                <w:sz w:val="10"/>
                <w:szCs w:val="18"/>
              </w:rPr>
            </w:pPr>
          </w:p>
        </w:tc>
      </w:tr>
      <w:tr>
        <w:trPr>
          <w:cantSplit/>
          <w:trHeight w:val="80"/>
        </w:trPr>
        <w:tc>
          <w:tcPr>
            <w:tcW w:w="1035" w:type="dxa"/>
            <w:gridSpan w:val="3"/>
            <w:vMerge w:val="restart"/>
            <w:tcBorders>
              <w:top w:val="single" w:sz="4" w:space="0" w:color="auto"/>
            </w:tcBorders>
            <w:shd w:val="pct10" w:color="auto" w:fill="FFFFFF"/>
          </w:tcPr>
          <w:p>
            <w:pPr>
              <w:pStyle w:val="yTableNAm"/>
              <w:keepNext/>
              <w:spacing w:before="0"/>
              <w:rPr>
                <w:sz w:val="18"/>
                <w:szCs w:val="18"/>
              </w:rPr>
            </w:pPr>
            <w:r>
              <w:rPr>
                <w:sz w:val="18"/>
                <w:szCs w:val="18"/>
              </w:rPr>
              <w:t>Firearms</w:t>
            </w:r>
          </w:p>
        </w:tc>
        <w:tc>
          <w:tcPr>
            <w:tcW w:w="4105" w:type="dxa"/>
            <w:gridSpan w:val="5"/>
            <w:tcBorders>
              <w:top w:val="single" w:sz="4" w:space="0" w:color="auto"/>
              <w:bottom w:val="single" w:sz="4" w:space="0" w:color="auto"/>
            </w:tcBorders>
          </w:tcPr>
          <w:p>
            <w:pPr>
              <w:pStyle w:val="yTableNAm"/>
              <w:keepNext/>
              <w:spacing w:before="0"/>
              <w:rPr>
                <w:sz w:val="18"/>
                <w:szCs w:val="18"/>
              </w:rPr>
            </w:pPr>
            <w:r>
              <w:rPr>
                <w:sz w:val="18"/>
                <w:szCs w:val="18"/>
              </w:rPr>
              <w:t>Does the respondent have a firearm item or firearms authorisation?</w:t>
            </w:r>
          </w:p>
        </w:tc>
        <w:tc>
          <w:tcPr>
            <w:tcW w:w="2231" w:type="dxa"/>
            <w:gridSpan w:val="5"/>
            <w:tcBorders>
              <w:top w:val="single" w:sz="4" w:space="0" w:color="auto"/>
              <w:bottom w:val="single" w:sz="4" w:space="0" w:color="auto"/>
            </w:tcBorders>
          </w:tcPr>
          <w:p>
            <w:pPr>
              <w:pStyle w:val="yTableNAm"/>
              <w:keepNext/>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1035" w:type="dxa"/>
            <w:gridSpan w:val="3"/>
            <w:vMerge/>
            <w:tcBorders>
              <w:bottom w:val="single" w:sz="4" w:space="0" w:color="auto"/>
            </w:tcBorders>
            <w:shd w:val="pct10" w:color="auto" w:fill="FFFFFF"/>
          </w:tcPr>
          <w:p>
            <w:pPr>
              <w:pStyle w:val="yTableNAm"/>
              <w:keepNext/>
              <w:spacing w:before="0"/>
              <w:rPr>
                <w:sz w:val="16"/>
              </w:rPr>
            </w:pPr>
          </w:p>
        </w:tc>
        <w:tc>
          <w:tcPr>
            <w:tcW w:w="4105" w:type="dxa"/>
            <w:gridSpan w:val="5"/>
            <w:tcBorders>
              <w:bottom w:val="single" w:sz="4" w:space="0" w:color="auto"/>
            </w:tcBorders>
          </w:tcPr>
          <w:p>
            <w:pPr>
              <w:pStyle w:val="yTableNAm"/>
              <w:keepNext/>
              <w:spacing w:before="0"/>
              <w:rPr>
                <w:sz w:val="18"/>
                <w:szCs w:val="18"/>
              </w:rPr>
            </w:pPr>
            <w:r>
              <w:rPr>
                <w:sz w:val="18"/>
                <w:szCs w:val="18"/>
              </w:rPr>
              <w:t>Does the respondent have access to a firearm item at work?</w:t>
            </w:r>
          </w:p>
        </w:tc>
        <w:tc>
          <w:tcPr>
            <w:tcW w:w="2231" w:type="dxa"/>
            <w:gridSpan w:val="5"/>
            <w:tcBorders>
              <w:bottom w:val="single" w:sz="4" w:space="0" w:color="auto"/>
            </w:tcBorders>
          </w:tcPr>
          <w:p>
            <w:pPr>
              <w:pStyle w:val="yTableNAm"/>
              <w:keepNext/>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71" w:type="dxa"/>
            <w:gridSpan w:val="13"/>
            <w:tcBorders>
              <w:top w:val="nil"/>
              <w:left w:val="nil"/>
              <w:bottom w:val="nil"/>
              <w:right w:val="nil"/>
            </w:tcBorders>
            <w:noWrap/>
          </w:tcPr>
          <w:p>
            <w:pPr>
              <w:pStyle w:val="yTableNAm"/>
              <w:keepNext/>
              <w:keepLines/>
              <w:spacing w:before="0"/>
            </w:pPr>
          </w:p>
        </w:tc>
      </w:tr>
      <w:tr>
        <w:trPr>
          <w:cantSplit/>
        </w:trPr>
        <w:tc>
          <w:tcPr>
            <w:tcW w:w="1035" w:type="dxa"/>
            <w:gridSpan w:val="3"/>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36" w:type="dxa"/>
            <w:gridSpan w:val="10"/>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1035" w:type="dxa"/>
            <w:gridSpan w:val="3"/>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36" w:type="dxa"/>
            <w:gridSpan w:val="10"/>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371" w:type="dxa"/>
            <w:gridSpan w:val="13"/>
            <w:tcBorders>
              <w:left w:val="nil"/>
              <w:right w:val="nil"/>
            </w:tcBorders>
          </w:tcPr>
          <w:p>
            <w:pPr>
              <w:pStyle w:val="yTableNAm"/>
              <w:spacing w:before="0"/>
              <w:rPr>
                <w:sz w:val="16"/>
              </w:rPr>
            </w:pPr>
          </w:p>
        </w:tc>
      </w:tr>
      <w:tr>
        <w:trPr>
          <w:cantSplit/>
          <w:trHeight w:val="80"/>
        </w:trPr>
        <w:tc>
          <w:tcPr>
            <w:tcW w:w="1035" w:type="dxa"/>
            <w:gridSpan w:val="3"/>
            <w:tcBorders>
              <w:bottom w:val="nil"/>
            </w:tcBorders>
            <w:shd w:val="pct10" w:color="auto" w:fill="FFFFFF"/>
          </w:tcPr>
          <w:p>
            <w:pPr>
              <w:pStyle w:val="yTableNAm"/>
              <w:spacing w:before="0"/>
              <w:rPr>
                <w:sz w:val="18"/>
                <w:szCs w:val="18"/>
              </w:rPr>
            </w:pPr>
            <w:r>
              <w:rPr>
                <w:sz w:val="18"/>
                <w:szCs w:val="18"/>
              </w:rPr>
              <w:t>Applicant</w:t>
            </w:r>
          </w:p>
        </w:tc>
        <w:tc>
          <w:tcPr>
            <w:tcW w:w="5097" w:type="dxa"/>
            <w:gridSpan w:val="8"/>
            <w:tcBorders>
              <w:bottom w:val="nil"/>
            </w:tcBorders>
          </w:tcPr>
          <w:p>
            <w:pPr>
              <w:pStyle w:val="yTableNAm"/>
              <w:spacing w:before="0"/>
              <w:rPr>
                <w:sz w:val="18"/>
                <w:szCs w:val="18"/>
              </w:rPr>
            </w:pPr>
            <w:r>
              <w:rPr>
                <w:sz w:val="18"/>
                <w:szCs w:val="18"/>
              </w:rPr>
              <w:t>Signature:</w:t>
            </w:r>
          </w:p>
        </w:tc>
        <w:tc>
          <w:tcPr>
            <w:tcW w:w="1239" w:type="dxa"/>
            <w:gridSpan w:val="2"/>
            <w:tcBorders>
              <w:bottom w:val="nil"/>
            </w:tcBorders>
          </w:tcPr>
          <w:p>
            <w:pPr>
              <w:pStyle w:val="yTableNAm"/>
              <w:spacing w:before="0"/>
              <w:rPr>
                <w:sz w:val="16"/>
              </w:rPr>
            </w:pPr>
            <w:r>
              <w:rPr>
                <w:sz w:val="16"/>
              </w:rPr>
              <w:t>Date:</w:t>
            </w:r>
          </w:p>
        </w:tc>
      </w:tr>
      <w:tr>
        <w:trPr>
          <w:cantSplit/>
          <w:trHeight w:hRule="exact" w:val="80"/>
        </w:trPr>
        <w:tc>
          <w:tcPr>
            <w:tcW w:w="7371" w:type="dxa"/>
            <w:gridSpan w:val="13"/>
            <w:tcBorders>
              <w:left w:val="nil"/>
              <w:right w:val="nil"/>
            </w:tcBorders>
          </w:tcPr>
          <w:p>
            <w:pPr>
              <w:pStyle w:val="yTableNAm"/>
              <w:spacing w:before="0"/>
              <w:rPr>
                <w:sz w:val="16"/>
              </w:rPr>
            </w:pPr>
          </w:p>
        </w:tc>
      </w:tr>
      <w:tr>
        <w:trPr>
          <w:cantSplit/>
          <w:trHeight w:val="277"/>
        </w:trPr>
        <w:tc>
          <w:tcPr>
            <w:tcW w:w="1035" w:type="dxa"/>
            <w:gridSpan w:val="3"/>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6" w:type="dxa"/>
            <w:gridSpan w:val="4"/>
          </w:tcPr>
          <w:p>
            <w:pPr>
              <w:pStyle w:val="yTableNAm"/>
              <w:spacing w:before="0"/>
              <w:rPr>
                <w:sz w:val="18"/>
                <w:szCs w:val="18"/>
              </w:rPr>
            </w:pPr>
            <w:r>
              <w:rPr>
                <w:sz w:val="18"/>
                <w:szCs w:val="18"/>
              </w:rPr>
              <w:t>Court:</w:t>
            </w:r>
          </w:p>
        </w:tc>
        <w:tc>
          <w:tcPr>
            <w:tcW w:w="1841" w:type="dxa"/>
            <w:gridSpan w:val="4"/>
          </w:tcPr>
          <w:p>
            <w:pPr>
              <w:pStyle w:val="yTableNAm"/>
              <w:spacing w:before="0"/>
              <w:rPr>
                <w:sz w:val="18"/>
                <w:szCs w:val="18"/>
              </w:rPr>
            </w:pPr>
            <w:r>
              <w:rPr>
                <w:sz w:val="18"/>
                <w:szCs w:val="18"/>
              </w:rPr>
              <w:t>Date:</w:t>
            </w:r>
          </w:p>
        </w:tc>
        <w:tc>
          <w:tcPr>
            <w:tcW w:w="1239" w:type="dxa"/>
            <w:gridSpan w:val="2"/>
          </w:tcPr>
          <w:p>
            <w:pPr>
              <w:pStyle w:val="yTableNAm"/>
              <w:spacing w:before="0"/>
              <w:rPr>
                <w:sz w:val="18"/>
                <w:szCs w:val="18"/>
              </w:rPr>
            </w:pPr>
            <w:r>
              <w:rPr>
                <w:sz w:val="18"/>
                <w:szCs w:val="18"/>
              </w:rPr>
              <w:t>Time:</w:t>
            </w:r>
          </w:p>
        </w:tc>
      </w:tr>
      <w:tr>
        <w:trPr>
          <w:cantSplit/>
          <w:trHeight w:val="278"/>
        </w:trPr>
        <w:tc>
          <w:tcPr>
            <w:tcW w:w="1035" w:type="dxa"/>
            <w:gridSpan w:val="3"/>
            <w:vMerge/>
            <w:tcBorders>
              <w:bottom w:val="nil"/>
            </w:tcBorders>
            <w:shd w:val="pct10" w:color="auto" w:fill="FFFFFF"/>
          </w:tcPr>
          <w:p>
            <w:pPr>
              <w:pStyle w:val="yTableNAm"/>
              <w:spacing w:before="0"/>
              <w:rPr>
                <w:sz w:val="16"/>
              </w:rPr>
            </w:pPr>
          </w:p>
        </w:tc>
        <w:tc>
          <w:tcPr>
            <w:tcW w:w="6336" w:type="dxa"/>
            <w:gridSpan w:val="10"/>
            <w:tcBorders>
              <w:bottom w:val="nil"/>
            </w:tcBorders>
          </w:tcPr>
          <w:p>
            <w:pPr>
              <w:pStyle w:val="yTableNAm"/>
              <w:spacing w:before="0"/>
              <w:rPr>
                <w:sz w:val="18"/>
                <w:szCs w:val="18"/>
              </w:rPr>
            </w:pPr>
            <w:r>
              <w:rPr>
                <w:sz w:val="18"/>
                <w:szCs w:val="18"/>
              </w:rPr>
              <w:br/>
              <w:t>Registrar:</w:t>
            </w:r>
          </w:p>
        </w:tc>
      </w:tr>
      <w:tr>
        <w:trPr>
          <w:cantSplit/>
          <w:trHeight w:hRule="exact" w:val="80"/>
        </w:trPr>
        <w:tc>
          <w:tcPr>
            <w:tcW w:w="7371" w:type="dxa"/>
            <w:gridSpan w:val="13"/>
            <w:tcBorders>
              <w:left w:val="nil"/>
              <w:right w:val="nil"/>
            </w:tcBorders>
          </w:tcPr>
          <w:p>
            <w:pPr>
              <w:pStyle w:val="yTableNAm"/>
              <w:spacing w:before="0"/>
              <w:rPr>
                <w:sz w:val="16"/>
              </w:rPr>
            </w:pPr>
          </w:p>
        </w:tc>
      </w:tr>
      <w:tr>
        <w:trPr>
          <w:cantSplit/>
          <w:trHeight w:val="80"/>
        </w:trPr>
        <w:tc>
          <w:tcPr>
            <w:tcW w:w="1035" w:type="dxa"/>
            <w:gridSpan w:val="3"/>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36" w:type="dxa"/>
            <w:gridSpan w:val="10"/>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 amended: SL 2020/141 r. 17; SL 2022/15 r. 4(2); SL 2022/188 r. 4(5).]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legal practitioner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legal practitioner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24; SL 2022/106 r. 4.]</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2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7"/>
        <w:gridCol w:w="10"/>
        <w:gridCol w:w="1843"/>
        <w:gridCol w:w="567"/>
        <w:gridCol w:w="571"/>
        <w:gridCol w:w="1418"/>
        <w:gridCol w:w="65"/>
        <w:gridCol w:w="214"/>
        <w:gridCol w:w="1375"/>
      </w:tblGrid>
      <w:tr>
        <w:trPr>
          <w:cantSplit/>
          <w:trHeight w:val="226"/>
          <w:tblHeader/>
        </w:trPr>
        <w:tc>
          <w:tcPr>
            <w:tcW w:w="302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643"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302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43"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302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43"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230" w:type="dxa"/>
            <w:gridSpan w:val="9"/>
            <w:tcBorders>
              <w:top w:val="nil"/>
              <w:left w:val="nil"/>
              <w:right w:val="nil"/>
            </w:tcBorders>
          </w:tcPr>
          <w:p>
            <w:pPr>
              <w:pStyle w:val="yTableNAm"/>
              <w:spacing w:before="0"/>
              <w:rPr>
                <w:sz w:val="8"/>
              </w:rPr>
            </w:pPr>
          </w:p>
        </w:tc>
      </w:tr>
      <w:tr>
        <w:trPr>
          <w:cantSplit/>
          <w:trHeight w:val="80"/>
        </w:trPr>
        <w:tc>
          <w:tcPr>
            <w:tcW w:w="1167" w:type="dxa"/>
            <w:vMerge w:val="restart"/>
            <w:tcBorders>
              <w:top w:val="single" w:sz="4" w:space="0" w:color="000000"/>
              <w:left w:val="single" w:sz="4" w:space="0" w:color="000000"/>
            </w:tcBorders>
            <w:shd w:val="pct10" w:color="auto" w:fill="FFFFFF"/>
          </w:tcPr>
          <w:p>
            <w:pPr>
              <w:pStyle w:val="yTableNAm"/>
              <w:spacing w:before="0"/>
              <w:rPr>
                <w:b/>
                <w:sz w:val="18"/>
                <w:szCs w:val="18"/>
              </w:rPr>
            </w:pPr>
            <w:bookmarkStart w:id="751" w:name="_Hlk115707667"/>
            <w:r>
              <w:rPr>
                <w:sz w:val="18"/>
                <w:szCs w:val="18"/>
              </w:rPr>
              <w:t>Person who is bound by this order</w:t>
            </w:r>
          </w:p>
        </w:tc>
        <w:tc>
          <w:tcPr>
            <w:tcW w:w="4409"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654"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67" w:type="dxa"/>
            <w:vMerge/>
            <w:tcBorders>
              <w:left w:val="single" w:sz="4" w:space="0" w:color="000000"/>
            </w:tcBorders>
            <w:shd w:val="pct10" w:color="auto" w:fill="FFFFFF"/>
          </w:tcPr>
          <w:p>
            <w:pPr>
              <w:pStyle w:val="yTableNAm"/>
              <w:spacing w:before="0"/>
              <w:rPr>
                <w:sz w:val="18"/>
                <w:szCs w:val="18"/>
              </w:rPr>
            </w:pPr>
          </w:p>
        </w:tc>
        <w:tc>
          <w:tcPr>
            <w:tcW w:w="4409"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654"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67" w:type="dxa"/>
            <w:vMerge/>
            <w:tcBorders>
              <w:left w:val="single" w:sz="4" w:space="0" w:color="000000"/>
            </w:tcBorders>
            <w:shd w:val="pct10" w:color="auto" w:fill="FFFFFF"/>
          </w:tcPr>
          <w:p>
            <w:pPr>
              <w:pStyle w:val="yTableNAm"/>
              <w:spacing w:before="0"/>
              <w:rPr>
                <w:sz w:val="18"/>
                <w:szCs w:val="18"/>
              </w:rPr>
            </w:pPr>
          </w:p>
        </w:tc>
        <w:tc>
          <w:tcPr>
            <w:tcW w:w="6063" w:type="dxa"/>
            <w:gridSpan w:val="8"/>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67" w:type="dxa"/>
            <w:vMerge/>
            <w:tcBorders>
              <w:left w:val="single" w:sz="4" w:space="0" w:color="000000"/>
            </w:tcBorders>
            <w:shd w:val="pct10" w:color="auto" w:fill="FFFFFF"/>
          </w:tcPr>
          <w:p>
            <w:pPr>
              <w:pStyle w:val="yTableNAm"/>
              <w:spacing w:before="0"/>
              <w:rPr>
                <w:sz w:val="18"/>
                <w:szCs w:val="18"/>
              </w:rPr>
            </w:pPr>
          </w:p>
        </w:tc>
        <w:tc>
          <w:tcPr>
            <w:tcW w:w="6063" w:type="dxa"/>
            <w:gridSpan w:val="8"/>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67" w:type="dxa"/>
            <w:vMerge/>
            <w:tcBorders>
              <w:left w:val="single" w:sz="4" w:space="0" w:color="000000"/>
            </w:tcBorders>
            <w:shd w:val="pct10" w:color="auto" w:fill="FFFFFF"/>
          </w:tcPr>
          <w:p>
            <w:pPr>
              <w:pStyle w:val="yTableNAm"/>
              <w:spacing w:before="0"/>
              <w:rPr>
                <w:sz w:val="18"/>
                <w:szCs w:val="18"/>
              </w:rPr>
            </w:pPr>
          </w:p>
        </w:tc>
        <w:tc>
          <w:tcPr>
            <w:tcW w:w="6063" w:type="dxa"/>
            <w:gridSpan w:val="8"/>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1167"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63" w:type="dxa"/>
            <w:gridSpan w:val="8"/>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Email:</w:t>
            </w:r>
          </w:p>
        </w:tc>
      </w:tr>
      <w:bookmarkEnd w:id="751"/>
      <w:tr>
        <w:trPr>
          <w:cantSplit/>
          <w:trHeight w:hRule="exact" w:val="80"/>
        </w:trPr>
        <w:tc>
          <w:tcPr>
            <w:tcW w:w="7230"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1177"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89"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77"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89"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77" w:type="dxa"/>
            <w:gridSpan w:val="2"/>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53"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77"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53"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77" w:type="dxa"/>
            <w:gridSpan w:val="2"/>
            <w:tcBorders>
              <w:top w:val="nil"/>
              <w:left w:val="nil"/>
              <w:bottom w:val="nil"/>
              <w:right w:val="nil"/>
            </w:tcBorders>
            <w:shd w:val="clear" w:color="auto" w:fill="FFFFFF"/>
          </w:tcPr>
          <w:p>
            <w:pPr>
              <w:pStyle w:val="yTableNAm"/>
              <w:spacing w:before="0"/>
              <w:rPr>
                <w:sz w:val="18"/>
                <w:szCs w:val="18"/>
              </w:rPr>
            </w:pPr>
          </w:p>
        </w:tc>
        <w:tc>
          <w:tcPr>
            <w:tcW w:w="6053" w:type="dxa"/>
            <w:gridSpan w:val="7"/>
            <w:tcBorders>
              <w:top w:val="nil"/>
              <w:left w:val="nil"/>
              <w:bottom w:val="nil"/>
              <w:right w:val="nil"/>
            </w:tcBorders>
          </w:tcPr>
          <w:p>
            <w:pPr>
              <w:pStyle w:val="yTableNAm"/>
              <w:spacing w:before="0"/>
              <w:rPr>
                <w:sz w:val="18"/>
                <w:szCs w:val="18"/>
              </w:rPr>
            </w:pPr>
          </w:p>
        </w:tc>
      </w:tr>
      <w:tr>
        <w:trPr>
          <w:cantSplit/>
          <w:trHeight w:val="1986"/>
        </w:trPr>
        <w:tc>
          <w:tcPr>
            <w:tcW w:w="1177"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6053"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230" w:type="dxa"/>
            <w:gridSpan w:val="9"/>
            <w:tcBorders>
              <w:top w:val="nil"/>
              <w:left w:val="nil"/>
              <w:bottom w:val="nil"/>
              <w:right w:val="nil"/>
            </w:tcBorders>
          </w:tcPr>
          <w:p>
            <w:pPr>
              <w:pStyle w:val="yTableNAm"/>
              <w:spacing w:before="0"/>
              <w:rPr>
                <w:sz w:val="18"/>
                <w:szCs w:val="18"/>
              </w:rPr>
            </w:pPr>
          </w:p>
        </w:tc>
      </w:tr>
      <w:tr>
        <w:trPr>
          <w:cantSplit/>
          <w:trHeight w:val="80"/>
        </w:trPr>
        <w:tc>
          <w:tcPr>
            <w:tcW w:w="1177"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72"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230" w:type="dxa"/>
            <w:gridSpan w:val="9"/>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77"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053"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77"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053"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77"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75"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230" w:type="dxa"/>
            <w:gridSpan w:val="9"/>
            <w:tcBorders>
              <w:top w:val="nil"/>
              <w:left w:val="nil"/>
              <w:bottom w:val="nil"/>
              <w:right w:val="nil"/>
            </w:tcBorders>
          </w:tcPr>
          <w:p>
            <w:pPr>
              <w:pStyle w:val="yTableNAm"/>
              <w:spacing w:before="0"/>
              <w:rPr>
                <w:sz w:val="18"/>
                <w:szCs w:val="18"/>
              </w:rPr>
            </w:pPr>
          </w:p>
        </w:tc>
      </w:tr>
      <w:tr>
        <w:trPr>
          <w:cantSplit/>
          <w:trHeight w:hRule="exact" w:val="240"/>
        </w:trPr>
        <w:tc>
          <w:tcPr>
            <w:tcW w:w="1177"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6053"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77" w:type="dxa"/>
            <w:gridSpan w:val="2"/>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75"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2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
        <w:gridCol w:w="10"/>
        <w:gridCol w:w="8"/>
        <w:gridCol w:w="1976"/>
        <w:gridCol w:w="567"/>
        <w:gridCol w:w="571"/>
        <w:gridCol w:w="1418"/>
        <w:gridCol w:w="65"/>
        <w:gridCol w:w="214"/>
        <w:gridCol w:w="1375"/>
      </w:tblGrid>
      <w:tr>
        <w:trPr>
          <w:cantSplit/>
          <w:trHeight w:val="226"/>
          <w:tblHeader/>
        </w:trPr>
        <w:tc>
          <w:tcPr>
            <w:tcW w:w="3020"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643"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3020"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43"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3020"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43"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230" w:type="dxa"/>
            <w:gridSpan w:val="10"/>
            <w:tcBorders>
              <w:top w:val="nil"/>
              <w:left w:val="nil"/>
              <w:right w:val="nil"/>
            </w:tcBorders>
          </w:tcPr>
          <w:p>
            <w:pPr>
              <w:pStyle w:val="yTableNAm"/>
              <w:spacing w:before="0"/>
              <w:rPr>
                <w:sz w:val="8"/>
              </w:rPr>
            </w:pPr>
          </w:p>
        </w:tc>
      </w:tr>
      <w:tr>
        <w:trPr>
          <w:cantSplit/>
          <w:trHeight w:val="80"/>
        </w:trPr>
        <w:tc>
          <w:tcPr>
            <w:tcW w:w="1026" w:type="dxa"/>
            <w:vMerge w:val="restart"/>
            <w:tcBorders>
              <w:top w:val="single" w:sz="4" w:space="0" w:color="000000"/>
              <w:left w:val="single" w:sz="4" w:space="0" w:color="000000"/>
            </w:tcBorders>
            <w:shd w:val="pct10" w:color="auto" w:fill="FFFFFF"/>
          </w:tcPr>
          <w:p>
            <w:pPr>
              <w:pStyle w:val="yTableNAm"/>
              <w:spacing w:before="0"/>
              <w:rPr>
                <w:b/>
                <w:sz w:val="18"/>
                <w:szCs w:val="18"/>
              </w:rPr>
            </w:pPr>
            <w:bookmarkStart w:id="752" w:name="_Hlk115707825"/>
            <w:r>
              <w:rPr>
                <w:sz w:val="18"/>
                <w:szCs w:val="18"/>
              </w:rPr>
              <w:t>Person who is bound by this order</w:t>
            </w:r>
          </w:p>
        </w:tc>
        <w:tc>
          <w:tcPr>
            <w:tcW w:w="4550"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654"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026" w:type="dxa"/>
            <w:vMerge/>
            <w:tcBorders>
              <w:left w:val="single" w:sz="4" w:space="0" w:color="000000"/>
            </w:tcBorders>
            <w:shd w:val="pct10" w:color="auto" w:fill="FFFFFF"/>
          </w:tcPr>
          <w:p>
            <w:pPr>
              <w:pStyle w:val="yTableNAm"/>
              <w:spacing w:before="0"/>
              <w:rPr>
                <w:sz w:val="18"/>
                <w:szCs w:val="18"/>
              </w:rPr>
            </w:pPr>
          </w:p>
        </w:tc>
        <w:tc>
          <w:tcPr>
            <w:tcW w:w="4550"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654"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1026" w:type="dxa"/>
            <w:vMerge/>
            <w:tcBorders>
              <w:left w:val="single" w:sz="4" w:space="0" w:color="000000"/>
            </w:tcBorders>
            <w:shd w:val="pct10" w:color="auto" w:fill="FFFFFF"/>
          </w:tcPr>
          <w:p>
            <w:pPr>
              <w:pStyle w:val="yTableNAm"/>
              <w:spacing w:before="0"/>
              <w:rPr>
                <w:sz w:val="18"/>
                <w:szCs w:val="18"/>
              </w:rPr>
            </w:pPr>
          </w:p>
        </w:tc>
        <w:tc>
          <w:tcPr>
            <w:tcW w:w="6204" w:type="dxa"/>
            <w:gridSpan w:val="9"/>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1026" w:type="dxa"/>
            <w:vMerge/>
            <w:tcBorders>
              <w:left w:val="single" w:sz="4" w:space="0" w:color="000000"/>
            </w:tcBorders>
            <w:shd w:val="pct10" w:color="auto" w:fill="FFFFFF"/>
          </w:tcPr>
          <w:p>
            <w:pPr>
              <w:pStyle w:val="yTableNAm"/>
              <w:spacing w:before="0"/>
              <w:rPr>
                <w:sz w:val="18"/>
                <w:szCs w:val="18"/>
              </w:rPr>
            </w:pPr>
          </w:p>
        </w:tc>
        <w:tc>
          <w:tcPr>
            <w:tcW w:w="6204" w:type="dxa"/>
            <w:gridSpan w:val="9"/>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1026" w:type="dxa"/>
            <w:vMerge/>
            <w:tcBorders>
              <w:left w:val="single" w:sz="4" w:space="0" w:color="000000"/>
            </w:tcBorders>
            <w:shd w:val="pct10" w:color="auto" w:fill="FFFFFF"/>
          </w:tcPr>
          <w:p>
            <w:pPr>
              <w:pStyle w:val="yTableNAm"/>
              <w:spacing w:before="0"/>
              <w:rPr>
                <w:sz w:val="18"/>
                <w:szCs w:val="18"/>
              </w:rPr>
            </w:pPr>
          </w:p>
        </w:tc>
        <w:tc>
          <w:tcPr>
            <w:tcW w:w="6204" w:type="dxa"/>
            <w:gridSpan w:val="9"/>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227"/>
        </w:trPr>
        <w:tc>
          <w:tcPr>
            <w:tcW w:w="102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204" w:type="dxa"/>
            <w:gridSpan w:val="9"/>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Email:</w:t>
            </w:r>
          </w:p>
        </w:tc>
      </w:tr>
      <w:bookmarkEnd w:id="752"/>
      <w:tr>
        <w:trPr>
          <w:cantSplit/>
          <w:trHeight w:hRule="exact" w:val="80"/>
        </w:trPr>
        <w:tc>
          <w:tcPr>
            <w:tcW w:w="7230" w:type="dxa"/>
            <w:gridSpan w:val="10"/>
            <w:tcBorders>
              <w:top w:val="single" w:sz="4" w:space="0" w:color="000000"/>
              <w:left w:val="nil"/>
              <w:bottom w:val="nil"/>
              <w:right w:val="nil"/>
            </w:tcBorders>
          </w:tcPr>
          <w:p>
            <w:pPr>
              <w:pStyle w:val="yTableNAm"/>
              <w:spacing w:before="0"/>
              <w:rPr>
                <w:sz w:val="18"/>
                <w:szCs w:val="18"/>
              </w:rPr>
            </w:pPr>
          </w:p>
        </w:tc>
      </w:tr>
      <w:tr>
        <w:trPr>
          <w:cantSplit/>
          <w:trHeight w:val="80"/>
        </w:trPr>
        <w:tc>
          <w:tcPr>
            <w:tcW w:w="1036"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89"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036"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89"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036" w:type="dxa"/>
            <w:gridSpan w:val="2"/>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94"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036"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94"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036" w:type="dxa"/>
            <w:gridSpan w:val="2"/>
            <w:tcBorders>
              <w:top w:val="nil"/>
              <w:left w:val="nil"/>
              <w:bottom w:val="single" w:sz="4" w:space="0" w:color="auto"/>
              <w:right w:val="nil"/>
            </w:tcBorders>
            <w:shd w:val="clear" w:color="auto" w:fill="FFFFFF"/>
          </w:tcPr>
          <w:p>
            <w:pPr>
              <w:pStyle w:val="yTableNAm"/>
              <w:spacing w:before="0"/>
              <w:rPr>
                <w:sz w:val="18"/>
                <w:szCs w:val="18"/>
              </w:rPr>
            </w:pPr>
          </w:p>
        </w:tc>
        <w:tc>
          <w:tcPr>
            <w:tcW w:w="6194"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1036"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94"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230" w:type="dxa"/>
            <w:gridSpan w:val="10"/>
            <w:tcBorders>
              <w:top w:val="single" w:sz="4" w:space="0" w:color="auto"/>
              <w:left w:val="nil"/>
              <w:bottom w:val="nil"/>
              <w:right w:val="nil"/>
            </w:tcBorders>
          </w:tcPr>
          <w:p>
            <w:pPr>
              <w:pStyle w:val="yTableNAm"/>
              <w:spacing w:before="0"/>
              <w:rPr>
                <w:sz w:val="18"/>
                <w:szCs w:val="18"/>
              </w:rPr>
            </w:pPr>
          </w:p>
        </w:tc>
      </w:tr>
      <w:tr>
        <w:trPr>
          <w:cantSplit/>
          <w:trHeight w:val="80"/>
        </w:trPr>
        <w:tc>
          <w:tcPr>
            <w:tcW w:w="1044"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72"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230" w:type="dxa"/>
            <w:gridSpan w:val="10"/>
            <w:tcBorders>
              <w:top w:val="nil"/>
              <w:left w:val="nil"/>
              <w:bottom w:val="nil"/>
              <w:right w:val="nil"/>
            </w:tcBorders>
          </w:tcPr>
          <w:p>
            <w:pPr>
              <w:pStyle w:val="yTableNAm"/>
              <w:spacing w:before="0"/>
              <w:rPr>
                <w:sz w:val="18"/>
                <w:szCs w:val="18"/>
              </w:rPr>
            </w:pPr>
          </w:p>
        </w:tc>
      </w:tr>
      <w:tr>
        <w:trPr>
          <w:cantSplit/>
          <w:trHeight w:val="200"/>
        </w:trPr>
        <w:tc>
          <w:tcPr>
            <w:tcW w:w="1044" w:type="dxa"/>
            <w:gridSpan w:val="3"/>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86"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44" w:type="dxa"/>
            <w:gridSpan w:val="3"/>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86"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44" w:type="dxa"/>
            <w:gridSpan w:val="3"/>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75"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Email:</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 xml:space="preserve">Will you be represented by a </w:t>
            </w:r>
            <w:r>
              <w:rPr>
                <w:sz w:val="18"/>
                <w:szCs w:val="18"/>
              </w:rPr>
              <w:t>legal practitioner</w:t>
            </w:r>
            <w:r>
              <w:rPr>
                <w:sz w:val="18"/>
              </w:rPr>
              <w:t xml:space="preserve">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r>
            <w:r>
              <w:rPr>
                <w:sz w:val="18"/>
                <w:szCs w:val="18"/>
              </w:rPr>
              <w:t>legal practitioner’s</w:t>
            </w:r>
            <w:r>
              <w:rPr>
                <w:sz w:val="18"/>
              </w:rPr>
              <w:t xml:space="preserve"> name:</w:t>
            </w:r>
          </w:p>
          <w:p>
            <w:pPr>
              <w:pStyle w:val="yTableNAm"/>
              <w:tabs>
                <w:tab w:val="clear" w:pos="567"/>
                <w:tab w:val="left" w:pos="743"/>
              </w:tabs>
              <w:spacing w:before="0"/>
              <w:rPr>
                <w:sz w:val="18"/>
              </w:rPr>
            </w:pPr>
            <w:r>
              <w:rPr>
                <w:sz w:val="18"/>
              </w:rPr>
              <w:tab/>
            </w:r>
            <w:r>
              <w:rPr>
                <w:sz w:val="18"/>
                <w:szCs w:val="18"/>
              </w:rPr>
              <w:t>legal practitioner’s</w:t>
            </w:r>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item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Email:</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 SL 2022/106 r. 4; SL 2022/188 r. 4(6).]</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
        <w:gridCol w:w="982"/>
        <w:gridCol w:w="10"/>
        <w:gridCol w:w="1972"/>
        <w:gridCol w:w="567"/>
        <w:gridCol w:w="1002"/>
        <w:gridCol w:w="986"/>
        <w:gridCol w:w="11"/>
        <w:gridCol w:w="110"/>
        <w:gridCol w:w="17"/>
        <w:gridCol w:w="1531"/>
      </w:tblGrid>
      <w:tr>
        <w:trPr>
          <w:cantSplit/>
          <w:trHeight w:val="226"/>
        </w:trPr>
        <w:tc>
          <w:tcPr>
            <w:tcW w:w="2973"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57"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3"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57"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3"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57"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3"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57" w:type="dxa"/>
            <w:gridSpan w:val="6"/>
            <w:tcBorders>
              <w:top w:val="nil"/>
              <w:left w:val="nil"/>
              <w:bottom w:val="nil"/>
              <w:right w:val="nil"/>
            </w:tcBorders>
          </w:tcPr>
          <w:p>
            <w:pPr>
              <w:pStyle w:val="yTableNAm"/>
              <w:spacing w:before="0"/>
            </w:pPr>
          </w:p>
        </w:tc>
      </w:tr>
      <w:tr>
        <w:tblPrEx>
          <w:tblCellMar>
            <w:left w:w="108" w:type="dxa"/>
            <w:right w:w="108" w:type="dxa"/>
          </w:tblCellMar>
        </w:tblPrEx>
        <w:tc>
          <w:tcPr>
            <w:tcW w:w="7197" w:type="dxa"/>
            <w:gridSpan w:val="11"/>
            <w:tcBorders>
              <w:top w:val="nil"/>
              <w:left w:val="nil"/>
              <w:right w:val="nil"/>
            </w:tcBorders>
          </w:tcPr>
          <w:p>
            <w:pPr>
              <w:pStyle w:val="yTableNAm"/>
              <w:spacing w:before="0"/>
              <w:rPr>
                <w:sz w:val="8"/>
              </w:rPr>
            </w:pPr>
          </w:p>
        </w:tc>
      </w:tr>
      <w:tr>
        <w:trPr>
          <w:gridBefore w:val="1"/>
          <w:wBefore w:w="9" w:type="dxa"/>
          <w:cantSplit/>
          <w:trHeight w:val="127"/>
        </w:trPr>
        <w:tc>
          <w:tcPr>
            <w:tcW w:w="992" w:type="dxa"/>
            <w:gridSpan w:val="2"/>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96"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gridBefore w:val="1"/>
          <w:wBefore w:w="9" w:type="dxa"/>
          <w:cantSplit/>
          <w:trHeight w:val="90"/>
        </w:trPr>
        <w:tc>
          <w:tcPr>
            <w:tcW w:w="992" w:type="dxa"/>
            <w:gridSpan w:val="2"/>
            <w:vMerge/>
            <w:tcBorders>
              <w:top w:val="nil"/>
              <w:left w:val="single" w:sz="4" w:space="0" w:color="000000"/>
              <w:bottom w:val="nil"/>
            </w:tcBorders>
            <w:shd w:val="pct10" w:color="auto" w:fill="FFFFFF"/>
          </w:tcPr>
          <w:p>
            <w:pPr>
              <w:pStyle w:val="yTableNAm"/>
              <w:spacing w:before="0"/>
              <w:rPr>
                <w:sz w:val="18"/>
                <w:szCs w:val="18"/>
              </w:rPr>
            </w:pPr>
          </w:p>
        </w:tc>
        <w:tc>
          <w:tcPr>
            <w:tcW w:w="6196"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gridBefore w:val="1"/>
          <w:wBefore w:w="9" w:type="dxa"/>
          <w:cantSplit/>
          <w:trHeight w:val="90"/>
        </w:trPr>
        <w:tc>
          <w:tcPr>
            <w:tcW w:w="992" w:type="dxa"/>
            <w:gridSpan w:val="2"/>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1"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55"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gridBefore w:val="1"/>
          <w:wBefore w:w="9" w:type="dxa"/>
          <w:cantSplit/>
          <w:trHeight w:hRule="exact" w:val="80"/>
        </w:trPr>
        <w:tc>
          <w:tcPr>
            <w:tcW w:w="7188" w:type="dxa"/>
            <w:gridSpan w:val="10"/>
            <w:tcBorders>
              <w:top w:val="nil"/>
              <w:left w:val="nil"/>
              <w:bottom w:val="nil"/>
              <w:right w:val="nil"/>
            </w:tcBorders>
            <w:shd w:val="clear" w:color="auto" w:fill="FFFFFF"/>
          </w:tcPr>
          <w:p>
            <w:pPr>
              <w:pStyle w:val="yTableNAm"/>
              <w:spacing w:before="0"/>
              <w:rPr>
                <w:sz w:val="14"/>
              </w:rPr>
            </w:pPr>
          </w:p>
        </w:tc>
      </w:tr>
      <w:tr>
        <w:trPr>
          <w:gridBefore w:val="1"/>
          <w:wBefore w:w="9" w:type="dxa"/>
          <w:cantSplit/>
          <w:trHeight w:val="493"/>
        </w:trPr>
        <w:tc>
          <w:tcPr>
            <w:tcW w:w="992" w:type="dxa"/>
            <w:gridSpan w:val="2"/>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96" w:type="dxa"/>
            <w:gridSpan w:val="8"/>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gridBefore w:val="1"/>
          <w:wBefore w:w="9" w:type="dxa"/>
          <w:cantSplit/>
          <w:trHeight w:hRule="exact" w:val="80"/>
        </w:trPr>
        <w:tc>
          <w:tcPr>
            <w:tcW w:w="7188" w:type="dxa"/>
            <w:gridSpan w:val="10"/>
            <w:tcBorders>
              <w:top w:val="nil"/>
              <w:left w:val="nil"/>
              <w:bottom w:val="nil"/>
              <w:right w:val="nil"/>
            </w:tcBorders>
            <w:shd w:val="clear" w:color="auto" w:fill="FFFFFF"/>
          </w:tcPr>
          <w:p>
            <w:pPr>
              <w:pStyle w:val="yTableNAm"/>
              <w:spacing w:before="0"/>
              <w:rPr>
                <w:sz w:val="14"/>
              </w:rPr>
            </w:pPr>
          </w:p>
        </w:tc>
      </w:tr>
      <w:tr>
        <w:trPr>
          <w:gridBefore w:val="1"/>
          <w:wBefore w:w="9" w:type="dxa"/>
          <w:cantSplit/>
          <w:trHeight w:val="483"/>
        </w:trPr>
        <w:tc>
          <w:tcPr>
            <w:tcW w:w="992" w:type="dxa"/>
            <w:gridSpan w:val="2"/>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96" w:type="dxa"/>
            <w:gridSpan w:val="8"/>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gridBefore w:val="1"/>
          <w:wBefore w:w="9" w:type="dxa"/>
          <w:cantSplit/>
          <w:trHeight w:hRule="exact" w:val="80"/>
        </w:trPr>
        <w:tc>
          <w:tcPr>
            <w:tcW w:w="7188" w:type="dxa"/>
            <w:gridSpan w:val="10"/>
            <w:tcBorders>
              <w:top w:val="nil"/>
              <w:left w:val="nil"/>
              <w:bottom w:val="nil"/>
              <w:right w:val="nil"/>
            </w:tcBorders>
            <w:shd w:val="clear" w:color="auto" w:fill="FFFFFF"/>
          </w:tcPr>
          <w:p>
            <w:pPr>
              <w:pStyle w:val="yTableNAm"/>
              <w:spacing w:before="0"/>
              <w:rPr>
                <w:sz w:val="14"/>
              </w:rPr>
            </w:pPr>
          </w:p>
        </w:tc>
      </w:tr>
      <w:tr>
        <w:trPr>
          <w:cantSplit/>
          <w:trHeight w:val="60"/>
        </w:trPr>
        <w:tc>
          <w:tcPr>
            <w:tcW w:w="991" w:type="dxa"/>
            <w:gridSpan w:val="2"/>
            <w:vMerge w:val="restart"/>
            <w:tcBorders>
              <w:top w:val="single" w:sz="4" w:space="0" w:color="000000"/>
              <w:left w:val="single" w:sz="4" w:space="0" w:color="000000"/>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206"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1" w:type="dxa"/>
            <w:gridSpan w:val="2"/>
            <w:vMerge/>
            <w:tcBorders>
              <w:left w:val="single" w:sz="4" w:space="0" w:color="000000"/>
              <w:right w:val="single" w:sz="4" w:space="0" w:color="000000"/>
            </w:tcBorders>
            <w:shd w:val="pct10" w:color="auto" w:fill="auto"/>
          </w:tcPr>
          <w:p>
            <w:pPr>
              <w:pStyle w:val="yTableNAm"/>
              <w:spacing w:before="0"/>
              <w:rPr>
                <w:sz w:val="14"/>
              </w:rPr>
            </w:pPr>
          </w:p>
        </w:tc>
        <w:tc>
          <w:tcPr>
            <w:tcW w:w="4658"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48"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1" w:type="dxa"/>
            <w:gridSpan w:val="2"/>
            <w:vMerge/>
            <w:tcBorders>
              <w:left w:val="single" w:sz="4" w:space="0" w:color="000000"/>
              <w:right w:val="single" w:sz="4" w:space="0" w:color="000000"/>
            </w:tcBorders>
            <w:shd w:val="pct10" w:color="auto" w:fill="auto"/>
          </w:tcPr>
          <w:p>
            <w:pPr>
              <w:pStyle w:val="yTableNAm"/>
              <w:spacing w:before="0"/>
              <w:rPr>
                <w:sz w:val="14"/>
              </w:rPr>
            </w:pPr>
          </w:p>
        </w:tc>
        <w:tc>
          <w:tcPr>
            <w:tcW w:w="4658"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48"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1" w:type="dxa"/>
            <w:gridSpan w:val="2"/>
            <w:vMerge/>
            <w:tcBorders>
              <w:left w:val="single" w:sz="4" w:space="0" w:color="000000"/>
              <w:right w:val="single" w:sz="4" w:space="0" w:color="000000"/>
            </w:tcBorders>
            <w:shd w:val="pct10" w:color="auto" w:fill="auto"/>
          </w:tcPr>
          <w:p>
            <w:pPr>
              <w:pStyle w:val="yTableNAm"/>
              <w:spacing w:before="0"/>
              <w:rPr>
                <w:sz w:val="14"/>
              </w:rPr>
            </w:pPr>
          </w:p>
        </w:tc>
        <w:tc>
          <w:tcPr>
            <w:tcW w:w="6206"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1" w:type="dxa"/>
            <w:gridSpan w:val="2"/>
            <w:vMerge/>
            <w:tcBorders>
              <w:left w:val="single" w:sz="4" w:space="0" w:color="000000"/>
              <w:right w:val="single" w:sz="4" w:space="0" w:color="000000"/>
            </w:tcBorders>
            <w:shd w:val="pct10" w:color="auto" w:fill="auto"/>
          </w:tcPr>
          <w:p>
            <w:pPr>
              <w:pStyle w:val="yTableNAm"/>
              <w:spacing w:before="0"/>
              <w:rPr>
                <w:sz w:val="14"/>
              </w:rPr>
            </w:pPr>
          </w:p>
        </w:tc>
        <w:tc>
          <w:tcPr>
            <w:tcW w:w="6206"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100"/>
        </w:trPr>
        <w:tc>
          <w:tcPr>
            <w:tcW w:w="991" w:type="dxa"/>
            <w:gridSpan w:val="2"/>
            <w:vMerge/>
            <w:tcBorders>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206"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Email:</w:t>
            </w:r>
          </w:p>
        </w:tc>
      </w:tr>
      <w:tr>
        <w:trPr>
          <w:cantSplit/>
          <w:trHeight w:hRule="exact" w:val="80"/>
        </w:trPr>
        <w:tc>
          <w:tcPr>
            <w:tcW w:w="7197" w:type="dxa"/>
            <w:gridSpan w:val="11"/>
            <w:tcBorders>
              <w:top w:val="nil"/>
              <w:left w:val="nil"/>
              <w:bottom w:val="nil"/>
              <w:right w:val="nil"/>
            </w:tcBorders>
          </w:tcPr>
          <w:p>
            <w:pPr>
              <w:pStyle w:val="yTableNAm"/>
              <w:spacing w:before="0"/>
              <w:rPr>
                <w:sz w:val="14"/>
              </w:rPr>
            </w:pPr>
          </w:p>
        </w:tc>
      </w:tr>
      <w:tr>
        <w:trPr>
          <w:cantSplit/>
          <w:trHeight w:val="80"/>
        </w:trPr>
        <w:tc>
          <w:tcPr>
            <w:tcW w:w="991" w:type="dxa"/>
            <w:gridSpan w:val="2"/>
            <w:vMerge w:val="restart"/>
            <w:tcBorders>
              <w:top w:val="single" w:sz="4" w:space="0" w:color="000000"/>
              <w:left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5"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gridSpan w:val="2"/>
            <w:vMerge/>
            <w:tcBorders>
              <w:left w:val="single" w:sz="4" w:space="0" w:color="000000"/>
            </w:tcBorders>
            <w:shd w:val="pct10" w:color="auto" w:fill="FFFFFF"/>
          </w:tcPr>
          <w:p>
            <w:pPr>
              <w:pStyle w:val="yTableNAm"/>
              <w:spacing w:before="0"/>
              <w:rPr>
                <w:sz w:val="14"/>
              </w:rPr>
            </w:pPr>
          </w:p>
        </w:tc>
        <w:tc>
          <w:tcPr>
            <w:tcW w:w="4675"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gridSpan w:val="2"/>
            <w:vMerge/>
            <w:tcBorders>
              <w:left w:val="single" w:sz="4" w:space="0" w:color="000000"/>
            </w:tcBorders>
            <w:shd w:val="pct10" w:color="auto" w:fill="FFFFFF"/>
          </w:tcPr>
          <w:p>
            <w:pPr>
              <w:pStyle w:val="yTableNAm"/>
              <w:spacing w:before="0"/>
              <w:rPr>
                <w:sz w:val="14"/>
              </w:rPr>
            </w:pPr>
          </w:p>
        </w:tc>
        <w:tc>
          <w:tcPr>
            <w:tcW w:w="6206" w:type="dxa"/>
            <w:gridSpan w:val="9"/>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1" w:type="dxa"/>
            <w:gridSpan w:val="2"/>
            <w:vMerge/>
            <w:tcBorders>
              <w:left w:val="single" w:sz="4" w:space="0" w:color="000000"/>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991" w:type="dxa"/>
            <w:gridSpan w:val="2"/>
            <w:vMerge/>
            <w:tcBorders>
              <w:left w:val="single" w:sz="4" w:space="0" w:color="000000"/>
              <w:bottom w:val="single" w:sz="4" w:space="0" w:color="000000"/>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Email:</w:t>
            </w:r>
          </w:p>
        </w:tc>
      </w:tr>
      <w:tr>
        <w:trPr>
          <w:cantSplit/>
          <w:trHeight w:hRule="exact" w:val="80"/>
        </w:trPr>
        <w:tc>
          <w:tcPr>
            <w:tcW w:w="7197" w:type="dxa"/>
            <w:gridSpan w:val="11"/>
            <w:tcBorders>
              <w:top w:val="single" w:sz="4" w:space="0" w:color="000000"/>
              <w:left w:val="nil"/>
              <w:bottom w:val="nil"/>
              <w:right w:val="nil"/>
            </w:tcBorders>
          </w:tcPr>
          <w:p>
            <w:pPr>
              <w:pStyle w:val="yTableNAm"/>
              <w:spacing w:before="0"/>
              <w:rPr>
                <w:sz w:val="14"/>
              </w:rPr>
            </w:pPr>
          </w:p>
        </w:tc>
      </w:tr>
      <w:tr>
        <w:trPr>
          <w:cantSplit/>
          <w:trHeight w:val="60"/>
        </w:trPr>
        <w:tc>
          <w:tcPr>
            <w:tcW w:w="991" w:type="dxa"/>
            <w:gridSpan w:val="2"/>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5"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1" w:type="dxa"/>
            <w:gridSpan w:val="2"/>
            <w:vMerge/>
            <w:tcBorders>
              <w:top w:val="nil"/>
              <w:left w:val="single" w:sz="4" w:space="0" w:color="000000"/>
              <w:bottom w:val="nil"/>
            </w:tcBorders>
            <w:shd w:val="pct10" w:color="auto" w:fill="FFFFFF"/>
          </w:tcPr>
          <w:p>
            <w:pPr>
              <w:pStyle w:val="yTableNAm"/>
              <w:spacing w:before="0"/>
              <w:rPr>
                <w:sz w:val="14"/>
              </w:rPr>
            </w:pPr>
          </w:p>
        </w:tc>
        <w:tc>
          <w:tcPr>
            <w:tcW w:w="4675"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1" w:type="dxa"/>
            <w:gridSpan w:val="2"/>
            <w:vMerge/>
            <w:tcBorders>
              <w:left w:val="single" w:sz="4" w:space="0" w:color="000000"/>
              <w:bottom w:val="nil"/>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1" w:type="dxa"/>
            <w:gridSpan w:val="2"/>
            <w:vMerge/>
            <w:tcBorders>
              <w:left w:val="single" w:sz="4" w:space="0" w:color="000000"/>
              <w:bottom w:val="nil"/>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1" w:type="dxa"/>
            <w:gridSpan w:val="2"/>
            <w:vMerge/>
            <w:tcBorders>
              <w:left w:val="single" w:sz="4" w:space="0" w:color="000000"/>
              <w:bottom w:val="nil"/>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00"/>
        </w:trPr>
        <w:tc>
          <w:tcPr>
            <w:tcW w:w="991" w:type="dxa"/>
            <w:gridSpan w:val="2"/>
            <w:vMerge/>
            <w:tcBorders>
              <w:left w:val="single" w:sz="4" w:space="0" w:color="000000"/>
              <w:bottom w:val="nil"/>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Email:</w:t>
            </w:r>
          </w:p>
        </w:tc>
      </w:tr>
      <w:tr>
        <w:trPr>
          <w:cantSplit/>
          <w:trHeight w:val="295"/>
        </w:trPr>
        <w:tc>
          <w:tcPr>
            <w:tcW w:w="991" w:type="dxa"/>
            <w:gridSpan w:val="2"/>
            <w:vMerge/>
            <w:tcBorders>
              <w:left w:val="single" w:sz="4" w:space="0" w:color="000000"/>
              <w:bottom w:val="single" w:sz="4" w:space="0" w:color="000000"/>
            </w:tcBorders>
            <w:shd w:val="pct10" w:color="auto" w:fill="FFFFFF"/>
          </w:tcPr>
          <w:p>
            <w:pPr>
              <w:pStyle w:val="yTableNAm"/>
              <w:spacing w:before="0"/>
              <w:rPr>
                <w:sz w:val="14"/>
              </w:rPr>
            </w:pPr>
            <w:bookmarkStart w:id="753" w:name="_Hlk115708701"/>
          </w:p>
        </w:tc>
        <w:tc>
          <w:tcPr>
            <w:tcW w:w="6206" w:type="dxa"/>
            <w:gridSpan w:val="9"/>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bookmarkEnd w:id="753"/>
      <w:tr>
        <w:trPr>
          <w:cantSplit/>
          <w:trHeight w:hRule="exact" w:val="80"/>
        </w:trPr>
        <w:tc>
          <w:tcPr>
            <w:tcW w:w="7197" w:type="dxa"/>
            <w:gridSpan w:val="11"/>
            <w:tcBorders>
              <w:top w:val="nil"/>
              <w:left w:val="nil"/>
              <w:bottom w:val="nil"/>
              <w:right w:val="nil"/>
            </w:tcBorders>
          </w:tcPr>
          <w:p>
            <w:pPr>
              <w:pStyle w:val="yTableNAm"/>
              <w:spacing w:before="0"/>
              <w:rPr>
                <w:sz w:val="14"/>
              </w:rPr>
            </w:pPr>
          </w:p>
        </w:tc>
      </w:tr>
      <w:tr>
        <w:trPr>
          <w:cantSplit/>
          <w:trHeight w:val="160"/>
        </w:trPr>
        <w:tc>
          <w:tcPr>
            <w:tcW w:w="991" w:type="dxa"/>
            <w:gridSpan w:val="2"/>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206" w:type="dxa"/>
            <w:gridSpan w:val="9"/>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1" w:type="dxa"/>
            <w:gridSpan w:val="2"/>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206" w:type="dxa"/>
            <w:gridSpan w:val="9"/>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1" w:type="dxa"/>
            <w:gridSpan w:val="2"/>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206" w:type="dxa"/>
            <w:gridSpan w:val="9"/>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97" w:type="dxa"/>
            <w:gridSpan w:val="11"/>
            <w:tcBorders>
              <w:top w:val="nil"/>
              <w:left w:val="nil"/>
              <w:bottom w:val="nil"/>
              <w:right w:val="nil"/>
            </w:tcBorders>
            <w:noWrap/>
          </w:tcPr>
          <w:p>
            <w:pPr>
              <w:pStyle w:val="yTableNAm"/>
              <w:spacing w:before="0"/>
            </w:pPr>
          </w:p>
        </w:tc>
      </w:tr>
      <w:tr>
        <w:trPr>
          <w:trHeight w:val="80"/>
        </w:trPr>
        <w:tc>
          <w:tcPr>
            <w:tcW w:w="991" w:type="dxa"/>
            <w:gridSpan w:val="2"/>
            <w:vMerge w:val="restart"/>
            <w:tcBorders>
              <w:top w:val="single" w:sz="4" w:space="0" w:color="000000"/>
              <w:left w:val="single" w:sz="4" w:space="0" w:color="000000"/>
              <w:right w:val="single" w:sz="4" w:space="0" w:color="auto"/>
            </w:tcBorders>
            <w:shd w:val="pct10" w:color="auto" w:fill="FFFFFF"/>
            <w:noWrap/>
          </w:tcPr>
          <w:p>
            <w:pPr>
              <w:pStyle w:val="yTableNAm"/>
              <w:keepNext/>
              <w:spacing w:before="0"/>
              <w:rPr>
                <w:sz w:val="18"/>
                <w:szCs w:val="18"/>
              </w:rPr>
            </w:pPr>
            <w:r>
              <w:rPr>
                <w:sz w:val="18"/>
                <w:szCs w:val="18"/>
              </w:rPr>
              <w:t>Information relating to children</w:t>
            </w:r>
          </w:p>
        </w:tc>
        <w:tc>
          <w:tcPr>
            <w:tcW w:w="6206"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rPr>
              <w:t xml:space="preserve">Is the person seeking to be protected a child who is under the control or in the care </w:t>
            </w:r>
            <w:r>
              <w:rPr>
                <w:sz w:val="18"/>
                <w:szCs w:val="18"/>
              </w:rPr>
              <w:t>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80"/>
        </w:trPr>
        <w:tc>
          <w:tcPr>
            <w:tcW w:w="991" w:type="dxa"/>
            <w:gridSpan w:val="2"/>
            <w:vMerge/>
            <w:tcBorders>
              <w:left w:val="single" w:sz="4" w:space="0" w:color="000000"/>
              <w:right w:val="single" w:sz="4" w:space="0" w:color="auto"/>
            </w:tcBorders>
            <w:shd w:val="pct10" w:color="auto" w:fill="FFFFFF"/>
            <w:noWrap/>
          </w:tcPr>
          <w:p/>
        </w:tc>
        <w:tc>
          <w:tcPr>
            <w:tcW w:w="6206"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 xml:space="preserve">If yes, has this application been made with the written consent of a person who, under the relevant child </w:t>
            </w:r>
            <w:r>
              <w:rPr>
                <w:sz w:val="18"/>
              </w:rPr>
              <w:t>welfare</w:t>
            </w:r>
            <w:r>
              <w:rPr>
                <w:sz w:val="18"/>
                <w:szCs w:val="18"/>
              </w:rPr>
              <w:t xml:space="preserve"> law, has responsibility for the control or care of the child?</w:t>
            </w:r>
          </w:p>
          <w:p>
            <w:pPr>
              <w:pStyle w:val="yTableNAm"/>
              <w:tabs>
                <w:tab w:val="clear" w:pos="567"/>
                <w:tab w:val="left" w:pos="2381"/>
                <w:tab w:val="left" w:pos="4257"/>
                <w:tab w:val="left" w:pos="4791"/>
                <w:tab w:val="left" w:pos="5069"/>
                <w:tab w:val="left" w:pos="5309"/>
              </w:tabs>
              <w:spacing w:before="0"/>
            </w:pPr>
            <w:r>
              <w:rPr>
                <w:sz w:val="18"/>
                <w:szCs w:val="18"/>
              </w:rPr>
              <w:sym w:font="Wingdings" w:char="F072"/>
            </w:r>
            <w:r>
              <w:t>  </w:t>
            </w:r>
            <w:r>
              <w:rPr>
                <w:sz w:val="18"/>
                <w:szCs w:val="18"/>
              </w:rPr>
              <w:t>Yes</w:t>
            </w:r>
            <w:r>
              <w:tab/>
            </w:r>
            <w:r>
              <w:rPr>
                <w:sz w:val="18"/>
                <w:szCs w:val="18"/>
              </w:rPr>
              <w:sym w:font="Wingdings" w:char="F072"/>
            </w:r>
            <w:r>
              <w:rPr>
                <w:sz w:val="18"/>
                <w:szCs w:val="18"/>
              </w:rPr>
              <w:t>  No</w:t>
            </w:r>
            <w:r>
              <w:tab/>
            </w:r>
            <w:r>
              <w:rPr>
                <w:sz w:val="18"/>
                <w:szCs w:val="18"/>
              </w:rPr>
              <w:sym w:font="Wingdings" w:char="F072"/>
            </w:r>
            <w:r>
              <w:rPr>
                <w:sz w:val="18"/>
                <w:szCs w:val="18"/>
              </w:rPr>
              <w:t>  Unknown</w:t>
            </w:r>
          </w:p>
        </w:tc>
      </w:tr>
      <w:tr>
        <w:trPr>
          <w:trHeight w:val="492"/>
        </w:trPr>
        <w:tc>
          <w:tcPr>
            <w:tcW w:w="991" w:type="dxa"/>
            <w:gridSpan w:val="2"/>
            <w:vMerge/>
            <w:tcBorders>
              <w:left w:val="single" w:sz="4" w:space="0" w:color="000000"/>
              <w:right w:val="single" w:sz="4" w:space="0" w:color="auto"/>
            </w:tcBorders>
            <w:shd w:val="pct10" w:color="auto" w:fill="FFFFFF"/>
            <w:noWrap/>
          </w:tcPr>
          <w:p/>
        </w:tc>
        <w:tc>
          <w:tcPr>
            <w:tcW w:w="6206"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a child who is under the control or in the care 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430"/>
        </w:trPr>
        <w:tc>
          <w:tcPr>
            <w:tcW w:w="991" w:type="dxa"/>
            <w:gridSpan w:val="2"/>
            <w:vMerge/>
            <w:tcBorders>
              <w:left w:val="single" w:sz="4" w:space="0" w:color="000000"/>
              <w:right w:val="single" w:sz="4" w:space="0" w:color="auto"/>
            </w:tcBorders>
            <w:shd w:val="pct10" w:color="auto" w:fill="FFFFFF"/>
            <w:noWrap/>
          </w:tcPr>
          <w:p/>
        </w:tc>
        <w:tc>
          <w:tcPr>
            <w:tcW w:w="6206" w:type="dxa"/>
            <w:gridSpan w:val="9"/>
            <w:tcBorders>
              <w:top w:val="single" w:sz="4" w:space="0" w:color="000000"/>
              <w:left w:val="single" w:sz="4" w:space="0" w:color="auto"/>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under 16 years of age?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1273"/>
        </w:trPr>
        <w:tc>
          <w:tcPr>
            <w:tcW w:w="991" w:type="dxa"/>
            <w:gridSpan w:val="2"/>
            <w:vMerge/>
            <w:tcBorders>
              <w:left w:val="single" w:sz="4" w:space="0" w:color="000000"/>
              <w:right w:val="single" w:sz="4" w:space="0" w:color="auto"/>
            </w:tcBorders>
            <w:shd w:val="pct10" w:color="auto" w:fill="FFFFFF"/>
            <w:noWrap/>
          </w:tcPr>
          <w:p/>
        </w:tc>
        <w:tc>
          <w:tcPr>
            <w:tcW w:w="4548" w:type="dxa"/>
            <w:gridSpan w:val="6"/>
            <w:tcBorders>
              <w:top w:val="single" w:sz="4" w:space="0" w:color="000000"/>
              <w:left w:val="single" w:sz="4" w:space="0" w:color="auto"/>
              <w:right w:val="nil"/>
            </w:tcBorders>
            <w:noWrap/>
          </w:tcPr>
          <w:p>
            <w:pPr>
              <w:pStyle w:val="yTableNAm"/>
              <w:spacing w:before="0"/>
              <w:rPr>
                <w:sz w:val="18"/>
              </w:rPr>
            </w:pPr>
            <w:r>
              <w:rPr>
                <w:sz w:val="18"/>
              </w:rPr>
              <w:t>If the respondent is under 16 years of age, is the person seeking to be protected any of the following:</w:t>
            </w:r>
          </w:p>
          <w:p>
            <w:pPr>
              <w:pStyle w:val="yTableNAm"/>
              <w:spacing w:before="0"/>
              <w:ind w:left="359" w:hanging="359"/>
              <w:rPr>
                <w:sz w:val="18"/>
              </w:rPr>
            </w:pPr>
            <w:r>
              <w:rPr>
                <w:sz w:val="18"/>
              </w:rPr>
              <w:sym w:font="Wingdings" w:char="F09F"/>
            </w:r>
            <w:r>
              <w:rPr>
                <w:sz w:val="18"/>
              </w:rPr>
              <w:tab/>
              <w:t>a parent or guardian of the respondent;</w:t>
            </w:r>
          </w:p>
          <w:p>
            <w:pPr>
              <w:pStyle w:val="yTableNAm"/>
              <w:spacing w:before="0"/>
              <w:ind w:left="359" w:hanging="359"/>
              <w:rPr>
                <w:sz w:val="18"/>
              </w:rPr>
            </w:pPr>
            <w:r>
              <w:rPr>
                <w:sz w:val="18"/>
              </w:rPr>
              <w:sym w:font="Wingdings" w:char="F09F"/>
            </w:r>
            <w:r>
              <w:rPr>
                <w:sz w:val="18"/>
              </w:rPr>
              <w:tab/>
              <w:t>a person responsible for the day to day care of the respondent;</w:t>
            </w:r>
          </w:p>
          <w:p>
            <w:pPr>
              <w:pStyle w:val="yTableNAm"/>
              <w:spacing w:before="0"/>
              <w:ind w:left="359" w:hanging="359"/>
              <w:rPr>
                <w:rStyle w:val="DraftersNotes"/>
                <w:b w:val="0"/>
                <w:i w:val="0"/>
                <w:sz w:val="18"/>
                <w:szCs w:val="18"/>
              </w:rPr>
            </w:pPr>
            <w:r>
              <w:rPr>
                <w:sz w:val="18"/>
                <w:szCs w:val="18"/>
              </w:rPr>
              <w:sym w:font="Wingdings" w:char="F09F"/>
            </w:r>
            <w:r>
              <w:rPr>
                <w:sz w:val="18"/>
                <w:szCs w:val="18"/>
              </w:rPr>
              <w:tab/>
              <w:t xml:space="preserve">a person with whom the </w:t>
            </w:r>
            <w:r>
              <w:rPr>
                <w:sz w:val="18"/>
              </w:rPr>
              <w:t>respondent</w:t>
            </w:r>
            <w:r>
              <w:rPr>
                <w:sz w:val="18"/>
                <w:szCs w:val="18"/>
              </w:rPr>
              <w:t xml:space="preserve"> habitually resides?</w:t>
            </w:r>
          </w:p>
        </w:tc>
        <w:tc>
          <w:tcPr>
            <w:tcW w:w="1658" w:type="dxa"/>
            <w:gridSpan w:val="3"/>
            <w:tcBorders>
              <w:top w:val="single" w:sz="4" w:space="0" w:color="000000"/>
              <w:left w:val="nil"/>
              <w:right w:val="single" w:sz="4" w:space="0" w:color="000000"/>
            </w:tcBorders>
            <w:noWrap/>
          </w:tcPr>
          <w:p>
            <w:pPr>
              <w:pStyle w:val="yTableNAm"/>
              <w:spacing w:before="0"/>
              <w:rPr>
                <w:sz w:val="18"/>
              </w:rPr>
            </w:pPr>
            <w:r>
              <w:rPr>
                <w:sz w:val="18"/>
              </w:rPr>
              <w:sym w:font="Wingdings" w:char="F072"/>
            </w:r>
            <w:r>
              <w:rPr>
                <w:sz w:val="18"/>
              </w:rPr>
              <w:t>  Yes</w:t>
            </w:r>
          </w:p>
          <w:p>
            <w:pPr>
              <w:pStyle w:val="yTableNAm"/>
              <w:spacing w:before="0"/>
              <w:rPr>
                <w:sz w:val="18"/>
              </w:rPr>
            </w:pPr>
            <w:r>
              <w:rPr>
                <w:sz w:val="18"/>
              </w:rPr>
              <w:sym w:font="Wingdings" w:char="F072"/>
            </w:r>
            <w:r>
              <w:rPr>
                <w:sz w:val="18"/>
              </w:rPr>
              <w:t>  No</w:t>
            </w:r>
          </w:p>
        </w:tc>
      </w:tr>
      <w:tr>
        <w:trPr>
          <w:cantSplit/>
          <w:trHeight w:hRule="exact" w:val="80"/>
        </w:trPr>
        <w:tc>
          <w:tcPr>
            <w:tcW w:w="7197" w:type="dxa"/>
            <w:gridSpan w:val="11"/>
            <w:tcBorders>
              <w:top w:val="nil"/>
              <w:left w:val="nil"/>
              <w:bottom w:val="nil"/>
              <w:right w:val="nil"/>
            </w:tcBorders>
            <w:noWrap/>
          </w:tcPr>
          <w:p>
            <w:pPr>
              <w:pStyle w:val="yTableNAm"/>
              <w:spacing w:before="0"/>
            </w:pPr>
          </w:p>
        </w:tc>
      </w:tr>
      <w:tr>
        <w:trPr>
          <w:cantSplit/>
          <w:trHeight w:hRule="exact" w:val="649"/>
        </w:trPr>
        <w:tc>
          <w:tcPr>
            <w:tcW w:w="1001" w:type="dxa"/>
            <w:gridSpan w:val="3"/>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7"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69" w:type="dxa"/>
            <w:gridSpan w:val="4"/>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97" w:type="dxa"/>
            <w:gridSpan w:val="11"/>
            <w:tcBorders>
              <w:top w:val="nil"/>
              <w:left w:val="nil"/>
              <w:bottom w:val="nil"/>
              <w:right w:val="nil"/>
            </w:tcBorders>
            <w:noWrap/>
          </w:tcPr>
          <w:p>
            <w:pPr>
              <w:pStyle w:val="yTableNAm"/>
              <w:spacing w:before="0"/>
            </w:pPr>
          </w:p>
        </w:tc>
      </w:tr>
      <w:tr>
        <w:trPr>
          <w:cantSplit/>
        </w:trPr>
        <w:tc>
          <w:tcPr>
            <w:tcW w:w="991"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206"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item or a firearms authorisation?</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1"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06"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item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97" w:type="dxa"/>
            <w:gridSpan w:val="11"/>
            <w:tcBorders>
              <w:top w:val="nil"/>
              <w:left w:val="nil"/>
              <w:bottom w:val="nil"/>
              <w:right w:val="nil"/>
            </w:tcBorders>
            <w:noWrap/>
          </w:tcPr>
          <w:p>
            <w:pPr>
              <w:pStyle w:val="yTableNAm"/>
              <w:spacing w:before="0"/>
            </w:pPr>
          </w:p>
        </w:tc>
      </w:tr>
      <w:tr>
        <w:trPr>
          <w:cantSplit/>
        </w:trPr>
        <w:tc>
          <w:tcPr>
            <w:tcW w:w="991"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206"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1"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06"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19; SL 2022/15 r. 4(3); SL 2022/188 r. 4(7).]</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9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10"/>
        <w:gridCol w:w="954"/>
        <w:gridCol w:w="11"/>
        <w:gridCol w:w="1981"/>
        <w:gridCol w:w="567"/>
        <w:gridCol w:w="595"/>
        <w:gridCol w:w="1580"/>
        <w:gridCol w:w="300"/>
        <w:gridCol w:w="101"/>
        <w:gridCol w:w="1083"/>
        <w:gridCol w:w="10"/>
      </w:tblGrid>
      <w:tr>
        <w:trPr>
          <w:gridBefore w:val="1"/>
          <w:wBefore w:w="10" w:type="dxa"/>
          <w:cantSplit/>
          <w:trHeight w:val="20"/>
        </w:trPr>
        <w:tc>
          <w:tcPr>
            <w:tcW w:w="2946"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9" w:type="dxa"/>
            <w:gridSpan w:val="6"/>
          </w:tcPr>
          <w:p>
            <w:pPr>
              <w:pStyle w:val="yTableNAm"/>
              <w:spacing w:before="0"/>
              <w:rPr>
                <w:rFonts w:ascii="Times" w:hAnsi="Times"/>
                <w:sz w:val="16"/>
                <w:szCs w:val="16"/>
              </w:rPr>
            </w:pPr>
            <w:r>
              <w:rPr>
                <w:rFonts w:ascii="Times" w:hAnsi="Times"/>
                <w:sz w:val="16"/>
                <w:szCs w:val="16"/>
              </w:rPr>
              <w:t>Proceedings in which order made:</w:t>
            </w:r>
          </w:p>
        </w:tc>
      </w:tr>
      <w:tr>
        <w:trPr>
          <w:gridBefore w:val="1"/>
          <w:wBefore w:w="10" w:type="dxa"/>
          <w:cantSplit/>
          <w:trHeight w:val="20"/>
        </w:trPr>
        <w:tc>
          <w:tcPr>
            <w:tcW w:w="2946"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9"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gridBefore w:val="1"/>
          <w:wBefore w:w="10" w:type="dxa"/>
          <w:cantSplit/>
          <w:trHeight w:val="20"/>
        </w:trPr>
        <w:tc>
          <w:tcPr>
            <w:tcW w:w="2946"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9"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rPr>
          <w:gridBefore w:val="1"/>
          <w:wBefore w:w="10" w:type="dxa"/>
        </w:trPr>
        <w:tc>
          <w:tcPr>
            <w:tcW w:w="7182" w:type="dxa"/>
            <w:gridSpan w:val="10"/>
            <w:tcBorders>
              <w:top w:val="nil"/>
              <w:left w:val="nil"/>
              <w:right w:val="nil"/>
            </w:tcBorders>
          </w:tcPr>
          <w:p>
            <w:pPr>
              <w:pStyle w:val="yTableNAm"/>
              <w:spacing w:before="0"/>
              <w:rPr>
                <w:sz w:val="8"/>
              </w:rPr>
            </w:pPr>
          </w:p>
        </w:tc>
      </w:tr>
      <w:tr>
        <w:trPr>
          <w:gridBefore w:val="1"/>
          <w:wBefore w:w="10" w:type="dxa"/>
          <w:cantSplit/>
          <w:trHeight w:val="521"/>
        </w:trPr>
        <w:tc>
          <w:tcPr>
            <w:tcW w:w="965" w:type="dxa"/>
            <w:gridSpan w:val="2"/>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7" w:type="dxa"/>
            <w:gridSpan w:val="8"/>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gridBefore w:val="1"/>
          <w:wBefore w:w="10" w:type="dxa"/>
          <w:cantSplit/>
          <w:trHeight w:hRule="exact" w:val="80"/>
        </w:trPr>
        <w:tc>
          <w:tcPr>
            <w:tcW w:w="7182" w:type="dxa"/>
            <w:gridSpan w:val="10"/>
            <w:tcBorders>
              <w:left w:val="nil"/>
              <w:bottom w:val="nil"/>
              <w:right w:val="nil"/>
            </w:tcBorders>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gridAfter w:val="1"/>
          <w:wAfter w:w="10" w:type="dxa"/>
          <w:cantSplit/>
          <w:trHeight w:val="187"/>
        </w:trPr>
        <w:tc>
          <w:tcPr>
            <w:tcW w:w="964" w:type="dxa"/>
            <w:gridSpan w:val="2"/>
            <w:vMerge w:val="restart"/>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bookmarkStart w:id="754" w:name="_Hlk115708923"/>
            <w:r>
              <w:rPr>
                <w:sz w:val="16"/>
                <w:szCs w:val="16"/>
              </w:rPr>
              <w:t>Person protected by the order</w:t>
            </w:r>
          </w:p>
        </w:tc>
        <w:tc>
          <w:tcPr>
            <w:tcW w:w="5034"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gridAfter w:val="1"/>
          <w:wAfter w:w="10" w:type="dxa"/>
          <w:cantSplit/>
          <w:trHeight w:val="62"/>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5034"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gridAfter w:val="1"/>
          <w:wAfter w:w="10" w:type="dxa"/>
          <w:cantSplit/>
          <w:trHeight w:val="88"/>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6218"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gridAfter w:val="1"/>
          <w:wAfter w:w="10" w:type="dxa"/>
          <w:cantSplit/>
          <w:trHeight w:val="88"/>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6218"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0" w:type="dxa"/>
          <w:cantSplit/>
          <w:trHeight w:val="88"/>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6218"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Email:</w:t>
            </w:r>
          </w:p>
        </w:tc>
      </w:tr>
      <w:tr>
        <w:trPr>
          <w:gridAfter w:val="1"/>
          <w:wAfter w:w="10" w:type="dxa"/>
          <w:cantSplit/>
          <w:trHeight w:val="100"/>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6218"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gridAfter w:val="1"/>
          <w:wAfter w:w="10" w:type="dxa"/>
          <w:cantSplit/>
          <w:trHeight w:hRule="exact" w:val="80"/>
        </w:trPr>
        <w:tc>
          <w:tcPr>
            <w:tcW w:w="7182" w:type="dxa"/>
            <w:gridSpan w:val="10"/>
            <w:tcBorders>
              <w:top w:val="single" w:sz="4" w:space="0" w:color="auto"/>
              <w:left w:val="nil"/>
              <w:right w:val="nil"/>
            </w:tcBorders>
          </w:tcPr>
          <w:p>
            <w:pPr>
              <w:pStyle w:val="yTableNAm"/>
              <w:spacing w:before="0"/>
              <w:rPr>
                <w:sz w:val="16"/>
                <w:szCs w:val="16"/>
              </w:rPr>
            </w:pPr>
          </w:p>
        </w:tc>
      </w:tr>
      <w:tr>
        <w:trPr>
          <w:gridAfter w:val="1"/>
          <w:wAfter w:w="10" w:type="dxa"/>
          <w:cantSplit/>
          <w:trHeight w:val="80"/>
        </w:trPr>
        <w:tc>
          <w:tcPr>
            <w:tcW w:w="964" w:type="dxa"/>
            <w:gridSpan w:val="2"/>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7"/>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gridAfter w:val="1"/>
          <w:wAfter w:w="10" w:type="dxa"/>
          <w:cantSplit/>
          <w:trHeight w:val="80"/>
        </w:trPr>
        <w:tc>
          <w:tcPr>
            <w:tcW w:w="964" w:type="dxa"/>
            <w:gridSpan w:val="2"/>
            <w:vMerge/>
            <w:tcBorders>
              <w:bottom w:val="single" w:sz="4" w:space="0" w:color="auto"/>
            </w:tcBorders>
            <w:shd w:val="pct10" w:color="auto" w:fill="FFFFFF"/>
          </w:tcPr>
          <w:p>
            <w:pPr>
              <w:pStyle w:val="yTableNAm"/>
              <w:spacing w:before="0"/>
              <w:rPr>
                <w:sz w:val="16"/>
                <w:szCs w:val="16"/>
              </w:rPr>
            </w:pPr>
          </w:p>
        </w:tc>
        <w:tc>
          <w:tcPr>
            <w:tcW w:w="5135" w:type="dxa"/>
            <w:gridSpan w:val="7"/>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gridAfter w:val="1"/>
          <w:wAfter w:w="10" w:type="dxa"/>
          <w:cantSplit/>
          <w:trHeight w:val="80"/>
        </w:trPr>
        <w:tc>
          <w:tcPr>
            <w:tcW w:w="964" w:type="dxa"/>
            <w:gridSpan w:val="2"/>
            <w:vMerge/>
            <w:tcBorders>
              <w:bottom w:val="single" w:sz="4" w:space="0" w:color="auto"/>
            </w:tcBorders>
            <w:shd w:val="pct10" w:color="auto" w:fill="FFFFFF"/>
          </w:tcPr>
          <w:p>
            <w:pPr>
              <w:pStyle w:val="yTableNAm"/>
              <w:spacing w:before="0"/>
              <w:rPr>
                <w:sz w:val="16"/>
                <w:szCs w:val="16"/>
              </w:rPr>
            </w:pPr>
          </w:p>
        </w:tc>
        <w:tc>
          <w:tcPr>
            <w:tcW w:w="6218" w:type="dxa"/>
            <w:gridSpan w:val="8"/>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gridAfter w:val="1"/>
          <w:wAfter w:w="10" w:type="dxa"/>
          <w:cantSplit/>
          <w:trHeight w:val="80"/>
        </w:trPr>
        <w:tc>
          <w:tcPr>
            <w:tcW w:w="964" w:type="dxa"/>
            <w:gridSpan w:val="2"/>
            <w:vMerge/>
            <w:tcBorders>
              <w:bottom w:val="nil"/>
            </w:tcBorders>
            <w:shd w:val="pct10" w:color="auto" w:fill="FFFFFF"/>
          </w:tcPr>
          <w:p>
            <w:pPr>
              <w:pStyle w:val="yTableNAm"/>
              <w:spacing w:before="0"/>
              <w:rPr>
                <w:sz w:val="16"/>
                <w:szCs w:val="16"/>
              </w:rPr>
            </w:pPr>
          </w:p>
        </w:tc>
        <w:tc>
          <w:tcPr>
            <w:tcW w:w="6218" w:type="dxa"/>
            <w:gridSpan w:val="8"/>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gridAfter w:val="1"/>
          <w:wAfter w:w="10" w:type="dxa"/>
          <w:cantSplit/>
          <w:trHeight w:val="80"/>
        </w:trPr>
        <w:tc>
          <w:tcPr>
            <w:tcW w:w="964" w:type="dxa"/>
            <w:gridSpan w:val="2"/>
            <w:vMerge/>
            <w:tcBorders>
              <w:bottom w:val="nil"/>
            </w:tcBorders>
            <w:shd w:val="pct10" w:color="auto" w:fill="FFFFFF"/>
          </w:tcPr>
          <w:p>
            <w:pPr>
              <w:pStyle w:val="yTableNAm"/>
              <w:spacing w:before="0"/>
              <w:rPr>
                <w:sz w:val="16"/>
                <w:szCs w:val="16"/>
              </w:rPr>
            </w:pPr>
          </w:p>
        </w:tc>
        <w:tc>
          <w:tcPr>
            <w:tcW w:w="6218" w:type="dxa"/>
            <w:gridSpan w:val="8"/>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0" w:type="dxa"/>
          <w:cantSplit/>
          <w:trHeight w:val="80"/>
        </w:trPr>
        <w:tc>
          <w:tcPr>
            <w:tcW w:w="964" w:type="dxa"/>
            <w:gridSpan w:val="2"/>
            <w:vMerge/>
            <w:tcBorders>
              <w:bottom w:val="nil"/>
            </w:tcBorders>
            <w:shd w:val="pct10" w:color="auto" w:fill="FFFFFF"/>
          </w:tcPr>
          <w:p>
            <w:pPr>
              <w:pStyle w:val="yTableNAm"/>
              <w:spacing w:before="0"/>
              <w:rPr>
                <w:sz w:val="16"/>
                <w:szCs w:val="16"/>
              </w:rPr>
            </w:pPr>
          </w:p>
        </w:tc>
        <w:tc>
          <w:tcPr>
            <w:tcW w:w="6218" w:type="dxa"/>
            <w:gridSpan w:val="8"/>
            <w:tcBorders>
              <w:bottom w:val="nil"/>
            </w:tcBorders>
          </w:tcPr>
          <w:p>
            <w:pPr>
              <w:pStyle w:val="yTableNAm"/>
              <w:tabs>
                <w:tab w:val="clear" w:pos="567"/>
                <w:tab w:val="left" w:pos="964"/>
                <w:tab w:val="left" w:pos="2523"/>
                <w:tab w:val="left" w:pos="4079"/>
              </w:tabs>
              <w:spacing w:before="0"/>
              <w:rPr>
                <w:sz w:val="16"/>
                <w:szCs w:val="16"/>
              </w:rPr>
            </w:pPr>
            <w:r>
              <w:rPr>
                <w:sz w:val="16"/>
                <w:szCs w:val="16"/>
              </w:rPr>
              <w:t>Email:</w:t>
            </w:r>
          </w:p>
        </w:tc>
      </w:tr>
      <w:tr>
        <w:trPr>
          <w:gridAfter w:val="1"/>
          <w:wAfter w:w="10" w:type="dxa"/>
          <w:cantSplit/>
          <w:trHeight w:val="80"/>
        </w:trPr>
        <w:tc>
          <w:tcPr>
            <w:tcW w:w="964" w:type="dxa"/>
            <w:gridSpan w:val="2"/>
            <w:vMerge/>
            <w:tcBorders>
              <w:bottom w:val="single" w:sz="4" w:space="0" w:color="auto"/>
            </w:tcBorders>
            <w:shd w:val="pct10" w:color="auto" w:fill="FFFFFF"/>
          </w:tcPr>
          <w:p>
            <w:pPr>
              <w:pStyle w:val="yTableNAm"/>
              <w:spacing w:before="0"/>
              <w:rPr>
                <w:sz w:val="16"/>
                <w:szCs w:val="16"/>
              </w:rPr>
            </w:pPr>
          </w:p>
        </w:tc>
        <w:tc>
          <w:tcPr>
            <w:tcW w:w="6218" w:type="dxa"/>
            <w:gridSpan w:val="8"/>
            <w:tcBorders>
              <w:bottom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bookmarkEnd w:id="754"/>
      <w:tr>
        <w:trPr>
          <w:gridBefore w:val="1"/>
          <w:wBefore w:w="10" w:type="dxa"/>
          <w:cantSplit/>
          <w:trHeight w:hRule="exact" w:val="80"/>
        </w:trPr>
        <w:tc>
          <w:tcPr>
            <w:tcW w:w="7182" w:type="dxa"/>
            <w:gridSpan w:val="10"/>
            <w:tcBorders>
              <w:left w:val="nil"/>
              <w:bottom w:val="single" w:sz="4" w:space="0" w:color="auto"/>
              <w:right w:val="nil"/>
            </w:tcBorders>
          </w:tcPr>
          <w:p>
            <w:pPr>
              <w:pStyle w:val="yTableNAm"/>
              <w:spacing w:before="0"/>
              <w:rPr>
                <w:sz w:val="16"/>
                <w:szCs w:val="16"/>
              </w:rPr>
            </w:pPr>
          </w:p>
        </w:tc>
      </w:tr>
      <w:tr>
        <w:trPr>
          <w:gridBefore w:val="1"/>
          <w:wBefore w:w="10" w:type="dxa"/>
          <w:cantSplit/>
          <w:trHeight w:val="854"/>
        </w:trPr>
        <w:tc>
          <w:tcPr>
            <w:tcW w:w="965" w:type="dxa"/>
            <w:gridSpan w:val="2"/>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7" w:type="dxa"/>
            <w:gridSpan w:val="8"/>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gridBefore w:val="1"/>
          <w:wBefore w:w="10" w:type="dxa"/>
          <w:cantSplit/>
          <w:trHeight w:hRule="exact" w:val="80"/>
        </w:trPr>
        <w:tc>
          <w:tcPr>
            <w:tcW w:w="7182" w:type="dxa"/>
            <w:gridSpan w:val="10"/>
            <w:tcBorders>
              <w:top w:val="single" w:sz="2" w:space="0" w:color="auto"/>
              <w:left w:val="nil"/>
              <w:bottom w:val="nil"/>
              <w:right w:val="nil"/>
            </w:tcBorders>
          </w:tcPr>
          <w:p>
            <w:pPr>
              <w:pStyle w:val="yTableNAm"/>
              <w:spacing w:before="0"/>
              <w:rPr>
                <w:sz w:val="16"/>
                <w:szCs w:val="16"/>
              </w:rPr>
            </w:pPr>
          </w:p>
        </w:tc>
      </w:tr>
      <w:tr>
        <w:trPr>
          <w:gridBefore w:val="1"/>
          <w:wBefore w:w="10" w:type="dxa"/>
          <w:cantSplit/>
          <w:trHeight w:val="258"/>
        </w:trPr>
        <w:tc>
          <w:tcPr>
            <w:tcW w:w="965" w:type="dxa"/>
            <w:gridSpan w:val="2"/>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7" w:type="dxa"/>
            <w:gridSpan w:val="8"/>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gridBefore w:val="1"/>
          <w:wBefore w:w="10" w:type="dxa"/>
          <w:cantSplit/>
          <w:trHeight w:val="107"/>
        </w:trPr>
        <w:tc>
          <w:tcPr>
            <w:tcW w:w="965" w:type="dxa"/>
            <w:gridSpan w:val="2"/>
            <w:vMerge/>
            <w:tcBorders>
              <w:top w:val="single" w:sz="4" w:space="0" w:color="auto"/>
              <w:bottom w:val="nil"/>
            </w:tcBorders>
            <w:shd w:val="pct10" w:color="auto" w:fill="FFFFFF"/>
          </w:tcPr>
          <w:p>
            <w:pPr>
              <w:pStyle w:val="yTableNAm"/>
              <w:keepNext/>
              <w:keepLines/>
              <w:spacing w:before="0"/>
              <w:rPr>
                <w:sz w:val="16"/>
                <w:szCs w:val="16"/>
              </w:rPr>
            </w:pPr>
          </w:p>
        </w:tc>
        <w:tc>
          <w:tcPr>
            <w:tcW w:w="6217" w:type="dxa"/>
            <w:gridSpan w:val="8"/>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gridBefore w:val="1"/>
          <w:wBefore w:w="10" w:type="dxa"/>
          <w:cantSplit/>
          <w:trHeight w:val="97"/>
        </w:trPr>
        <w:tc>
          <w:tcPr>
            <w:tcW w:w="965" w:type="dxa"/>
            <w:gridSpan w:val="2"/>
            <w:vMerge/>
            <w:tcBorders>
              <w:bottom w:val="nil"/>
            </w:tcBorders>
            <w:shd w:val="pct10" w:color="auto" w:fill="FFFFFF"/>
          </w:tcPr>
          <w:p>
            <w:pPr>
              <w:pStyle w:val="yTableNAm"/>
              <w:spacing w:before="0"/>
              <w:rPr>
                <w:sz w:val="16"/>
                <w:szCs w:val="16"/>
              </w:rPr>
            </w:pPr>
          </w:p>
        </w:tc>
        <w:tc>
          <w:tcPr>
            <w:tcW w:w="6217" w:type="dxa"/>
            <w:gridSpan w:val="8"/>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gridBefore w:val="1"/>
          <w:wBefore w:w="10" w:type="dxa"/>
          <w:cantSplit/>
          <w:trHeight w:hRule="exact" w:val="80"/>
        </w:trPr>
        <w:tc>
          <w:tcPr>
            <w:tcW w:w="7182" w:type="dxa"/>
            <w:gridSpan w:val="10"/>
            <w:tcBorders>
              <w:left w:val="nil"/>
              <w:bottom w:val="single" w:sz="4" w:space="0" w:color="auto"/>
              <w:right w:val="nil"/>
            </w:tcBorders>
          </w:tcPr>
          <w:p>
            <w:pPr>
              <w:pStyle w:val="yTableNAm"/>
              <w:spacing w:before="0"/>
              <w:rPr>
                <w:sz w:val="16"/>
                <w:szCs w:val="16"/>
              </w:rPr>
            </w:pPr>
          </w:p>
        </w:tc>
      </w:tr>
      <w:tr>
        <w:trPr>
          <w:gridBefore w:val="1"/>
          <w:wBefore w:w="10" w:type="dxa"/>
          <w:cantSplit/>
          <w:trHeight w:val="75"/>
        </w:trPr>
        <w:tc>
          <w:tcPr>
            <w:tcW w:w="965" w:type="dxa"/>
            <w:gridSpan w:val="2"/>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7" w:type="dxa"/>
            <w:gridSpan w:val="8"/>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item or a firearms authorisation?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gridBefore w:val="1"/>
          <w:wBefore w:w="10" w:type="dxa"/>
          <w:cantSplit/>
          <w:trHeight w:val="75"/>
        </w:trPr>
        <w:tc>
          <w:tcPr>
            <w:tcW w:w="965" w:type="dxa"/>
            <w:gridSpan w:val="2"/>
            <w:vMerge/>
            <w:tcBorders>
              <w:bottom w:val="single" w:sz="4" w:space="0" w:color="auto"/>
            </w:tcBorders>
            <w:shd w:val="pct10" w:color="auto" w:fill="FFFFFF"/>
          </w:tcPr>
          <w:p>
            <w:pPr>
              <w:pStyle w:val="yTableNAm"/>
              <w:spacing w:before="0"/>
              <w:rPr>
                <w:sz w:val="16"/>
                <w:szCs w:val="16"/>
              </w:rPr>
            </w:pPr>
          </w:p>
        </w:tc>
        <w:tc>
          <w:tcPr>
            <w:tcW w:w="6217" w:type="dxa"/>
            <w:gridSpan w:val="8"/>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item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gridBefore w:val="1"/>
          <w:wBefore w:w="10" w:type="dxa"/>
          <w:cantSplit/>
          <w:trHeight w:hRule="exact" w:val="80"/>
        </w:trPr>
        <w:tc>
          <w:tcPr>
            <w:tcW w:w="7182" w:type="dxa"/>
            <w:gridSpan w:val="10"/>
            <w:tcBorders>
              <w:top w:val="nil"/>
              <w:left w:val="nil"/>
              <w:bottom w:val="nil"/>
              <w:right w:val="nil"/>
            </w:tcBorders>
            <w:noWrap/>
          </w:tcPr>
          <w:p>
            <w:pPr>
              <w:pStyle w:val="yTableNAm"/>
              <w:spacing w:before="0"/>
            </w:pPr>
          </w:p>
        </w:tc>
      </w:tr>
      <w:tr>
        <w:tblPrEx>
          <w:tblCellMar>
            <w:left w:w="28" w:type="dxa"/>
          </w:tblCellMar>
        </w:tblPrEx>
        <w:trPr>
          <w:gridBefore w:val="1"/>
          <w:wBefore w:w="10" w:type="dxa"/>
          <w:cantSplit/>
        </w:trPr>
        <w:tc>
          <w:tcPr>
            <w:tcW w:w="965"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7" w:type="dxa"/>
            <w:gridSpan w:val="8"/>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gridBefore w:val="1"/>
          <w:wBefore w:w="10" w:type="dxa"/>
          <w:cantSplit/>
        </w:trPr>
        <w:tc>
          <w:tcPr>
            <w:tcW w:w="965"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7" w:type="dxa"/>
            <w:gridSpan w:val="8"/>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gridBefore w:val="1"/>
          <w:wBefore w:w="10" w:type="dxa"/>
          <w:cantSplit/>
          <w:trHeight w:hRule="exact" w:val="80"/>
        </w:trPr>
        <w:tc>
          <w:tcPr>
            <w:tcW w:w="7182" w:type="dxa"/>
            <w:gridSpan w:val="10"/>
            <w:tcBorders>
              <w:left w:val="nil"/>
              <w:bottom w:val="single" w:sz="4" w:space="0" w:color="auto"/>
              <w:right w:val="nil"/>
            </w:tcBorders>
          </w:tcPr>
          <w:p>
            <w:pPr>
              <w:pStyle w:val="yTableNAm"/>
              <w:spacing w:before="0"/>
              <w:rPr>
                <w:sz w:val="16"/>
                <w:szCs w:val="16"/>
              </w:rPr>
            </w:pPr>
          </w:p>
        </w:tc>
      </w:tr>
      <w:tr>
        <w:trPr>
          <w:gridBefore w:val="1"/>
          <w:wBefore w:w="10" w:type="dxa"/>
          <w:cantSplit/>
          <w:trHeight w:val="1417"/>
        </w:trPr>
        <w:tc>
          <w:tcPr>
            <w:tcW w:w="965" w:type="dxa"/>
            <w:gridSpan w:val="2"/>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7" w:type="dxa"/>
            <w:gridSpan w:val="8"/>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gridBefore w:val="1"/>
          <w:wBefore w:w="10" w:type="dxa"/>
          <w:trHeight w:hRule="exact" w:val="80"/>
        </w:trPr>
        <w:tc>
          <w:tcPr>
            <w:tcW w:w="7182" w:type="dxa"/>
            <w:gridSpan w:val="10"/>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gridBefore w:val="1"/>
          <w:wBefore w:w="10" w:type="dxa"/>
          <w:trHeight w:hRule="exact" w:val="1200"/>
        </w:trPr>
        <w:tc>
          <w:tcPr>
            <w:tcW w:w="965" w:type="dxa"/>
            <w:gridSpan w:val="2"/>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7" w:type="dxa"/>
            <w:gridSpan w:val="8"/>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gridBefore w:val="1"/>
          <w:wBefore w:w="10" w:type="dxa"/>
          <w:trHeight w:hRule="exact" w:val="80"/>
        </w:trPr>
        <w:tc>
          <w:tcPr>
            <w:tcW w:w="7182" w:type="dxa"/>
            <w:gridSpan w:val="10"/>
            <w:tcBorders>
              <w:top w:val="nil"/>
              <w:left w:val="nil"/>
              <w:bottom w:val="nil"/>
              <w:right w:val="nil"/>
            </w:tcBorders>
          </w:tcPr>
          <w:p>
            <w:pPr>
              <w:pStyle w:val="yTable"/>
              <w:spacing w:before="0"/>
              <w:rPr>
                <w:sz w:val="16"/>
                <w:szCs w:val="16"/>
              </w:rPr>
            </w:pPr>
          </w:p>
        </w:tc>
      </w:tr>
      <w:tr>
        <w:tblPrEx>
          <w:tblCellMar>
            <w:right w:w="108" w:type="dxa"/>
          </w:tblCellMar>
        </w:tblPrEx>
        <w:trPr>
          <w:gridBefore w:val="1"/>
          <w:wBefore w:w="10" w:type="dxa"/>
          <w:trHeight w:hRule="exact" w:val="2169"/>
        </w:trPr>
        <w:tc>
          <w:tcPr>
            <w:tcW w:w="965" w:type="dxa"/>
            <w:gridSpan w:val="2"/>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7" w:type="dxa"/>
            <w:gridSpan w:val="8"/>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gridBefore w:val="1"/>
          <w:wBefore w:w="10" w:type="dxa"/>
          <w:trHeight w:hRule="exact" w:val="80"/>
        </w:trPr>
        <w:tc>
          <w:tcPr>
            <w:tcW w:w="7182" w:type="dxa"/>
            <w:gridSpan w:val="10"/>
            <w:tcBorders>
              <w:top w:val="nil"/>
              <w:left w:val="nil"/>
              <w:bottom w:val="nil"/>
              <w:right w:val="nil"/>
            </w:tcBorders>
          </w:tcPr>
          <w:p>
            <w:pPr>
              <w:pStyle w:val="yTable"/>
              <w:spacing w:before="0"/>
              <w:rPr>
                <w:sz w:val="16"/>
                <w:szCs w:val="16"/>
              </w:rPr>
            </w:pPr>
          </w:p>
        </w:tc>
      </w:tr>
      <w:tr>
        <w:tblPrEx>
          <w:tblCellMar>
            <w:right w:w="108" w:type="dxa"/>
          </w:tblCellMar>
        </w:tblPrEx>
        <w:trPr>
          <w:gridBefore w:val="1"/>
          <w:wBefore w:w="10" w:type="dxa"/>
        </w:trPr>
        <w:tc>
          <w:tcPr>
            <w:tcW w:w="965" w:type="dxa"/>
            <w:gridSpan w:val="2"/>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3"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5"/>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gridBefore w:val="1"/>
          <w:wBefore w:w="10" w:type="dxa"/>
          <w:trHeight w:hRule="exact" w:val="80"/>
        </w:trPr>
        <w:tc>
          <w:tcPr>
            <w:tcW w:w="7182" w:type="dxa"/>
            <w:gridSpan w:val="10"/>
            <w:tcBorders>
              <w:top w:val="nil"/>
              <w:left w:val="nil"/>
              <w:bottom w:val="nil"/>
              <w:right w:val="nil"/>
            </w:tcBorders>
          </w:tcPr>
          <w:p>
            <w:pPr>
              <w:pStyle w:val="yTable"/>
              <w:spacing w:before="0"/>
              <w:rPr>
                <w:sz w:val="16"/>
                <w:szCs w:val="16"/>
              </w:rPr>
            </w:pPr>
          </w:p>
        </w:tc>
      </w:tr>
      <w:tr>
        <w:tblPrEx>
          <w:tblCellMar>
            <w:right w:w="108" w:type="dxa"/>
          </w:tblCellMar>
        </w:tblPrEx>
        <w:trPr>
          <w:gridBefore w:val="1"/>
          <w:wBefore w:w="10" w:type="dxa"/>
          <w:trHeight w:val="300"/>
        </w:trPr>
        <w:tc>
          <w:tcPr>
            <w:tcW w:w="965" w:type="dxa"/>
            <w:gridSpan w:val="2"/>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3"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21; SL 2022/188 r. 4(8).]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70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
        <w:gridCol w:w="983"/>
        <w:gridCol w:w="10"/>
        <w:gridCol w:w="8"/>
        <w:gridCol w:w="1976"/>
        <w:gridCol w:w="567"/>
        <w:gridCol w:w="957"/>
        <w:gridCol w:w="1159"/>
        <w:gridCol w:w="10"/>
        <w:gridCol w:w="221"/>
        <w:gridCol w:w="1167"/>
        <w:gridCol w:w="10"/>
      </w:tblGrid>
      <w:tr>
        <w:trPr>
          <w:gridBefore w:val="1"/>
          <w:wBefore w:w="10" w:type="dxa"/>
          <w:cantSplit/>
          <w:trHeight w:val="226"/>
          <w:tblHeader/>
        </w:trPr>
        <w:tc>
          <w:tcPr>
            <w:tcW w:w="2977" w:type="dxa"/>
            <w:gridSpan w:val="4"/>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6"/>
          </w:tcPr>
          <w:p>
            <w:pPr>
              <w:pStyle w:val="yTableNAm"/>
              <w:spacing w:before="0"/>
              <w:rPr>
                <w:rFonts w:ascii="Times" w:hAnsi="Times"/>
                <w:sz w:val="16"/>
              </w:rPr>
            </w:pPr>
            <w:r>
              <w:rPr>
                <w:rFonts w:ascii="Times" w:hAnsi="Times"/>
                <w:sz w:val="16"/>
              </w:rPr>
              <w:t>Number:</w:t>
            </w:r>
          </w:p>
        </w:tc>
      </w:tr>
      <w:tr>
        <w:trPr>
          <w:gridBefore w:val="1"/>
          <w:wBefore w:w="10"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6"/>
            <w:tcBorders>
              <w:bottom w:val="nil"/>
            </w:tcBorders>
          </w:tcPr>
          <w:p>
            <w:pPr>
              <w:pStyle w:val="yTableNAm"/>
              <w:spacing w:before="0"/>
              <w:rPr>
                <w:rFonts w:ascii="Times" w:hAnsi="Times"/>
                <w:sz w:val="16"/>
              </w:rPr>
            </w:pPr>
            <w:r>
              <w:rPr>
                <w:rFonts w:ascii="Times" w:hAnsi="Times"/>
                <w:sz w:val="16"/>
              </w:rPr>
              <w:t>Jurisdiction:</w:t>
            </w:r>
          </w:p>
        </w:tc>
      </w:tr>
      <w:tr>
        <w:trPr>
          <w:gridBefore w:val="1"/>
          <w:wBefore w:w="10"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6"/>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rPr>
          <w:gridBefore w:val="1"/>
          <w:wBefore w:w="10" w:type="dxa"/>
        </w:trPr>
        <w:tc>
          <w:tcPr>
            <w:tcW w:w="7068" w:type="dxa"/>
            <w:gridSpan w:val="11"/>
            <w:tcBorders>
              <w:top w:val="nil"/>
              <w:left w:val="nil"/>
              <w:bottom w:val="nil"/>
              <w:right w:val="nil"/>
            </w:tcBorders>
          </w:tcPr>
          <w:p>
            <w:pPr>
              <w:pStyle w:val="yTableNAm"/>
              <w:spacing w:before="0"/>
              <w:rPr>
                <w:sz w:val="8"/>
              </w:rPr>
            </w:pPr>
          </w:p>
        </w:tc>
      </w:tr>
      <w:tr>
        <w:tblPrEx>
          <w:tblCellMar>
            <w:left w:w="108" w:type="dxa"/>
            <w:right w:w="108" w:type="dxa"/>
          </w:tblCellMar>
        </w:tblPrEx>
        <w:trPr>
          <w:gridBefore w:val="1"/>
          <w:wBefore w:w="10" w:type="dxa"/>
        </w:trPr>
        <w:tc>
          <w:tcPr>
            <w:tcW w:w="7068" w:type="dxa"/>
            <w:gridSpan w:val="11"/>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rPr>
          <w:gridBefore w:val="1"/>
          <w:wBefore w:w="10" w:type="dxa"/>
        </w:trPr>
        <w:tc>
          <w:tcPr>
            <w:tcW w:w="7068" w:type="dxa"/>
            <w:gridSpan w:val="11"/>
            <w:tcBorders>
              <w:top w:val="nil"/>
              <w:left w:val="nil"/>
              <w:bottom w:val="nil"/>
              <w:right w:val="nil"/>
            </w:tcBorders>
          </w:tcPr>
          <w:p>
            <w:pPr>
              <w:pStyle w:val="yTableNAm"/>
              <w:spacing w:before="0"/>
              <w:rPr>
                <w:sz w:val="8"/>
              </w:rPr>
            </w:pPr>
          </w:p>
        </w:tc>
      </w:tr>
      <w:tr>
        <w:trPr>
          <w:gridAfter w:val="1"/>
          <w:wAfter w:w="10" w:type="dxa"/>
          <w:cantSplit/>
          <w:trHeight w:val="84"/>
        </w:trPr>
        <w:tc>
          <w:tcPr>
            <w:tcW w:w="993" w:type="dxa"/>
            <w:gridSpan w:val="2"/>
            <w:vMerge w:val="restart"/>
            <w:tcBorders>
              <w:top w:val="single" w:sz="4" w:space="0" w:color="auto"/>
              <w:bottom w:val="single" w:sz="4" w:space="0" w:color="auto"/>
            </w:tcBorders>
            <w:shd w:val="pct10" w:color="auto" w:fill="FFFFFF"/>
          </w:tcPr>
          <w:p>
            <w:pPr>
              <w:pStyle w:val="yTableNAm"/>
              <w:spacing w:before="0"/>
              <w:rPr>
                <w:sz w:val="16"/>
              </w:rPr>
            </w:pPr>
            <w:bookmarkStart w:id="755" w:name="_Hlk115709222"/>
            <w:bookmarkStart w:id="756" w:name="_Hlk115709245"/>
            <w:r>
              <w:rPr>
                <w:sz w:val="16"/>
              </w:rPr>
              <w:t>Respondent</w:t>
            </w:r>
          </w:p>
        </w:tc>
        <w:tc>
          <w:tcPr>
            <w:tcW w:w="4677" w:type="dxa"/>
            <w:gridSpan w:val="6"/>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3"/>
            <w:vMerge w:val="restart"/>
            <w:tcBorders>
              <w:top w:val="single" w:sz="4" w:space="0" w:color="auto"/>
            </w:tcBorders>
          </w:tcPr>
          <w:p>
            <w:pPr>
              <w:pStyle w:val="yTableNAm"/>
              <w:spacing w:before="0"/>
              <w:rPr>
                <w:sz w:val="16"/>
              </w:rPr>
            </w:pPr>
            <w:r>
              <w:rPr>
                <w:sz w:val="16"/>
              </w:rPr>
              <w:t>Date of birth</w:t>
            </w:r>
          </w:p>
        </w:tc>
      </w:tr>
      <w:tr>
        <w:trPr>
          <w:gridAfter w:val="1"/>
          <w:wAfter w:w="10" w:type="dxa"/>
          <w:cantSplit/>
          <w:trHeight w:val="201"/>
        </w:trPr>
        <w:tc>
          <w:tcPr>
            <w:tcW w:w="993" w:type="dxa"/>
            <w:gridSpan w:val="2"/>
            <w:vMerge/>
            <w:tcBorders>
              <w:bottom w:val="single" w:sz="4" w:space="0" w:color="auto"/>
            </w:tcBorders>
            <w:shd w:val="pct10" w:color="auto" w:fill="FFFFFF"/>
          </w:tcPr>
          <w:p>
            <w:pPr>
              <w:pStyle w:val="yTableNAm"/>
              <w:spacing w:before="0"/>
              <w:rPr>
                <w:sz w:val="16"/>
              </w:rPr>
            </w:pPr>
          </w:p>
        </w:tc>
        <w:tc>
          <w:tcPr>
            <w:tcW w:w="4677" w:type="dxa"/>
            <w:gridSpan w:val="6"/>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3"/>
            <w:vMerge/>
            <w:tcBorders>
              <w:bottom w:val="single" w:sz="4" w:space="0" w:color="auto"/>
            </w:tcBorders>
          </w:tcPr>
          <w:p>
            <w:pPr>
              <w:pStyle w:val="yTableNAm"/>
              <w:spacing w:before="0"/>
              <w:rPr>
                <w:sz w:val="16"/>
              </w:rPr>
            </w:pPr>
          </w:p>
        </w:tc>
      </w:tr>
      <w:tr>
        <w:trPr>
          <w:gridAfter w:val="1"/>
          <w:wAfter w:w="10" w:type="dxa"/>
          <w:cantSplit/>
          <w:trHeight w:val="80"/>
        </w:trPr>
        <w:tc>
          <w:tcPr>
            <w:tcW w:w="993" w:type="dxa"/>
            <w:gridSpan w:val="2"/>
            <w:vMerge/>
            <w:tcBorders>
              <w:bottom w:val="single" w:sz="4" w:space="0" w:color="auto"/>
            </w:tcBorders>
            <w:shd w:val="pct10" w:color="auto" w:fill="FFFFFF"/>
          </w:tcPr>
          <w:p>
            <w:pPr>
              <w:pStyle w:val="yTableNAm"/>
              <w:spacing w:before="0"/>
              <w:rPr>
                <w:sz w:val="16"/>
              </w:rPr>
            </w:pPr>
          </w:p>
        </w:tc>
        <w:tc>
          <w:tcPr>
            <w:tcW w:w="6075" w:type="dxa"/>
            <w:gridSpan w:val="9"/>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gridAfter w:val="1"/>
          <w:wAfter w:w="10" w:type="dxa"/>
          <w:cantSplit/>
          <w:trHeight w:val="80"/>
        </w:trPr>
        <w:tc>
          <w:tcPr>
            <w:tcW w:w="993" w:type="dxa"/>
            <w:gridSpan w:val="2"/>
            <w:vMerge/>
            <w:tcBorders>
              <w:bottom w:val="single" w:sz="4" w:space="0" w:color="auto"/>
            </w:tcBorders>
            <w:shd w:val="pct10" w:color="auto" w:fill="FFFFFF"/>
          </w:tcPr>
          <w:p>
            <w:pPr>
              <w:pStyle w:val="yTableNAm"/>
              <w:spacing w:before="0"/>
              <w:rPr>
                <w:sz w:val="16"/>
              </w:rPr>
            </w:pPr>
          </w:p>
        </w:tc>
        <w:tc>
          <w:tcPr>
            <w:tcW w:w="6075" w:type="dxa"/>
            <w:gridSpan w:val="9"/>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gridAfter w:val="1"/>
          <w:wAfter w:w="10" w:type="dxa"/>
          <w:cantSplit/>
          <w:trHeight w:val="80"/>
        </w:trPr>
        <w:tc>
          <w:tcPr>
            <w:tcW w:w="993" w:type="dxa"/>
            <w:gridSpan w:val="2"/>
            <w:vMerge/>
            <w:tcBorders>
              <w:bottom w:val="nil"/>
            </w:tcBorders>
            <w:shd w:val="pct10" w:color="auto" w:fill="FFFFFF"/>
          </w:tcPr>
          <w:p>
            <w:pPr>
              <w:pStyle w:val="yTableNAm"/>
              <w:spacing w:before="0"/>
              <w:rPr>
                <w:sz w:val="16"/>
              </w:rPr>
            </w:pPr>
          </w:p>
        </w:tc>
        <w:tc>
          <w:tcPr>
            <w:tcW w:w="6075" w:type="dxa"/>
            <w:gridSpan w:val="9"/>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bookmarkEnd w:id="755"/>
      <w:tr>
        <w:trPr>
          <w:gridAfter w:val="1"/>
          <w:wAfter w:w="10" w:type="dxa"/>
          <w:cantSplit/>
          <w:trHeight w:val="80"/>
        </w:trPr>
        <w:tc>
          <w:tcPr>
            <w:tcW w:w="993" w:type="dxa"/>
            <w:gridSpan w:val="2"/>
            <w:vMerge/>
            <w:tcBorders>
              <w:bottom w:val="single" w:sz="4" w:space="0" w:color="auto"/>
            </w:tcBorders>
            <w:shd w:val="pct10" w:color="auto" w:fill="FFFFFF"/>
          </w:tcPr>
          <w:p>
            <w:pPr>
              <w:pStyle w:val="yTableNAm"/>
              <w:spacing w:before="0"/>
              <w:rPr>
                <w:sz w:val="16"/>
              </w:rPr>
            </w:pPr>
          </w:p>
        </w:tc>
        <w:tc>
          <w:tcPr>
            <w:tcW w:w="6075" w:type="dxa"/>
            <w:gridSpan w:val="9"/>
            <w:tcBorders>
              <w:bottom w:val="single" w:sz="4" w:space="0" w:color="auto"/>
            </w:tcBorders>
          </w:tcPr>
          <w:p>
            <w:pPr>
              <w:pStyle w:val="yTableNAm"/>
              <w:tabs>
                <w:tab w:val="clear" w:pos="567"/>
                <w:tab w:val="left" w:pos="818"/>
                <w:tab w:val="left" w:pos="2519"/>
                <w:tab w:val="left" w:pos="4079"/>
              </w:tabs>
              <w:spacing w:before="0"/>
              <w:rPr>
                <w:sz w:val="16"/>
              </w:rPr>
            </w:pPr>
            <w:r>
              <w:rPr>
                <w:sz w:val="16"/>
              </w:rPr>
              <w:t>Email:</w:t>
            </w:r>
          </w:p>
        </w:tc>
      </w:tr>
      <w:bookmarkEnd w:id="756"/>
      <w:tr>
        <w:trPr>
          <w:gridBefore w:val="1"/>
          <w:wBefore w:w="10" w:type="dxa"/>
          <w:cantSplit/>
          <w:trHeight w:hRule="exact" w:val="80"/>
        </w:trPr>
        <w:tc>
          <w:tcPr>
            <w:tcW w:w="7068" w:type="dxa"/>
            <w:gridSpan w:val="11"/>
            <w:tcBorders>
              <w:left w:val="nil"/>
              <w:bottom w:val="nil"/>
              <w:right w:val="nil"/>
            </w:tcBorders>
          </w:tcPr>
          <w:p>
            <w:pPr>
              <w:pStyle w:val="yTableNAm"/>
              <w:spacing w:before="0"/>
              <w:rPr>
                <w:sz w:val="16"/>
              </w:rPr>
            </w:pPr>
          </w:p>
        </w:tc>
      </w:tr>
      <w:tr>
        <w:trPr>
          <w:gridBefore w:val="1"/>
          <w:wBefore w:w="10"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6"/>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3"/>
            <w:vMerge w:val="restart"/>
            <w:tcBorders>
              <w:top w:val="single" w:sz="4" w:space="0" w:color="000000"/>
              <w:right w:val="single" w:sz="4" w:space="0" w:color="000000"/>
            </w:tcBorders>
          </w:tcPr>
          <w:p>
            <w:pPr>
              <w:pStyle w:val="yTableNAm"/>
              <w:spacing w:before="0"/>
              <w:rPr>
                <w:sz w:val="16"/>
              </w:rPr>
            </w:pPr>
            <w:r>
              <w:rPr>
                <w:sz w:val="16"/>
              </w:rPr>
              <w:t>Date of birth</w:t>
            </w:r>
          </w:p>
        </w:tc>
      </w:tr>
      <w:tr>
        <w:trPr>
          <w:gridBefore w:val="1"/>
          <w:wBefore w:w="10"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6"/>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3"/>
            <w:vMerge/>
            <w:tcBorders>
              <w:bottom w:val="single" w:sz="4" w:space="0" w:color="000000"/>
              <w:right w:val="single" w:sz="4" w:space="0" w:color="000000"/>
            </w:tcBorders>
          </w:tcPr>
          <w:p>
            <w:pPr>
              <w:pStyle w:val="yTableNAm"/>
              <w:spacing w:before="0"/>
              <w:rPr>
                <w:sz w:val="16"/>
              </w:rPr>
            </w:pPr>
          </w:p>
        </w:tc>
      </w:tr>
      <w:tr>
        <w:trPr>
          <w:gridBefore w:val="1"/>
          <w:wBefore w:w="10" w:type="dxa"/>
          <w:cantSplit/>
          <w:trHeight w:hRule="exact" w:val="80"/>
        </w:trPr>
        <w:tc>
          <w:tcPr>
            <w:tcW w:w="993" w:type="dxa"/>
            <w:gridSpan w:val="2"/>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9"/>
            <w:tcBorders>
              <w:top w:val="nil"/>
              <w:left w:val="nil"/>
              <w:bottom w:val="nil"/>
              <w:right w:val="nil"/>
            </w:tcBorders>
          </w:tcPr>
          <w:p>
            <w:pPr>
              <w:pStyle w:val="yTableNAm"/>
              <w:spacing w:before="0"/>
              <w:rPr>
                <w:sz w:val="16"/>
              </w:rPr>
            </w:pPr>
          </w:p>
        </w:tc>
      </w:tr>
      <w:tr>
        <w:trPr>
          <w:gridBefore w:val="1"/>
          <w:wBefore w:w="10" w:type="dxa"/>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9"/>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gridBefore w:val="1"/>
          <w:wBefore w:w="10" w:type="dxa"/>
          <w:cantSplit/>
          <w:trHeight w:val="200"/>
        </w:trPr>
        <w:tc>
          <w:tcPr>
            <w:tcW w:w="993" w:type="dxa"/>
            <w:gridSpan w:val="2"/>
            <w:vMerge/>
            <w:tcBorders>
              <w:top w:val="nil"/>
              <w:left w:val="single" w:sz="4" w:space="0" w:color="000000"/>
              <w:bottom w:val="nil"/>
            </w:tcBorders>
            <w:shd w:val="pct10" w:color="auto" w:fill="FFFFFF"/>
          </w:tcPr>
          <w:p>
            <w:pPr>
              <w:pStyle w:val="yTableNAm"/>
              <w:spacing w:before="0"/>
              <w:rPr>
                <w:sz w:val="16"/>
              </w:rPr>
            </w:pPr>
          </w:p>
        </w:tc>
        <w:tc>
          <w:tcPr>
            <w:tcW w:w="6075" w:type="dxa"/>
            <w:gridSpan w:val="9"/>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gridBefore w:val="1"/>
          <w:wBefore w:w="10" w:type="dxa"/>
          <w:cantSplit/>
          <w:trHeight w:val="20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9"/>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gridBefore w:val="1"/>
          <w:wBefore w:w="10" w:type="dxa"/>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9"/>
            <w:tcBorders>
              <w:top w:val="single" w:sz="4" w:space="0" w:color="auto"/>
              <w:left w:val="nil"/>
              <w:bottom w:val="nil"/>
              <w:right w:val="nil"/>
            </w:tcBorders>
          </w:tcPr>
          <w:p>
            <w:pPr>
              <w:pStyle w:val="yTableNAm"/>
              <w:spacing w:before="0"/>
              <w:rPr>
                <w:sz w:val="16"/>
              </w:rPr>
            </w:pPr>
          </w:p>
        </w:tc>
      </w:tr>
      <w:tr>
        <w:trPr>
          <w:gridBefore w:val="1"/>
          <w:wBefore w:w="10" w:type="dxa"/>
          <w:cantSplit/>
          <w:trHeight w:hRule="exact" w:val="584"/>
        </w:trPr>
        <w:tc>
          <w:tcPr>
            <w:tcW w:w="993"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9"/>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gridBefore w:val="1"/>
          <w:wBefore w:w="10"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16"/>
              </w:rPr>
            </w:pPr>
          </w:p>
        </w:tc>
        <w:tc>
          <w:tcPr>
            <w:tcW w:w="6075" w:type="dxa"/>
            <w:gridSpan w:val="9"/>
            <w:tcBorders>
              <w:top w:val="nil"/>
              <w:left w:val="nil"/>
              <w:bottom w:val="nil"/>
              <w:right w:val="nil"/>
            </w:tcBorders>
          </w:tcPr>
          <w:p>
            <w:pPr>
              <w:pStyle w:val="yTableNAm"/>
              <w:spacing w:before="0"/>
              <w:rPr>
                <w:sz w:val="16"/>
              </w:rPr>
            </w:pPr>
          </w:p>
        </w:tc>
      </w:tr>
      <w:tr>
        <w:trPr>
          <w:gridBefore w:val="1"/>
          <w:wBefore w:w="10" w:type="dxa"/>
          <w:cantSplit/>
          <w:trHeight w:val="1125"/>
        </w:trPr>
        <w:tc>
          <w:tcPr>
            <w:tcW w:w="993"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9"/>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gridBefore w:val="1"/>
          <w:wBefore w:w="10" w:type="dxa"/>
          <w:cantSplit/>
          <w:trHeight w:hRule="exact" w:val="80"/>
        </w:trPr>
        <w:tc>
          <w:tcPr>
            <w:tcW w:w="7068" w:type="dxa"/>
            <w:gridSpan w:val="11"/>
            <w:tcBorders>
              <w:top w:val="nil"/>
              <w:left w:val="nil"/>
              <w:bottom w:val="nil"/>
              <w:right w:val="nil"/>
            </w:tcBorders>
          </w:tcPr>
          <w:p>
            <w:pPr>
              <w:pStyle w:val="yTableNAm"/>
              <w:spacing w:before="0"/>
              <w:rPr>
                <w:sz w:val="16"/>
              </w:rPr>
            </w:pPr>
          </w:p>
        </w:tc>
      </w:tr>
      <w:tr>
        <w:trPr>
          <w:gridBefore w:val="1"/>
          <w:wBefore w:w="10" w:type="dxa"/>
          <w:cantSplit/>
          <w:trHeight w:hRule="exact" w:val="227"/>
        </w:trPr>
        <w:tc>
          <w:tcPr>
            <w:tcW w:w="1001" w:type="dxa"/>
            <w:gridSpan w:val="3"/>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3"/>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gridSpan w:val="2"/>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gridBefore w:val="1"/>
          <w:wBefore w:w="10" w:type="dxa"/>
          <w:cantSplit/>
          <w:trHeight w:hRule="exact" w:val="340"/>
        </w:trPr>
        <w:tc>
          <w:tcPr>
            <w:tcW w:w="1001" w:type="dxa"/>
            <w:gridSpan w:val="3"/>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8"/>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item, a firearms authorisation, explosives or an explosives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22; SL 2022/188 r. 4(9).]</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keepNext/>
      </w:pPr>
      <w:r>
        <w:tab/>
        <w:t>[Form 18 inserted: Gazette 20 Jun 2017 p. 3055.]</w:t>
      </w:r>
    </w:p>
    <w:p>
      <w:pPr>
        <w:pStyle w:val="yFootnotesection"/>
        <w:keepLines w:val="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757" w:name="_Toc155094055"/>
      <w:bookmarkStart w:id="758" w:name="_Toc119485372"/>
      <w:bookmarkStart w:id="759" w:name="_Toc119493446"/>
      <w:bookmarkStart w:id="760" w:name="_Toc119493694"/>
      <w:bookmarkStart w:id="761" w:name="_Toc119493942"/>
      <w:bookmarkStart w:id="762" w:name="_Toc119573649"/>
      <w:r>
        <w:t>Notes</w:t>
      </w:r>
      <w:bookmarkEnd w:id="757"/>
      <w:bookmarkEnd w:id="758"/>
      <w:bookmarkEnd w:id="759"/>
      <w:bookmarkEnd w:id="760"/>
      <w:bookmarkEnd w:id="761"/>
      <w:bookmarkEnd w:id="762"/>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p>
    <w:p>
      <w:pPr>
        <w:pStyle w:val="nHeading3"/>
      </w:pPr>
      <w:bookmarkStart w:id="763" w:name="_Toc155094056"/>
      <w:bookmarkStart w:id="764" w:name="_Toc119573650"/>
      <w:r>
        <w:t>Compilation table</w:t>
      </w:r>
      <w:bookmarkEnd w:id="763"/>
      <w:bookmarkEnd w:id="76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nil"/>
            </w:tcBorders>
          </w:tcPr>
          <w:p>
            <w:pPr>
              <w:pStyle w:val="nTable"/>
              <w:spacing w:after="40"/>
              <w:rPr>
                <w:i/>
              </w:rPr>
            </w:pPr>
            <w:r>
              <w:rPr>
                <w:i/>
              </w:rPr>
              <w:t>Magistrates Court (Civil Proceedings) Amendment Rules (No. 3) 2020</w:t>
            </w:r>
          </w:p>
        </w:tc>
        <w:tc>
          <w:tcPr>
            <w:tcW w:w="1276" w:type="dxa"/>
            <w:tcBorders>
              <w:top w:val="nil"/>
              <w:bottom w:val="nil"/>
            </w:tcBorders>
          </w:tcPr>
          <w:p>
            <w:pPr>
              <w:pStyle w:val="nTable"/>
              <w:spacing w:after="40"/>
            </w:pPr>
            <w:r>
              <w:t>SL 2020/141 28 Aug 2020</w:t>
            </w:r>
          </w:p>
        </w:tc>
        <w:tc>
          <w:tcPr>
            <w:tcW w:w="2693" w:type="dxa"/>
            <w:tcBorders>
              <w:top w:val="nil"/>
              <w:bottom w:val="nil"/>
            </w:tcBorders>
          </w:tcPr>
          <w:p>
            <w:pPr>
              <w:pStyle w:val="nTable"/>
              <w:spacing w:after="40"/>
            </w:pPr>
            <w:r>
              <w:t>r. 1 and 2: 28 Aug 2020 (see r. 2(a));</w:t>
            </w:r>
            <w:r>
              <w:br/>
              <w:t>Rules other than r. 1 and 2: 29 Aug 2020 (see r. 2(b))</w:t>
            </w:r>
          </w:p>
        </w:tc>
      </w:tr>
      <w:tr>
        <w:trPr>
          <w:cantSplit/>
        </w:trPr>
        <w:tc>
          <w:tcPr>
            <w:tcW w:w="3118" w:type="dxa"/>
            <w:tcBorders>
              <w:top w:val="nil"/>
              <w:bottom w:val="nil"/>
            </w:tcBorders>
          </w:tcPr>
          <w:p>
            <w:pPr>
              <w:pStyle w:val="nTable"/>
              <w:spacing w:after="40"/>
            </w:pPr>
            <w:r>
              <w:rPr>
                <w:i/>
              </w:rPr>
              <w:t>Magistrates Court Rules Amendment Rules 2021</w:t>
            </w:r>
            <w:r>
              <w:t xml:space="preserve"> Pt. 2</w:t>
            </w:r>
          </w:p>
        </w:tc>
        <w:tc>
          <w:tcPr>
            <w:tcW w:w="1276" w:type="dxa"/>
            <w:tcBorders>
              <w:top w:val="nil"/>
              <w:bottom w:val="nil"/>
            </w:tcBorders>
          </w:tcPr>
          <w:p>
            <w:pPr>
              <w:pStyle w:val="nTable"/>
              <w:spacing w:after="40"/>
            </w:pPr>
            <w:r>
              <w:t>SL 2021/25 26 Feb 2021</w:t>
            </w:r>
          </w:p>
        </w:tc>
        <w:tc>
          <w:tcPr>
            <w:tcW w:w="2693" w:type="dxa"/>
            <w:tcBorders>
              <w:top w:val="nil"/>
              <w:bottom w:val="nil"/>
            </w:tcBorders>
          </w:tcPr>
          <w:p>
            <w:pPr>
              <w:pStyle w:val="nTable"/>
              <w:spacing w:after="40"/>
            </w:pPr>
            <w:r>
              <w:t>27 Feb 2021 (see r. 2(b))</w:t>
            </w:r>
          </w:p>
        </w:tc>
      </w:tr>
      <w:tr>
        <w:trPr>
          <w:cantSplit/>
        </w:trPr>
        <w:tc>
          <w:tcPr>
            <w:tcW w:w="3118" w:type="dxa"/>
            <w:tcBorders>
              <w:top w:val="nil"/>
              <w:bottom w:val="nil"/>
            </w:tcBorders>
          </w:tcPr>
          <w:p>
            <w:pPr>
              <w:pStyle w:val="nTable"/>
              <w:spacing w:after="40"/>
              <w:rPr>
                <w:i/>
              </w:rPr>
            </w:pPr>
            <w:r>
              <w:rPr>
                <w:i/>
              </w:rPr>
              <w:t>Magistrates Court (Civil Proceedings) Amendment Rules (No. 3) 2021</w:t>
            </w:r>
          </w:p>
        </w:tc>
        <w:tc>
          <w:tcPr>
            <w:tcW w:w="1276" w:type="dxa"/>
            <w:tcBorders>
              <w:top w:val="nil"/>
              <w:bottom w:val="nil"/>
            </w:tcBorders>
          </w:tcPr>
          <w:p>
            <w:pPr>
              <w:pStyle w:val="nTable"/>
              <w:spacing w:after="40"/>
            </w:pPr>
            <w:r>
              <w:t>SL 2021/45 23 Apr 2021</w:t>
            </w:r>
          </w:p>
        </w:tc>
        <w:tc>
          <w:tcPr>
            <w:tcW w:w="2693" w:type="dxa"/>
            <w:tcBorders>
              <w:top w:val="nil"/>
              <w:bottom w:val="nil"/>
            </w:tcBorders>
          </w:tcPr>
          <w:p>
            <w:pPr>
              <w:pStyle w:val="nTable"/>
              <w:spacing w:after="40"/>
            </w:pPr>
            <w:r>
              <w:t>r. 1 and 2: 23 Apr 2021 (see r. 2(a));</w:t>
            </w:r>
            <w:r>
              <w:br/>
              <w:t>Rules other than r. 1 and 2: 24 Apr 2021 (see r. 2(b))</w:t>
            </w:r>
          </w:p>
        </w:tc>
      </w:tr>
      <w:tr>
        <w:trPr>
          <w:cantSplit/>
        </w:trPr>
        <w:tc>
          <w:tcPr>
            <w:tcW w:w="3118" w:type="dxa"/>
            <w:tcBorders>
              <w:top w:val="nil"/>
              <w:bottom w:val="nil"/>
            </w:tcBorders>
          </w:tcPr>
          <w:p>
            <w:pPr>
              <w:pStyle w:val="nTable"/>
              <w:spacing w:after="40"/>
            </w:pPr>
            <w:r>
              <w:rPr>
                <w:i/>
              </w:rPr>
              <w:t>Magistrates Court Rules Amendment Rules (No. 2) 2021</w:t>
            </w:r>
            <w:r>
              <w:t xml:space="preserve"> Pt. 2</w:t>
            </w:r>
          </w:p>
        </w:tc>
        <w:tc>
          <w:tcPr>
            <w:tcW w:w="1276" w:type="dxa"/>
            <w:tcBorders>
              <w:top w:val="nil"/>
              <w:bottom w:val="nil"/>
            </w:tcBorders>
          </w:tcPr>
          <w:p>
            <w:pPr>
              <w:pStyle w:val="nTable"/>
              <w:spacing w:after="40"/>
            </w:pPr>
            <w:r>
              <w:t>SL 2021/133 23 Jul 2021</w:t>
            </w:r>
          </w:p>
        </w:tc>
        <w:tc>
          <w:tcPr>
            <w:tcW w:w="2693" w:type="dxa"/>
            <w:tcBorders>
              <w:top w:val="nil"/>
              <w:bottom w:val="nil"/>
            </w:tcBorders>
          </w:tcPr>
          <w:p>
            <w:pPr>
              <w:pStyle w:val="nTable"/>
              <w:spacing w:after="40"/>
            </w:pPr>
            <w:r>
              <w:rPr>
                <w:snapToGrid w:val="0"/>
              </w:rPr>
              <w:t>24 Jul 2021 (see r. 2(b))</w:t>
            </w:r>
          </w:p>
        </w:tc>
      </w:tr>
      <w:tr>
        <w:trPr>
          <w:cantSplit/>
        </w:trPr>
        <w:tc>
          <w:tcPr>
            <w:tcW w:w="3118" w:type="dxa"/>
            <w:tcBorders>
              <w:top w:val="nil"/>
              <w:bottom w:val="nil"/>
            </w:tcBorders>
          </w:tcPr>
          <w:p>
            <w:pPr>
              <w:pStyle w:val="nTable"/>
              <w:spacing w:after="40"/>
              <w:rPr>
                <w:i/>
              </w:rPr>
            </w:pPr>
            <w:r>
              <w:rPr>
                <w:i/>
              </w:rPr>
              <w:t>Magistrates Court (Civil Proceedings) Amendment Rules 2022</w:t>
            </w:r>
          </w:p>
        </w:tc>
        <w:tc>
          <w:tcPr>
            <w:tcW w:w="1276" w:type="dxa"/>
            <w:tcBorders>
              <w:top w:val="nil"/>
              <w:bottom w:val="nil"/>
            </w:tcBorders>
          </w:tcPr>
          <w:p>
            <w:pPr>
              <w:pStyle w:val="nTable"/>
              <w:spacing w:after="40"/>
            </w:pPr>
            <w:r>
              <w:t>SL 2022/15 25 Feb 2022</w:t>
            </w:r>
          </w:p>
        </w:tc>
        <w:tc>
          <w:tcPr>
            <w:tcW w:w="2693" w:type="dxa"/>
            <w:tcBorders>
              <w:top w:val="nil"/>
              <w:bottom w:val="nil"/>
            </w:tcBorders>
          </w:tcPr>
          <w:p>
            <w:pPr>
              <w:pStyle w:val="nTable"/>
              <w:spacing w:after="40"/>
              <w:rPr>
                <w:snapToGrid w:val="0"/>
              </w:rPr>
            </w:pPr>
            <w:r>
              <w:rPr>
                <w:snapToGrid w:val="0"/>
              </w:rPr>
              <w:t>r. 1 and 2: 25 Feb 2022 (see r. 2(a));</w:t>
            </w:r>
            <w:r>
              <w:rPr>
                <w:snapToGrid w:val="0"/>
              </w:rPr>
              <w:br/>
              <w:t>Rules other than r. 1 and 2: 26 Feb 2022 (see r. 2(b))</w:t>
            </w:r>
          </w:p>
        </w:tc>
      </w:tr>
      <w:tr>
        <w:trPr>
          <w:cantSplit/>
        </w:trPr>
        <w:tc>
          <w:tcPr>
            <w:tcW w:w="3118" w:type="dxa"/>
            <w:tcBorders>
              <w:top w:val="nil"/>
              <w:bottom w:val="nil"/>
            </w:tcBorders>
          </w:tcPr>
          <w:p>
            <w:pPr>
              <w:pStyle w:val="nTable"/>
              <w:spacing w:after="40"/>
            </w:pPr>
            <w:r>
              <w:rPr>
                <w:i/>
              </w:rPr>
              <w:t>Magistrates Court Rules Amendment Rules 2022</w:t>
            </w:r>
            <w:r>
              <w:t xml:space="preserve"> Pt. 2</w:t>
            </w:r>
          </w:p>
        </w:tc>
        <w:tc>
          <w:tcPr>
            <w:tcW w:w="1276" w:type="dxa"/>
            <w:tcBorders>
              <w:top w:val="nil"/>
              <w:bottom w:val="nil"/>
            </w:tcBorders>
          </w:tcPr>
          <w:p>
            <w:pPr>
              <w:pStyle w:val="nTable"/>
              <w:spacing w:after="40"/>
            </w:pPr>
            <w:r>
              <w:t>SL 2022/54 13 May 2022</w:t>
            </w:r>
          </w:p>
        </w:tc>
        <w:tc>
          <w:tcPr>
            <w:tcW w:w="2693" w:type="dxa"/>
            <w:tcBorders>
              <w:top w:val="nil"/>
              <w:bottom w:val="nil"/>
            </w:tcBorders>
          </w:tcPr>
          <w:p>
            <w:pPr>
              <w:pStyle w:val="nTable"/>
              <w:spacing w:after="40"/>
              <w:rPr>
                <w:snapToGrid w:val="0"/>
              </w:rPr>
            </w:pPr>
            <w:r>
              <w:rPr>
                <w:snapToGrid w:val="0"/>
              </w:rPr>
              <w:t>14 May 2022 (see r. 2(b))</w:t>
            </w:r>
          </w:p>
        </w:tc>
      </w:tr>
      <w:tr>
        <w:trPr>
          <w:cantSplit/>
        </w:trPr>
        <w:tc>
          <w:tcPr>
            <w:tcW w:w="3118" w:type="dxa"/>
            <w:tcBorders>
              <w:top w:val="nil"/>
              <w:bottom w:val="nil"/>
            </w:tcBorders>
          </w:tcPr>
          <w:p>
            <w:pPr>
              <w:pStyle w:val="nTable"/>
              <w:spacing w:after="40"/>
              <w:rPr>
                <w:i/>
              </w:rPr>
            </w:pPr>
            <w:r>
              <w:rPr>
                <w:i/>
              </w:rPr>
              <w:t>Magistrates Court Rules Amendment (Legal Profession) Rules 2022</w:t>
            </w:r>
            <w:r>
              <w:t xml:space="preserve"> Pt. 2</w:t>
            </w:r>
          </w:p>
        </w:tc>
        <w:tc>
          <w:tcPr>
            <w:tcW w:w="1276" w:type="dxa"/>
            <w:tcBorders>
              <w:top w:val="nil"/>
              <w:bottom w:val="nil"/>
            </w:tcBorders>
          </w:tcPr>
          <w:p>
            <w:pPr>
              <w:pStyle w:val="nTable"/>
              <w:spacing w:after="40"/>
            </w:pPr>
            <w:r>
              <w:t>SL 2022/106 24 Jun 2022</w:t>
            </w:r>
          </w:p>
        </w:tc>
        <w:tc>
          <w:tcPr>
            <w:tcW w:w="2693" w:type="dxa"/>
            <w:tcBorders>
              <w:top w:val="nil"/>
              <w:bottom w:val="nil"/>
            </w:tcBorders>
          </w:tcPr>
          <w:p>
            <w:pPr>
              <w:pStyle w:val="nTable"/>
              <w:spacing w:after="40"/>
              <w:rPr>
                <w:snapToGrid w:val="0"/>
              </w:rPr>
            </w:pPr>
            <w:r>
              <w:t>1 Jul 2022 (see r. 2(b) and SL 2022/113 cl. 2)</w:t>
            </w:r>
          </w:p>
        </w:tc>
      </w:tr>
      <w:tr>
        <w:trPr>
          <w:cantSplit/>
        </w:trPr>
        <w:tc>
          <w:tcPr>
            <w:tcW w:w="3118" w:type="dxa"/>
            <w:tcBorders>
              <w:top w:val="nil"/>
              <w:bottom w:val="nil"/>
            </w:tcBorders>
          </w:tcPr>
          <w:p>
            <w:pPr>
              <w:pStyle w:val="nTable"/>
              <w:spacing w:after="40"/>
              <w:rPr>
                <w:i/>
              </w:rPr>
            </w:pPr>
            <w:r>
              <w:rPr>
                <w:i/>
              </w:rPr>
              <w:t>Magistrates Court (Civil Proceedings) Amendment Rules (No. 2) 2022</w:t>
            </w:r>
          </w:p>
        </w:tc>
        <w:tc>
          <w:tcPr>
            <w:tcW w:w="1276" w:type="dxa"/>
            <w:tcBorders>
              <w:top w:val="nil"/>
              <w:bottom w:val="nil"/>
            </w:tcBorders>
          </w:tcPr>
          <w:p>
            <w:pPr>
              <w:pStyle w:val="nTable"/>
              <w:spacing w:after="40"/>
            </w:pPr>
            <w:r>
              <w:t>SL 2022/188 18 Nov 2022</w:t>
            </w:r>
          </w:p>
        </w:tc>
        <w:tc>
          <w:tcPr>
            <w:tcW w:w="2693" w:type="dxa"/>
            <w:tcBorders>
              <w:top w:val="nil"/>
              <w:bottom w:val="nil"/>
            </w:tcBorders>
          </w:tcPr>
          <w:p>
            <w:pPr>
              <w:pStyle w:val="nTable"/>
              <w:spacing w:after="40"/>
            </w:pPr>
            <w:r>
              <w:rPr>
                <w:snapToGrid w:val="0"/>
              </w:rPr>
              <w:t>r. 1 and 2: 18 Nov 2022 (see r. 2(a));</w:t>
            </w:r>
            <w:r>
              <w:rPr>
                <w:snapToGrid w:val="0"/>
              </w:rPr>
              <w:br/>
              <w:t>Rules other than r. 1 and 2: 19 Nov 2022 (see r. 2(b))</w:t>
            </w:r>
          </w:p>
        </w:tc>
      </w:tr>
    </w:tbl>
    <w:p>
      <w:pPr>
        <w:rPr>
          <w:del w:id="765" w:author="Master Repository Process" w:date="2024-01-02T13:18:00Z"/>
        </w:rPr>
      </w:pPr>
    </w:p>
    <w:p>
      <w:pPr>
        <w:rPr>
          <w:del w:id="766" w:author="Master Repository Process" w:date="2024-01-02T13:18:00Z"/>
        </w:rPr>
        <w:sectPr>
          <w:headerReference w:type="even" r:id="rId26"/>
          <w:headerReference w:type="default" r:id="rId27"/>
          <w:pgSz w:w="11907" w:h="16840" w:code="9"/>
          <w:pgMar w:top="2376" w:right="2404" w:bottom="3544" w:left="2404" w:header="720" w:footer="3380"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ins w:id="767" w:author="Master Repository Process" w:date="2024-01-02T13:18:00Z"/>
        </w:trPr>
        <w:tc>
          <w:tcPr>
            <w:tcW w:w="3118" w:type="dxa"/>
            <w:tcBorders>
              <w:top w:val="nil"/>
              <w:bottom w:val="single" w:sz="4" w:space="0" w:color="auto"/>
            </w:tcBorders>
          </w:tcPr>
          <w:p>
            <w:pPr>
              <w:pStyle w:val="nTable"/>
              <w:spacing w:after="40"/>
              <w:rPr>
                <w:ins w:id="768" w:author="Master Repository Process" w:date="2024-01-02T13:18:00Z"/>
              </w:rPr>
            </w:pPr>
            <w:ins w:id="769" w:author="Master Repository Process" w:date="2024-01-02T13:18:00Z">
              <w:r>
                <w:rPr>
                  <w:i/>
                </w:rPr>
                <w:t xml:space="preserve">Magistrates Court Rules Amendment Rules 2023 </w:t>
              </w:r>
              <w:r>
                <w:t>Pt. 2</w:t>
              </w:r>
            </w:ins>
          </w:p>
        </w:tc>
        <w:tc>
          <w:tcPr>
            <w:tcW w:w="1276" w:type="dxa"/>
            <w:tcBorders>
              <w:top w:val="nil"/>
              <w:bottom w:val="single" w:sz="4" w:space="0" w:color="auto"/>
            </w:tcBorders>
          </w:tcPr>
          <w:p>
            <w:pPr>
              <w:pStyle w:val="nTable"/>
              <w:spacing w:after="40"/>
              <w:rPr>
                <w:ins w:id="770" w:author="Master Repository Process" w:date="2024-01-02T13:18:00Z"/>
              </w:rPr>
            </w:pPr>
            <w:ins w:id="771" w:author="Master Repository Process" w:date="2024-01-02T13:18:00Z">
              <w:r>
                <w:t>SL 2023/148 20 Sep 2023</w:t>
              </w:r>
            </w:ins>
          </w:p>
        </w:tc>
        <w:tc>
          <w:tcPr>
            <w:tcW w:w="2693" w:type="dxa"/>
            <w:tcBorders>
              <w:top w:val="nil"/>
              <w:bottom w:val="single" w:sz="4" w:space="0" w:color="auto"/>
            </w:tcBorders>
          </w:tcPr>
          <w:p>
            <w:pPr>
              <w:pStyle w:val="nTable"/>
              <w:spacing w:after="40"/>
              <w:rPr>
                <w:ins w:id="772" w:author="Master Repository Process" w:date="2024-01-02T13:18:00Z"/>
                <w:snapToGrid w:val="0"/>
              </w:rPr>
            </w:pPr>
            <w:ins w:id="773" w:author="Master Repository Process" w:date="2024-01-02T13:18:00Z">
              <w:r>
                <w:t>21 Sep 2023 (see r. 2(b))</w:t>
              </w:r>
            </w:ins>
          </w:p>
        </w:tc>
      </w:tr>
    </w:tbl>
    <w:p>
      <w:pPr>
        <w:rPr>
          <w:ins w:id="774" w:author="Master Repository Process" w:date="2024-01-02T13:18:00Z"/>
        </w:rPr>
      </w:pPr>
    </w:p>
    <w:p>
      <w:pPr>
        <w:rPr>
          <w:ins w:id="775" w:author="Master Repository Process" w:date="2024-01-02T13:18:00Z"/>
        </w:rPr>
        <w:sectPr>
          <w:headerReference w:type="even" r:id="rId28"/>
          <w:headerReference w:type="default" r:id="rId29"/>
          <w:pgSz w:w="11907" w:h="16840" w:code="9"/>
          <w:pgMar w:top="2376" w:right="2404" w:bottom="3544" w:left="2404" w:header="720" w:footer="3544" w:gutter="0"/>
          <w:cols w:space="720"/>
          <w:noEndnote/>
          <w:docGrid w:linePitch="326"/>
        </w:sectPr>
      </w:pPr>
    </w:p>
    <w:p>
      <w:ins w:id="777" w:author="Master Repository Process" w:date="2024-01-02T13:1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78" w:author="Master Repository Process" w:date="2024-01-02T13:18:00Z"/>
                                  <w:sz w:val="16"/>
                                </w:rPr>
                              </w:pPr>
                              <w:ins w:id="779" w:author="Master Repository Process" w:date="2024-01-02T13:1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80" w:author="Master Repository Process" w:date="2024-01-02T13:18:00Z"/>
                                  <w:sz w:val="16"/>
                                </w:rPr>
                              </w:pPr>
                              <w:ins w:id="781" w:author="Master Repository Process" w:date="2024-01-02T13:1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82" w:author="Master Repository Process" w:date="2024-01-02T13:18:00Z"/>
                                  <w:sz w:val="16"/>
                                </w:rPr>
                              </w:pPr>
                              <w:ins w:id="783" w:author="Master Repository Process" w:date="2024-01-02T13:1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84" w:author="Master Repository Process" w:date="2024-01-02T13:18:00Z"/>
                                  <w:rFonts w:ascii="Arial" w:hAnsi="Arial" w:cs="Arial"/>
                                  <w:sz w:val="12"/>
                                </w:rPr>
                              </w:pPr>
                              <w:ins w:id="785" w:author="Master Repository Process" w:date="2024-01-02T13:1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786" w:author="Master Repository Process" w:date="2024-01-02T13:18:00Z"/>
                            <w:sz w:val="16"/>
                          </w:rPr>
                        </w:pPr>
                        <w:ins w:id="787" w:author="Master Repository Process" w:date="2024-01-02T13:1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88" w:author="Master Repository Process" w:date="2024-01-02T13:18:00Z"/>
                            <w:sz w:val="16"/>
                          </w:rPr>
                        </w:pPr>
                        <w:ins w:id="789" w:author="Master Repository Process" w:date="2024-01-02T13:1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90" w:author="Master Repository Process" w:date="2024-01-02T13:18:00Z"/>
                            <w:sz w:val="16"/>
                          </w:rPr>
                        </w:pPr>
                        <w:ins w:id="791" w:author="Master Repository Process" w:date="2024-01-02T13:1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92" w:author="Master Repository Process" w:date="2024-01-02T13:18:00Z"/>
                            <w:rFonts w:ascii="Arial" w:hAnsi="Arial" w:cs="Arial"/>
                            <w:sz w:val="12"/>
                          </w:rPr>
                        </w:pPr>
                        <w:ins w:id="793" w:author="Master Repository Process" w:date="2024-01-02T13:18: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03-w0-01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76" w:name="Compilation"/>
    <w:bookmarkEnd w:id="77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4" w:name="Coversheet"/>
    <w:bookmarkEnd w:id="7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707" w:name="Schedule"/>
    <w:bookmarkEnd w:id="7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3910"/>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 w:name="WAFER_2021042209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2093436_GUID" w:val="8cad261a-a18f-4d00-bca8-78fa258da9c1"/>
    <w:docVar w:name="WAFER_20210720112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24_GUID" w:val="de55d34c-94b9-4710-81bb-e36d66592275"/>
    <w:docVar w:name="WAFER_2022022115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1153534_GUID" w:val="f0a002f5-c5f7-4ea8-b378-540f0bc954cb"/>
    <w:docVar w:name="WAFER_20220509115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15840_GUID" w:val="7ab65f78-ed2d-410e-90cf-5228f67bd6d0"/>
    <w:docVar w:name="WAFER_20220509120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0050_GUID" w:val="c32e88f1-1704-4cda-9509-0b6850dfda69"/>
    <w:docVar w:name="WAFER_202205091209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09120915_GUID" w:val="651fb4d6-e3da-4e07-8cf7-4c262e4d78b5"/>
    <w:docVar w:name="WAFER_20220621151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647_GUID" w:val="4ad7a1e6-f67d-49a8-93e1-5a2b81ba3dae"/>
    <w:docVar w:name="WAFER_202206281344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413_GUID" w:val="329f6216-9234-4f67-bc03-0e70536af892"/>
    <w:docVar w:name="WAFER_202211160956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95653_GUID" w:val="2966b608-f673-4da4-9eb7-3db33dd11c85"/>
    <w:docVar w:name="WAFER_202309191005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19100518_GUID" w:val="92293318-8038-4bf2-b29a-467deb80b72c"/>
    <w:docVar w:name="WAFER_20231229093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3910_GUID" w:val="d20c8b8d-5449-40fd-a120-795f0c87b3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4D1B96-78CA-4050-A765-891E1A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07706">
      <w:bodyDiv w:val="1"/>
      <w:marLeft w:val="0"/>
      <w:marRight w:val="0"/>
      <w:marTop w:val="0"/>
      <w:marBottom w:val="0"/>
      <w:divBdr>
        <w:top w:val="none" w:sz="0" w:space="0" w:color="auto"/>
        <w:left w:val="none" w:sz="0" w:space="0" w:color="auto"/>
        <w:bottom w:val="none" w:sz="0" w:space="0" w:color="auto"/>
        <w:right w:val="none" w:sz="0" w:space="0" w:color="auto"/>
      </w:divBdr>
    </w:div>
    <w:div w:id="838428606">
      <w:bodyDiv w:val="1"/>
      <w:marLeft w:val="0"/>
      <w:marRight w:val="0"/>
      <w:marTop w:val="0"/>
      <w:marBottom w:val="0"/>
      <w:divBdr>
        <w:top w:val="none" w:sz="0" w:space="0" w:color="auto"/>
        <w:left w:val="none" w:sz="0" w:space="0" w:color="auto"/>
        <w:bottom w:val="none" w:sz="0" w:space="0" w:color="auto"/>
        <w:right w:val="none" w:sz="0" w:space="0" w:color="auto"/>
      </w:divBdr>
    </w:div>
    <w:div w:id="12078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2ABF-1095-4324-9A51-E5F20798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47174</Words>
  <Characters>216533</Characters>
  <Application>Microsoft Office Word</Application>
  <DocSecurity>0</DocSecurity>
  <Lines>7217</Lines>
  <Paragraphs>4469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03-v0-00 - 03-w0-01</dc:title>
  <dc:subject/>
  <dc:creator/>
  <cp:keywords/>
  <dc:description/>
  <cp:lastModifiedBy>Master Repository Process</cp:lastModifiedBy>
  <cp:revision>2</cp:revision>
  <cp:lastPrinted>2017-06-28T06:27:00Z</cp:lastPrinted>
  <dcterms:created xsi:type="dcterms:W3CDTF">2024-01-02T05:18:00Z</dcterms:created>
  <dcterms:modified xsi:type="dcterms:W3CDTF">2024-01-02T05:18:00Z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20230921</vt:lpwstr>
  </property>
  <property fmtid="{D5CDD505-2E9C-101B-9397-08002B2CF9AE}" pid="9" name="CommencementAsAt">
    <vt:filetime>2023-09-20T16:00:00Z</vt:filetime>
  </property>
  <property fmtid="{D5CDD505-2E9C-101B-9397-08002B2CF9AE}" pid="10" name="CommencementYear">
    <vt:lpwstr>2023</vt:lpwstr>
  </property>
  <property fmtid="{D5CDD505-2E9C-101B-9397-08002B2CF9AE}" pid="11" name="FromSuffix">
    <vt:lpwstr>03-v0-00</vt:lpwstr>
  </property>
  <property fmtid="{D5CDD505-2E9C-101B-9397-08002B2CF9AE}" pid="12" name="FromAsAtDate">
    <vt:lpwstr>19 Nov 2022</vt:lpwstr>
  </property>
  <property fmtid="{D5CDD505-2E9C-101B-9397-08002B2CF9AE}" pid="13" name="ToSuffix">
    <vt:lpwstr>03-w0-01</vt:lpwstr>
  </property>
  <property fmtid="{D5CDD505-2E9C-101B-9397-08002B2CF9AE}" pid="14" name="ToAsAtDate">
    <vt:lpwstr>21 Sep 2023</vt:lpwstr>
  </property>
</Properties>
</file>