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2022</w:t>
      </w:r>
      <w:r>
        <w:fldChar w:fldCharType="end"/>
      </w:r>
      <w:r>
        <w:t xml:space="preserve">, </w:t>
      </w:r>
      <w:r>
        <w:fldChar w:fldCharType="begin"/>
      </w:r>
      <w:r>
        <w:instrText xml:space="preserve"> DocProperty FromSuffix </w:instrText>
      </w:r>
      <w:r>
        <w:fldChar w:fldCharType="separate"/>
      </w:r>
      <w:r>
        <w:t>03-o0-01</w:t>
      </w:r>
      <w:r>
        <w:fldChar w:fldCharType="end"/>
      </w:r>
      <w:r>
        <w:t>] and [</w:t>
      </w:r>
      <w:r>
        <w:fldChar w:fldCharType="begin"/>
      </w:r>
      <w:r>
        <w:instrText xml:space="preserve"> DocProperty ToAsAtDate</w:instrText>
      </w:r>
      <w:r>
        <w:fldChar w:fldCharType="separate"/>
      </w:r>
      <w:r>
        <w:t>21 Sep 2023</w:t>
      </w:r>
      <w:r>
        <w:fldChar w:fldCharType="end"/>
      </w:r>
      <w:r>
        <w:t xml:space="preserve">, </w:t>
      </w:r>
      <w:r>
        <w:fldChar w:fldCharType="begin"/>
      </w:r>
      <w:r>
        <w:instrText xml:space="preserve"> DocProperty ToSuffix</w:instrText>
      </w:r>
      <w:r>
        <w:fldChar w:fldCharType="separate"/>
      </w:r>
      <w:r>
        <w:t>03-p0-01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Magistrates Court Act 2004</w:t>
      </w:r>
    </w:p>
    <w:p>
      <w:pPr>
        <w:pStyle w:val="NameofActReg"/>
        <w:spacing w:before="720"/>
      </w:pPr>
      <w:r>
        <w:t>Magistrates Court (General) Rules 2005</w:t>
      </w:r>
    </w:p>
    <w:p>
      <w:pPr>
        <w:pStyle w:val="Heading2"/>
        <w:pageBreakBefore w:val="0"/>
        <w:spacing w:before="240"/>
      </w:pPr>
      <w:bookmarkStart w:id="1" w:name="_Toc155094122"/>
      <w:bookmarkStart w:id="2" w:name="_Toc118114478"/>
      <w:bookmarkStart w:id="3" w:name="_Toc118119249"/>
      <w:bookmarkStart w:id="4" w:name="_Toc118124448"/>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spacing w:before="240"/>
      </w:pPr>
      <w:bookmarkStart w:id="6" w:name="_Toc155094123"/>
      <w:bookmarkStart w:id="7" w:name="_Toc118124449"/>
      <w:r>
        <w:rPr>
          <w:rStyle w:val="CharSectno"/>
        </w:rPr>
        <w:t>1</w:t>
      </w:r>
      <w:r>
        <w:t>.</w:t>
      </w:r>
      <w:r>
        <w:tab/>
        <w:t>Citation</w:t>
      </w:r>
      <w:bookmarkEnd w:id="6"/>
      <w:bookmarkEnd w:id="7"/>
    </w:p>
    <w:p>
      <w:pPr>
        <w:pStyle w:val="Subsection"/>
      </w:pPr>
      <w:r>
        <w:tab/>
      </w:r>
      <w:r>
        <w:tab/>
      </w:r>
      <w:r>
        <w:rPr>
          <w:spacing w:val="-2"/>
        </w:rPr>
        <w:t>These</w:t>
      </w:r>
      <w:r>
        <w:t xml:space="preserve"> </w:t>
      </w:r>
      <w:r>
        <w:rPr>
          <w:spacing w:val="-2"/>
        </w:rPr>
        <w:t>rules</w:t>
      </w:r>
      <w:r>
        <w:t xml:space="preserve"> are the </w:t>
      </w:r>
      <w:r>
        <w:rPr>
          <w:i/>
        </w:rPr>
        <w:t>Magistrates Court (General) Rules 2005</w:t>
      </w:r>
      <w:r>
        <w:t>.</w:t>
      </w:r>
    </w:p>
    <w:p>
      <w:pPr>
        <w:pStyle w:val="Heading5"/>
        <w:rPr>
          <w:spacing w:val="-2"/>
        </w:rPr>
      </w:pPr>
      <w:bookmarkStart w:id="8" w:name="_Toc155094124"/>
      <w:bookmarkStart w:id="9" w:name="_Toc118124450"/>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pPr>
        <w:pStyle w:val="Heading5"/>
      </w:pPr>
      <w:bookmarkStart w:id="10" w:name="_Toc155094125"/>
      <w:bookmarkStart w:id="11" w:name="_Toc118124451"/>
      <w:r>
        <w:rPr>
          <w:rStyle w:val="CharSectno"/>
        </w:rPr>
        <w:t>3</w:t>
      </w:r>
      <w:r>
        <w:t>.</w:t>
      </w:r>
      <w:r>
        <w:tab/>
        <w:t>Terms used</w:t>
      </w:r>
      <w:bookmarkEnd w:id="10"/>
      <w:bookmarkEnd w:id="11"/>
    </w:p>
    <w:p>
      <w:pPr>
        <w:pStyle w:val="Subsection"/>
      </w:pPr>
      <w:r>
        <w:tab/>
      </w:r>
      <w:r>
        <w:tab/>
        <w:t>In these rules, unless the contrary intention appears —</w:t>
      </w:r>
    </w:p>
    <w:p>
      <w:pPr>
        <w:pStyle w:val="Defstart"/>
      </w:pPr>
      <w:r>
        <w:rPr>
          <w:b/>
        </w:rPr>
        <w:tab/>
      </w:r>
      <w:r>
        <w:rPr>
          <w:rStyle w:val="CharDefText"/>
        </w:rPr>
        <w:t>Act</w:t>
      </w:r>
      <w:r>
        <w:t xml:space="preserve"> means the </w:t>
      </w:r>
      <w:r>
        <w:rPr>
          <w:i/>
        </w:rPr>
        <w:t>Magistrates Court Act 2004</w:t>
      </w:r>
      <w:r>
        <w:t>;</w:t>
      </w:r>
    </w:p>
    <w:p>
      <w:pPr>
        <w:pStyle w:val="Defstart"/>
      </w:pPr>
      <w:r>
        <w:rPr>
          <w:b/>
        </w:rPr>
        <w:tab/>
      </w:r>
      <w:r>
        <w:rPr>
          <w:rStyle w:val="CharDefText"/>
        </w:rPr>
        <w:t>approved form</w:t>
      </w:r>
      <w:r>
        <w:t xml:space="preserve"> means a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ECMS exempt</w:t>
      </w:r>
      <w:r>
        <w:t xml:space="preserve">, in relation to a document, has the meaning given in the </w:t>
      </w:r>
      <w:r>
        <w:rPr>
          <w:i/>
        </w:rPr>
        <w:t>Magistrates Court (Civil Proceedings) Rules 2005</w:t>
      </w:r>
      <w:r>
        <w:t xml:space="preserve"> rule 96;</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r>
        <w:rPr>
          <w:i/>
          <w:iCs/>
        </w:rPr>
        <w:t>Magistrates Court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Defstart"/>
      </w:pPr>
      <w:r>
        <w:tab/>
      </w:r>
      <w:r>
        <w:rPr>
          <w:rStyle w:val="CharDefText"/>
        </w:rPr>
        <w:t>working day</w:t>
      </w:r>
      <w:r>
        <w:t xml:space="preserve"> means a day other than a Saturday, a Sunday, or a public holiday.</w:t>
      </w:r>
    </w:p>
    <w:p>
      <w:pPr>
        <w:pStyle w:val="Footnotesection"/>
      </w:pPr>
      <w:r>
        <w:tab/>
        <w:t>[Rule 3 amended: Gazette 23 Nov 2007 p. 5862; 15 Aug 2014 p. 2938; 31 Dec 2019 p. 4674-5; SL 2021/25 r. 15.]</w:t>
      </w:r>
    </w:p>
    <w:p>
      <w:pPr>
        <w:pStyle w:val="Heading2"/>
      </w:pPr>
      <w:bookmarkStart w:id="12" w:name="_Toc155094126"/>
      <w:bookmarkStart w:id="13" w:name="_Toc118114482"/>
      <w:bookmarkStart w:id="14" w:name="_Toc118119253"/>
      <w:bookmarkStart w:id="15" w:name="_Toc118124452"/>
      <w:r>
        <w:rPr>
          <w:rStyle w:val="CharPartNo"/>
        </w:rPr>
        <w:t>Part 2</w:t>
      </w:r>
      <w:r>
        <w:t> — </w:t>
      </w:r>
      <w:r>
        <w:rPr>
          <w:rStyle w:val="CharPartText"/>
        </w:rPr>
        <w:t>Administrative matters</w:t>
      </w:r>
      <w:bookmarkEnd w:id="12"/>
      <w:bookmarkEnd w:id="13"/>
      <w:bookmarkEnd w:id="14"/>
      <w:bookmarkEnd w:id="15"/>
    </w:p>
    <w:p>
      <w:pPr>
        <w:pStyle w:val="Heading3"/>
      </w:pPr>
      <w:bookmarkStart w:id="16" w:name="_Toc155094127"/>
      <w:bookmarkStart w:id="17" w:name="_Toc118114483"/>
      <w:bookmarkStart w:id="18" w:name="_Toc118119254"/>
      <w:bookmarkStart w:id="19" w:name="_Toc118124453"/>
      <w:r>
        <w:rPr>
          <w:rStyle w:val="CharDivNo"/>
        </w:rPr>
        <w:t>Division 1</w:t>
      </w:r>
      <w:r>
        <w:t> — </w:t>
      </w:r>
      <w:r>
        <w:rPr>
          <w:rStyle w:val="CharDivText"/>
        </w:rPr>
        <w:t>Court seals</w:t>
      </w:r>
      <w:bookmarkEnd w:id="16"/>
      <w:bookmarkEnd w:id="17"/>
      <w:bookmarkEnd w:id="18"/>
      <w:bookmarkEnd w:id="19"/>
    </w:p>
    <w:p>
      <w:pPr>
        <w:pStyle w:val="Heading5"/>
        <w:spacing w:before="180"/>
      </w:pPr>
      <w:bookmarkStart w:id="20" w:name="_Toc155094128"/>
      <w:bookmarkStart w:id="21" w:name="_Toc118124454"/>
      <w:r>
        <w:rPr>
          <w:rStyle w:val="CharSectno"/>
        </w:rPr>
        <w:t>4</w:t>
      </w:r>
      <w:r>
        <w:t>.</w:t>
      </w:r>
      <w:r>
        <w:tab/>
        <w:t>Form and number of court seals</w:t>
      </w:r>
      <w:bookmarkEnd w:id="20"/>
      <w:bookmarkEnd w:id="21"/>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22" w:name="_Toc155094129"/>
      <w:bookmarkStart w:id="23" w:name="_Toc118124455"/>
      <w:r>
        <w:rPr>
          <w:rStyle w:val="CharSectno"/>
        </w:rPr>
        <w:t>5</w:t>
      </w:r>
      <w:r>
        <w:t>.</w:t>
      </w:r>
      <w:r>
        <w:tab/>
        <w:t>Custody of court seals</w:t>
      </w:r>
      <w:bookmarkEnd w:id="22"/>
      <w:bookmarkEnd w:id="23"/>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24" w:name="_Toc155094130"/>
      <w:bookmarkStart w:id="25" w:name="_Toc118124456"/>
      <w:r>
        <w:rPr>
          <w:rStyle w:val="CharSectno"/>
        </w:rPr>
        <w:t>6</w:t>
      </w:r>
      <w:r>
        <w:t>.</w:t>
      </w:r>
      <w:r>
        <w:tab/>
        <w:t>Use of court seals</w:t>
      </w:r>
      <w:bookmarkEnd w:id="24"/>
      <w:bookmarkEnd w:id="25"/>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26" w:name="_Toc155094131"/>
      <w:bookmarkStart w:id="27" w:name="_Toc118124457"/>
      <w:r>
        <w:rPr>
          <w:rStyle w:val="CharSectno"/>
        </w:rPr>
        <w:t>7</w:t>
      </w:r>
      <w:r>
        <w:t>.</w:t>
      </w:r>
      <w:r>
        <w:tab/>
        <w:t>Applying court seal electronically</w:t>
      </w:r>
      <w:bookmarkEnd w:id="26"/>
      <w:bookmarkEnd w:id="27"/>
    </w:p>
    <w:p>
      <w:pPr>
        <w:pStyle w:val="Subsection"/>
      </w:pPr>
      <w:r>
        <w:tab/>
      </w:r>
      <w:r>
        <w:tab/>
        <w:t xml:space="preserve">For the purposes of the </w:t>
      </w:r>
      <w:r>
        <w:rPr>
          <w:i/>
        </w:rPr>
        <w:t>Courts and Tribunals (Electronic Processes Facilitation) Act 2013</w:t>
      </w:r>
      <w:r>
        <w:t xml:space="preserve"> section 10, a document that is required to be sealed by the Court is authenticated if — </w:t>
      </w:r>
    </w:p>
    <w:p>
      <w:pPr>
        <w:pStyle w:val="Indenta"/>
      </w:pPr>
      <w:r>
        <w:tab/>
        <w:t>(a)</w:t>
      </w:r>
      <w:r>
        <w:tab/>
        <w:t>the Court issues the document in an electronic form; and</w:t>
      </w:r>
    </w:p>
    <w:p>
      <w:pPr>
        <w:pStyle w:val="Indenta"/>
      </w:pPr>
      <w:r>
        <w:tab/>
        <w:t>(b)</w:t>
      </w:r>
      <w:r>
        <w:tab/>
        <w:t>the electronic document bears a facsimile of the Court’s seal.</w:t>
      </w:r>
    </w:p>
    <w:p>
      <w:pPr>
        <w:pStyle w:val="Footnotesection"/>
      </w:pPr>
      <w:r>
        <w:tab/>
        <w:t>[Rule 7 inserted: Gazette 15 Aug 2014 p. 2938.]</w:t>
      </w:r>
    </w:p>
    <w:p>
      <w:pPr>
        <w:pStyle w:val="Heading3"/>
      </w:pPr>
      <w:bookmarkStart w:id="28" w:name="_Toc155094132"/>
      <w:bookmarkStart w:id="29" w:name="_Toc118114488"/>
      <w:bookmarkStart w:id="30" w:name="_Toc118119259"/>
      <w:bookmarkStart w:id="31" w:name="_Toc118124458"/>
      <w:r>
        <w:rPr>
          <w:rStyle w:val="CharDivNo"/>
        </w:rPr>
        <w:t>Division 2</w:t>
      </w:r>
      <w:r>
        <w:t xml:space="preserve"> — </w:t>
      </w:r>
      <w:r>
        <w:rPr>
          <w:rStyle w:val="CharDivText"/>
        </w:rPr>
        <w:t>Registry matters</w:t>
      </w:r>
      <w:bookmarkEnd w:id="28"/>
      <w:bookmarkEnd w:id="29"/>
      <w:bookmarkEnd w:id="30"/>
      <w:bookmarkEnd w:id="31"/>
    </w:p>
    <w:p>
      <w:pPr>
        <w:pStyle w:val="Heading5"/>
        <w:spacing w:before="180"/>
      </w:pPr>
      <w:bookmarkStart w:id="32" w:name="_Toc155094133"/>
      <w:bookmarkStart w:id="33" w:name="_Toc118124459"/>
      <w:r>
        <w:rPr>
          <w:rStyle w:val="CharSectno"/>
        </w:rPr>
        <w:t>8</w:t>
      </w:r>
      <w:r>
        <w:t>.</w:t>
      </w:r>
      <w:r>
        <w:tab/>
        <w:t>Registry at which applications commencing a case must be lodged</w:t>
      </w:r>
      <w:bookmarkEnd w:id="32"/>
      <w:bookmarkEnd w:id="33"/>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98;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Gazette 24 Aug 2007 p. 4322; amended: SL 2021/25 r. 16.]</w:t>
      </w:r>
    </w:p>
    <w:p>
      <w:pPr>
        <w:pStyle w:val="Heading5"/>
      </w:pPr>
      <w:bookmarkStart w:id="34" w:name="_Toc155094134"/>
      <w:bookmarkStart w:id="35" w:name="_Toc118124460"/>
      <w:r>
        <w:rPr>
          <w:rStyle w:val="CharSectno"/>
        </w:rPr>
        <w:t>8A</w:t>
      </w:r>
      <w:r>
        <w:t>.</w:t>
      </w:r>
      <w:r>
        <w:tab/>
        <w:t>Registry at which documents must be lodged if a case has commenced</w:t>
      </w:r>
      <w:bookmarkEnd w:id="34"/>
      <w:bookmarkEnd w:id="35"/>
    </w:p>
    <w:p>
      <w:pPr>
        <w:pStyle w:val="Subsection"/>
      </w:pPr>
      <w:r>
        <w:tab/>
        <w:t>(1)</w:t>
      </w:r>
      <w:r>
        <w:tab/>
        <w:t>Unless these rules provide otherwise, a document that is to be lodged in respect of a case that has been commenced must be lodged at the registry at which the case is being conducted.</w:t>
      </w:r>
    </w:p>
    <w:p>
      <w:pPr>
        <w:pStyle w:val="Subsection"/>
      </w:pPr>
      <w:r>
        <w:tab/>
        <w:t>(2)</w:t>
      </w:r>
      <w:r>
        <w:tab/>
        <w:t>An application made by a prosecutor without notice to the accused for an order under the CPA section 138 must be lodged at the registry of the Court sitting at Perth.</w:t>
      </w:r>
    </w:p>
    <w:p>
      <w:pPr>
        <w:pStyle w:val="Subsection"/>
      </w:pPr>
      <w:r>
        <w:tab/>
        <w:t>(3)</w:t>
      </w:r>
      <w:r>
        <w:tab/>
        <w:t>For the purposes of subrule (1), a document that is lodged by using the ECMS is taken to have been lodged at the registry where the case is being conducted.</w:t>
      </w:r>
    </w:p>
    <w:p>
      <w:pPr>
        <w:pStyle w:val="Footnotesection"/>
      </w:pPr>
      <w:r>
        <w:tab/>
        <w:t>[Rule 8A inserted: Gazette 24 Aug 2007 p. 4323; amended: Gazette 23 Nov 2007 p. 5862; SL 2021/25 r. 17; SL 2022/54 r. 6.]</w:t>
      </w:r>
    </w:p>
    <w:p>
      <w:pPr>
        <w:pStyle w:val="Heading5"/>
      </w:pPr>
      <w:bookmarkStart w:id="36" w:name="_Toc155094135"/>
      <w:bookmarkStart w:id="37" w:name="_Toc118124461"/>
      <w:r>
        <w:rPr>
          <w:rStyle w:val="CharSectno"/>
        </w:rPr>
        <w:t>8B</w:t>
      </w:r>
      <w:r>
        <w:t>.</w:t>
      </w:r>
      <w:r>
        <w:tab/>
        <w:t>Application for cancellation of surety undertaking</w:t>
      </w:r>
      <w:bookmarkEnd w:id="36"/>
      <w:bookmarkEnd w:id="37"/>
    </w:p>
    <w:p>
      <w:pPr>
        <w:pStyle w:val="Subsection"/>
      </w:pPr>
      <w:r>
        <w:tab/>
      </w:r>
      <w:r>
        <w:tab/>
        <w:t xml:space="preserve">An application made in accordance with the </w:t>
      </w:r>
      <w:r>
        <w:rPr>
          <w:i/>
        </w:rPr>
        <w:t>Bail Regulations 1988</w:t>
      </w:r>
      <w:r>
        <w:t xml:space="preserve"> regulation 9A for cancellation of a surety undertaking may be lodged at any registry of the Court.</w:t>
      </w:r>
    </w:p>
    <w:p>
      <w:pPr>
        <w:pStyle w:val="Footnotesection"/>
      </w:pPr>
      <w:r>
        <w:tab/>
        <w:t>[Rule 8B inserted: SL 2022/54 r. 7.]</w:t>
      </w:r>
    </w:p>
    <w:p>
      <w:pPr>
        <w:pStyle w:val="Heading5"/>
      </w:pPr>
      <w:bookmarkStart w:id="38" w:name="_Toc155094136"/>
      <w:bookmarkStart w:id="39" w:name="_Toc118124462"/>
      <w:r>
        <w:rPr>
          <w:rStyle w:val="CharSectno"/>
        </w:rPr>
        <w:t>9</w:t>
      </w:r>
      <w:r>
        <w:t>.</w:t>
      </w:r>
      <w:r>
        <w:tab/>
        <w:t>Some documents may be rejected for lodgment</w:t>
      </w:r>
      <w:bookmarkEnd w:id="38"/>
      <w:bookmarkEnd w:id="39"/>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40" w:name="_Toc155094137"/>
      <w:bookmarkStart w:id="41" w:name="_Toc118124463"/>
      <w:r>
        <w:rPr>
          <w:rStyle w:val="CharSectno"/>
        </w:rPr>
        <w:t>10</w:t>
      </w:r>
      <w:r>
        <w:t>.</w:t>
      </w:r>
      <w:r>
        <w:tab/>
        <w:t>Leave to lodge a refused document, application for (Act s. 17)</w:t>
      </w:r>
      <w:bookmarkEnd w:id="40"/>
      <w:bookmarkEnd w:id="41"/>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Gazette 23 Nov 2007 p. 5862.]</w:t>
      </w:r>
    </w:p>
    <w:p>
      <w:pPr>
        <w:pStyle w:val="Heading3"/>
      </w:pPr>
      <w:bookmarkStart w:id="42" w:name="_Toc155094138"/>
      <w:bookmarkStart w:id="43" w:name="_Toc118114494"/>
      <w:bookmarkStart w:id="44" w:name="_Toc118119265"/>
      <w:bookmarkStart w:id="45" w:name="_Toc118124464"/>
      <w:r>
        <w:rPr>
          <w:rStyle w:val="CharDivNo"/>
        </w:rPr>
        <w:t>Division 3</w:t>
      </w:r>
      <w:r>
        <w:t> — </w:t>
      </w:r>
      <w:r>
        <w:rPr>
          <w:rStyle w:val="CharDivText"/>
        </w:rPr>
        <w:t>Lodging and serving documents electronically</w:t>
      </w:r>
      <w:bookmarkEnd w:id="42"/>
      <w:bookmarkEnd w:id="43"/>
      <w:bookmarkEnd w:id="44"/>
      <w:bookmarkEnd w:id="45"/>
    </w:p>
    <w:p>
      <w:pPr>
        <w:pStyle w:val="Heading5"/>
      </w:pPr>
      <w:bookmarkStart w:id="46" w:name="_Toc155094139"/>
      <w:bookmarkStart w:id="47" w:name="_Toc118124465"/>
      <w:r>
        <w:rPr>
          <w:rStyle w:val="CharSectno"/>
        </w:rPr>
        <w:t>11A</w:t>
      </w:r>
      <w:r>
        <w:t>.</w:t>
      </w:r>
      <w:r>
        <w:tab/>
        <w:t>Certain rules do not apply to civil proceedings</w:t>
      </w:r>
      <w:bookmarkEnd w:id="46"/>
      <w:bookmarkEnd w:id="47"/>
    </w:p>
    <w:p>
      <w:pPr>
        <w:pStyle w:val="Subsection"/>
      </w:pPr>
      <w:r>
        <w:tab/>
      </w:r>
      <w:r>
        <w:tab/>
        <w:t>Rules 11, 12 and 13A do not apply to or in relation to proceedings in the civil jurisdiction of the Magistrates Court.</w:t>
      </w:r>
    </w:p>
    <w:p>
      <w:pPr>
        <w:pStyle w:val="Footnotesection"/>
      </w:pPr>
      <w:r>
        <w:tab/>
        <w:t>[Rule 11A inserted: SL 2021/25 r. 18.]</w:t>
      </w:r>
    </w:p>
    <w:p>
      <w:pPr>
        <w:pStyle w:val="Heading5"/>
      </w:pPr>
      <w:bookmarkStart w:id="48" w:name="_Toc155094140"/>
      <w:bookmarkStart w:id="49" w:name="_Toc118124466"/>
      <w:r>
        <w:rPr>
          <w:rStyle w:val="CharSectno"/>
        </w:rPr>
        <w:t>11</w:t>
      </w:r>
      <w:r>
        <w:t>.</w:t>
      </w:r>
      <w:r>
        <w:tab/>
        <w:t>Lodging documents by fax</w:t>
      </w:r>
      <w:bookmarkEnd w:id="48"/>
      <w:bookmarkEnd w:id="49"/>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lodges a document by fax must — </w:t>
      </w:r>
    </w:p>
    <w:p>
      <w:pPr>
        <w:pStyle w:val="Indenta"/>
        <w:keepNext/>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Footnotesection"/>
      </w:pPr>
      <w:r>
        <w:tab/>
        <w:t>[Rule 11 amended: SL 2021/25 r. 19.]</w:t>
      </w:r>
    </w:p>
    <w:p>
      <w:pPr>
        <w:pStyle w:val="Heading5"/>
      </w:pPr>
      <w:bookmarkStart w:id="50" w:name="_Toc155094141"/>
      <w:bookmarkStart w:id="51" w:name="_Toc118124467"/>
      <w:r>
        <w:rPr>
          <w:rStyle w:val="CharSectno"/>
        </w:rPr>
        <w:t>12</w:t>
      </w:r>
      <w:r>
        <w:t>.</w:t>
      </w:r>
      <w:r>
        <w:tab/>
        <w:t>Lodging documents through Court’s website</w:t>
      </w:r>
      <w:bookmarkEnd w:id="50"/>
      <w:bookmarkEnd w:id="51"/>
    </w:p>
    <w:p>
      <w:pPr>
        <w:pStyle w:val="Subsection"/>
      </w:pPr>
      <w:r>
        <w:tab/>
        <w:t>(1)</w:t>
      </w:r>
      <w:r>
        <w:tab/>
        <w:t>Subject to the requirements of the Court’s website, a person may lodge a document electronically by lodging an electronic version of it by means of the Court’s website.</w:t>
      </w:r>
    </w:p>
    <w:p>
      <w:pPr>
        <w:pStyle w:val="Subsection"/>
        <w:keepNext/>
      </w:pPr>
      <w:r>
        <w:tab/>
        <w:t>(2)</w:t>
      </w:r>
      <w:r>
        <w:tab/>
        <w:t xml:space="preserve">A document that must be signed by or on behalf of a person cannot be lodged electronically under this rule unless — </w:t>
      </w:r>
    </w:p>
    <w:p>
      <w:pPr>
        <w:pStyle w:val="Indenta"/>
      </w:pPr>
      <w:r>
        <w:tab/>
        <w:t>(a)</w:t>
      </w:r>
      <w:r>
        <w:tab/>
        <w:t>the document is an affidavit; or</w:t>
      </w:r>
    </w:p>
    <w:p>
      <w:pPr>
        <w:pStyle w:val="Indenta"/>
      </w:pPr>
      <w:r>
        <w:tab/>
        <w:t>(b)</w:t>
      </w:r>
      <w:r>
        <w:tab/>
        <w:t xml:space="preserve">the document is lodged by — </w:t>
      </w:r>
    </w:p>
    <w:p>
      <w:pPr>
        <w:pStyle w:val="Indenti"/>
      </w:pPr>
      <w:r>
        <w:tab/>
        <w:t>(i)</w:t>
      </w:r>
      <w:r>
        <w:tab/>
        <w:t>the person who signed it; or</w:t>
      </w:r>
    </w:p>
    <w:p>
      <w:pPr>
        <w:pStyle w:val="Indenti"/>
      </w:pPr>
      <w:r>
        <w:tab/>
        <w:t>(ii)</w:t>
      </w:r>
      <w:r>
        <w:tab/>
        <w:t>the person on whose behalf it was signed; or</w:t>
      </w:r>
    </w:p>
    <w:p>
      <w:pPr>
        <w:pStyle w:val="Indenti"/>
      </w:pPr>
      <w:r>
        <w:tab/>
        <w:t>(iii)</w:t>
      </w:r>
      <w:r>
        <w:tab/>
        <w:t>a person who is acting for either of those persons.</w:t>
      </w:r>
    </w:p>
    <w:p>
      <w:pPr>
        <w:pStyle w:val="Subsection"/>
      </w:pPr>
      <w:r>
        <w:tab/>
        <w:t>(3)</w:t>
      </w:r>
      <w:r>
        <w:tab/>
        <w:t xml:space="preserve">A document lodged electronically under this rule that is to be signed by or on behalf of the person by whom it is lodged is authenticated for the purposes of the </w:t>
      </w:r>
      <w:r>
        <w:rPr>
          <w:i/>
        </w:rPr>
        <w:t>Courts and Tribunals (Electronic Processes Facilitation) Act 2013</w:t>
      </w:r>
      <w:r>
        <w:t xml:space="preserve"> section 10 if —</w:t>
      </w:r>
    </w:p>
    <w:p>
      <w:pPr>
        <w:pStyle w:val="Indenta"/>
      </w:pPr>
      <w:r>
        <w:tab/>
        <w:t>(a)</w:t>
      </w:r>
      <w:r>
        <w:tab/>
        <w:t>the Court’s website records the identity of the person who lodges the document; and</w:t>
      </w:r>
    </w:p>
    <w:p>
      <w:pPr>
        <w:pStyle w:val="Indenta"/>
      </w:pPr>
      <w:r>
        <w:tab/>
        <w:t>(b)</w:t>
      </w:r>
      <w:r>
        <w:tab/>
        <w:t>the name of the person who signed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 </w:t>
      </w:r>
    </w:p>
    <w:p>
      <w:pPr>
        <w:pStyle w:val="Indenta"/>
      </w:pPr>
      <w:r>
        <w:tab/>
        <w:t>(a)</w:t>
      </w:r>
      <w:r>
        <w:tab/>
        <w:t>an electronic version of it that includes the signatures on it is lodged; or</w:t>
      </w:r>
    </w:p>
    <w:p>
      <w:pPr>
        <w:pStyle w:val="Indenta"/>
      </w:pPr>
      <w:r>
        <w:tab/>
        <w:t>(b)</w:t>
      </w:r>
      <w:r>
        <w:tab/>
        <w:t>the electronic version that is lodged includes a statement of the name of the person who signed the affidavit at any place where a signature appears in the paper version.</w:t>
      </w:r>
    </w:p>
    <w:p>
      <w:pPr>
        <w:pStyle w:val="Subsection"/>
        <w:keepNext/>
      </w:pPr>
      <w:r>
        <w:tab/>
        <w:t>(5)</w:t>
      </w:r>
      <w:r>
        <w:tab/>
        <w:t xml:space="preserve">A person by or on behalf of whom an affidavit is lodged under this rule must — </w:t>
      </w:r>
    </w:p>
    <w:p>
      <w:pPr>
        <w:pStyle w:val="Indenta"/>
      </w:pPr>
      <w:r>
        <w:tab/>
        <w:t>(a)</w:t>
      </w:r>
      <w:r>
        <w:tab/>
        <w:t>have possession of the paper version signed according to law; and</w:t>
      </w:r>
    </w:p>
    <w:p>
      <w:pPr>
        <w:pStyle w:val="Indenta"/>
      </w:pPr>
      <w:r>
        <w:tab/>
        <w:t>(b)</w:t>
      </w:r>
      <w:r>
        <w:tab/>
        <w:t>ensure that, subject to any order of the Court, arrangements are made for the retention of the paper version.</w:t>
      </w:r>
    </w:p>
    <w:p>
      <w:pPr>
        <w:pStyle w:val="Subsection"/>
        <w:keepNext/>
      </w:pPr>
      <w:r>
        <w:tab/>
        <w:t>(6)</w:t>
      </w:r>
      <w:r>
        <w:tab/>
        <w:t xml:space="preserve">A document lodged electronically under this rule which is directed to a registry is to be taken to have been lodged at the registry — </w:t>
      </w:r>
    </w:p>
    <w:p>
      <w:pPr>
        <w:pStyle w:val="Indenta"/>
      </w:pPr>
      <w:r>
        <w:tab/>
        <w:t>(a)</w:t>
      </w:r>
      <w:r>
        <w:tab/>
        <w:t>if the whole document is received before 4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website is not sent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(8)</w:t>
      </w:r>
      <w:r>
        <w:tab/>
        <w:t>A person by or on behalf of whom a document is lodged electronically under this rule must ensure that the paper version of the document is available at any conference or hearing in the case concerned.</w:t>
      </w:r>
    </w:p>
    <w:p>
      <w:pPr>
        <w:pStyle w:val="Subsection"/>
      </w:pPr>
      <w:r>
        <w:tab/>
        <w:t>(9)</w:t>
      </w:r>
      <w:r>
        <w:tab/>
        <w:t>The Court may at any time, on the application of a party or on its own initiative, order a person who has lodged a document electronically under this rule to lodge the paper version of the document.</w:t>
      </w:r>
    </w:p>
    <w:p>
      <w:pPr>
        <w:pStyle w:val="Footnotesection"/>
      </w:pPr>
      <w:r>
        <w:tab/>
        <w:t>[Rule 12 inserted: Gazette 15 Aug 2014 p. 2938</w:t>
      </w:r>
      <w:r>
        <w:noBreakHyphen/>
        <w:t>40; amended: SL 2021/25 r. 20.]</w:t>
      </w:r>
    </w:p>
    <w:p>
      <w:pPr>
        <w:pStyle w:val="Heading5"/>
      </w:pPr>
      <w:bookmarkStart w:id="52" w:name="_Toc155094142"/>
      <w:bookmarkStart w:id="53" w:name="_Toc118124468"/>
      <w:r>
        <w:rPr>
          <w:rStyle w:val="CharSectno"/>
        </w:rPr>
        <w:t>13A</w:t>
      </w:r>
      <w:r>
        <w:t>.</w:t>
      </w:r>
      <w:r>
        <w:tab/>
        <w:t>Lodging documents by means of ECMS</w:t>
      </w:r>
      <w:bookmarkEnd w:id="52"/>
      <w:bookmarkEnd w:id="53"/>
    </w:p>
    <w:p>
      <w:pPr>
        <w:pStyle w:val="Subsection"/>
      </w:pPr>
      <w:r>
        <w:tab/>
        <w:t>(1)</w:t>
      </w:r>
      <w:r>
        <w:tab/>
        <w:t>An approved user may lodge a document electronically by providing the information required for the completion of the document by means of the ECMS.</w:t>
      </w:r>
    </w:p>
    <w:p>
      <w:pPr>
        <w:pStyle w:val="Subsection"/>
      </w:pPr>
      <w:r>
        <w:tab/>
        <w:t>(2)</w:t>
      </w:r>
      <w:r>
        <w:tab/>
        <w:t>If a document is or must be signed by a person who is not, or who is not acting on behalf of, the person lodging it, the document cannot be lodged electronically under this rule unless it is an affidavit.</w:t>
      </w:r>
    </w:p>
    <w:p>
      <w:pPr>
        <w:pStyle w:val="Subsection"/>
      </w:pPr>
      <w:r>
        <w:tab/>
        <w:t>(3)</w:t>
      </w:r>
      <w:r>
        <w:tab/>
        <w:t xml:space="preserve">A document lodged electronically under this rule that is to be signed by or on behalf of the person lodging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who lodges the document; and</w:t>
      </w:r>
    </w:p>
    <w:p>
      <w:pPr>
        <w:pStyle w:val="Indenta"/>
      </w:pPr>
      <w:r>
        <w:tab/>
        <w:t>(b)</w:t>
      </w:r>
      <w:r>
        <w:tab/>
        <w:t>the name of the person who lodges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the electronic version that is lodged includes a statement of the name of the person who signed the affidavit at any place where a signature appears in the paper version.</w:t>
      </w:r>
    </w:p>
    <w:p>
      <w:pPr>
        <w:pStyle w:val="Subsection"/>
      </w:pPr>
      <w:r>
        <w:tab/>
        <w:t>(5)</w:t>
      </w:r>
      <w:r>
        <w:tab/>
        <w:t xml:space="preserve">A person who lodges an affidavit under this rule must — </w:t>
      </w:r>
    </w:p>
    <w:p>
      <w:pPr>
        <w:pStyle w:val="Indenta"/>
      </w:pPr>
      <w:r>
        <w:tab/>
        <w:t>(a)</w:t>
      </w:r>
      <w:r>
        <w:tab/>
        <w:t>have possession of the paper version signed according to law; and</w:t>
      </w:r>
    </w:p>
    <w:p>
      <w:pPr>
        <w:pStyle w:val="Indenta"/>
      </w:pPr>
      <w:r>
        <w:tab/>
        <w:t>(b)</w:t>
      </w:r>
      <w:r>
        <w:tab/>
        <w:t>ensure that arrangements are made for the retention of the paper version subject to any order of the Court.</w:t>
      </w:r>
    </w:p>
    <w:p>
      <w:pPr>
        <w:pStyle w:val="Subsection"/>
      </w:pPr>
      <w:r>
        <w:tab/>
        <w:t>(6)</w:t>
      </w:r>
      <w:r>
        <w:tab/>
        <w:t>A document lodged under this rule is taken to have been lodged on the day and at the time recorded by the ECMS.</w:t>
      </w:r>
    </w:p>
    <w:p>
      <w:pPr>
        <w:pStyle w:val="Subsection"/>
      </w:pPr>
      <w:r>
        <w:tab/>
        <w:t>(7)</w:t>
      </w:r>
      <w:r>
        <w:tab/>
        <w:t xml:space="preserve">If a document sent electronically to a registry by means of the ECMS is not sent in accordance with the requirements of the ECMS and this rule — </w:t>
      </w:r>
    </w:p>
    <w:p>
      <w:pPr>
        <w:pStyle w:val="Indenta"/>
      </w:pPr>
      <w:r>
        <w:tab/>
        <w:t>(a)</w:t>
      </w:r>
      <w:r>
        <w:tab/>
        <w:t>the document is to be taken not to have been lodged at the registry; and</w:t>
      </w:r>
    </w:p>
    <w:p>
      <w:pPr>
        <w:pStyle w:val="Indenta"/>
        <w:keepNext/>
      </w:pPr>
      <w:r>
        <w:tab/>
        <w:t>(b)</w:t>
      </w:r>
      <w:r>
        <w:tab/>
        <w:t>a registrar must notify the person who sent it of the fact.</w:t>
      </w:r>
    </w:p>
    <w:p>
      <w:pPr>
        <w:pStyle w:val="Footnotesection"/>
      </w:pPr>
      <w:r>
        <w:tab/>
        <w:t>[Rule 13A inserted: Gazette 15 Aug 2014 p. 2940</w:t>
      </w:r>
      <w:r>
        <w:noBreakHyphen/>
        <w:t>1; amended: Gazette 18 Dec 2015 p. 5077; 31 Dec 2019 p. 4675; SL 2021/25 r. 21; SL 2021/133 r. 7.]</w:t>
      </w:r>
    </w:p>
    <w:p>
      <w:pPr>
        <w:pStyle w:val="Heading5"/>
      </w:pPr>
      <w:bookmarkStart w:id="54" w:name="_Toc155094143"/>
      <w:bookmarkStart w:id="55" w:name="_Toc118124469"/>
      <w:r>
        <w:rPr>
          <w:rStyle w:val="CharSectno"/>
        </w:rPr>
        <w:t>13B</w:t>
      </w:r>
      <w:r>
        <w:t>.</w:t>
      </w:r>
      <w:r>
        <w:tab/>
        <w:t>Making documents available to court by means of ECMS</w:t>
      </w:r>
      <w:bookmarkEnd w:id="54"/>
      <w:bookmarkEnd w:id="55"/>
    </w:p>
    <w:p>
      <w:pPr>
        <w:pStyle w:val="Subsection"/>
      </w:pPr>
      <w:r>
        <w:tab/>
        <w:t>(1)</w:t>
      </w:r>
      <w:r>
        <w:tab/>
        <w:t>An approved user may make a document available to the Court electronically by means of the ECMS.</w:t>
      </w:r>
    </w:p>
    <w:p>
      <w:pPr>
        <w:pStyle w:val="Subsection"/>
      </w:pPr>
      <w:r>
        <w:tab/>
        <w:t>(2)</w:t>
      </w:r>
      <w:r>
        <w:tab/>
        <w:t xml:space="preserve">A document that is required to be signed and is made available electronically under this rule is authenticated for the purposes of the </w:t>
      </w:r>
      <w:r>
        <w:rPr>
          <w:i/>
        </w:rPr>
        <w:t>Courts and Tribunals (Electronic Processes Facilitation) Act 2013</w:t>
      </w:r>
      <w:r>
        <w:t xml:space="preserve"> section 10 if the name of the person who signed the document is stated in the electronic version of the document at any place where a signature appears in the paper version of the document.</w:t>
      </w:r>
    </w:p>
    <w:p>
      <w:pPr>
        <w:pStyle w:val="Subsection"/>
      </w:pPr>
      <w:r>
        <w:tab/>
        <w:t>(3)</w:t>
      </w:r>
      <w:r>
        <w:tab/>
        <w:t>A person who makes available a document under this rule that is required to be signed must, subject to any order of the Court, be satisfied that arrangements have been made for the paper version of the document to be retained.</w:t>
      </w:r>
    </w:p>
    <w:p>
      <w:pPr>
        <w:pStyle w:val="Footnotesection"/>
      </w:pPr>
      <w:r>
        <w:tab/>
        <w:t>[Rule 13B inserted: Gazette 15 Aug 2014 p. 2941; amended: Gazette 31 Dec 2019 p. 4675.]</w:t>
      </w:r>
    </w:p>
    <w:p>
      <w:pPr>
        <w:pStyle w:val="Heading5"/>
      </w:pPr>
      <w:bookmarkStart w:id="56" w:name="_Toc155094144"/>
      <w:bookmarkStart w:id="57" w:name="_Toc118124470"/>
      <w:r>
        <w:rPr>
          <w:rStyle w:val="CharSectno"/>
        </w:rPr>
        <w:t>13C</w:t>
      </w:r>
      <w:r>
        <w:t>.</w:t>
      </w:r>
      <w:r>
        <w:tab/>
        <w:t>Access to applications, notices and other documents through ECMS</w:t>
      </w:r>
      <w:bookmarkEnd w:id="56"/>
      <w:bookmarkEnd w:id="57"/>
    </w:p>
    <w:p>
      <w:pPr>
        <w:pStyle w:val="Subsection"/>
      </w:pPr>
      <w:r>
        <w:tab/>
        <w:t>(1)</w:t>
      </w:r>
      <w:r>
        <w:tab/>
        <w:t xml:space="preserve">A requirement to notify a person or give them a copy of a document in relation to a proceeding is satisfied, on a day, if — </w:t>
      </w:r>
    </w:p>
    <w:p>
      <w:pPr>
        <w:pStyle w:val="Indenta"/>
      </w:pPr>
      <w:r>
        <w:tab/>
        <w:t>(a)</w:t>
      </w:r>
      <w:r>
        <w:tab/>
        <w:t>the notice or document becomes accessible using the ECMS to the person before 5 pm on that day; and</w:t>
      </w:r>
    </w:p>
    <w:p>
      <w:pPr>
        <w:pStyle w:val="Indenta"/>
      </w:pPr>
      <w:r>
        <w:tab/>
        <w:t>(b)</w:t>
      </w:r>
      <w:r>
        <w:tab/>
        <w:t>electronic notification that the notice or document is accessible is sent to the person before 5.00 p.m. on that day; and</w:t>
      </w:r>
    </w:p>
    <w:p>
      <w:pPr>
        <w:pStyle w:val="Indenta"/>
      </w:pPr>
      <w:r>
        <w:tab/>
        <w:t>(c)</w:t>
      </w:r>
      <w:r>
        <w:tab/>
        <w:t xml:space="preserve">the person is not a person who — </w:t>
      </w:r>
    </w:p>
    <w:p>
      <w:pPr>
        <w:pStyle w:val="Indenti"/>
      </w:pPr>
      <w:r>
        <w:tab/>
        <w:t>(i)</w:t>
      </w:r>
      <w:r>
        <w:tab/>
        <w:t>is ECMS exempt; and</w:t>
      </w:r>
    </w:p>
    <w:p>
      <w:pPr>
        <w:pStyle w:val="Indenti"/>
      </w:pPr>
      <w:r>
        <w:tab/>
        <w:t>(ii)</w:t>
      </w:r>
      <w:r>
        <w:tab/>
        <w:t>does not have access to the ECMS in relation to the proceeding.</w:t>
      </w:r>
    </w:p>
    <w:p>
      <w:pPr>
        <w:pStyle w:val="Subsection"/>
        <w:keepNext/>
      </w:pPr>
      <w:r>
        <w:tab/>
        <w:t>(2)</w:t>
      </w:r>
      <w:r>
        <w:tab/>
        <w:t xml:space="preserve">In subrule (1) — </w:t>
      </w:r>
    </w:p>
    <w:p>
      <w:pPr>
        <w:pStyle w:val="Defstart"/>
      </w:pPr>
      <w:r>
        <w:tab/>
      </w:r>
      <w:r>
        <w:rPr>
          <w:rStyle w:val="CharDefText"/>
        </w:rPr>
        <w:t>electronic notification</w:t>
      </w:r>
      <w:r>
        <w:t>, in relation to a person, includes notification via an email sent to an email address provided by the person.</w:t>
      </w:r>
    </w:p>
    <w:p>
      <w:pPr>
        <w:pStyle w:val="Footnotesection"/>
      </w:pPr>
      <w:r>
        <w:tab/>
        <w:t>[Rule 13C inserted: SL 2021/25 r. 22.]</w:t>
      </w:r>
    </w:p>
    <w:p>
      <w:pPr>
        <w:pStyle w:val="Heading5"/>
      </w:pPr>
      <w:bookmarkStart w:id="58" w:name="_Toc155094145"/>
      <w:bookmarkStart w:id="59" w:name="_Toc118124471"/>
      <w:r>
        <w:rPr>
          <w:rStyle w:val="CharSectno"/>
        </w:rPr>
        <w:t>13D</w:t>
      </w:r>
      <w:r>
        <w:t>.</w:t>
      </w:r>
      <w:r>
        <w:tab/>
        <w:t>Listing matters for hearing using ECMS</w:t>
      </w:r>
      <w:bookmarkEnd w:id="58"/>
      <w:bookmarkEnd w:id="59"/>
    </w:p>
    <w:p>
      <w:pPr>
        <w:pStyle w:val="Subsection"/>
      </w:pPr>
      <w:r>
        <w:tab/>
        <w:t>(1)</w:t>
      </w:r>
      <w:r>
        <w:tab/>
        <w:t>This rule applies to a requirement to list an appeal for hearing under rule 28 or list an application for hearing under Part 7 or 8.</w:t>
      </w:r>
    </w:p>
    <w:p>
      <w:pPr>
        <w:pStyle w:val="Subsection"/>
      </w:pPr>
      <w:r>
        <w:tab/>
        <w:t>(2)</w:t>
      </w:r>
      <w:r>
        <w:tab/>
        <w:t>The requirement to list an appeal for hearing is satisfied if the ECMS lists the appeal.</w:t>
      </w:r>
    </w:p>
    <w:p>
      <w:pPr>
        <w:pStyle w:val="Subsection"/>
      </w:pPr>
      <w:r>
        <w:tab/>
        <w:t>(3)</w:t>
      </w:r>
      <w:r>
        <w:tab/>
        <w:t>The requirement to list an application for hearing or insert hearing details on a form is satisfied if the ECMS lists the application or inserts the details (as the case may be).</w:t>
      </w:r>
    </w:p>
    <w:p>
      <w:pPr>
        <w:pStyle w:val="Footnotesection"/>
      </w:pPr>
      <w:r>
        <w:tab/>
        <w:t>[Rule 13D inserted: SL 2021/25 r. 22.]</w:t>
      </w:r>
    </w:p>
    <w:p>
      <w:pPr>
        <w:pStyle w:val="Heading5"/>
      </w:pPr>
      <w:bookmarkStart w:id="60" w:name="_Toc155094146"/>
      <w:bookmarkStart w:id="61" w:name="_Toc118124472"/>
      <w:r>
        <w:rPr>
          <w:rStyle w:val="CharSectno"/>
        </w:rPr>
        <w:t>13</w:t>
      </w:r>
      <w:r>
        <w:t>.</w:t>
      </w:r>
      <w:r>
        <w:tab/>
        <w:t>Electronic address for service</w:t>
      </w:r>
      <w:bookmarkEnd w:id="60"/>
      <w:bookmarkEnd w:id="61"/>
    </w:p>
    <w:p>
      <w:pPr>
        <w:pStyle w:val="Subsection"/>
      </w:pPr>
      <w:r>
        <w:tab/>
        <w:t>(1)</w:t>
      </w:r>
      <w:r>
        <w:tab/>
        <w:t>A person may give an electronic address for service in accordance with this rule.</w:t>
      </w:r>
    </w:p>
    <w:p>
      <w:pPr>
        <w:pStyle w:val="Subsection"/>
      </w:pPr>
      <w:r>
        <w:tab/>
        <w:t>(2)</w:t>
      </w:r>
      <w:r>
        <w:tab/>
        <w:t xml:space="preserve">A person may give a fax number as an address for service by providing — </w:t>
      </w:r>
    </w:p>
    <w:p>
      <w:pPr>
        <w:pStyle w:val="Indenta"/>
      </w:pPr>
      <w:r>
        <w:tab/>
        <w:t>(a)</w:t>
      </w:r>
      <w:r>
        <w:tab/>
        <w:t>a residential or business address; and</w:t>
      </w:r>
    </w:p>
    <w:p>
      <w:pPr>
        <w:pStyle w:val="Indenta"/>
      </w:pPr>
      <w:r>
        <w:tab/>
        <w:t>(b)</w:t>
      </w:r>
      <w:r>
        <w:tab/>
        <w:t>a fax number that operates at that address.</w:t>
      </w:r>
    </w:p>
    <w:p>
      <w:pPr>
        <w:pStyle w:val="Subsection"/>
      </w:pPr>
      <w:r>
        <w:tab/>
        <w:t>(3)</w:t>
      </w:r>
      <w:r>
        <w:tab/>
        <w:t xml:space="preserve">A person who is not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at which documents may be given to, or accepted on behalf of, the person.</w:t>
      </w:r>
    </w:p>
    <w:p>
      <w:pPr>
        <w:pStyle w:val="Subsection"/>
        <w:keepNext/>
      </w:pPr>
      <w:r>
        <w:tab/>
        <w:t>(4)</w:t>
      </w:r>
      <w:r>
        <w:tab/>
        <w:t xml:space="preserve">If a legal practitioner practises in a business with one or more other legal practitioners  or people — </w:t>
      </w:r>
    </w:p>
    <w:p>
      <w:pPr>
        <w:pStyle w:val="Indenta"/>
      </w:pPr>
      <w:r>
        <w:tab/>
        <w:t>(a)</w:t>
      </w:r>
      <w:r>
        <w:tab/>
        <w:t>any fax number provided under subrule (2) must be the fax number of the business and not that of the legal practitioner personally; and</w:t>
      </w:r>
    </w:p>
    <w:p>
      <w:pPr>
        <w:pStyle w:val="Indenta"/>
      </w:pPr>
      <w:r>
        <w:tab/>
        <w:t>(b)</w:t>
      </w:r>
      <w:r>
        <w:tab/>
        <w:t>any email address provided under subrule (3) must be the email address of the business and not that of the legal practitioner personally.</w:t>
      </w:r>
    </w:p>
    <w:p>
      <w:pPr>
        <w:pStyle w:val="Subsection"/>
      </w:pPr>
      <w:r>
        <w:tab/>
        <w:t>(5)</w:t>
      </w:r>
      <w:r>
        <w:tab/>
        <w:t>A self</w:t>
      </w:r>
      <w:r>
        <w:noBreakHyphen/>
        <w:t xml:space="preserve">represented person who resides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party provided in connection with that registration.</w:t>
      </w:r>
    </w:p>
    <w:p>
      <w:pPr>
        <w:pStyle w:val="Subsection"/>
      </w:pPr>
      <w:r>
        <w:tab/>
        <w:t>(6)</w:t>
      </w:r>
      <w:r>
        <w:tab/>
        <w:t xml:space="preserve">A legal practitioner, or the business for which a legal practitioner works, that has a business address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legal practitioner or business provided in connection with that registration.</w:t>
      </w:r>
    </w:p>
    <w:p>
      <w:pPr>
        <w:pStyle w:val="Subsection"/>
      </w:pPr>
      <w:r>
        <w:tab/>
        <w:t>(7)</w:t>
      </w:r>
      <w:r>
        <w:tab/>
        <w:t>A person who under this rule provides an address for service that is a fax number or an email address is to be taken to consent to being served with documents by fax at that fax number, or as an attachment to an email sent to that email address, as the case may be.</w:t>
      </w:r>
    </w:p>
    <w:p>
      <w:pPr>
        <w:pStyle w:val="Subsection"/>
      </w:pPr>
      <w:r>
        <w:tab/>
        <w:t>(8)</w:t>
      </w:r>
      <w:r>
        <w:tab/>
        <w:t>If a person’s fax number or email address provided under this rule changes, the person must lodge and serve a notice of change of address as soon as practicable after the change occurs.</w:t>
      </w:r>
    </w:p>
    <w:p>
      <w:pPr>
        <w:pStyle w:val="Subsection"/>
        <w:keepNext/>
      </w:pPr>
      <w:r>
        <w:tab/>
        <w:t>(9)</w:t>
      </w:r>
      <w:r>
        <w:tab/>
        <w:t>The notice of change of address for service must be in the approved form.</w:t>
      </w:r>
    </w:p>
    <w:p>
      <w:pPr>
        <w:pStyle w:val="Footnotesection"/>
      </w:pPr>
      <w:r>
        <w:tab/>
        <w:t>[Rule 13 inserted: Gazette 15 Aug 2014 p. 2941</w:t>
      </w:r>
      <w:r>
        <w:noBreakHyphen/>
        <w:t>3; amended: SL 2022/106 r. 6.]</w:t>
      </w:r>
    </w:p>
    <w:p>
      <w:pPr>
        <w:pStyle w:val="Heading5"/>
      </w:pPr>
      <w:bookmarkStart w:id="62" w:name="_Toc155094147"/>
      <w:bookmarkStart w:id="63" w:name="_Toc118124473"/>
      <w:r>
        <w:rPr>
          <w:rStyle w:val="CharSectno"/>
        </w:rPr>
        <w:t>14</w:t>
      </w:r>
      <w:r>
        <w:t>.</w:t>
      </w:r>
      <w:r>
        <w:tab/>
        <w:t>Service by fax or email</w:t>
      </w:r>
      <w:bookmarkEnd w:id="62"/>
      <w:bookmarkEnd w:id="63"/>
    </w:p>
    <w:p>
      <w:pPr>
        <w:pStyle w:val="Subsection"/>
      </w:pPr>
      <w:r>
        <w:tab/>
        <w:t>(1)</w:t>
      </w:r>
      <w:r>
        <w:tab/>
        <w:t xml:space="preserve">If rules of court require a person to serve a document, the person may serve the document — </w:t>
      </w:r>
    </w:p>
    <w:p>
      <w:pPr>
        <w:pStyle w:val="Indenta"/>
        <w:spacing w:before="60"/>
      </w:pPr>
      <w:r>
        <w:tab/>
        <w:t>(a)</w:t>
      </w:r>
      <w:r>
        <w:tab/>
        <w:t>if the party has provided a fax number under rule 13(2), by sending the document by fax to that number; or</w:t>
      </w:r>
    </w:p>
    <w:p>
      <w:pPr>
        <w:pStyle w:val="Indenta"/>
        <w:spacing w:before="60"/>
      </w:pPr>
      <w:r>
        <w:tab/>
        <w:t>(b)</w:t>
      </w:r>
      <w:r>
        <w:tab/>
        <w:t>if the party has provided an email address under rule 13, by sending the document as an attachment to an email sent to that address.</w:t>
      </w:r>
    </w:p>
    <w:p>
      <w:pPr>
        <w:pStyle w:val="Subsection"/>
        <w:spacing w:before="150"/>
      </w:pPr>
      <w:r>
        <w:tab/>
        <w:t>(2)</w:t>
      </w:r>
      <w:r>
        <w:tab/>
        <w:t>A document cannot be served by email under subrule (1) if under rule 12(2) or 13A(2) it cannot be lodged electronically.</w:t>
      </w:r>
    </w:p>
    <w:p>
      <w:pPr>
        <w:pStyle w:val="Subsection"/>
        <w:spacing w:before="150"/>
      </w:pPr>
      <w:r>
        <w:tab/>
        <w:t>(3)</w:t>
      </w:r>
      <w:r>
        <w:tab/>
        <w:t>Rule 11(4) and (5), with any necessary changes, apply to a document being served by fax in the same way as they apply to a document being lodged by fax.</w:t>
      </w:r>
    </w:p>
    <w:p>
      <w:pPr>
        <w:pStyle w:val="Subsection"/>
      </w:pPr>
      <w:r>
        <w:tab/>
        <w:t>(4)</w:t>
      </w:r>
      <w:r>
        <w:tab/>
        <w:t xml:space="preserve">A document served by email that must be signed by a person is authenticated for the purposes of the </w:t>
      </w:r>
      <w:r>
        <w:rPr>
          <w:i/>
        </w:rPr>
        <w:t>Courts and Tribunals (Electronic Processes Facilitation) Act 2013</w:t>
      </w:r>
      <w:r>
        <w:t xml:space="preserve"> section 10 if the electronic version of the document that is served states the name of the person whose signature is required at each place where the signature is required.</w:t>
      </w:r>
    </w:p>
    <w:p>
      <w:pPr>
        <w:pStyle w:val="Subsection"/>
        <w:keepNext/>
        <w:spacing w:before="150"/>
      </w:pPr>
      <w:r>
        <w:tab/>
        <w:t>(5)</w:t>
      </w:r>
      <w:r>
        <w:tab/>
        <w:t xml:space="preserve">A document that is served by email or fax on a person is to be taken to have been served — </w:t>
      </w:r>
    </w:p>
    <w:p>
      <w:pPr>
        <w:pStyle w:val="Indenta"/>
        <w:spacing w:before="60"/>
      </w:pPr>
      <w:r>
        <w:tab/>
        <w:t>(a)</w:t>
      </w:r>
      <w:r>
        <w:tab/>
        <w:t>if the whole document is sent before 4.30 p.m. on a working day, on that day;</w:t>
      </w:r>
    </w:p>
    <w:p>
      <w:pPr>
        <w:pStyle w:val="Indenta"/>
        <w:spacing w:before="60"/>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keepNext/>
      </w:pPr>
      <w:r>
        <w:tab/>
        <w:t>(7)</w:t>
      </w:r>
      <w:r>
        <w:tab/>
        <w:t>This rule does not prevent a person from consenting to being served in a manner other than in accordance with rules of court.</w:t>
      </w:r>
    </w:p>
    <w:p>
      <w:pPr>
        <w:pStyle w:val="Footnotesection"/>
      </w:pPr>
      <w:r>
        <w:tab/>
        <w:t>[Rule 14 amended: Gazette 15 Aug 2014 p. 2943; 18 Dec 2015 p. 5077.]</w:t>
      </w:r>
    </w:p>
    <w:p>
      <w:pPr>
        <w:pStyle w:val="Heading5"/>
      </w:pPr>
      <w:bookmarkStart w:id="64" w:name="_Toc155094148"/>
      <w:bookmarkStart w:id="65" w:name="_Toc118124474"/>
      <w:r>
        <w:rPr>
          <w:rStyle w:val="CharSectno"/>
        </w:rPr>
        <w:t>15A</w:t>
      </w:r>
      <w:r>
        <w:t>.</w:t>
      </w:r>
      <w:r>
        <w:tab/>
        <w:t>Documents issued by Court by means of ECMS</w:t>
      </w:r>
      <w:bookmarkEnd w:id="64"/>
      <w:bookmarkEnd w:id="65"/>
    </w:p>
    <w:p>
      <w:pPr>
        <w:pStyle w:val="Subsection"/>
      </w:pPr>
      <w:r>
        <w:tab/>
        <w:t>(1)</w:t>
      </w:r>
      <w:r>
        <w:tab/>
        <w:t xml:space="preserve">For the purposes of the </w:t>
      </w:r>
      <w:r>
        <w:rPr>
          <w:i/>
        </w:rPr>
        <w:t>Courts and Tribunals (Electronic Processes Facilitation) Act 2013</w:t>
      </w:r>
      <w:r>
        <w:t xml:space="preserve"> section 12(1), a document that is required to be issued to a person by the Court is issued to the person if — </w:t>
      </w:r>
    </w:p>
    <w:p>
      <w:pPr>
        <w:pStyle w:val="Indenta"/>
      </w:pPr>
      <w:r>
        <w:tab/>
        <w:t>(a)</w:t>
      </w:r>
      <w:r>
        <w:tab/>
        <w:t>the person is an approved user of the ECMS in respect of a document of that type and an electronic version of the document is issued to the person by means of the ECMS; or</w:t>
      </w:r>
    </w:p>
    <w:p>
      <w:pPr>
        <w:pStyle w:val="Indenta"/>
      </w:pPr>
      <w:r>
        <w:tab/>
        <w:t>(b)</w:t>
      </w:r>
      <w:r>
        <w:tab/>
        <w:t>the person has provided an email address for service and an electronic version of the document is sent by email to the person at that address.</w:t>
      </w:r>
    </w:p>
    <w:p>
      <w:pPr>
        <w:pStyle w:val="Subsection"/>
      </w:pPr>
      <w:r>
        <w:tab/>
        <w:t>(2)</w:t>
      </w:r>
      <w:r>
        <w:tab/>
        <w:t xml:space="preserve">For the purposes of the </w:t>
      </w:r>
      <w:r>
        <w:rPr>
          <w:i/>
        </w:rPr>
        <w:t>Courts and Tribunals (Electronic Processes Facilitation) Act 2013</w:t>
      </w:r>
      <w:r>
        <w:t xml:space="preserve"> section 10, a document issued by the Court that must be signed by the person issuing it is authenticated if — </w:t>
      </w:r>
    </w:p>
    <w:p>
      <w:pPr>
        <w:pStyle w:val="Indenta"/>
      </w:pPr>
      <w:r>
        <w:tab/>
        <w:t>(a)</w:t>
      </w:r>
      <w:r>
        <w:tab/>
        <w:t>the Court issues the document in an electronic form by means of the ECMS; and</w:t>
      </w:r>
    </w:p>
    <w:p>
      <w:pPr>
        <w:pStyle w:val="Indenta"/>
      </w:pPr>
      <w:r>
        <w:tab/>
        <w:t>(b)</w:t>
      </w:r>
      <w:r>
        <w:tab/>
        <w:t>the electronic document identifies the person who issued it.</w:t>
      </w:r>
    </w:p>
    <w:p>
      <w:pPr>
        <w:pStyle w:val="Subsection"/>
      </w:pPr>
      <w:r>
        <w:tab/>
        <w:t>(3)</w:t>
      </w:r>
      <w:r>
        <w:tab/>
        <w:t xml:space="preserve">A document that is issued to a person in accordance with subrule (1) is to be taken to have been issued — </w:t>
      </w:r>
    </w:p>
    <w:p>
      <w:pPr>
        <w:pStyle w:val="Indenta"/>
      </w:pPr>
      <w:r>
        <w:tab/>
        <w:t>(a)</w:t>
      </w:r>
      <w:r>
        <w:tab/>
        <w:t>if the whole document is available before 4.30 p.m. on a working day, on that day;</w:t>
      </w:r>
    </w:p>
    <w:p>
      <w:pPr>
        <w:pStyle w:val="Indenta"/>
      </w:pPr>
      <w:r>
        <w:tab/>
        <w:t>(b)</w:t>
      </w:r>
      <w:r>
        <w:tab/>
        <w:t>otherwise, on the next working day.</w:t>
      </w:r>
    </w:p>
    <w:p>
      <w:pPr>
        <w:pStyle w:val="Footnotesection"/>
      </w:pPr>
      <w:r>
        <w:tab/>
        <w:t>[Rule 15A inserted: Gazette 15 Aug 2014 p. 2943</w:t>
      </w:r>
      <w:r>
        <w:noBreakHyphen/>
        <w:t>4; amended: Gazette 31 Dec 2019 p. 4675; SL 2021/133 r. 8.]</w:t>
      </w:r>
    </w:p>
    <w:p>
      <w:pPr>
        <w:pStyle w:val="Heading3"/>
      </w:pPr>
      <w:bookmarkStart w:id="66" w:name="_Toc155094149"/>
      <w:bookmarkStart w:id="67" w:name="_Toc118114505"/>
      <w:bookmarkStart w:id="68" w:name="_Toc118119276"/>
      <w:bookmarkStart w:id="69" w:name="_Toc118124475"/>
      <w:r>
        <w:rPr>
          <w:rStyle w:val="CharDivNo"/>
        </w:rPr>
        <w:t>Division 4</w:t>
      </w:r>
      <w:r>
        <w:t> — </w:t>
      </w:r>
      <w:r>
        <w:rPr>
          <w:rStyle w:val="CharDivText"/>
        </w:rPr>
        <w:t>Recording proceedings</w:t>
      </w:r>
      <w:bookmarkEnd w:id="66"/>
      <w:bookmarkEnd w:id="67"/>
      <w:bookmarkEnd w:id="68"/>
      <w:bookmarkEnd w:id="69"/>
    </w:p>
    <w:p>
      <w:pPr>
        <w:pStyle w:val="Heading5"/>
      </w:pPr>
      <w:bookmarkStart w:id="70" w:name="_Toc155094150"/>
      <w:bookmarkStart w:id="71" w:name="_Toc118124476"/>
      <w:r>
        <w:rPr>
          <w:rStyle w:val="CharSectno"/>
        </w:rPr>
        <w:t>15</w:t>
      </w:r>
      <w:r>
        <w:t>.</w:t>
      </w:r>
      <w:r>
        <w:tab/>
        <w:t>Terms used</w:t>
      </w:r>
      <w:bookmarkEnd w:id="70"/>
      <w:bookmarkEnd w:id="71"/>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72" w:name="_Toc155094151"/>
      <w:bookmarkStart w:id="73" w:name="_Toc118124477"/>
      <w:r>
        <w:rPr>
          <w:rStyle w:val="CharSectno"/>
        </w:rPr>
        <w:t>16</w:t>
      </w:r>
      <w:r>
        <w:t>.</w:t>
      </w:r>
      <w:r>
        <w:tab/>
        <w:t>Application of these rules</w:t>
      </w:r>
      <w:bookmarkEnd w:id="72"/>
      <w:bookmarkEnd w:id="73"/>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74" w:name="_Toc155094152"/>
      <w:bookmarkStart w:id="75" w:name="_Toc118124478"/>
      <w:r>
        <w:rPr>
          <w:rStyle w:val="CharSectno"/>
        </w:rPr>
        <w:t>17</w:t>
      </w:r>
      <w:r>
        <w:t>.</w:t>
      </w:r>
      <w:r>
        <w:tab/>
        <w:t>Transcripts may be in electronic form</w:t>
      </w:r>
      <w:bookmarkEnd w:id="74"/>
      <w:bookmarkEnd w:id="75"/>
    </w:p>
    <w:p>
      <w:pPr>
        <w:pStyle w:val="Subsection"/>
      </w:pPr>
      <w:r>
        <w:tab/>
      </w:r>
      <w:r>
        <w:tab/>
        <w:t>These rules do not prevent a transcript of proceedings being in an electronic form.</w:t>
      </w:r>
    </w:p>
    <w:p>
      <w:pPr>
        <w:pStyle w:val="Heading5"/>
      </w:pPr>
      <w:bookmarkStart w:id="76" w:name="_Toc155094153"/>
      <w:bookmarkStart w:id="77" w:name="_Toc118124479"/>
      <w:r>
        <w:rPr>
          <w:rStyle w:val="CharSectno"/>
        </w:rPr>
        <w:t>18</w:t>
      </w:r>
      <w:r>
        <w:t>.</w:t>
      </w:r>
      <w:r>
        <w:tab/>
        <w:t>Proceedings that are to be recorded and transcribed</w:t>
      </w:r>
      <w:bookmarkEnd w:id="76"/>
      <w:bookmarkEnd w:id="77"/>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78" w:name="_Toc155094154"/>
      <w:bookmarkStart w:id="79" w:name="_Toc118124480"/>
      <w:r>
        <w:rPr>
          <w:rStyle w:val="CharSectno"/>
        </w:rPr>
        <w:t>19</w:t>
      </w:r>
      <w:r>
        <w:t>.</w:t>
      </w:r>
      <w:r>
        <w:tab/>
        <w:t>Recorders and transcribers, duties of</w:t>
      </w:r>
      <w:bookmarkEnd w:id="78"/>
      <w:bookmarkEnd w:id="79"/>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80" w:name="_Toc155094155"/>
      <w:bookmarkStart w:id="81" w:name="_Toc118124481"/>
      <w:r>
        <w:rPr>
          <w:rStyle w:val="CharSectno"/>
        </w:rPr>
        <w:t>20</w:t>
      </w:r>
      <w:r>
        <w:t>.</w:t>
      </w:r>
      <w:r>
        <w:tab/>
        <w:t>Accuracy of transcript, requesting check of</w:t>
      </w:r>
      <w:bookmarkEnd w:id="80"/>
      <w:bookmarkEnd w:id="81"/>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82" w:name="_Toc155094156"/>
      <w:bookmarkStart w:id="83" w:name="_Toc118124482"/>
      <w:r>
        <w:rPr>
          <w:rStyle w:val="CharSectno"/>
        </w:rPr>
        <w:t>21</w:t>
      </w:r>
      <w:r>
        <w:t>.</w:t>
      </w:r>
      <w:r>
        <w:tab/>
        <w:t>Certificate of accuracy, form of</w:t>
      </w:r>
      <w:bookmarkEnd w:id="82"/>
      <w:bookmarkEnd w:id="83"/>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84" w:name="_Toc155094157"/>
      <w:bookmarkStart w:id="85" w:name="_Toc118124483"/>
      <w:r>
        <w:rPr>
          <w:rStyle w:val="CharSectno"/>
        </w:rPr>
        <w:t>22</w:t>
      </w:r>
      <w:r>
        <w:t>.</w:t>
      </w:r>
      <w:r>
        <w:tab/>
        <w:t>Recordings and transcripts, custody of</w:t>
      </w:r>
      <w:bookmarkEnd w:id="84"/>
      <w:bookmarkEnd w:id="85"/>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86" w:name="_Toc155094158"/>
      <w:bookmarkStart w:id="87" w:name="_Toc118114514"/>
      <w:bookmarkStart w:id="88" w:name="_Toc118119285"/>
      <w:bookmarkStart w:id="89" w:name="_Toc118124484"/>
      <w:r>
        <w:rPr>
          <w:rStyle w:val="CharPartNo"/>
        </w:rPr>
        <w:t>Part 3</w:t>
      </w:r>
      <w:r>
        <w:t> — </w:t>
      </w:r>
      <w:r>
        <w:rPr>
          <w:rStyle w:val="CharPartText"/>
        </w:rPr>
        <w:t>Delegated jurisdiction</w:t>
      </w:r>
      <w:bookmarkEnd w:id="86"/>
      <w:bookmarkEnd w:id="87"/>
      <w:bookmarkEnd w:id="88"/>
      <w:bookmarkEnd w:id="89"/>
    </w:p>
    <w:p>
      <w:pPr>
        <w:pStyle w:val="Heading3"/>
      </w:pPr>
      <w:bookmarkStart w:id="90" w:name="_Toc155094159"/>
      <w:bookmarkStart w:id="91" w:name="_Toc118114515"/>
      <w:bookmarkStart w:id="92" w:name="_Toc118119286"/>
      <w:bookmarkStart w:id="93" w:name="_Toc118124485"/>
      <w:r>
        <w:rPr>
          <w:rStyle w:val="CharDivNo"/>
        </w:rPr>
        <w:t>Division 1</w:t>
      </w:r>
      <w:r>
        <w:t> — </w:t>
      </w:r>
      <w:r>
        <w:rPr>
          <w:rStyle w:val="CharDivText"/>
        </w:rPr>
        <w:t>General</w:t>
      </w:r>
      <w:bookmarkEnd w:id="90"/>
      <w:bookmarkEnd w:id="91"/>
      <w:bookmarkEnd w:id="92"/>
      <w:bookmarkEnd w:id="93"/>
    </w:p>
    <w:p>
      <w:pPr>
        <w:pStyle w:val="Heading5"/>
      </w:pPr>
      <w:bookmarkStart w:id="94" w:name="_Toc155094160"/>
      <w:bookmarkStart w:id="95" w:name="_Toc118124486"/>
      <w:r>
        <w:rPr>
          <w:rStyle w:val="CharSectno"/>
        </w:rPr>
        <w:t>23</w:t>
      </w:r>
      <w:r>
        <w:t>.</w:t>
      </w:r>
      <w:r>
        <w:tab/>
        <w:t>Oaths, who may administer</w:t>
      </w:r>
      <w:bookmarkEnd w:id="94"/>
      <w:bookmarkEnd w:id="95"/>
    </w:p>
    <w:p>
      <w:pPr>
        <w:pStyle w:val="Subsection"/>
        <w:spacing w:before="150"/>
      </w:pPr>
      <w:r>
        <w:tab/>
      </w:r>
      <w:r>
        <w:tab/>
        <w:t>Any Court officer assisting the Court, when it is constituted by a magistrate or by one or more JPs, may administer an oath or affirmation to any person who the Court requires to be sworn.</w:t>
      </w:r>
    </w:p>
    <w:p>
      <w:pPr>
        <w:pStyle w:val="Heading3"/>
      </w:pPr>
      <w:bookmarkStart w:id="96" w:name="_Toc155094161"/>
      <w:bookmarkStart w:id="97" w:name="_Toc118114517"/>
      <w:bookmarkStart w:id="98" w:name="_Toc118119288"/>
      <w:bookmarkStart w:id="99" w:name="_Toc118124487"/>
      <w:r>
        <w:rPr>
          <w:rStyle w:val="CharDivNo"/>
        </w:rPr>
        <w:t>Division 2</w:t>
      </w:r>
      <w:r>
        <w:t> — </w:t>
      </w:r>
      <w:r>
        <w:rPr>
          <w:rStyle w:val="CharDivText"/>
        </w:rPr>
        <w:t>Registrar’s jurisdiction</w:t>
      </w:r>
      <w:bookmarkEnd w:id="96"/>
      <w:bookmarkEnd w:id="97"/>
      <w:bookmarkEnd w:id="98"/>
      <w:bookmarkEnd w:id="99"/>
    </w:p>
    <w:p>
      <w:pPr>
        <w:pStyle w:val="Heading5"/>
      </w:pPr>
      <w:bookmarkStart w:id="100" w:name="_Toc155094162"/>
      <w:bookmarkStart w:id="101" w:name="_Toc118124488"/>
      <w:r>
        <w:rPr>
          <w:rStyle w:val="CharSectno"/>
        </w:rPr>
        <w:t>24</w:t>
      </w:r>
      <w:r>
        <w:t>.</w:t>
      </w:r>
      <w:r>
        <w:tab/>
        <w:t>Civil jurisdiction of registrars</w:t>
      </w:r>
      <w:bookmarkEnd w:id="100"/>
      <w:bookmarkEnd w:id="101"/>
    </w:p>
    <w:p>
      <w:pPr>
        <w:pStyle w:val="Subsection"/>
        <w:spacing w:before="150"/>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spacing w:before="150"/>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Gazette 24 Aug 2007 p. 4323.]</w:t>
      </w:r>
    </w:p>
    <w:p>
      <w:pPr>
        <w:pStyle w:val="Heading5"/>
      </w:pPr>
      <w:bookmarkStart w:id="102" w:name="_Toc155094163"/>
      <w:bookmarkStart w:id="103" w:name="_Toc118124489"/>
      <w:r>
        <w:rPr>
          <w:rStyle w:val="CharSectno"/>
        </w:rPr>
        <w:t>25</w:t>
      </w:r>
      <w:r>
        <w:t>.</w:t>
      </w:r>
      <w:r>
        <w:tab/>
        <w:t>Criminal jurisdiction of registrars</w:t>
      </w:r>
      <w:bookmarkEnd w:id="102"/>
      <w:bookmarkEnd w:id="103"/>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104" w:name="_Toc155094164"/>
      <w:bookmarkStart w:id="105" w:name="_Toc118114520"/>
      <w:bookmarkStart w:id="106" w:name="_Toc118119291"/>
      <w:bookmarkStart w:id="107" w:name="_Toc118124490"/>
      <w:r>
        <w:rPr>
          <w:rStyle w:val="CharDivNo"/>
        </w:rPr>
        <w:t>Division 3</w:t>
      </w:r>
      <w:r>
        <w:t> — </w:t>
      </w:r>
      <w:r>
        <w:rPr>
          <w:rStyle w:val="CharDivText"/>
        </w:rPr>
        <w:t>Appeals against decisions by a registrar</w:t>
      </w:r>
      <w:bookmarkEnd w:id="104"/>
      <w:bookmarkEnd w:id="105"/>
      <w:bookmarkEnd w:id="106"/>
      <w:bookmarkEnd w:id="107"/>
    </w:p>
    <w:p>
      <w:pPr>
        <w:pStyle w:val="Heading5"/>
      </w:pPr>
      <w:bookmarkStart w:id="108" w:name="_Toc155094165"/>
      <w:bookmarkStart w:id="109" w:name="_Toc118124491"/>
      <w:r>
        <w:rPr>
          <w:rStyle w:val="CharSectno"/>
        </w:rPr>
        <w:t>26</w:t>
      </w:r>
      <w:r>
        <w:t>.</w:t>
      </w:r>
      <w:r>
        <w:tab/>
        <w:t>Commencing an appeal (Act s. 29)</w:t>
      </w:r>
      <w:bookmarkEnd w:id="108"/>
      <w:bookmarkEnd w:id="109"/>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keepNext/>
      </w:pPr>
      <w:r>
        <w:tab/>
        <w:t>(b)</w:t>
      </w:r>
      <w:r>
        <w:tab/>
        <w:t>may be dealt with in the absence of the parties.</w:t>
      </w:r>
    </w:p>
    <w:p>
      <w:pPr>
        <w:pStyle w:val="Footnotesection"/>
      </w:pPr>
      <w:r>
        <w:tab/>
        <w:t>[Rule 26 amended: Gazette 23 Nov 2007 p. 5862; 26 Jul 2013 p. 3346.]</w:t>
      </w:r>
    </w:p>
    <w:p>
      <w:pPr>
        <w:pStyle w:val="Heading5"/>
      </w:pPr>
      <w:bookmarkStart w:id="110" w:name="_Toc155094166"/>
      <w:bookmarkStart w:id="111" w:name="_Toc118124492"/>
      <w:r>
        <w:rPr>
          <w:rStyle w:val="CharSectno"/>
        </w:rPr>
        <w:t>27A</w:t>
      </w:r>
      <w:r>
        <w:t>.</w:t>
      </w:r>
      <w:r>
        <w:tab/>
        <w:t>Order for substituted service or dispensing with service</w:t>
      </w:r>
      <w:bookmarkEnd w:id="110"/>
      <w:bookmarkEnd w:id="111"/>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keepNext/>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Gazette 26 Jul 2013 p. 3346-7.]</w:t>
      </w:r>
    </w:p>
    <w:p>
      <w:pPr>
        <w:pStyle w:val="Heading5"/>
      </w:pPr>
      <w:bookmarkStart w:id="112" w:name="_Toc155094167"/>
      <w:bookmarkStart w:id="113" w:name="_Toc118124493"/>
      <w:r>
        <w:rPr>
          <w:rStyle w:val="CharSectno"/>
        </w:rPr>
        <w:t>27</w:t>
      </w:r>
      <w:r>
        <w:t>.</w:t>
      </w:r>
      <w:r>
        <w:tab/>
        <w:t>Appeal does not stay the case</w:t>
      </w:r>
      <w:bookmarkEnd w:id="112"/>
      <w:bookmarkEnd w:id="113"/>
    </w:p>
    <w:p>
      <w:pPr>
        <w:pStyle w:val="Subsection"/>
      </w:pPr>
      <w:r>
        <w:tab/>
      </w:r>
      <w:r>
        <w:tab/>
        <w:t>The commencement of an appeal under the Act section 29(1) does not stay the case concerned unless a magistrate orders otherwise.</w:t>
      </w:r>
    </w:p>
    <w:p>
      <w:pPr>
        <w:pStyle w:val="Heading5"/>
      </w:pPr>
      <w:bookmarkStart w:id="114" w:name="_Toc155094168"/>
      <w:bookmarkStart w:id="115" w:name="_Toc118124494"/>
      <w:r>
        <w:rPr>
          <w:rStyle w:val="CharSectno"/>
        </w:rPr>
        <w:t>28</w:t>
      </w:r>
      <w:r>
        <w:t>.</w:t>
      </w:r>
      <w:r>
        <w:tab/>
        <w:t>Listing the appeal for hearing</w:t>
      </w:r>
      <w:bookmarkEnd w:id="114"/>
      <w:bookmarkEnd w:id="115"/>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 Gazette 26 Jul 2013 p. 3347.]</w:t>
      </w:r>
    </w:p>
    <w:p>
      <w:pPr>
        <w:pStyle w:val="Heading2"/>
      </w:pPr>
      <w:bookmarkStart w:id="116" w:name="_Toc155094169"/>
      <w:bookmarkStart w:id="117" w:name="_Toc118114525"/>
      <w:bookmarkStart w:id="118" w:name="_Toc118119296"/>
      <w:bookmarkStart w:id="119" w:name="_Toc118124495"/>
      <w:r>
        <w:rPr>
          <w:rStyle w:val="CharPartNo"/>
        </w:rPr>
        <w:t>Part 3A</w:t>
      </w:r>
      <w:r>
        <w:rPr>
          <w:rStyle w:val="CharDivNo"/>
        </w:rPr>
        <w:t xml:space="preserve"> </w:t>
      </w:r>
      <w:r>
        <w:t>—</w:t>
      </w:r>
      <w:r>
        <w:rPr>
          <w:rStyle w:val="CharDivText"/>
        </w:rPr>
        <w:t xml:space="preserve"> </w:t>
      </w:r>
      <w:r>
        <w:rPr>
          <w:rStyle w:val="CharPartText"/>
        </w:rPr>
        <w:t>General matters</w:t>
      </w:r>
      <w:bookmarkEnd w:id="116"/>
      <w:bookmarkEnd w:id="117"/>
      <w:bookmarkEnd w:id="118"/>
      <w:bookmarkEnd w:id="119"/>
    </w:p>
    <w:p>
      <w:pPr>
        <w:pStyle w:val="Footnoteheading"/>
      </w:pPr>
      <w:r>
        <w:tab/>
        <w:t>[Heading inserted: Gazette 24 Aug 2007 p. 4323.]</w:t>
      </w:r>
    </w:p>
    <w:p>
      <w:pPr>
        <w:pStyle w:val="Heading5"/>
      </w:pPr>
      <w:bookmarkStart w:id="120" w:name="_Toc155094170"/>
      <w:bookmarkStart w:id="121" w:name="_Toc118124496"/>
      <w:r>
        <w:rPr>
          <w:rStyle w:val="CharSectno"/>
        </w:rPr>
        <w:t>28A</w:t>
      </w:r>
      <w:r>
        <w:t>.</w:t>
      </w:r>
      <w:r>
        <w:tab/>
        <w:t>Magistrates, addressing etc.</w:t>
      </w:r>
      <w:bookmarkEnd w:id="120"/>
      <w:bookmarkEnd w:id="121"/>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Gazette 24 Aug 2007 p. 4323.]</w:t>
      </w:r>
    </w:p>
    <w:p>
      <w:pPr>
        <w:pStyle w:val="Heading5"/>
      </w:pPr>
      <w:bookmarkStart w:id="122" w:name="_Toc155094171"/>
      <w:bookmarkStart w:id="123" w:name="_Toc118124497"/>
      <w:r>
        <w:rPr>
          <w:rStyle w:val="CharSectno"/>
        </w:rPr>
        <w:t>28B</w:t>
      </w:r>
      <w:r>
        <w:t>.</w:t>
      </w:r>
      <w:r>
        <w:tab/>
        <w:t>Civil cases, dealing with in chambers</w:t>
      </w:r>
      <w:bookmarkEnd w:id="122"/>
      <w:bookmarkEnd w:id="123"/>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Gazette 17 May 2011 p. 1823.]</w:t>
      </w:r>
    </w:p>
    <w:p>
      <w:pPr>
        <w:pStyle w:val="Heading2"/>
      </w:pPr>
      <w:bookmarkStart w:id="124" w:name="_Toc155094172"/>
      <w:bookmarkStart w:id="125" w:name="_Toc118114528"/>
      <w:bookmarkStart w:id="126" w:name="_Toc118119299"/>
      <w:bookmarkStart w:id="127" w:name="_Toc118124498"/>
      <w:r>
        <w:rPr>
          <w:rStyle w:val="CharPartNo"/>
        </w:rPr>
        <w:t>Part 4</w:t>
      </w:r>
      <w:r>
        <w:rPr>
          <w:rStyle w:val="CharDivNo"/>
        </w:rPr>
        <w:t> </w:t>
      </w:r>
      <w:r>
        <w:t>—</w:t>
      </w:r>
      <w:r>
        <w:rPr>
          <w:rStyle w:val="CharDivText"/>
        </w:rPr>
        <w:t> </w:t>
      </w:r>
      <w:r>
        <w:rPr>
          <w:rStyle w:val="CharPartText"/>
        </w:rPr>
        <w:t>Contempt of court</w:t>
      </w:r>
      <w:bookmarkEnd w:id="124"/>
      <w:bookmarkEnd w:id="125"/>
      <w:bookmarkEnd w:id="126"/>
      <w:bookmarkEnd w:id="127"/>
    </w:p>
    <w:p>
      <w:pPr>
        <w:pStyle w:val="Heading5"/>
      </w:pPr>
      <w:bookmarkStart w:id="128" w:name="_Toc155094173"/>
      <w:bookmarkStart w:id="129" w:name="_Toc118124499"/>
      <w:r>
        <w:rPr>
          <w:rStyle w:val="CharSectno"/>
        </w:rPr>
        <w:t>29</w:t>
      </w:r>
      <w:r>
        <w:t>.</w:t>
      </w:r>
      <w:r>
        <w:tab/>
        <w:t>Terms used</w:t>
      </w:r>
      <w:bookmarkEnd w:id="128"/>
      <w:bookmarkEnd w:id="129"/>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30" w:name="_Toc155094174"/>
      <w:bookmarkStart w:id="131" w:name="_Toc118124500"/>
      <w:r>
        <w:rPr>
          <w:rStyle w:val="CharSectno"/>
        </w:rPr>
        <w:t>30</w:t>
      </w:r>
      <w:r>
        <w:t>.</w:t>
      </w:r>
      <w:r>
        <w:tab/>
        <w:t>Summonses and warrants (Act s. 16), form of</w:t>
      </w:r>
      <w:bookmarkEnd w:id="130"/>
      <w:bookmarkEnd w:id="131"/>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32" w:name="_Toc155094175"/>
      <w:bookmarkStart w:id="133" w:name="_Toc118124501"/>
      <w:r>
        <w:rPr>
          <w:rStyle w:val="CharSectno"/>
        </w:rPr>
        <w:t>31</w:t>
      </w:r>
      <w:r>
        <w:t>.</w:t>
      </w:r>
      <w:r>
        <w:tab/>
        <w:t>When contempt may be dealt with summarily</w:t>
      </w:r>
      <w:bookmarkEnd w:id="132"/>
      <w:bookmarkEnd w:id="133"/>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34" w:name="_Toc155094176"/>
      <w:bookmarkStart w:id="135" w:name="_Toc118124502"/>
      <w:r>
        <w:rPr>
          <w:rStyle w:val="CharSectno"/>
        </w:rPr>
        <w:t>32</w:t>
      </w:r>
      <w:r>
        <w:t>.</w:t>
      </w:r>
      <w:r>
        <w:tab/>
        <w:t>Contempts not dealt with summarily may be referred to Attorney General</w:t>
      </w:r>
      <w:bookmarkEnd w:id="134"/>
      <w:bookmarkEnd w:id="135"/>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36" w:name="_Toc155094177"/>
      <w:bookmarkStart w:id="137" w:name="_Toc118124503"/>
      <w:r>
        <w:rPr>
          <w:rStyle w:val="CharSectno"/>
        </w:rPr>
        <w:t>33</w:t>
      </w:r>
      <w:r>
        <w:t>.</w:t>
      </w:r>
      <w:r>
        <w:tab/>
        <w:t>Attorney General may prosecute alleged contempt</w:t>
      </w:r>
      <w:bookmarkEnd w:id="136"/>
      <w:bookmarkEnd w:id="137"/>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keepNext/>
      </w:pPr>
      <w:r>
        <w:tab/>
        <w:t>(3)</w:t>
      </w:r>
      <w:r>
        <w:tab/>
        <w:t>The charge must be served on the defendant together with written notice of a hearing date for it and written notice that at the hearing he or she is entitled to be represented by a legal practitioner and to call any person as a witness.</w:t>
      </w:r>
    </w:p>
    <w:p>
      <w:pPr>
        <w:pStyle w:val="Footnotesection"/>
      </w:pPr>
      <w:r>
        <w:tab/>
        <w:t>[Rule 33 amended: SL 2022/106 r. 6.]</w:t>
      </w:r>
    </w:p>
    <w:p>
      <w:pPr>
        <w:pStyle w:val="Heading5"/>
        <w:tabs>
          <w:tab w:val="left" w:pos="4845"/>
        </w:tabs>
      </w:pPr>
      <w:bookmarkStart w:id="138" w:name="_Toc155094178"/>
      <w:bookmarkStart w:id="139" w:name="_Toc118124504"/>
      <w:r>
        <w:rPr>
          <w:rStyle w:val="CharSectno"/>
        </w:rPr>
        <w:t>34</w:t>
      </w:r>
      <w:r>
        <w:t>.</w:t>
      </w:r>
      <w:r>
        <w:tab/>
        <w:t>Charge of contempt, hearing of</w:t>
      </w:r>
      <w:bookmarkEnd w:id="138"/>
      <w:bookmarkEnd w:id="139"/>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40" w:name="_Toc155094179"/>
      <w:bookmarkStart w:id="141" w:name="_Toc118124505"/>
      <w:r>
        <w:rPr>
          <w:rStyle w:val="CharSectno"/>
        </w:rPr>
        <w:t>35</w:t>
      </w:r>
      <w:r>
        <w:t>.</w:t>
      </w:r>
      <w:r>
        <w:tab/>
        <w:t>Procedure for contempts generally</w:t>
      </w:r>
      <w:bookmarkEnd w:id="140"/>
      <w:bookmarkEnd w:id="141"/>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42" w:name="_Toc155094180"/>
      <w:bookmarkStart w:id="143" w:name="_Toc118124506"/>
      <w:r>
        <w:rPr>
          <w:rStyle w:val="CharSectno"/>
        </w:rPr>
        <w:t>36</w:t>
      </w:r>
      <w:r>
        <w:t>.</w:t>
      </w:r>
      <w:r>
        <w:tab/>
        <w:t>Outcome of contempt proceedings to be recorded</w:t>
      </w:r>
      <w:bookmarkEnd w:id="142"/>
      <w:bookmarkEnd w:id="143"/>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notice advising the defendant of the Court’s decision, any order made as a result, and any punishment imposed.</w:t>
      </w:r>
    </w:p>
    <w:p>
      <w:pPr>
        <w:pStyle w:val="Footnotesection"/>
      </w:pPr>
      <w:r>
        <w:tab/>
        <w:t>[Rule 36 amended: SL 2021/25 r. 23.]</w:t>
      </w:r>
    </w:p>
    <w:p>
      <w:pPr>
        <w:pStyle w:val="Heading2"/>
      </w:pPr>
      <w:bookmarkStart w:id="144" w:name="_Toc155094181"/>
      <w:bookmarkStart w:id="145" w:name="_Toc118114537"/>
      <w:bookmarkStart w:id="146" w:name="_Toc118119308"/>
      <w:bookmarkStart w:id="147" w:name="_Toc118124507"/>
      <w:r>
        <w:rPr>
          <w:rStyle w:val="CharPartNo"/>
        </w:rPr>
        <w:t>Part 5</w:t>
      </w:r>
      <w:r>
        <w:t> — </w:t>
      </w:r>
      <w:r>
        <w:rPr>
          <w:rStyle w:val="CharPartText"/>
        </w:rPr>
        <w:t>Court records</w:t>
      </w:r>
      <w:bookmarkEnd w:id="144"/>
      <w:bookmarkEnd w:id="145"/>
      <w:bookmarkEnd w:id="146"/>
      <w:bookmarkEnd w:id="147"/>
    </w:p>
    <w:p>
      <w:pPr>
        <w:pStyle w:val="Heading3"/>
      </w:pPr>
      <w:bookmarkStart w:id="148" w:name="_Toc155094182"/>
      <w:bookmarkStart w:id="149" w:name="_Toc118114538"/>
      <w:bookmarkStart w:id="150" w:name="_Toc118119309"/>
      <w:bookmarkStart w:id="151" w:name="_Toc118124508"/>
      <w:r>
        <w:rPr>
          <w:rStyle w:val="CharDivNo"/>
        </w:rPr>
        <w:t>Division 1</w:t>
      </w:r>
      <w:r>
        <w:t> — </w:t>
      </w:r>
      <w:r>
        <w:rPr>
          <w:rStyle w:val="CharDivText"/>
        </w:rPr>
        <w:t>Requests under Act s. 33(3) or (7)</w:t>
      </w:r>
      <w:bookmarkEnd w:id="148"/>
      <w:bookmarkEnd w:id="149"/>
      <w:bookmarkEnd w:id="150"/>
      <w:bookmarkEnd w:id="151"/>
    </w:p>
    <w:p>
      <w:pPr>
        <w:pStyle w:val="Footnoteheading"/>
      </w:pPr>
      <w:r>
        <w:tab/>
        <w:t>[Heading inserted: Gazette 11 Mar 2014 p. 573.]</w:t>
      </w:r>
    </w:p>
    <w:p>
      <w:pPr>
        <w:pStyle w:val="Heading5"/>
      </w:pPr>
      <w:bookmarkStart w:id="152" w:name="_Toc155094183"/>
      <w:bookmarkStart w:id="153" w:name="_Toc118124509"/>
      <w:r>
        <w:rPr>
          <w:rStyle w:val="CharSectno"/>
        </w:rPr>
        <w:t>37</w:t>
      </w:r>
      <w:r>
        <w:t>.</w:t>
      </w:r>
      <w:r>
        <w:tab/>
        <w:t>Request to inspect or obtain a copy of a document (Act s. 33(3) or (7))</w:t>
      </w:r>
      <w:bookmarkEnd w:id="152"/>
      <w:bookmarkEnd w:id="153"/>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Gazette 8 Apr 2008 p. 1335</w:t>
      </w:r>
      <w:r>
        <w:noBreakHyphen/>
        <w:t>6; amended: Gazette 7 Jan 2011 p. 51.]</w:t>
      </w:r>
    </w:p>
    <w:p>
      <w:pPr>
        <w:pStyle w:val="Heading3"/>
      </w:pPr>
      <w:bookmarkStart w:id="154" w:name="_Toc155094184"/>
      <w:bookmarkStart w:id="155" w:name="_Toc118114540"/>
      <w:bookmarkStart w:id="156" w:name="_Toc118119311"/>
      <w:bookmarkStart w:id="157" w:name="_Toc118124510"/>
      <w:r>
        <w:rPr>
          <w:rStyle w:val="CharDivNo"/>
        </w:rPr>
        <w:t>Division 2</w:t>
      </w:r>
      <w:r>
        <w:t> — </w:t>
      </w:r>
      <w:r>
        <w:rPr>
          <w:rStyle w:val="CharDivText"/>
        </w:rPr>
        <w:t>Applications under Act s. 33(4) or (8)</w:t>
      </w:r>
      <w:bookmarkEnd w:id="154"/>
      <w:bookmarkEnd w:id="155"/>
      <w:bookmarkEnd w:id="156"/>
      <w:bookmarkEnd w:id="157"/>
    </w:p>
    <w:p>
      <w:pPr>
        <w:pStyle w:val="Footnoteheading"/>
      </w:pPr>
      <w:r>
        <w:tab/>
        <w:t>[Heading inserted: Gazette 11 Mar 2014 p. 573.]</w:t>
      </w:r>
    </w:p>
    <w:p>
      <w:pPr>
        <w:pStyle w:val="Heading5"/>
        <w:rPr>
          <w:ins w:id="158" w:author="Master Repository Process" w:date="2024-01-02T13:22:00Z"/>
        </w:rPr>
      </w:pPr>
      <w:bookmarkStart w:id="159" w:name="_Toc155094185"/>
      <w:ins w:id="160" w:author="Master Repository Process" w:date="2024-01-02T13:22:00Z">
        <w:r>
          <w:rPr>
            <w:rStyle w:val="CharSectno"/>
          </w:rPr>
          <w:t>38A</w:t>
        </w:r>
        <w:r>
          <w:t>.</w:t>
        </w:r>
        <w:r>
          <w:tab/>
          <w:t>Term used: civil litigation information</w:t>
        </w:r>
        <w:bookmarkEnd w:id="159"/>
      </w:ins>
    </w:p>
    <w:p>
      <w:pPr>
        <w:pStyle w:val="Subsection"/>
        <w:rPr>
          <w:ins w:id="161" w:author="Master Repository Process" w:date="2024-01-02T13:22:00Z"/>
        </w:rPr>
      </w:pPr>
      <w:ins w:id="162" w:author="Master Repository Process" w:date="2024-01-02T13:22:00Z">
        <w:r>
          <w:tab/>
        </w:r>
        <w:r>
          <w:tab/>
          <w:t xml:space="preserve">In this Division — </w:t>
        </w:r>
      </w:ins>
    </w:p>
    <w:p>
      <w:pPr>
        <w:pStyle w:val="Defstart"/>
        <w:rPr>
          <w:ins w:id="163" w:author="Master Repository Process" w:date="2024-01-02T13:22:00Z"/>
        </w:rPr>
      </w:pPr>
      <w:ins w:id="164" w:author="Master Repository Process" w:date="2024-01-02T13:22:00Z">
        <w:r>
          <w:tab/>
        </w:r>
        <w:r>
          <w:rPr>
            <w:rStyle w:val="CharDefText"/>
          </w:rPr>
          <w:t>civil litigation information</w:t>
        </w:r>
        <w:r>
          <w:t xml:space="preserve"> means any of the following information in relation to a case — </w:t>
        </w:r>
      </w:ins>
    </w:p>
    <w:p>
      <w:pPr>
        <w:pStyle w:val="Defpara"/>
        <w:rPr>
          <w:ins w:id="165" w:author="Master Repository Process" w:date="2024-01-02T13:22:00Z"/>
        </w:rPr>
      </w:pPr>
      <w:ins w:id="166" w:author="Master Repository Process" w:date="2024-01-02T13:22:00Z">
        <w:r>
          <w:tab/>
          <w:t>(a)</w:t>
        </w:r>
        <w:r>
          <w:tab/>
          <w:t>the names of the parties;</w:t>
        </w:r>
      </w:ins>
    </w:p>
    <w:p>
      <w:pPr>
        <w:pStyle w:val="Defpara"/>
        <w:rPr>
          <w:ins w:id="167" w:author="Master Repository Process" w:date="2024-01-02T13:22:00Z"/>
        </w:rPr>
      </w:pPr>
      <w:ins w:id="168" w:author="Master Repository Process" w:date="2024-01-02T13:22:00Z">
        <w:r>
          <w:tab/>
          <w:t>(b)</w:t>
        </w:r>
        <w:r>
          <w:tab/>
          <w:t>the amount and nature of the claim;</w:t>
        </w:r>
      </w:ins>
    </w:p>
    <w:p>
      <w:pPr>
        <w:pStyle w:val="Defpara"/>
        <w:rPr>
          <w:ins w:id="169" w:author="Master Repository Process" w:date="2024-01-02T13:22:00Z"/>
        </w:rPr>
      </w:pPr>
      <w:ins w:id="170" w:author="Master Repository Process" w:date="2024-01-02T13:22:00Z">
        <w:r>
          <w:tab/>
          <w:t>(c)</w:t>
        </w:r>
        <w:r>
          <w:tab/>
          <w:t>the amount of any judgment entered;</w:t>
        </w:r>
      </w:ins>
    </w:p>
    <w:p>
      <w:pPr>
        <w:pStyle w:val="Defpara"/>
        <w:rPr>
          <w:ins w:id="171" w:author="Master Repository Process" w:date="2024-01-02T13:22:00Z"/>
        </w:rPr>
      </w:pPr>
      <w:ins w:id="172" w:author="Master Repository Process" w:date="2024-01-02T13:22:00Z">
        <w:r>
          <w:tab/>
          <w:t>(d)</w:t>
        </w:r>
        <w:r>
          <w:tab/>
          <w:t>whether the case has been dismissed or discontinued.</w:t>
        </w:r>
      </w:ins>
    </w:p>
    <w:p>
      <w:pPr>
        <w:pStyle w:val="Footnotesection"/>
        <w:rPr>
          <w:ins w:id="173" w:author="Master Repository Process" w:date="2024-01-02T13:22:00Z"/>
        </w:rPr>
      </w:pPr>
      <w:ins w:id="174" w:author="Master Repository Process" w:date="2024-01-02T13:22:00Z">
        <w:r>
          <w:tab/>
          <w:t>[Rule 38A inserted: SL 2023/148 r. 8.]</w:t>
        </w:r>
      </w:ins>
    </w:p>
    <w:p>
      <w:pPr>
        <w:pStyle w:val="Heading5"/>
      </w:pPr>
      <w:bookmarkStart w:id="175" w:name="_Toc155094186"/>
      <w:bookmarkStart w:id="176" w:name="_Toc118124511"/>
      <w:r>
        <w:rPr>
          <w:rStyle w:val="CharSectno"/>
        </w:rPr>
        <w:t>38</w:t>
      </w:r>
      <w:r>
        <w:t>.</w:t>
      </w:r>
      <w:r>
        <w:tab/>
        <w:t>Application for leave (Act s. 33(4))</w:t>
      </w:r>
      <w:bookmarkEnd w:id="175"/>
      <w:bookmarkEnd w:id="176"/>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Gazette 8 Apr 2008 p. 1336; amended: Gazette 7 Jan 2011 p. 52.]</w:t>
      </w:r>
    </w:p>
    <w:p>
      <w:pPr>
        <w:pStyle w:val="Heading5"/>
      </w:pPr>
      <w:bookmarkStart w:id="177" w:name="_Toc155094187"/>
      <w:bookmarkStart w:id="178" w:name="_Toc118124512"/>
      <w:r>
        <w:rPr>
          <w:rStyle w:val="CharSectno"/>
        </w:rPr>
        <w:t>39</w:t>
      </w:r>
      <w:r>
        <w:t>.</w:t>
      </w:r>
      <w:r>
        <w:tab/>
        <w:t>Application for access to information (Act s. 33(8))</w:t>
      </w:r>
      <w:bookmarkEnd w:id="177"/>
      <w:bookmarkEnd w:id="178"/>
    </w:p>
    <w:p>
      <w:pPr>
        <w:pStyle w:val="Subsection"/>
        <w:rPr>
          <w:ins w:id="179" w:author="Master Repository Process" w:date="2024-01-02T13:22:00Z"/>
        </w:rPr>
      </w:pPr>
      <w:ins w:id="180" w:author="Master Repository Process" w:date="2024-01-02T13:22:00Z">
        <w:r>
          <w:tab/>
          <w:t>(1A)</w:t>
        </w:r>
        <w:r>
          <w:tab/>
          <w:t xml:space="preserve">A person seeking access under section 33(8) of the Act to information held by the Court may — </w:t>
        </w:r>
      </w:ins>
    </w:p>
    <w:p>
      <w:pPr>
        <w:pStyle w:val="Indenta"/>
        <w:rPr>
          <w:ins w:id="181" w:author="Master Repository Process" w:date="2024-01-02T13:22:00Z"/>
        </w:rPr>
      </w:pPr>
      <w:ins w:id="182" w:author="Master Repository Process" w:date="2024-01-02T13:22:00Z">
        <w:r>
          <w:tab/>
          <w:t>(a)</w:t>
        </w:r>
        <w:r>
          <w:tab/>
          <w:t>make an application under this rule; or</w:t>
        </w:r>
      </w:ins>
    </w:p>
    <w:p>
      <w:pPr>
        <w:pStyle w:val="Indenta"/>
        <w:rPr>
          <w:ins w:id="183" w:author="Master Repository Process" w:date="2024-01-02T13:22:00Z"/>
          <w:sz w:val="20"/>
        </w:rPr>
      </w:pPr>
      <w:ins w:id="184" w:author="Master Repository Process" w:date="2024-01-02T13:22:00Z">
        <w:r>
          <w:tab/>
          <w:t>(b)</w:t>
        </w:r>
        <w:r>
          <w:tab/>
          <w:t>if the information is civil litigation information, make an application under rule 39A.</w:t>
        </w:r>
      </w:ins>
    </w:p>
    <w:p>
      <w:pPr>
        <w:pStyle w:val="Subsection"/>
      </w:pPr>
      <w:r>
        <w:tab/>
        <w:t>(1)</w:t>
      </w:r>
      <w:r>
        <w:tab/>
        <w:t xml:space="preserve">An application under </w:t>
      </w:r>
      <w:del w:id="185" w:author="Master Repository Process" w:date="2024-01-02T13:22:00Z">
        <w:r>
          <w:delText>the Act section 33(8)</w:delText>
        </w:r>
      </w:del>
      <w:ins w:id="186" w:author="Master Repository Process" w:date="2024-01-02T13:22:00Z">
        <w:r>
          <w:t>this rule</w:t>
        </w:r>
      </w:ins>
      <w:r>
        <w:t xml:space="preserve">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rPr>
          <w:ins w:id="187" w:author="Master Repository Process" w:date="2024-01-02T13:22:00Z"/>
          <w:i w:val="0"/>
        </w:rPr>
      </w:pPr>
      <w:r>
        <w:tab/>
        <w:t>[Rule 39 inserted: Gazette 8 Apr 2008 p. 1336; amended: Gazette 7 Jan 2011 p. </w:t>
      </w:r>
      <w:del w:id="188" w:author="Master Repository Process" w:date="2024-01-02T13:22:00Z">
        <w:r>
          <w:delText>52</w:delText>
        </w:r>
      </w:del>
      <w:ins w:id="189" w:author="Master Repository Process" w:date="2024-01-02T13:22:00Z">
        <w:r>
          <w:t>52; SL 2023/148 r. 9.]</w:t>
        </w:r>
      </w:ins>
    </w:p>
    <w:p>
      <w:pPr>
        <w:pStyle w:val="Heading5"/>
        <w:rPr>
          <w:ins w:id="190" w:author="Master Repository Process" w:date="2024-01-02T13:22:00Z"/>
        </w:rPr>
      </w:pPr>
      <w:bookmarkStart w:id="191" w:name="_Toc155094188"/>
      <w:ins w:id="192" w:author="Master Repository Process" w:date="2024-01-02T13:22:00Z">
        <w:r>
          <w:rPr>
            <w:rStyle w:val="CharSectno"/>
          </w:rPr>
          <w:t>39A</w:t>
        </w:r>
        <w:r>
          <w:t>.</w:t>
        </w:r>
        <w:r>
          <w:tab/>
          <w:t>Application for access to civil litigation information (Act s. 33(8))</w:t>
        </w:r>
        <w:bookmarkEnd w:id="191"/>
      </w:ins>
    </w:p>
    <w:p>
      <w:pPr>
        <w:pStyle w:val="Subsection"/>
        <w:rPr>
          <w:ins w:id="193" w:author="Master Repository Process" w:date="2024-01-02T13:22:00Z"/>
        </w:rPr>
      </w:pPr>
      <w:ins w:id="194" w:author="Master Repository Process" w:date="2024-01-02T13:22:00Z">
        <w:r>
          <w:tab/>
          <w:t>(1)</w:t>
        </w:r>
        <w:r>
          <w:tab/>
          <w:t>A person seeking access under section 33(8) of the Act to civil litigation information may make an application under this rule.</w:t>
        </w:r>
      </w:ins>
    </w:p>
    <w:p>
      <w:pPr>
        <w:pStyle w:val="Subsection"/>
        <w:rPr>
          <w:ins w:id="195" w:author="Master Repository Process" w:date="2024-01-02T13:22:00Z"/>
          <w:rStyle w:val="DraftersNotes"/>
          <w:b w:val="0"/>
          <w:i w:val="0"/>
        </w:rPr>
      </w:pPr>
      <w:ins w:id="196" w:author="Master Repository Process" w:date="2024-01-02T13:22:00Z">
        <w:r>
          <w:tab/>
          <w:t>(2)</w:t>
        </w:r>
        <w:r>
          <w:tab/>
          <w:t>The application must be lodged in the approved form.</w:t>
        </w:r>
      </w:ins>
    </w:p>
    <w:p>
      <w:pPr>
        <w:pStyle w:val="Subsection"/>
        <w:rPr>
          <w:ins w:id="197" w:author="Master Repository Process" w:date="2024-01-02T13:22:00Z"/>
        </w:rPr>
      </w:pPr>
      <w:ins w:id="198" w:author="Master Repository Process" w:date="2024-01-02T13:22:00Z">
        <w:r>
          <w:tab/>
          <w:t>(3)</w:t>
        </w:r>
        <w:r>
          <w:tab/>
          <w:t xml:space="preserve">A registrar may — </w:t>
        </w:r>
      </w:ins>
    </w:p>
    <w:p>
      <w:pPr>
        <w:pStyle w:val="Indenta"/>
        <w:rPr>
          <w:ins w:id="199" w:author="Master Repository Process" w:date="2024-01-02T13:22:00Z"/>
        </w:rPr>
      </w:pPr>
      <w:ins w:id="200" w:author="Master Repository Process" w:date="2024-01-02T13:22:00Z">
        <w:r>
          <w:tab/>
          <w:t>(a)</w:t>
        </w:r>
        <w:r>
          <w:tab/>
          <w:t>grant the application; or</w:t>
        </w:r>
      </w:ins>
    </w:p>
    <w:p>
      <w:pPr>
        <w:pStyle w:val="Indenta"/>
        <w:rPr>
          <w:ins w:id="201" w:author="Master Repository Process" w:date="2024-01-02T13:22:00Z"/>
        </w:rPr>
      </w:pPr>
      <w:ins w:id="202" w:author="Master Repository Process" w:date="2024-01-02T13:22:00Z">
        <w:r>
          <w:tab/>
          <w:t>(b)</w:t>
        </w:r>
        <w:r>
          <w:tab/>
          <w:t>refuse the application; or</w:t>
        </w:r>
      </w:ins>
    </w:p>
    <w:p>
      <w:pPr>
        <w:pStyle w:val="Indenta"/>
        <w:rPr>
          <w:ins w:id="203" w:author="Master Repository Process" w:date="2024-01-02T13:22:00Z"/>
        </w:rPr>
      </w:pPr>
      <w:ins w:id="204" w:author="Master Repository Process" w:date="2024-01-02T13:22:00Z">
        <w:r>
          <w:tab/>
          <w:t>(c)</w:t>
        </w:r>
        <w:r>
          <w:tab/>
          <w:t>refer the application to a magistrate, and may attach to it a written report on the administrative implications of granting it.</w:t>
        </w:r>
      </w:ins>
    </w:p>
    <w:p>
      <w:pPr>
        <w:pStyle w:val="Subsection"/>
        <w:rPr>
          <w:ins w:id="205" w:author="Master Repository Process" w:date="2024-01-02T13:22:00Z"/>
        </w:rPr>
      </w:pPr>
      <w:ins w:id="206" w:author="Master Repository Process" w:date="2024-01-02T13:22:00Z">
        <w:r>
          <w:tab/>
          <w:t>(4)</w:t>
        </w:r>
        <w:r>
          <w:tab/>
          <w:t xml:space="preserve">A magistrate to whom an application is referred may, in chambers — </w:t>
        </w:r>
      </w:ins>
    </w:p>
    <w:p>
      <w:pPr>
        <w:pStyle w:val="Indenta"/>
        <w:rPr>
          <w:ins w:id="207" w:author="Master Repository Process" w:date="2024-01-02T13:22:00Z"/>
        </w:rPr>
      </w:pPr>
      <w:ins w:id="208" w:author="Master Repository Process" w:date="2024-01-02T13:22:00Z">
        <w:r>
          <w:tab/>
          <w:t>(a)</w:t>
        </w:r>
        <w:r>
          <w:tab/>
          <w:t>without hearing the applicant, grant the application; or</w:t>
        </w:r>
      </w:ins>
    </w:p>
    <w:p>
      <w:pPr>
        <w:pStyle w:val="Indenta"/>
        <w:rPr>
          <w:ins w:id="209" w:author="Master Repository Process" w:date="2024-01-02T13:22:00Z"/>
        </w:rPr>
      </w:pPr>
      <w:ins w:id="210" w:author="Master Repository Process" w:date="2024-01-02T13:22:00Z">
        <w:r>
          <w:tab/>
          <w:t>(b)</w:t>
        </w:r>
        <w:r>
          <w:tab/>
          <w:t>order a registrar to list the application for hearing by a magistrate.</w:t>
        </w:r>
      </w:ins>
    </w:p>
    <w:p>
      <w:pPr>
        <w:pStyle w:val="Subsection"/>
        <w:rPr>
          <w:ins w:id="211" w:author="Master Repository Process" w:date="2024-01-02T13:22:00Z"/>
        </w:rPr>
      </w:pPr>
      <w:ins w:id="212" w:author="Master Repository Process" w:date="2024-01-02T13:22:00Z">
        <w:r>
          <w:tab/>
          <w:t>(5)</w:t>
        </w:r>
        <w:r>
          <w:tab/>
          <w:t>If under subrule (4)(c) a registrar has attached a report to an application, a magistrate must consider the report before determining the application.</w:t>
        </w:r>
      </w:ins>
    </w:p>
    <w:p>
      <w:pPr>
        <w:pStyle w:val="Subsection"/>
        <w:rPr>
          <w:ins w:id="213" w:author="Master Repository Process" w:date="2024-01-02T13:22:00Z"/>
        </w:rPr>
      </w:pPr>
      <w:ins w:id="214" w:author="Master Repository Process" w:date="2024-01-02T13:22:00Z">
        <w:r>
          <w:tab/>
          <w:t>(6)</w:t>
        </w:r>
        <w:r>
          <w:tab/>
          <w:t>A magistrate hearing the application may grant or refuse it.</w:t>
        </w:r>
      </w:ins>
    </w:p>
    <w:p>
      <w:pPr>
        <w:pStyle w:val="Footnotesection"/>
      </w:pPr>
      <w:ins w:id="215" w:author="Master Repository Process" w:date="2024-01-02T13:22:00Z">
        <w:r>
          <w:tab/>
          <w:t>[Rule 39A inserted: SL 2023/148 r. 10</w:t>
        </w:r>
      </w:ins>
      <w:r>
        <w:t>.]</w:t>
      </w:r>
    </w:p>
    <w:p>
      <w:pPr>
        <w:pStyle w:val="Heading3"/>
        <w:spacing w:before="260"/>
      </w:pPr>
      <w:bookmarkStart w:id="216" w:name="_Toc155094189"/>
      <w:bookmarkStart w:id="217" w:name="_Toc118114543"/>
      <w:bookmarkStart w:id="218" w:name="_Toc118119314"/>
      <w:bookmarkStart w:id="219" w:name="_Toc118124513"/>
      <w:r>
        <w:rPr>
          <w:rStyle w:val="CharDivNo"/>
        </w:rPr>
        <w:t>Division 3</w:t>
      </w:r>
      <w:r>
        <w:t> — </w:t>
      </w:r>
      <w:r>
        <w:rPr>
          <w:rStyle w:val="CharDivText"/>
        </w:rPr>
        <w:t>Transcripts and exhibits for media organisations under Act s. 33(9)(b)</w:t>
      </w:r>
      <w:bookmarkEnd w:id="216"/>
      <w:bookmarkEnd w:id="217"/>
      <w:bookmarkEnd w:id="218"/>
      <w:bookmarkEnd w:id="219"/>
    </w:p>
    <w:p>
      <w:pPr>
        <w:pStyle w:val="Footnoteheading"/>
      </w:pPr>
      <w:r>
        <w:tab/>
        <w:t>[Heading inserted: Gazette 11 Mar 2014 p. 574.]</w:t>
      </w:r>
    </w:p>
    <w:p>
      <w:pPr>
        <w:pStyle w:val="Heading5"/>
      </w:pPr>
      <w:bookmarkStart w:id="220" w:name="_Toc155094190"/>
      <w:bookmarkStart w:id="221" w:name="_Toc118124514"/>
      <w:r>
        <w:rPr>
          <w:rStyle w:val="CharSectno"/>
        </w:rPr>
        <w:t>40A</w:t>
      </w:r>
      <w:r>
        <w:t>.</w:t>
      </w:r>
      <w:r>
        <w:tab/>
        <w:t>Terms used</w:t>
      </w:r>
      <w:bookmarkEnd w:id="220"/>
      <w:bookmarkEnd w:id="221"/>
    </w:p>
    <w:p>
      <w:pPr>
        <w:pStyle w:val="Subsection"/>
      </w:pPr>
      <w:r>
        <w:tab/>
      </w:r>
      <w:r>
        <w:tab/>
        <w:t>In this Division —</w:t>
      </w:r>
    </w:p>
    <w:p>
      <w:pPr>
        <w:pStyle w:val="Defstart"/>
      </w:pPr>
      <w:r>
        <w:tab/>
      </w:r>
      <w:r>
        <w:rPr>
          <w:rStyle w:val="CharDefText"/>
        </w:rPr>
        <w:t>application</w:t>
      </w:r>
      <w:r>
        <w:t xml:space="preserve"> means an application under rule 40B;</w:t>
      </w:r>
    </w:p>
    <w:p>
      <w:pPr>
        <w:pStyle w:val="Defstart"/>
      </w:pPr>
      <w:r>
        <w:tab/>
      </w:r>
      <w:r>
        <w:rPr>
          <w:rStyle w:val="CharDefText"/>
        </w:rPr>
        <w:t>exhibit</w:t>
      </w:r>
      <w:r>
        <w:t xml:space="preserve"> has the meaning given in rule 40B(b);</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relevant record</w:t>
      </w:r>
      <w:r>
        <w:t>, in relation to an application, means a transcript or exhibit the subject of the application;</w:t>
      </w:r>
    </w:p>
    <w:p>
      <w:pPr>
        <w:pStyle w:val="Defstart"/>
      </w:pPr>
      <w:r>
        <w:tab/>
      </w:r>
      <w:r>
        <w:rPr>
          <w:rStyle w:val="CharDefText"/>
        </w:rPr>
        <w:t>transcript</w:t>
      </w:r>
      <w:r>
        <w:t xml:space="preserve"> has the meaning given in rule 40B(a).</w:t>
      </w:r>
    </w:p>
    <w:p>
      <w:pPr>
        <w:pStyle w:val="Footnotesection"/>
        <w:spacing w:before="110"/>
      </w:pPr>
      <w:r>
        <w:tab/>
        <w:t>[Rule 40A inserted: Gazette 11 Mar 2014 p. 574.]</w:t>
      </w:r>
    </w:p>
    <w:p>
      <w:pPr>
        <w:pStyle w:val="Heading5"/>
      </w:pPr>
      <w:bookmarkStart w:id="222" w:name="_Toc155094191"/>
      <w:bookmarkStart w:id="223" w:name="_Toc118124515"/>
      <w:r>
        <w:rPr>
          <w:rStyle w:val="CharSectno"/>
        </w:rPr>
        <w:t>40B</w:t>
      </w:r>
      <w:r>
        <w:t>.</w:t>
      </w:r>
      <w:r>
        <w:tab/>
        <w:t>Media organisation may apply for transcript or exhibit</w:t>
      </w:r>
      <w:bookmarkEnd w:id="222"/>
      <w:bookmarkEnd w:id="223"/>
    </w:p>
    <w:p>
      <w:pPr>
        <w:pStyle w:val="Subsection"/>
      </w:pPr>
      <w:r>
        <w:tab/>
      </w:r>
      <w:r>
        <w:tab/>
        <w:t xml:space="preserve">For the purposes of section 33(9)(b) of the Act, a media organisation may apply to the Court for leave to inspect or obtain a copy of — </w:t>
      </w:r>
    </w:p>
    <w:p>
      <w:pPr>
        <w:pStyle w:val="Indenta"/>
      </w:pPr>
      <w:r>
        <w:tab/>
        <w:t>(a)</w:t>
      </w:r>
      <w:r>
        <w:tab/>
        <w:t xml:space="preserve">the record, or the certified transcript of the record, of any proceedings in the case (a </w:t>
      </w:r>
      <w:r>
        <w:rPr>
          <w:rStyle w:val="CharDefText"/>
        </w:rPr>
        <w:t>transcript</w:t>
      </w:r>
      <w:r>
        <w:t>); or</w:t>
      </w:r>
    </w:p>
    <w:p>
      <w:pPr>
        <w:pStyle w:val="Indenta"/>
      </w:pPr>
      <w:r>
        <w:tab/>
        <w:t>(b)</w:t>
      </w:r>
      <w:r>
        <w:tab/>
        <w:t xml:space="preserve">any other document (including in an electronic form) tendered in evidence in the case (an </w:t>
      </w:r>
      <w:r>
        <w:rPr>
          <w:rStyle w:val="CharDefText"/>
        </w:rPr>
        <w:t>exhibit</w:t>
      </w:r>
      <w:r>
        <w:t>).</w:t>
      </w:r>
    </w:p>
    <w:p>
      <w:pPr>
        <w:pStyle w:val="Footnotesection"/>
        <w:spacing w:before="110"/>
      </w:pPr>
      <w:r>
        <w:tab/>
        <w:t>[Rule 40B inserted: Gazette 11 Mar 2014 p. 574.]</w:t>
      </w:r>
    </w:p>
    <w:p>
      <w:pPr>
        <w:pStyle w:val="Heading5"/>
      </w:pPr>
      <w:bookmarkStart w:id="224" w:name="_Toc155094192"/>
      <w:bookmarkStart w:id="225" w:name="_Toc118124516"/>
      <w:r>
        <w:rPr>
          <w:rStyle w:val="CharSectno"/>
        </w:rPr>
        <w:t>40C</w:t>
      </w:r>
      <w:r>
        <w:t>.</w:t>
      </w:r>
      <w:r>
        <w:tab/>
        <w:t>Making applications</w:t>
      </w:r>
      <w:bookmarkEnd w:id="224"/>
      <w:bookmarkEnd w:id="225"/>
    </w:p>
    <w:p>
      <w:pPr>
        <w:pStyle w:val="Subsection"/>
      </w:pPr>
      <w:r>
        <w:tab/>
        <w:t>(1)</w:t>
      </w:r>
      <w:r>
        <w:tab/>
        <w:t>An application must be made by lodging a Form 1.</w:t>
      </w:r>
    </w:p>
    <w:p>
      <w:pPr>
        <w:pStyle w:val="Subsection"/>
      </w:pPr>
      <w:r>
        <w:tab/>
        <w:t>(2)</w:t>
      </w:r>
      <w:r>
        <w:tab/>
        <w:t>The relevant media organisation need not give notice of the application to any party to the case unless an order is made under rule 40E(2)(a).</w:t>
      </w:r>
    </w:p>
    <w:p>
      <w:pPr>
        <w:pStyle w:val="Footnotesection"/>
      </w:pPr>
      <w:r>
        <w:tab/>
        <w:t>[Rule 40C inserted: Gazette 11 Mar 2014 p. 574.]</w:t>
      </w:r>
    </w:p>
    <w:p>
      <w:pPr>
        <w:pStyle w:val="Heading5"/>
      </w:pPr>
      <w:bookmarkStart w:id="226" w:name="_Toc155094193"/>
      <w:bookmarkStart w:id="227" w:name="_Toc118124517"/>
      <w:r>
        <w:rPr>
          <w:rStyle w:val="CharSectno"/>
        </w:rPr>
        <w:t>40D</w:t>
      </w:r>
      <w:r>
        <w:t>.</w:t>
      </w:r>
      <w:r>
        <w:tab/>
        <w:t>Who may deal with applications</w:t>
      </w:r>
      <w:bookmarkEnd w:id="226"/>
      <w:bookmarkEnd w:id="227"/>
    </w:p>
    <w:p>
      <w:pPr>
        <w:pStyle w:val="Subsection"/>
      </w:pPr>
      <w:r>
        <w:tab/>
        <w:t>(1)</w:t>
      </w:r>
      <w:r>
        <w:tab/>
        <w:t>When the application is lodged, a registrar must refer it to a magistrate unless subrule (2) applies.</w:t>
      </w:r>
    </w:p>
    <w:p>
      <w:pPr>
        <w:pStyle w:val="Subsection"/>
      </w:pPr>
      <w:r>
        <w:tab/>
        <w:t>(2)</w:t>
      </w:r>
      <w:r>
        <w:tab/>
        <w:t xml:space="preserve">A registrar may, without hearing the relevant media organisation, grant an application if — </w:t>
      </w:r>
    </w:p>
    <w:p>
      <w:pPr>
        <w:pStyle w:val="Indenta"/>
      </w:pPr>
      <w:r>
        <w:tab/>
        <w:t>(a)</w:t>
      </w:r>
      <w:r>
        <w:tab/>
        <w:t>the relevant record was the subject of a previous application in the case; and</w:t>
      </w:r>
    </w:p>
    <w:p>
      <w:pPr>
        <w:pStyle w:val="Indenta"/>
      </w:pPr>
      <w:r>
        <w:tab/>
        <w:t>(b)</w:t>
      </w:r>
      <w:r>
        <w:tab/>
        <w:t>the application was granted by a magistrate.</w:t>
      </w:r>
    </w:p>
    <w:p>
      <w:pPr>
        <w:pStyle w:val="Subsection"/>
      </w:pPr>
      <w:r>
        <w:tab/>
        <w:t>(3)</w:t>
      </w:r>
      <w:r>
        <w:tab/>
        <w:t>A magistrate to whom an application is referred under subrule (1) may, in chambers —</w:t>
      </w:r>
    </w:p>
    <w:p>
      <w:pPr>
        <w:pStyle w:val="Indenta"/>
      </w:pPr>
      <w:r>
        <w:tab/>
        <w:t>(a)</w:t>
      </w:r>
      <w:r>
        <w:tab/>
        <w:t>without hearing the relevant media organisation, grant the application; or</w:t>
      </w:r>
    </w:p>
    <w:p>
      <w:pPr>
        <w:pStyle w:val="Indenta"/>
      </w:pPr>
      <w:r>
        <w:tab/>
        <w:t>(b)</w:t>
      </w:r>
      <w:r>
        <w:tab/>
        <w:t>order a registrar to list the application for hearing by a magistrate.</w:t>
      </w:r>
    </w:p>
    <w:p>
      <w:pPr>
        <w:pStyle w:val="Footnotesection"/>
      </w:pPr>
      <w:r>
        <w:tab/>
        <w:t>[Rule 40D inserted: Gazette 11 Mar 2014 p. 574-5.]</w:t>
      </w:r>
    </w:p>
    <w:p>
      <w:pPr>
        <w:pStyle w:val="Heading5"/>
      </w:pPr>
      <w:bookmarkStart w:id="228" w:name="_Toc155094194"/>
      <w:bookmarkStart w:id="229" w:name="_Toc118124518"/>
      <w:r>
        <w:rPr>
          <w:rStyle w:val="CharSectno"/>
        </w:rPr>
        <w:t>40E</w:t>
      </w:r>
      <w:r>
        <w:t>.</w:t>
      </w:r>
      <w:r>
        <w:tab/>
        <w:t>Dealing with applications</w:t>
      </w:r>
      <w:bookmarkEnd w:id="228"/>
      <w:bookmarkEnd w:id="229"/>
    </w:p>
    <w:p>
      <w:pPr>
        <w:pStyle w:val="Subsection"/>
      </w:pPr>
      <w:r>
        <w:tab/>
        <w:t>(1)</w:t>
      </w:r>
      <w:r>
        <w:tab/>
        <w:t>A magistrate or registrar dealing with an application may deal with the application even though no party to the case has been served with it.</w:t>
      </w:r>
    </w:p>
    <w:p>
      <w:pPr>
        <w:pStyle w:val="Subsection"/>
      </w:pPr>
      <w:r>
        <w:tab/>
        <w:t>(2)</w:t>
      </w:r>
      <w:r>
        <w:tab/>
        <w:t xml:space="preserve">A magistrate dealing with an application may — </w:t>
      </w:r>
    </w:p>
    <w:p>
      <w:pPr>
        <w:pStyle w:val="Indenta"/>
      </w:pPr>
      <w:r>
        <w:tab/>
        <w:t>(a)</w:t>
      </w:r>
      <w:r>
        <w:tab/>
        <w:t>order the relevant media organisation to serve any other person, specified in the order, with the application and a notice in an approved form entitling the person to be heard on the application; and</w:t>
      </w:r>
    </w:p>
    <w:p>
      <w:pPr>
        <w:pStyle w:val="Indenta"/>
      </w:pPr>
      <w:r>
        <w:tab/>
        <w:t>(b)</w:t>
      </w:r>
      <w:r>
        <w:tab/>
        <w:t>deal with the application accordingly.</w:t>
      </w:r>
    </w:p>
    <w:p>
      <w:pPr>
        <w:pStyle w:val="Subsection"/>
      </w:pPr>
      <w:r>
        <w:tab/>
        <w:t>(3)</w:t>
      </w:r>
      <w:r>
        <w:tab/>
        <w:t>A magistrate dealing with an application may grant or refuse it.</w:t>
      </w:r>
    </w:p>
    <w:p>
      <w:pPr>
        <w:pStyle w:val="Subsection"/>
      </w:pPr>
      <w:r>
        <w:tab/>
        <w:t>(4)</w:t>
      </w:r>
      <w:r>
        <w:tab/>
        <w:t xml:space="preserve">A magistrate dealing with an application, if satisfied the relevant media organisation has sufficient cause to be granted leave, may grant the application subject to — </w:t>
      </w:r>
    </w:p>
    <w:p>
      <w:pPr>
        <w:pStyle w:val="Indenta"/>
      </w:pPr>
      <w:r>
        <w:tab/>
        <w:t>(a)</w:t>
      </w:r>
      <w:r>
        <w:tab/>
        <w:t>any order made under the CPA section 171; and</w:t>
      </w:r>
    </w:p>
    <w:p>
      <w:pPr>
        <w:pStyle w:val="Indenta"/>
      </w:pPr>
      <w:r>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p>
    <w:p>
      <w:pPr>
        <w:pStyle w:val="Indenta"/>
      </w:pPr>
      <w:r>
        <w:tab/>
        <w:t>(c)</w:t>
      </w:r>
      <w:r>
        <w:tab/>
        <w:t>any other order or written law that prohibits or restricts the publication or possession of the relevant record.</w:t>
      </w:r>
    </w:p>
    <w:p>
      <w:pPr>
        <w:pStyle w:val="Footnotesection"/>
      </w:pPr>
      <w:r>
        <w:tab/>
        <w:t>[Rule 40E inserted: Gazette 11 Mar 2014 p. 575.]</w:t>
      </w:r>
    </w:p>
    <w:p>
      <w:pPr>
        <w:pStyle w:val="Heading5"/>
      </w:pPr>
      <w:bookmarkStart w:id="230" w:name="_Toc155094195"/>
      <w:bookmarkStart w:id="231" w:name="_Toc118124519"/>
      <w:r>
        <w:rPr>
          <w:rStyle w:val="CharSectno"/>
        </w:rPr>
        <w:t>40F</w:t>
      </w:r>
      <w:r>
        <w:t>.</w:t>
      </w:r>
      <w:r>
        <w:tab/>
        <w:t>Court’s power to publish unaffected</w:t>
      </w:r>
      <w:bookmarkEnd w:id="230"/>
      <w:bookmarkEnd w:id="231"/>
    </w:p>
    <w:p>
      <w:pPr>
        <w:pStyle w:val="Subsection"/>
      </w:pPr>
      <w:r>
        <w:tab/>
      </w:r>
      <w:r>
        <w:tab/>
        <w:t>This Division does not prevent the Court from publishing, on its own initiative, all or any part of the proceedings in a case to any person, and in any manner, it thinks fit.</w:t>
      </w:r>
    </w:p>
    <w:p>
      <w:pPr>
        <w:pStyle w:val="Footnotesection"/>
      </w:pPr>
      <w:r>
        <w:tab/>
        <w:t>[Rule 40F inserted: Gazette 11 Mar 2014 p. 575.]</w:t>
      </w:r>
    </w:p>
    <w:p>
      <w:pPr>
        <w:pStyle w:val="Heading3"/>
      </w:pPr>
      <w:bookmarkStart w:id="232" w:name="_Toc155094196"/>
      <w:bookmarkStart w:id="233" w:name="_Toc118114550"/>
      <w:bookmarkStart w:id="234" w:name="_Toc118119321"/>
      <w:bookmarkStart w:id="235" w:name="_Toc118124520"/>
      <w:r>
        <w:rPr>
          <w:rStyle w:val="CharDivNo"/>
        </w:rPr>
        <w:t>Division 4</w:t>
      </w:r>
      <w:r>
        <w:t> — </w:t>
      </w:r>
      <w:r>
        <w:rPr>
          <w:rStyle w:val="CharDivText"/>
        </w:rPr>
        <w:t>Information generally under Act s. 33(9)(b)</w:t>
      </w:r>
      <w:bookmarkEnd w:id="232"/>
      <w:bookmarkEnd w:id="233"/>
      <w:bookmarkEnd w:id="234"/>
      <w:bookmarkEnd w:id="235"/>
    </w:p>
    <w:p>
      <w:pPr>
        <w:pStyle w:val="Footnoteheading"/>
      </w:pPr>
      <w:r>
        <w:tab/>
        <w:t>[Heading inserted: Gazette 11 Mar 2014 p. 575.]</w:t>
      </w:r>
    </w:p>
    <w:p>
      <w:pPr>
        <w:pStyle w:val="Heading5"/>
      </w:pPr>
      <w:bookmarkStart w:id="236" w:name="_Toc155094197"/>
      <w:bookmarkStart w:id="237" w:name="_Toc118124521"/>
      <w:r>
        <w:rPr>
          <w:rStyle w:val="CharSectno"/>
        </w:rPr>
        <w:t>40</w:t>
      </w:r>
      <w:r>
        <w:t>.</w:t>
      </w:r>
      <w:r>
        <w:tab/>
        <w:t>Criminal cases, information about available on request</w:t>
      </w:r>
      <w:bookmarkEnd w:id="236"/>
      <w:bookmarkEnd w:id="237"/>
    </w:p>
    <w:p>
      <w:pPr>
        <w:pStyle w:val="Subsection"/>
      </w:pPr>
      <w:r>
        <w:tab/>
        <w:t>(1)</w:t>
      </w:r>
      <w:r>
        <w:tab/>
        <w:t xml:space="preserve">Except as provided in any order under the </w:t>
      </w:r>
      <w:r>
        <w:rPr>
          <w:i/>
        </w:rPr>
        <w:t>Criminal Procedure Act 2004</w:t>
      </w:r>
      <w:r>
        <w:t xml:space="preserve"> section 171, in respect of criminal proceedings in the Court, any person is entitled, on request, to the following information relating to a particular case — </w:t>
      </w:r>
    </w:p>
    <w:p>
      <w:pPr>
        <w:pStyle w:val="Indenta"/>
      </w:pPr>
      <w:r>
        <w:tab/>
        <w:t>(a)</w:t>
      </w:r>
      <w:r>
        <w:tab/>
        <w:t>the name of the accused;</w:t>
      </w:r>
    </w:p>
    <w:p>
      <w:pPr>
        <w:pStyle w:val="Indenta"/>
      </w:pPr>
      <w:r>
        <w:tab/>
        <w:t>(b)</w:t>
      </w:r>
      <w:r>
        <w:tab/>
        <w:t>in relation to each charge in that case against the accused —</w:t>
      </w:r>
    </w:p>
    <w:p>
      <w:pPr>
        <w:pStyle w:val="Indenti"/>
      </w:pPr>
      <w:r>
        <w:tab/>
        <w:t>(i)</w:t>
      </w:r>
      <w:r>
        <w:tab/>
        <w:t>the charge; and</w:t>
      </w:r>
    </w:p>
    <w:p>
      <w:pPr>
        <w:pStyle w:val="Indenti"/>
      </w:pPr>
      <w:r>
        <w:tab/>
        <w:t>(ii)</w:t>
      </w:r>
      <w:r>
        <w:tab/>
        <w:t>any conviction or order made in respect of the charge; and</w:t>
      </w:r>
    </w:p>
    <w:p>
      <w:pPr>
        <w:pStyle w:val="Indenti"/>
      </w:pPr>
      <w:r>
        <w:tab/>
        <w:t>(iii)</w:t>
      </w:r>
      <w:r>
        <w:tab/>
        <w:t>any penalty imposed on the accused in relation to the charge.</w:t>
      </w:r>
    </w:p>
    <w:p>
      <w:pPr>
        <w:pStyle w:val="Subsection"/>
        <w:keepNext/>
      </w:pPr>
      <w:r>
        <w:tab/>
        <w:t>(2)</w:t>
      </w:r>
      <w:r>
        <w:tab/>
        <w:t xml:space="preserve">A request may be made at a registry — </w:t>
      </w:r>
    </w:p>
    <w:p>
      <w:pPr>
        <w:pStyle w:val="Indenta"/>
        <w:keepNext/>
      </w:pPr>
      <w:r>
        <w:tab/>
        <w:t>(a)</w:t>
      </w:r>
      <w:r>
        <w:tab/>
        <w:t>orally, in person or by telephone; or</w:t>
      </w:r>
    </w:p>
    <w:p>
      <w:pPr>
        <w:pStyle w:val="Indenta"/>
      </w:pPr>
      <w:r>
        <w:tab/>
        <w:t>(b)</w:t>
      </w:r>
      <w:r>
        <w:tab/>
        <w:t>in writing, by mail, fax or email.</w:t>
      </w:r>
    </w:p>
    <w:p>
      <w:pPr>
        <w:pStyle w:val="Subsection"/>
      </w:pPr>
      <w:r>
        <w:tab/>
        <w:t>(3)</w:t>
      </w:r>
      <w:r>
        <w:tab/>
        <w:t xml:space="preserve">Nothing in subrule (1) entitles a person to obtain information about the accused’s criminal history other than information in respect of a charge in the case to which the request relates. </w:t>
      </w:r>
    </w:p>
    <w:p>
      <w:pPr>
        <w:pStyle w:val="Footnotesection"/>
      </w:pPr>
      <w:r>
        <w:tab/>
        <w:t>[Rule 40 inserted: Gazette 8 Apr 2008 p. 1337; amended: Gazette 4 Dec 2018 p. 4629</w:t>
      </w:r>
      <w:r>
        <w:noBreakHyphen/>
        <w:t>30.]</w:t>
      </w:r>
    </w:p>
    <w:p>
      <w:pPr>
        <w:pStyle w:val="Heading5"/>
      </w:pPr>
      <w:bookmarkStart w:id="238" w:name="_Toc155094198"/>
      <w:bookmarkStart w:id="239" w:name="_Toc118124522"/>
      <w:r>
        <w:rPr>
          <w:rStyle w:val="CharSectno"/>
        </w:rPr>
        <w:t>41A</w:t>
      </w:r>
      <w:r>
        <w:t>.</w:t>
      </w:r>
      <w:r>
        <w:tab/>
        <w:t>Civil cases, certain people entitled on request to certain information about</w:t>
      </w:r>
      <w:bookmarkEnd w:id="238"/>
      <w:bookmarkEnd w:id="239"/>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Gazette 8 Apr 2008 p. 1337; amended: Gazette 31 Dec 2013 p. 6548.]</w:t>
      </w:r>
    </w:p>
    <w:p>
      <w:pPr>
        <w:pStyle w:val="Heading5"/>
      </w:pPr>
      <w:bookmarkStart w:id="240" w:name="_Toc155094199"/>
      <w:bookmarkStart w:id="241" w:name="_Toc118124523"/>
      <w:r>
        <w:rPr>
          <w:rStyle w:val="CharSectno"/>
        </w:rPr>
        <w:t>41</w:t>
      </w:r>
      <w:r>
        <w:t>.</w:t>
      </w:r>
      <w:r>
        <w:tab/>
        <w:t>Conditions on access to records may be imposed</w:t>
      </w:r>
      <w:bookmarkEnd w:id="240"/>
      <w:bookmarkEnd w:id="241"/>
    </w:p>
    <w:p>
      <w:pPr>
        <w:pStyle w:val="Subsection"/>
      </w:pPr>
      <w:r>
        <w:tab/>
        <w:t>(1)</w:t>
      </w:r>
      <w:r>
        <w:tab/>
        <w:t>A registrar or magistrate granting a request referred to in rule 37 or 40 or an application referred to in rule 38, 39 or 40B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 Gazette 8 Apr 2008 p. 1338; 11 Mar 2014 p. 576.]</w:t>
      </w:r>
    </w:p>
    <w:p>
      <w:pPr>
        <w:pStyle w:val="Heading2"/>
      </w:pPr>
      <w:bookmarkStart w:id="242" w:name="_Toc155094200"/>
      <w:bookmarkStart w:id="243" w:name="_Toc118114554"/>
      <w:bookmarkStart w:id="244" w:name="_Toc118119325"/>
      <w:bookmarkStart w:id="245" w:name="_Toc118124524"/>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242"/>
      <w:bookmarkEnd w:id="243"/>
      <w:bookmarkEnd w:id="244"/>
      <w:bookmarkEnd w:id="245"/>
    </w:p>
    <w:p>
      <w:pPr>
        <w:pStyle w:val="Heading5"/>
      </w:pPr>
      <w:bookmarkStart w:id="246" w:name="_Toc155094201"/>
      <w:bookmarkStart w:id="247" w:name="_Toc118124525"/>
      <w:r>
        <w:rPr>
          <w:rStyle w:val="CharSectno"/>
        </w:rPr>
        <w:t>42</w:t>
      </w:r>
      <w:r>
        <w:t>.</w:t>
      </w:r>
      <w:r>
        <w:tab/>
        <w:t>Interpretation</w:t>
      </w:r>
      <w:bookmarkEnd w:id="246"/>
      <w:bookmarkEnd w:id="247"/>
    </w:p>
    <w:p>
      <w:pPr>
        <w:pStyle w:val="Subsection"/>
      </w:pPr>
      <w:r>
        <w:tab/>
      </w:r>
      <w:r>
        <w:tab/>
        <w:t>In this Part, unless the contrary intention appears, a term defined in the CPA has the same meaning as it has in the CPA.</w:t>
      </w:r>
    </w:p>
    <w:p>
      <w:pPr>
        <w:pStyle w:val="Heading5"/>
      </w:pPr>
      <w:bookmarkStart w:id="248" w:name="_Toc155094202"/>
      <w:bookmarkStart w:id="249" w:name="_Toc118124526"/>
      <w:r>
        <w:rPr>
          <w:rStyle w:val="CharSectno"/>
        </w:rPr>
        <w:t>43</w:t>
      </w:r>
      <w:r>
        <w:t>.</w:t>
      </w:r>
      <w:r>
        <w:tab/>
        <w:t>Prescribed court officers</w:t>
      </w:r>
      <w:bookmarkEnd w:id="248"/>
      <w:bookmarkEnd w:id="249"/>
    </w:p>
    <w:p>
      <w:pPr>
        <w:pStyle w:val="Subsection"/>
      </w:pPr>
      <w:r>
        <w:tab/>
      </w:r>
      <w:r>
        <w:tab/>
        <w:t>For the purposes of the CPA each registrar is prescribed to be a prescribed court officer.</w:t>
      </w:r>
    </w:p>
    <w:p>
      <w:pPr>
        <w:pStyle w:val="Heading5"/>
      </w:pPr>
      <w:bookmarkStart w:id="250" w:name="_Toc155094203"/>
      <w:bookmarkStart w:id="251" w:name="_Toc118124527"/>
      <w:r>
        <w:rPr>
          <w:rStyle w:val="CharSectno"/>
        </w:rPr>
        <w:t>44</w:t>
      </w:r>
      <w:r>
        <w:t>.</w:t>
      </w:r>
      <w:r>
        <w:tab/>
        <w:t>Prosecutions, where they must be commenced</w:t>
      </w:r>
      <w:bookmarkEnd w:id="250"/>
      <w:bookmarkEnd w:id="251"/>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252" w:name="_Toc155094204"/>
      <w:bookmarkStart w:id="253" w:name="_Toc118124528"/>
      <w:r>
        <w:rPr>
          <w:rStyle w:val="CharSectno"/>
        </w:rPr>
        <w:t>45</w:t>
      </w:r>
      <w:r>
        <w:t>.</w:t>
      </w:r>
      <w:r>
        <w:tab/>
        <w:t>Manner of lodging prosecution notice (CPA s. 24)</w:t>
      </w:r>
      <w:bookmarkEnd w:id="252"/>
      <w:bookmarkEnd w:id="253"/>
    </w:p>
    <w:p>
      <w:pPr>
        <w:pStyle w:val="Subsection"/>
      </w:pPr>
      <w:r>
        <w:tab/>
        <w:t>(1)</w:t>
      </w:r>
      <w:r>
        <w:tab/>
        <w:t>Unless subrule (2) applies, a prosecution notice must be lodged by means of the ECMS in accordance with rule 13A.</w:t>
      </w:r>
    </w:p>
    <w:p>
      <w:pPr>
        <w:pStyle w:val="Subsection"/>
      </w:pPr>
      <w:r>
        <w:tab/>
        <w:t>(2)</w:t>
      </w:r>
      <w:r>
        <w:tab/>
        <w:t xml:space="preserve">A prosecution notice may be lodged by handing a hard copy of the notice to the Court if — </w:t>
      </w:r>
    </w:p>
    <w:p>
      <w:pPr>
        <w:pStyle w:val="Indenta"/>
      </w:pPr>
      <w:r>
        <w:tab/>
        <w:t>(a)</w:t>
      </w:r>
      <w:r>
        <w:tab/>
        <w:t>the person lodging the notice does not have access to the ECMS; or</w:t>
      </w:r>
    </w:p>
    <w:p>
      <w:pPr>
        <w:pStyle w:val="Indenta"/>
      </w:pPr>
      <w:r>
        <w:tab/>
        <w:t>(b)</w:t>
      </w:r>
      <w:r>
        <w:tab/>
        <w:t>the Court agrees to the notice being lodged in that manner.</w:t>
      </w:r>
    </w:p>
    <w:p>
      <w:pPr>
        <w:pStyle w:val="Subsection"/>
      </w:pPr>
      <w:r>
        <w:tab/>
        <w:t>(3)</w:t>
      </w:r>
      <w:r>
        <w:tab/>
        <w:t xml:space="preserve">If a hard copy of a prosecution notice is handed to the Court, an officer of the Court must — </w:t>
      </w:r>
    </w:p>
    <w:p>
      <w:pPr>
        <w:pStyle w:val="Indenta"/>
      </w:pPr>
      <w:r>
        <w:tab/>
        <w:t>(a)</w:t>
      </w:r>
      <w:r>
        <w:tab/>
        <w:t>enter the details of the prosecution notice into the ECMS; and</w:t>
      </w:r>
    </w:p>
    <w:p>
      <w:pPr>
        <w:pStyle w:val="Indenta"/>
      </w:pPr>
      <w:r>
        <w:tab/>
        <w:t>(b)</w:t>
      </w:r>
      <w:r>
        <w:tab/>
        <w:t>ensure that the original document is retained on the Court’s records.</w:t>
      </w:r>
    </w:p>
    <w:p>
      <w:pPr>
        <w:pStyle w:val="Footnotesection"/>
      </w:pPr>
      <w:r>
        <w:tab/>
        <w:t>[Rule 45 inserted: Gazette 15 Aug 2014 p. 2944; amended: Gazette 31 Dec 2019 p. 4675.]</w:t>
      </w:r>
    </w:p>
    <w:p>
      <w:pPr>
        <w:pStyle w:val="Heading5"/>
      </w:pPr>
      <w:bookmarkStart w:id="254" w:name="_Toc155094205"/>
      <w:bookmarkStart w:id="255" w:name="_Toc118124529"/>
      <w:r>
        <w:rPr>
          <w:rStyle w:val="CharSectno"/>
        </w:rPr>
        <w:t>45A</w:t>
      </w:r>
      <w:r>
        <w:t>.</w:t>
      </w:r>
      <w:r>
        <w:tab/>
        <w:t>Substituted prosecution notices</w:t>
      </w:r>
      <w:bookmarkEnd w:id="254"/>
      <w:bookmarkEnd w:id="255"/>
    </w:p>
    <w:p>
      <w:pPr>
        <w:pStyle w:val="Subsection"/>
      </w:pPr>
      <w:r>
        <w:tab/>
        <w:t>(1)</w:t>
      </w:r>
      <w:r>
        <w:tab/>
        <w:t xml:space="preserve">In this rule — </w:t>
      </w:r>
    </w:p>
    <w:p>
      <w:pPr>
        <w:pStyle w:val="Defstart"/>
      </w:pPr>
      <w:r>
        <w:tab/>
      </w:r>
      <w:r>
        <w:rPr>
          <w:rStyle w:val="CharDefText"/>
        </w:rPr>
        <w:t>substituted prosecution notice</w:t>
      </w:r>
      <w:r>
        <w:t xml:space="preserve"> means a prosecution notice that is intended to replace a prosecution notice that has been lodged but not finally disposed of.</w:t>
      </w:r>
    </w:p>
    <w:p>
      <w:pPr>
        <w:pStyle w:val="Subsection"/>
      </w:pPr>
      <w:r>
        <w:tab/>
        <w:t>(2)</w:t>
      </w:r>
      <w:r>
        <w:tab/>
        <w:t xml:space="preserve">If a substituted prosecution notice is lodged but not served on the accused, and the accused fails to appear for the next court appearance scheduled in relation to the original prosecution notice, the charges contained in the substituted prosecution notice must — </w:t>
      </w:r>
    </w:p>
    <w:p>
      <w:pPr>
        <w:pStyle w:val="Indenta"/>
      </w:pPr>
      <w:r>
        <w:tab/>
        <w:t>(a)</w:t>
      </w:r>
      <w:r>
        <w:tab/>
        <w:t>be removed from the list of matters for hearing; or</w:t>
      </w:r>
    </w:p>
    <w:p>
      <w:pPr>
        <w:pStyle w:val="Indenta"/>
      </w:pPr>
      <w:r>
        <w:tab/>
        <w:t>(b)</w:t>
      </w:r>
      <w:r>
        <w:tab/>
        <w:t>held in a temporary list and only formally listed when the accused next appears in relation to the original prosecution notice.</w:t>
      </w:r>
    </w:p>
    <w:p>
      <w:pPr>
        <w:pStyle w:val="Footnotesection"/>
      </w:pPr>
      <w:r>
        <w:tab/>
        <w:t>[Rule 45A inserted: Gazette 15 Aug 2014 p. 2945.]</w:t>
      </w:r>
    </w:p>
    <w:p>
      <w:pPr>
        <w:pStyle w:val="Heading5"/>
      </w:pPr>
      <w:bookmarkStart w:id="256" w:name="_Toc155094206"/>
      <w:bookmarkStart w:id="257" w:name="_Toc118124530"/>
      <w:r>
        <w:rPr>
          <w:rStyle w:val="CharSectno"/>
        </w:rPr>
        <w:t>45B</w:t>
      </w:r>
      <w:r>
        <w:t>.</w:t>
      </w:r>
      <w:r>
        <w:tab/>
        <w:t>Form of remand warrant for accused</w:t>
      </w:r>
      <w:bookmarkEnd w:id="256"/>
      <w:bookmarkEnd w:id="257"/>
    </w:p>
    <w:p>
      <w:pPr>
        <w:pStyle w:val="Subsection"/>
      </w:pPr>
      <w:r>
        <w:tab/>
      </w:r>
      <w:r>
        <w:tab/>
        <w:t xml:space="preserve">A remand warrant for an accused must be in the form of the </w:t>
      </w:r>
      <w:r>
        <w:rPr>
          <w:i/>
        </w:rPr>
        <w:t>Criminal Procedure Regulations 2005</w:t>
      </w:r>
      <w:r>
        <w:t xml:space="preserve"> Schedule 1 Form 2.</w:t>
      </w:r>
    </w:p>
    <w:p>
      <w:pPr>
        <w:pStyle w:val="Footnotesection"/>
      </w:pPr>
      <w:r>
        <w:tab/>
        <w:t>[Rule 45B inserted: Gazette 15 Aug 2014 p. 2945.]</w:t>
      </w:r>
    </w:p>
    <w:p>
      <w:pPr>
        <w:pStyle w:val="Heading5"/>
      </w:pPr>
      <w:bookmarkStart w:id="258" w:name="_Toc155094207"/>
      <w:bookmarkStart w:id="259" w:name="_Toc118124531"/>
      <w:r>
        <w:rPr>
          <w:rStyle w:val="CharSectno"/>
        </w:rPr>
        <w:t>46</w:t>
      </w:r>
      <w:r>
        <w:t>.</w:t>
      </w:r>
      <w:r>
        <w:tab/>
        <w:t>Summons etc., amendment of (CPA s. 34)</w:t>
      </w:r>
      <w:bookmarkEnd w:id="258"/>
      <w:bookmarkEnd w:id="259"/>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260" w:name="_Toc155094208"/>
      <w:bookmarkStart w:id="261" w:name="_Toc118124532"/>
      <w:r>
        <w:rPr>
          <w:rStyle w:val="CharSectno"/>
        </w:rPr>
        <w:t>46A</w:t>
      </w:r>
      <w:r>
        <w:t>.</w:t>
      </w:r>
      <w:r>
        <w:tab/>
        <w:t>Disclosure requirements, applications relating to (CPA s. 138)</w:t>
      </w:r>
      <w:bookmarkEnd w:id="260"/>
      <w:bookmarkEnd w:id="261"/>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 46A inserted: Gazette 24 Aug 2007 p. 4323; amended: Gazette 23 Nov 2007 p. 5862.]</w:t>
      </w:r>
    </w:p>
    <w:p>
      <w:pPr>
        <w:pStyle w:val="Heading5"/>
      </w:pPr>
      <w:bookmarkStart w:id="262" w:name="_Toc155094209"/>
      <w:bookmarkStart w:id="263" w:name="_Toc118124533"/>
      <w:r>
        <w:rPr>
          <w:rStyle w:val="CharSectno"/>
        </w:rPr>
        <w:t>46B</w:t>
      </w:r>
      <w:r>
        <w:t>.</w:t>
      </w:r>
      <w:r>
        <w:tab/>
        <w:t>Magistrates and registrars to verify orders</w:t>
      </w:r>
      <w:bookmarkEnd w:id="262"/>
      <w:bookmarkEnd w:id="263"/>
    </w:p>
    <w:p>
      <w:pPr>
        <w:pStyle w:val="Subsection"/>
        <w:keepNext/>
      </w:pPr>
      <w:r>
        <w:tab/>
        <w:t>(1)</w:t>
      </w:r>
      <w:r>
        <w:tab/>
        <w:t xml:space="preserve">If a magistrate or a registrar makes an order in respect of a prosecution notice the magistrate or registrar must — </w:t>
      </w:r>
    </w:p>
    <w:p>
      <w:pPr>
        <w:pStyle w:val="Indenta"/>
      </w:pPr>
      <w:r>
        <w:tab/>
        <w:t>(a)</w:t>
      </w:r>
      <w:r>
        <w:tab/>
        <w:t>ensure that the order is noted on a hard copy of the prosecution notice and sign or initial the order; or</w:t>
      </w:r>
    </w:p>
    <w:p>
      <w:pPr>
        <w:pStyle w:val="Indenta"/>
      </w:pPr>
      <w:r>
        <w:tab/>
        <w:t>(b)</w:t>
      </w:r>
      <w:r>
        <w:tab/>
        <w:t>ensure that the order is noted on the electronic version of the prosecution notice and verify the making of the order by means of the ECMS.</w:t>
      </w:r>
    </w:p>
    <w:p>
      <w:pPr>
        <w:pStyle w:val="Subsection"/>
      </w:pPr>
      <w:r>
        <w:tab/>
        <w:t>(2)</w:t>
      </w:r>
      <w:r>
        <w:tab/>
        <w:t>If under subrule (1)(a) an order is noted on a hard copy of the prosecution notice, an officer of the Court must ensure that the order is also noted on the electronic version of the prosecution notice.</w:t>
      </w:r>
    </w:p>
    <w:p>
      <w:pPr>
        <w:pStyle w:val="Footnotesection"/>
      </w:pPr>
      <w:r>
        <w:tab/>
        <w:t>[Rule 46B inserted: Gazette 15 Aug 2014 p. 2945</w:t>
      </w:r>
      <w:r>
        <w:noBreakHyphen/>
        <w:t>6; amended: Gazette 31 Dec 2019 p. 4675.]</w:t>
      </w:r>
    </w:p>
    <w:p>
      <w:pPr>
        <w:pStyle w:val="Heading2"/>
      </w:pPr>
      <w:bookmarkStart w:id="264" w:name="_Toc155094210"/>
      <w:bookmarkStart w:id="265" w:name="_Toc118114564"/>
      <w:bookmarkStart w:id="266" w:name="_Toc118119335"/>
      <w:bookmarkStart w:id="267" w:name="_Toc118124534"/>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264"/>
      <w:bookmarkEnd w:id="265"/>
      <w:bookmarkEnd w:id="266"/>
      <w:bookmarkEnd w:id="267"/>
    </w:p>
    <w:p>
      <w:pPr>
        <w:pStyle w:val="Heading5"/>
        <w:spacing w:before="180"/>
      </w:pPr>
      <w:bookmarkStart w:id="268" w:name="_Toc155094211"/>
      <w:bookmarkStart w:id="269" w:name="_Toc118124535"/>
      <w:r>
        <w:rPr>
          <w:rStyle w:val="CharSectno"/>
        </w:rPr>
        <w:t>47</w:t>
      </w:r>
      <w:r>
        <w:t>.</w:t>
      </w:r>
      <w:r>
        <w:tab/>
        <w:t>Terms used</w:t>
      </w:r>
      <w:bookmarkEnd w:id="268"/>
      <w:bookmarkEnd w:id="269"/>
      <w:r>
        <w:t xml:space="preserve"> </w:t>
      </w:r>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Defstart"/>
      </w:pPr>
      <w:r>
        <w:tab/>
      </w:r>
      <w:r>
        <w:rPr>
          <w:rStyle w:val="CharDefText"/>
        </w:rPr>
        <w:t>prosecuting authority</w:t>
      </w:r>
      <w:r>
        <w:t xml:space="preserve"> has the meaning given in the Act.</w:t>
      </w:r>
    </w:p>
    <w:p>
      <w:pPr>
        <w:pStyle w:val="Footnotesection"/>
        <w:spacing w:before="100"/>
        <w:ind w:left="890" w:hanging="890"/>
        <w:rPr>
          <w:iCs/>
        </w:rPr>
      </w:pPr>
      <w:r>
        <w:tab/>
        <w:t>[Rule 47 amended: Gazette 12 Aug 2014 p. 2892.]</w:t>
      </w:r>
    </w:p>
    <w:p>
      <w:pPr>
        <w:pStyle w:val="Heading5"/>
        <w:spacing w:before="180"/>
      </w:pPr>
      <w:bookmarkStart w:id="270" w:name="_Toc155094212"/>
      <w:bookmarkStart w:id="271" w:name="_Toc118124536"/>
      <w:r>
        <w:rPr>
          <w:rStyle w:val="CharSectno"/>
        </w:rPr>
        <w:t>48</w:t>
      </w:r>
      <w:r>
        <w:t>.</w:t>
      </w:r>
      <w:r>
        <w:tab/>
        <w:t>Application to cancel licence suspension order (Act s. 101)</w:t>
      </w:r>
      <w:bookmarkEnd w:id="270"/>
      <w:bookmarkEnd w:id="271"/>
    </w:p>
    <w:p>
      <w:pPr>
        <w:pStyle w:val="Subsection"/>
        <w:spacing w:before="120"/>
      </w:pPr>
      <w:r>
        <w:tab/>
        <w:t>(1)</w:t>
      </w:r>
      <w:r>
        <w:tab/>
        <w:t>An application under the Act section 101 must be made by lodging a Form 3 at the registry closest to where the alleged offence took place.</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 xml:space="preserve">at least 5 clear days before the date set by the Court for the hearing of the application, return one copy of the form to the applicant and give one copy to each of the following — </w:t>
      </w:r>
    </w:p>
    <w:p>
      <w:pPr>
        <w:pStyle w:val="Indenti"/>
      </w:pPr>
      <w:r>
        <w:tab/>
        <w:t>(i)</w:t>
      </w:r>
      <w:r>
        <w:tab/>
        <w:t>the Commissioner of Police;</w:t>
      </w:r>
    </w:p>
    <w:p>
      <w:pPr>
        <w:pStyle w:val="Indenti"/>
      </w:pPr>
      <w:r>
        <w:tab/>
        <w:t>(ii)</w:t>
      </w:r>
      <w:r>
        <w:tab/>
        <w:t>if the Commissioner of Police is not the relevant prosecuting authority, the relevant prosecuting authority.</w:t>
      </w:r>
    </w:p>
    <w:p>
      <w:pPr>
        <w:pStyle w:val="Footnotesection"/>
      </w:pPr>
      <w:r>
        <w:tab/>
        <w:t>[Rule 48 amended: Gazette 11 Mar 2014 p. 576; 12 Aug 2014 p. 2892</w:t>
      </w:r>
      <w:r>
        <w:noBreakHyphen/>
        <w:t>3.]</w:t>
      </w:r>
    </w:p>
    <w:p>
      <w:pPr>
        <w:pStyle w:val="Heading5"/>
      </w:pPr>
      <w:bookmarkStart w:id="272" w:name="_Toc155094213"/>
      <w:bookmarkStart w:id="273" w:name="_Toc118124537"/>
      <w:r>
        <w:rPr>
          <w:rStyle w:val="CharSectno"/>
        </w:rPr>
        <w:t>49A</w:t>
      </w:r>
      <w:r>
        <w:t>.</w:t>
      </w:r>
      <w:r>
        <w:tab/>
        <w:t>Application to cancel enforcement warrant (Act s. 101AA)</w:t>
      </w:r>
      <w:bookmarkEnd w:id="272"/>
      <w:bookmarkEnd w:id="273"/>
    </w:p>
    <w:p>
      <w:pPr>
        <w:pStyle w:val="Subsection"/>
      </w:pPr>
      <w:r>
        <w:tab/>
        <w:t>(1)</w:t>
      </w:r>
      <w:r>
        <w:tab/>
        <w:t>An application under the Act section 101AA must be made by lodging a Form 4AA at the registry closest to where the alleged offence took place.</w:t>
      </w:r>
    </w:p>
    <w:p>
      <w:pPr>
        <w:pStyle w:val="Subsection"/>
      </w:pPr>
      <w:r>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 and</w:t>
      </w:r>
    </w:p>
    <w:p>
      <w:pPr>
        <w:pStyle w:val="Indenta"/>
      </w:pPr>
      <w:r>
        <w:tab/>
        <w:t>(d)</w:t>
      </w:r>
      <w:r>
        <w:tab/>
        <w:t xml:space="preserve">as soon as practicable after reaching a decision on the application, the Court must advise the Sheriff referred to in the </w:t>
      </w:r>
      <w:r>
        <w:rPr>
          <w:i/>
        </w:rPr>
        <w:t>Supreme Court Act 1935</w:t>
      </w:r>
      <w:r>
        <w:t xml:space="preserve"> section 156 of that decision.</w:t>
      </w:r>
    </w:p>
    <w:p>
      <w:pPr>
        <w:pStyle w:val="Footnotesection"/>
        <w:ind w:left="890" w:hanging="890"/>
      </w:pPr>
      <w:r>
        <w:tab/>
        <w:t>[Rule 49A inserted: Gazette 20 Aug 2013 p. 3818; amended: Gazette 11 Mar 2014 p. 576; 12 Aug 2014 p. 2893.]</w:t>
      </w:r>
    </w:p>
    <w:p>
      <w:pPr>
        <w:pStyle w:val="Heading5"/>
        <w:spacing w:before="180"/>
      </w:pPr>
      <w:bookmarkStart w:id="274" w:name="_Toc155094214"/>
      <w:bookmarkStart w:id="275" w:name="_Toc118124538"/>
      <w:r>
        <w:rPr>
          <w:rStyle w:val="CharSectno"/>
        </w:rPr>
        <w:t>49</w:t>
      </w:r>
      <w:r>
        <w:t>.</w:t>
      </w:r>
      <w:r>
        <w:tab/>
        <w:t>Application to cancel licence suspension order (Act s. 101A)</w:t>
      </w:r>
      <w:bookmarkEnd w:id="274"/>
      <w:bookmarkEnd w:id="275"/>
    </w:p>
    <w:p>
      <w:pPr>
        <w:pStyle w:val="Subsection"/>
        <w:spacing w:before="120"/>
      </w:pPr>
      <w:r>
        <w:tab/>
        <w:t>(1)</w:t>
      </w:r>
      <w:r>
        <w:tab/>
        <w:t>An application under the Act section 101A must be made by lodging a Form 4 at the registry closest to where the alleged offence took place.</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keepNext/>
      </w:pPr>
      <w:r>
        <w:tab/>
        <w:t>(c)</w:t>
      </w:r>
      <w:r>
        <w:tab/>
        <w:t>at least 5 clear days before the date set by the Court for the hearing of the application, return one copy of the form to the applicant and give one copy to the relevant prosecuting authority.</w:t>
      </w:r>
    </w:p>
    <w:p>
      <w:pPr>
        <w:pStyle w:val="Footnotesection"/>
      </w:pPr>
      <w:r>
        <w:tab/>
        <w:t>[Rule 49 amended: Gazette 11 Mar 2014 p. 576; 12 Aug 2014 p. 2893.]</w:t>
      </w:r>
    </w:p>
    <w:p>
      <w:pPr>
        <w:pStyle w:val="Heading2"/>
      </w:pPr>
      <w:bookmarkStart w:id="276" w:name="_Toc155094215"/>
      <w:bookmarkStart w:id="277" w:name="_Toc118114569"/>
      <w:bookmarkStart w:id="278" w:name="_Toc118119340"/>
      <w:bookmarkStart w:id="279" w:name="_Toc118124539"/>
      <w:r>
        <w:rPr>
          <w:rStyle w:val="CharPartNo"/>
        </w:rPr>
        <w:t>Part 8</w:t>
      </w:r>
      <w:r>
        <w:rPr>
          <w:rStyle w:val="CharDivNo"/>
        </w:rPr>
        <w:t> </w:t>
      </w:r>
      <w:r>
        <w:t>—</w:t>
      </w:r>
      <w:r>
        <w:rPr>
          <w:rStyle w:val="CharDivText"/>
        </w:rPr>
        <w:t> </w:t>
      </w:r>
      <w:r>
        <w:rPr>
          <w:rStyle w:val="CharPartText"/>
          <w:i/>
          <w:iCs/>
        </w:rPr>
        <w:t xml:space="preserve">Road traffic legislation </w:t>
      </w:r>
      <w:r>
        <w:rPr>
          <w:rStyle w:val="CharPartText"/>
        </w:rPr>
        <w:t>rules</w:t>
      </w:r>
      <w:bookmarkEnd w:id="276"/>
      <w:bookmarkEnd w:id="277"/>
      <w:bookmarkEnd w:id="278"/>
      <w:bookmarkEnd w:id="279"/>
    </w:p>
    <w:p>
      <w:pPr>
        <w:pStyle w:val="Footnoteheading"/>
      </w:pPr>
      <w:r>
        <w:tab/>
        <w:t>[Heading amended: Gazette 8 Jan 2015 p. 161.]</w:t>
      </w:r>
    </w:p>
    <w:p>
      <w:pPr>
        <w:pStyle w:val="Heading5"/>
        <w:spacing w:before="200"/>
      </w:pPr>
      <w:bookmarkStart w:id="280" w:name="_Toc155094216"/>
      <w:bookmarkStart w:id="281" w:name="_Toc118124540"/>
      <w:r>
        <w:rPr>
          <w:rStyle w:val="CharSectno"/>
        </w:rPr>
        <w:t>50</w:t>
      </w:r>
      <w:r>
        <w:t>.</w:t>
      </w:r>
      <w:r>
        <w:tab/>
        <w:t>Terms used</w:t>
      </w:r>
      <w:bookmarkEnd w:id="280"/>
      <w:bookmarkEnd w:id="281"/>
    </w:p>
    <w:p>
      <w:pPr>
        <w:pStyle w:val="Subsection"/>
        <w:spacing w:before="140"/>
      </w:pPr>
      <w:r>
        <w:tab/>
      </w:r>
      <w:r>
        <w:tab/>
        <w:t>In this Part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Defstart"/>
        <w:spacing w:before="60"/>
      </w:pPr>
      <w:r>
        <w:rPr>
          <w:b/>
        </w:rPr>
        <w:tab/>
      </w:r>
      <w:r>
        <w:rPr>
          <w:rStyle w:val="CharDefText"/>
        </w:rPr>
        <w:t>RTA</w:t>
      </w:r>
      <w:r>
        <w:t xml:space="preserve"> means the </w:t>
      </w:r>
      <w:r>
        <w:rPr>
          <w:i/>
        </w:rPr>
        <w:t>Road Traffic Act 1974</w:t>
      </w:r>
      <w:r>
        <w:t>.</w:t>
      </w:r>
    </w:p>
    <w:p>
      <w:pPr>
        <w:pStyle w:val="Footnotesection"/>
        <w:spacing w:before="100"/>
        <w:ind w:left="890" w:hanging="890"/>
      </w:pPr>
      <w:r>
        <w:tab/>
        <w:t>[Rule 50 amended: Gazette 15 Feb 2011 p. 537; 8 Jan 2015 p. 162.]</w:t>
      </w:r>
    </w:p>
    <w:p>
      <w:pPr>
        <w:pStyle w:val="Heading5"/>
        <w:spacing w:before="200"/>
      </w:pPr>
      <w:bookmarkStart w:id="282" w:name="_Toc155094217"/>
      <w:bookmarkStart w:id="283" w:name="_Toc118124541"/>
      <w:r>
        <w:rPr>
          <w:rStyle w:val="CharSectno"/>
        </w:rPr>
        <w:t>50A</w:t>
      </w:r>
      <w:r>
        <w:t>.</w:t>
      </w:r>
      <w:r>
        <w:tab/>
        <w:t>Application under RTA s. 71B, how to be made</w:t>
      </w:r>
      <w:bookmarkEnd w:id="282"/>
      <w:bookmarkEnd w:id="283"/>
    </w:p>
    <w:p>
      <w:pPr>
        <w:pStyle w:val="Subsection"/>
        <w:spacing w:before="130"/>
      </w:pPr>
      <w:r>
        <w:tab/>
        <w:t>(1)</w:t>
      </w:r>
      <w:r>
        <w:tab/>
        <w:t>An application under the RTA section 71B(7) must be made by lodging a Form 4A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50A inserted: Gazette 23 Nov 2007 p. 5863.]</w:t>
      </w:r>
    </w:p>
    <w:p>
      <w:pPr>
        <w:pStyle w:val="Heading5"/>
        <w:spacing w:before="200"/>
      </w:pPr>
      <w:bookmarkStart w:id="284" w:name="_Toc155094218"/>
      <w:bookmarkStart w:id="285" w:name="_Toc118124542"/>
      <w:r>
        <w:rPr>
          <w:rStyle w:val="CharSectno"/>
        </w:rPr>
        <w:t>50B</w:t>
      </w:r>
      <w:r>
        <w:t>.</w:t>
      </w:r>
      <w:r>
        <w:tab/>
        <w:t>Application under RTA s. 71F, how to be made</w:t>
      </w:r>
      <w:bookmarkEnd w:id="284"/>
      <w:bookmarkEnd w:id="285"/>
    </w:p>
    <w:p>
      <w:pPr>
        <w:pStyle w:val="Subsection"/>
        <w:spacing w:before="130"/>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50B inserted: Gazette 31 Jul 2012 p. 3690.]</w:t>
      </w:r>
    </w:p>
    <w:p>
      <w:pPr>
        <w:pStyle w:val="Heading5"/>
        <w:spacing w:before="200"/>
      </w:pPr>
      <w:bookmarkStart w:id="286" w:name="_Toc155094219"/>
      <w:bookmarkStart w:id="287" w:name="_Toc118124543"/>
      <w:r>
        <w:rPr>
          <w:rStyle w:val="CharSectno"/>
        </w:rPr>
        <w:t>51</w:t>
      </w:r>
      <w:r>
        <w:t>.</w:t>
      </w:r>
      <w:r>
        <w:tab/>
        <w:t>Application under RT (AD) Act s. 27 or 35, how to be made</w:t>
      </w:r>
      <w:bookmarkEnd w:id="286"/>
      <w:bookmarkEnd w:id="287"/>
    </w:p>
    <w:p>
      <w:pPr>
        <w:pStyle w:val="Subsection"/>
        <w:spacing w:before="130"/>
      </w:pPr>
      <w:r>
        <w:tab/>
        <w:t>(1)</w:t>
      </w:r>
      <w:r>
        <w:tab/>
        <w:t>An application under the RT (AD) Act section 27 must be made by lodging the approved form together with an affidavit supporting the application.</w:t>
      </w:r>
    </w:p>
    <w:p>
      <w:pPr>
        <w:pStyle w:val="Ednotesubsection"/>
        <w:spacing w:before="130"/>
      </w:pPr>
      <w:r>
        <w:tab/>
        <w:t>[(2)</w:t>
      </w:r>
      <w:r>
        <w:tab/>
        <w:t>deleted]</w:t>
      </w:r>
    </w:p>
    <w:p>
      <w:pPr>
        <w:pStyle w:val="Subsection"/>
        <w:spacing w:before="130"/>
      </w:pPr>
      <w:r>
        <w:tab/>
        <w:t>(3)</w:t>
      </w:r>
      <w:r>
        <w:tab/>
        <w:t>An application under the RT (AD) Act section 35(1) must be made by lodging the approved form together with an affidavit supporting the application.</w:t>
      </w:r>
    </w:p>
    <w:p>
      <w:pPr>
        <w:pStyle w:val="Subsection"/>
      </w:pPr>
      <w:r>
        <w:tab/>
        <w:t>(4)</w:t>
      </w:r>
      <w:r>
        <w:tab/>
        <w:t xml:space="preserve">An application under the RT (AD) Act section 35(2)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affidavit are lodged under this rule, 2 copies must also be lodged.</w:t>
      </w:r>
    </w:p>
    <w:p>
      <w:pPr>
        <w:pStyle w:val="Footnotesection"/>
      </w:pPr>
      <w:r>
        <w:tab/>
        <w:t>[Rule 51 amended: Gazette 15 Feb 2011 p. 537; 8 Jan 2015 p. 162; 26 Mar 2019 p. 947; SL 2021/25 r. 24; SL 2022/180 r. 4.]</w:t>
      </w:r>
    </w:p>
    <w:p>
      <w:pPr>
        <w:pStyle w:val="Heading5"/>
      </w:pPr>
      <w:bookmarkStart w:id="288" w:name="_Toc155094220"/>
      <w:bookmarkStart w:id="289" w:name="_Toc118124544"/>
      <w:r>
        <w:rPr>
          <w:rStyle w:val="CharSectno"/>
        </w:rPr>
        <w:t>51A</w:t>
      </w:r>
      <w:r>
        <w:t>.</w:t>
      </w:r>
      <w:r>
        <w:tab/>
        <w:t>Application under RTA s. 80J, how to be made</w:t>
      </w:r>
      <w:bookmarkEnd w:id="288"/>
      <w:bookmarkEnd w:id="289"/>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Gazette 3 Oct 2008 p. 4485.]</w:t>
      </w:r>
    </w:p>
    <w:p>
      <w:pPr>
        <w:pStyle w:val="Heading5"/>
      </w:pPr>
      <w:bookmarkStart w:id="290" w:name="_Toc155094221"/>
      <w:bookmarkStart w:id="291" w:name="_Toc118107188"/>
      <w:bookmarkStart w:id="292" w:name="_Toc117502360"/>
      <w:bookmarkStart w:id="293" w:name="_Toc118124545"/>
      <w:bookmarkStart w:id="294" w:name="_Hlk118110778"/>
      <w:r>
        <w:rPr>
          <w:rStyle w:val="CharSectno"/>
        </w:rPr>
        <w:t>51AA</w:t>
      </w:r>
      <w:r>
        <w:t>.</w:t>
      </w:r>
      <w:r>
        <w:tab/>
        <w:t>Application for return of item in or on confiscated motor cycle (RTA s. 80V(3))</w:t>
      </w:r>
      <w:bookmarkEnd w:id="290"/>
      <w:bookmarkEnd w:id="291"/>
      <w:bookmarkEnd w:id="292"/>
      <w:bookmarkEnd w:id="293"/>
    </w:p>
    <w:p>
      <w:pPr>
        <w:pStyle w:val="Subsection"/>
      </w:pPr>
      <w:r>
        <w:tab/>
        <w:t>(1)</w:t>
      </w:r>
      <w:r>
        <w:tab/>
        <w:t>An application under the RTA section 80V(3) must be made by lodging the approved form and any affidavit that the applicant proposes to tender at the hearing of the application.</w:t>
      </w:r>
    </w:p>
    <w:p>
      <w:pPr>
        <w:pStyle w:val="Subsection"/>
      </w:pPr>
      <w:r>
        <w:tab/>
        <w:t>(2)</w:t>
      </w:r>
      <w:r>
        <w:tab/>
        <w:t>When a form and any affidavit is lodged under this rule, 2 copies must also be lodged.</w:t>
      </w:r>
      <w:bookmarkEnd w:id="294"/>
    </w:p>
    <w:p>
      <w:pPr>
        <w:pStyle w:val="Footnotesection"/>
      </w:pPr>
      <w:r>
        <w:tab/>
        <w:t>[Rule 51AA inserted: SL 2022/180 r. 5.]</w:t>
      </w:r>
    </w:p>
    <w:p>
      <w:pPr>
        <w:pStyle w:val="Heading5"/>
      </w:pPr>
      <w:bookmarkStart w:id="295" w:name="_Toc155094222"/>
      <w:bookmarkStart w:id="296" w:name="_Toc118124546"/>
      <w:r>
        <w:rPr>
          <w:rStyle w:val="CharSectno"/>
        </w:rPr>
        <w:t>51B</w:t>
      </w:r>
      <w:r>
        <w:t>.</w:t>
      </w:r>
      <w:r>
        <w:tab/>
        <w:t>Registries where applications may be lodged</w:t>
      </w:r>
      <w:bookmarkEnd w:id="295"/>
      <w:bookmarkEnd w:id="296"/>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50B or 51 may be lodged at any registry of the Court, including a police registry.</w:t>
      </w:r>
    </w:p>
    <w:p>
      <w:pPr>
        <w:pStyle w:val="Subsection"/>
      </w:pPr>
      <w:r>
        <w:tab/>
        <w:t>(3)</w:t>
      </w:r>
      <w:r>
        <w:tab/>
        <w:t xml:space="preserve">An application referred to in rule 51A </w:t>
      </w:r>
      <w:bookmarkStart w:id="297" w:name="_Hlk118110799"/>
      <w:r>
        <w:t>or 51AA</w:t>
      </w:r>
      <w:bookmarkEnd w:id="297"/>
      <w:r>
        <w:t xml:space="preserve"> may be lodged at the nearest non</w:t>
      </w:r>
      <w:r>
        <w:noBreakHyphen/>
        <w:t>police registry to the place where the uncollected vehicle or item that is the subject of the application is being held.</w:t>
      </w:r>
    </w:p>
    <w:p>
      <w:pPr>
        <w:pStyle w:val="Footnotesection"/>
      </w:pPr>
      <w:r>
        <w:tab/>
        <w:t>[Rule 51B inserted: Gazette 23 Nov 2007 p. 5863; amended: Gazette 23 May 2008 p. 1992; 3 Oct 2008 p. 4486; 31 Jul 2012 p. 3690; SL 2022/180 r. 6.]</w:t>
      </w:r>
    </w:p>
    <w:p>
      <w:pPr>
        <w:pStyle w:val="Heading5"/>
      </w:pPr>
      <w:bookmarkStart w:id="298" w:name="_Toc155094223"/>
      <w:bookmarkStart w:id="299" w:name="_Toc118124547"/>
      <w:r>
        <w:rPr>
          <w:rStyle w:val="CharSectno"/>
        </w:rPr>
        <w:t>52</w:t>
      </w:r>
      <w:r>
        <w:t>.</w:t>
      </w:r>
      <w:r>
        <w:tab/>
        <w:t>Registrar’s functions when application is made</w:t>
      </w:r>
      <w:bookmarkEnd w:id="298"/>
      <w:bookmarkEnd w:id="299"/>
    </w:p>
    <w:p>
      <w:pPr>
        <w:pStyle w:val="Subsection"/>
      </w:pPr>
      <w:r>
        <w:tab/>
        <w:t>(1a)</w:t>
      </w:r>
      <w:r>
        <w:tab/>
        <w:t xml:space="preserve">On accepting a Form 4A or 9, </w:t>
      </w:r>
      <w:bookmarkStart w:id="300" w:name="_Hlk118110826"/>
      <w:r>
        <w:t xml:space="preserve">or an approved form lodged under rule 51AA, </w:t>
      </w:r>
      <w:bookmarkEnd w:id="300"/>
      <w:r>
        <w:t xml:space="preserve">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1 copy of the form to the applicant and issue 1 copy to the Commissioner of Police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 (AD) Act section 29 or 35(3).</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1 copy of the form to the applicant and issue 1 copy to the Commissioner of Police at least 14 clear days before the date set by the Court for the hearing of it.</w:t>
      </w:r>
    </w:p>
    <w:p>
      <w:pPr>
        <w:pStyle w:val="Subsection"/>
      </w:pPr>
      <w:r>
        <w:tab/>
        <w:t>(2)</w:t>
      </w:r>
      <w:r>
        <w:tab/>
        <w:t xml:space="preserve">On accepting an application under the RT (AD) Act section 27,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1 copy of the form to the applicant and issue 1 copy to the CEO.</w:t>
      </w:r>
    </w:p>
    <w:p>
      <w:pPr>
        <w:pStyle w:val="Subsection"/>
      </w:pPr>
      <w:r>
        <w:tab/>
        <w:t>(3)</w:t>
      </w:r>
      <w:r>
        <w:tab/>
        <w:t xml:space="preserve">On accepting an application under the RT (AD) Act section 35(1),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1 copy of the form to the applicant and issue 1 copy to the CEO.</w:t>
      </w:r>
    </w:p>
    <w:p>
      <w:pPr>
        <w:pStyle w:val="Subsection"/>
        <w:keepNext/>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CEO.</w:t>
      </w:r>
    </w:p>
    <w:p>
      <w:pPr>
        <w:pStyle w:val="Subsection"/>
        <w:keepLines/>
      </w:pPr>
      <w:r>
        <w:tab/>
        <w:t>(5)</w:t>
      </w:r>
      <w:r>
        <w:tab/>
        <w:t>On receiving the copies of a Form 8 from a registrar, the CEO must serve 1 copy on the holder of the extraordinary licence to which the application relates in accordance with the CPA Schedule 2 clause 2 or 3.</w:t>
      </w:r>
    </w:p>
    <w:p>
      <w:pPr>
        <w:pStyle w:val="Subsection"/>
      </w:pPr>
      <w:r>
        <w:tab/>
        <w:t>(6)</w:t>
      </w:r>
      <w:r>
        <w:tab/>
        <w:t>For the purposes of rule 15A(1), a copy of a form that a registrar must issue under this rule is taken to be a document that is required to be issued by the Court.</w:t>
      </w:r>
    </w:p>
    <w:p>
      <w:pPr>
        <w:pStyle w:val="Footnotesection"/>
      </w:pPr>
      <w:r>
        <w:tab/>
        <w:t>[Rule 52 amended: Gazette 24 Aug 2007 p. 4324; 23 Nov 2007 p. 5863; 23 May 2008 p. 1992; 3 Oct 2008 p. 4486; 15 Feb 2011 p. 537; 31 Jul 2012 p. 3690; 8 Jan 2015 p. 163; SL 2021/25 r. 25; SL 2021/133 r. 9; SL 2022/180 r. 7.]</w:t>
      </w:r>
    </w:p>
    <w:p>
      <w:pPr>
        <w:pStyle w:val="Heading5"/>
      </w:pPr>
      <w:bookmarkStart w:id="301" w:name="_Toc155094224"/>
      <w:bookmarkStart w:id="302" w:name="_Toc118124548"/>
      <w:r>
        <w:rPr>
          <w:rStyle w:val="CharSectno"/>
        </w:rPr>
        <w:t>53</w:t>
      </w:r>
      <w:r>
        <w:t>.</w:t>
      </w:r>
      <w:r>
        <w:tab/>
        <w:t>Appearance at hearing of application</w:t>
      </w:r>
      <w:bookmarkEnd w:id="301"/>
      <w:bookmarkEnd w:id="302"/>
    </w:p>
    <w:p>
      <w:pPr>
        <w:pStyle w:val="Ednotesubsection"/>
      </w:pPr>
      <w:r>
        <w:tab/>
        <w:t>[(1a)</w:t>
      </w:r>
      <w:r>
        <w:tab/>
        <w:t>deleted]</w:t>
      </w:r>
    </w:p>
    <w:p>
      <w:pPr>
        <w:pStyle w:val="Subsection"/>
      </w:pPr>
      <w:r>
        <w:tab/>
        <w:t>(1)</w:t>
      </w:r>
      <w:r>
        <w:tab/>
        <w:t xml:space="preserve">If the Court is satisfied that an application made under the RTA section 71B(7), </w:t>
      </w:r>
      <w:bookmarkStart w:id="303" w:name="_Hlk118110863"/>
      <w:r>
        <w:t>71F(1), 80J(5) or (6) or 80V(3)</w:t>
      </w:r>
      <w:bookmarkEnd w:id="303"/>
      <w:r>
        <w:t xml:space="preserve"> has been issued to the Commissioner of Police, the Court may deal with the application in the absence of the Commissioner of Police.</w:t>
      </w:r>
    </w:p>
    <w:p>
      <w:pPr>
        <w:pStyle w:val="Subsection"/>
      </w:pPr>
      <w:r>
        <w:tab/>
        <w:t>(1A)</w:t>
      </w:r>
      <w:r>
        <w:tab/>
        <w:t>If the Court is satisfied that an application made under the RT (AD) Act section 27 or 35(1) has been issued to the CEO, the Court may deal with the application in the absence of the CEO.</w:t>
      </w:r>
    </w:p>
    <w:p>
      <w:pPr>
        <w:pStyle w:val="Subsection"/>
      </w:pPr>
      <w:r>
        <w:tab/>
        <w:t>(2)</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53 amended: Gazette 23 Nov 2007 p. 5863; 3 Oct 2008 p. 4486; 15 Feb 2011 p. 537; 31 Jul 2012 p. 3690; 8 Jan 2015 p. 164; SL 2021/133 r. 10; SL 2022/180 r. 8.]</w:t>
      </w:r>
    </w:p>
    <w:p>
      <w:pPr>
        <w:pStyle w:val="Heading5"/>
      </w:pPr>
      <w:bookmarkStart w:id="304" w:name="_Toc155094225"/>
      <w:bookmarkStart w:id="305" w:name="_Toc118124549"/>
      <w:r>
        <w:rPr>
          <w:rStyle w:val="CharSectno"/>
        </w:rPr>
        <w:t>54</w:t>
      </w:r>
      <w:r>
        <w:t>.</w:t>
      </w:r>
      <w:r>
        <w:tab/>
        <w:t>Hearing of application, procedure on</w:t>
      </w:r>
      <w:bookmarkEnd w:id="304"/>
      <w:bookmarkEnd w:id="305"/>
    </w:p>
    <w:p>
      <w:pPr>
        <w:pStyle w:val="Subsection"/>
      </w:pPr>
      <w:r>
        <w:tab/>
      </w:r>
      <w:r>
        <w:tab/>
        <w:t>At the hearing of an application made under the RT (AD) Act section 27 or 35(2) —</w:t>
      </w:r>
    </w:p>
    <w:p>
      <w:pPr>
        <w:pStyle w:val="Indenta"/>
      </w:pPr>
      <w:r>
        <w:tab/>
        <w:t>(a)</w:t>
      </w:r>
      <w:r>
        <w:tab/>
        <w:t>the applicant bears the onus of proof; and</w:t>
      </w:r>
    </w:p>
    <w:p>
      <w:pPr>
        <w:pStyle w:val="Indenta"/>
      </w:pPr>
      <w:r>
        <w:tab/>
        <w:t>(b)</w:t>
      </w:r>
      <w:r>
        <w:tab/>
        <w:t>the standard of proof is on the balance of probabilities; and</w:t>
      </w:r>
    </w:p>
    <w:p>
      <w:pPr>
        <w:pStyle w:val="Indenta"/>
        <w:keepNext/>
      </w:pPr>
      <w:r>
        <w:tab/>
        <w:t>(c)</w:t>
      </w:r>
      <w:r>
        <w:tab/>
        <w:t>affidavit evidence may be adduced by a party if the maker of the affidavit is present.</w:t>
      </w:r>
    </w:p>
    <w:p>
      <w:pPr>
        <w:pStyle w:val="Footnotesection"/>
      </w:pPr>
      <w:r>
        <w:tab/>
        <w:t>[Rule 54 amended: Gazette 24 Aug 2007 p. 4324; 23 May 2008 p. 1992; 15 Feb 2011 p. 537; 8 Jan 2015 p. 164.]</w:t>
      </w:r>
    </w:p>
    <w:p>
      <w:pPr>
        <w:pStyle w:val="Heading5"/>
      </w:pPr>
      <w:bookmarkStart w:id="306" w:name="_Toc155094226"/>
      <w:bookmarkStart w:id="307" w:name="_Toc118124550"/>
      <w:r>
        <w:rPr>
          <w:rStyle w:val="CharSectno"/>
        </w:rPr>
        <w:t>55</w:t>
      </w:r>
      <w:r>
        <w:t>.</w:t>
      </w:r>
      <w:r>
        <w:tab/>
        <w:t>CEO to be notified of decision</w:t>
      </w:r>
      <w:bookmarkEnd w:id="306"/>
      <w:bookmarkEnd w:id="307"/>
    </w:p>
    <w:p>
      <w:pPr>
        <w:pStyle w:val="Subsection"/>
        <w:keepNext/>
      </w:pPr>
      <w:r>
        <w:tab/>
      </w:r>
      <w:r>
        <w:tab/>
        <w:t>As soon as practicable after the Court decides an application to which this Part applies, a registrar must give the CEO notice of the decision including the details of any order made.</w:t>
      </w:r>
    </w:p>
    <w:p>
      <w:pPr>
        <w:pStyle w:val="Footnotesection"/>
      </w:pPr>
      <w:r>
        <w:tab/>
        <w:t>[Rule 55 amended: Gazette 8 Jan 2015 p. 165.]</w:t>
      </w:r>
    </w:p>
    <w:p>
      <w:pPr>
        <w:pStyle w:val="Heading2"/>
      </w:pPr>
      <w:bookmarkStart w:id="308" w:name="_Toc155094227"/>
      <w:bookmarkStart w:id="309" w:name="_Toc118114580"/>
      <w:bookmarkStart w:id="310" w:name="_Toc118119352"/>
      <w:bookmarkStart w:id="311" w:name="_Toc118124551"/>
      <w:r>
        <w:rPr>
          <w:rStyle w:val="CharPartNo"/>
        </w:rPr>
        <w:t>Part 9</w:t>
      </w:r>
      <w:r>
        <w:t xml:space="preserve"> — </w:t>
      </w:r>
      <w:r>
        <w:rPr>
          <w:rStyle w:val="CharPartText"/>
          <w:i/>
          <w:iCs/>
        </w:rPr>
        <w:t xml:space="preserve">Criminal Investigation Act 2006 </w:t>
      </w:r>
      <w:r>
        <w:rPr>
          <w:rStyle w:val="CharPartText"/>
        </w:rPr>
        <w:t>rules</w:t>
      </w:r>
      <w:bookmarkEnd w:id="308"/>
      <w:bookmarkEnd w:id="309"/>
      <w:bookmarkEnd w:id="310"/>
      <w:bookmarkEnd w:id="311"/>
    </w:p>
    <w:p>
      <w:pPr>
        <w:pStyle w:val="Footnoteheading"/>
      </w:pPr>
      <w:r>
        <w:tab/>
        <w:t>[Heading inserted: Gazette 24 Aug 2007 p. 4324.]</w:t>
      </w:r>
    </w:p>
    <w:p>
      <w:pPr>
        <w:pStyle w:val="Heading5"/>
      </w:pPr>
      <w:bookmarkStart w:id="312" w:name="_Toc155094228"/>
      <w:bookmarkStart w:id="313" w:name="_Toc118124552"/>
      <w:r>
        <w:rPr>
          <w:rStyle w:val="CharSectno"/>
        </w:rPr>
        <w:t>56</w:t>
      </w:r>
      <w:r>
        <w:t>.</w:t>
      </w:r>
      <w:r>
        <w:tab/>
        <w:t xml:space="preserve">Application under </w:t>
      </w:r>
      <w:r>
        <w:rPr>
          <w:i/>
          <w:iCs/>
        </w:rPr>
        <w:t>Criminal Investigation Act 2006</w:t>
      </w:r>
      <w:r>
        <w:t xml:space="preserve"> s. 151, how to be made</w:t>
      </w:r>
      <w:bookmarkEnd w:id="312"/>
      <w:bookmarkEnd w:id="313"/>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also be lodged.</w:t>
      </w:r>
    </w:p>
    <w:p>
      <w:pPr>
        <w:pStyle w:val="Footnotesection"/>
      </w:pPr>
      <w:r>
        <w:tab/>
        <w:t>[Rule 56 inserted: Gazette 24 Aug 2007 p. 4324</w:t>
      </w:r>
      <w:r>
        <w:noBreakHyphen/>
        <w:t>5; amended: SL 2022/180 r. 9.]</w:t>
      </w:r>
    </w:p>
    <w:p>
      <w:pPr>
        <w:pStyle w:val="Heading5"/>
      </w:pPr>
      <w:bookmarkStart w:id="314" w:name="_Toc155094229"/>
      <w:bookmarkStart w:id="315" w:name="_Toc118124553"/>
      <w:r>
        <w:rPr>
          <w:rStyle w:val="CharSectno"/>
        </w:rPr>
        <w:t>57</w:t>
      </w:r>
      <w:r>
        <w:t>.</w:t>
      </w:r>
      <w:r>
        <w:tab/>
        <w:t>Registries where applications may be lodged</w:t>
      </w:r>
      <w:bookmarkEnd w:id="314"/>
      <w:bookmarkEnd w:id="315"/>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Gazette 24 Aug 2007 p. 4325; amended: Gazette 23 Nov 2007 p. 5864.]</w:t>
      </w:r>
    </w:p>
    <w:p>
      <w:pPr>
        <w:pStyle w:val="Heading5"/>
      </w:pPr>
      <w:bookmarkStart w:id="316" w:name="_Toc155094230"/>
      <w:bookmarkStart w:id="317" w:name="_Toc118124554"/>
      <w:r>
        <w:rPr>
          <w:rStyle w:val="CharSectno"/>
        </w:rPr>
        <w:t>58</w:t>
      </w:r>
      <w:r>
        <w:t>.</w:t>
      </w:r>
      <w:r>
        <w:tab/>
        <w:t>Registrar’s functions when application is made</w:t>
      </w:r>
      <w:bookmarkEnd w:id="316"/>
      <w:bookmarkEnd w:id="317"/>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Gazette 24 Aug 2007 p. 4325.]</w:t>
      </w:r>
    </w:p>
    <w:p>
      <w:pPr>
        <w:pStyle w:val="Heading5"/>
      </w:pPr>
      <w:bookmarkStart w:id="318" w:name="_Toc155094231"/>
      <w:bookmarkStart w:id="319" w:name="_Toc118124555"/>
      <w:r>
        <w:rPr>
          <w:rStyle w:val="CharSectno"/>
        </w:rPr>
        <w:t>59</w:t>
      </w:r>
      <w:r>
        <w:t>.</w:t>
      </w:r>
      <w:r>
        <w:tab/>
        <w:t>Application must be served</w:t>
      </w:r>
      <w:bookmarkEnd w:id="318"/>
      <w:bookmarkEnd w:id="319"/>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Gazette 24 Aug 2007 p. 4325.]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20" w:name="_Toc155094232"/>
      <w:bookmarkStart w:id="321" w:name="_Toc118114585"/>
      <w:bookmarkStart w:id="322" w:name="_Toc118119357"/>
      <w:bookmarkStart w:id="323" w:name="_Toc118124556"/>
      <w:r>
        <w:rPr>
          <w:rStyle w:val="CharSchNo"/>
        </w:rPr>
        <w:t>Schedule 1</w:t>
      </w:r>
      <w:r>
        <w:rPr>
          <w:rStyle w:val="CharSDivNo"/>
        </w:rPr>
        <w:t> </w:t>
      </w:r>
      <w:r>
        <w:t>—</w:t>
      </w:r>
      <w:r>
        <w:rPr>
          <w:rStyle w:val="CharSDivText"/>
        </w:rPr>
        <w:t> </w:t>
      </w:r>
      <w:r>
        <w:rPr>
          <w:rStyle w:val="CharSchText"/>
        </w:rPr>
        <w:t>Suburbs and registries</w:t>
      </w:r>
      <w:bookmarkEnd w:id="320"/>
      <w:bookmarkEnd w:id="321"/>
      <w:bookmarkEnd w:id="322"/>
      <w:bookmarkEnd w:id="323"/>
    </w:p>
    <w:p>
      <w:pPr>
        <w:pStyle w:val="yShoulderClause"/>
      </w:pPr>
      <w:r>
        <w:t>[r. 44]</w:t>
      </w:r>
    </w:p>
    <w:p>
      <w:pPr>
        <w:pStyle w:val="yFootnoteheading"/>
        <w:spacing w:after="60"/>
      </w:pPr>
      <w:r>
        <w:tab/>
        <w:t>[Heading inserted: Gazette 11 Mar 2014 p. 576.]</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rPr>
          <w:tblHeader/>
        </w:trPr>
        <w:tc>
          <w:tcPr>
            <w:tcW w:w="2127" w:type="dxa"/>
            <w:tcBorders>
              <w:right w:val="single" w:sz="4" w:space="0" w:color="auto"/>
            </w:tcBorders>
          </w:tcPr>
          <w:p>
            <w:pPr>
              <w:pStyle w:val="yTableNAm"/>
              <w:spacing w:before="50"/>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rPr>
                <w:b/>
                <w:bCs/>
              </w:rPr>
              <w:t>Registry</w:t>
            </w:r>
          </w:p>
        </w:tc>
        <w:tc>
          <w:tcPr>
            <w:tcW w:w="2126" w:type="dxa"/>
            <w:tcBorders>
              <w:left w:val="double" w:sz="4" w:space="0" w:color="auto"/>
            </w:tcBorders>
          </w:tcPr>
          <w:p>
            <w:pPr>
              <w:pStyle w:val="yTableNAm"/>
              <w:spacing w:before="50"/>
            </w:pPr>
            <w:r>
              <w:rPr>
                <w:b/>
                <w:bCs/>
              </w:rPr>
              <w:t>Suburb (M</w:t>
            </w:r>
            <w:r>
              <w:rPr>
                <w:b/>
                <w:bCs/>
              </w:rPr>
              <w:noBreakHyphen/>
              <w:t>Z)</w:t>
            </w:r>
          </w:p>
        </w:tc>
        <w:tc>
          <w:tcPr>
            <w:tcW w:w="1418" w:type="dxa"/>
          </w:tcPr>
          <w:p>
            <w:pPr>
              <w:pStyle w:val="yTableNAm"/>
              <w:spacing w:before="50"/>
            </w:pPr>
            <w:r>
              <w:rPr>
                <w:b/>
                <w:bCs/>
              </w:rPr>
              <w:t>Registry</w:t>
            </w:r>
          </w:p>
        </w:tc>
      </w:tr>
      <w:tr>
        <w:tc>
          <w:tcPr>
            <w:tcW w:w="2127" w:type="dxa"/>
            <w:tcBorders>
              <w:right w:val="single" w:sz="4" w:space="0" w:color="auto"/>
            </w:tcBorders>
          </w:tcPr>
          <w:p>
            <w:pPr>
              <w:pStyle w:val="yTableNAm"/>
              <w:spacing w:before="50"/>
            </w:pPr>
            <w:r>
              <w:t>Alexander Heights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Maddington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Alfred Cove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Madeley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Alkimos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Madora Bay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Anketell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Mahogany Creek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Applecross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Maida Vale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Araluen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Malaga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Ardross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Malmalling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Armadale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Mandogalup</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Ascot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Mandurah</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Ashby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Manning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Ashendon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Marangaroo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Ashfield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Mardella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Attadale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Mariginiup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Atwell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Marmion</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Aubin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Martin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Aveley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Maylands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Bailup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Meadow Springs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Balcatta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Medina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Baldivis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Melaleuca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Balga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Melville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Ballajura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Menora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Banjup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Merriwa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Banksia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Middle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Banksia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Midland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Barragup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Baskerville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Millendon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Bassendean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Mindarie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Bateman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Mirrabooka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Bayswater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Morley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Beaconsfield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Mosman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Beckenham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Mount Claremont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Mount Hawthorn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Mount Helena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Beechboro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Mount Lawley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Mount Nasura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Beeliar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Mount Pleasant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Beldon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Mount Richon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Belhus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Mullaloo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Bellevue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Mundaring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Belmont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Mundijong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Bentley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Munster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Bertram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Murdoch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Bibra Lake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Myara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Bickley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Myaree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Nambeelup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Booragoon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Naval Base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Bouvard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Nedlands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Boya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Neerabup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Brabham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Nirimba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Brentwood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Nollamara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Brigadoon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Noranda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Brookdale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Beach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 Creek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Bullsbrook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North Dandalup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Burns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Burrendah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Burswood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North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Butler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Byford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Northbridge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Calista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Nowergup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Camillo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O’Connor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Canning Mills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Oakford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Canning Vale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Oakley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Ocean Reef</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Carabooda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Oldbury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Cardup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Orange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Orelia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Carlisle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Osborne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Carmel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Padbury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Carramar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Palmyra</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Casuarina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Parkerville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Caversham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Parkwood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Challenger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Parmelia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Champion Lakes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Paulls Valley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Chidlow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Pearsall</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Chittering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 xml:space="preserve">Peppermint Grove </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Churchlands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Peron</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City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Claremont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Airport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Clarkson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Piara Waters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Cloverdale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Pickering Brook</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Como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Piesse Brook</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Connolly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Pinjar</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Coodanup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Coogee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Point Grey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Coolbellup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Port Kennedy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Coolbinia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Postans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Cooloongup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Pyrton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Cottesloe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Queens Park</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Craigie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Quinns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Crawley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Ravenswood</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Cullacabardee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Red Hill</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 xml:space="preserve">Currambine </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Redcliffe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Daglish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Reservoir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Dalkeith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Ridgewood</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Darch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Riverton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Darling Downs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Rivervale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Darlington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Rockingham</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Davis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Roleystone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Dawesville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Rossmoyne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Dayton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Rottnest Island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Dianella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Safety Bay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Doubleview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Salter Point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Dudley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Samson</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Duncraig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San Remo</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Dwellingup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Sawyers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East 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Scarborough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East 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Secret Harbour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East Perth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Serpentine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East Rockingham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Seville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East Victoria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Shelley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Eden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Shenton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Edgewater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Shoalwater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Eglinton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Silver Sands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Ellenbrook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Sinagra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Ellis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Singleton</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Embleton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Sorrento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Erskine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Fairbridge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Guildford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Ferndale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Floreat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South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Forrestdale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Forrestfield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Southern River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Spearwood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Furnissdale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Stake Hill</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Gidgegannup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Stirling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Girrawheen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St James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Glen Forrest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Stoneville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Glendalough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Stratton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Gleneagle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Subiaco</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Glengarry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Success</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Gnangara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Swan View</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Swanbourne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Gooseberry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Tamala Park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Gorrie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Tapping</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Gosnells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The Lakes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Greenfields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The Spectacles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Greenmount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The Vines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Thornlie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Guildford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Treeby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Gwelup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Trigg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Hacketts Gully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Tuart Hill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Halls Head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Two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Hamersley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Upper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Hamilton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Victoria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Hammond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Viveash</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Harrisdale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Waikiki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Haynes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Walliston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Hazelmere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Wandi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Heathridge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Wangara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Helena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Wannanup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Henderson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Wanneroo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Henley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Warnbro</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Herdsman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Warwick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Herne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Waterford</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High Wycombe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Watermans Bay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Highgate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Wattle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Hilbert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Wattleup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Hillarys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Wellard</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Hillman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Welshpool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Hilton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Wembley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Hocking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Wembley Downs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West Leederville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Hopeland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West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Hovea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West 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Huntingdale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West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Iluka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Westminster</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Inglewood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Whitby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Innaloo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White Gum Valley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Jandabup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Whiteman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Jandakot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Whittaker</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Jane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Willagee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Jarrahdale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Willetton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Jindalee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Wilson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Jolimont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Winthrop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Joondalup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Woodbridge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Joondanna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Kalamunda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Woodvale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Kallaroo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Wooroloo</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Karawara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Wungong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Kardinya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Yanchep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Karnup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Yangebup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Karragullen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Yokine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Karrakatta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Karrakup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Karrinyup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Kelmscott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Kensington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Kenwick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Kewdale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Keysbrook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Kiara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Kings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Kingsley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Kinross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Koondoola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Koongamia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Town Centre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Lakelands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Landsdale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Langford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Lathlain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Leederville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Leeming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Lesmurdie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Lexia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Lockridge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Lynwood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bl>
    <w:p>
      <w:pPr>
        <w:pStyle w:val="yFootnotesection"/>
      </w:pPr>
      <w:r>
        <w:tab/>
        <w:t>[Schedule 1 inserted: Gazette 11 Mar 2014 p. 576-82; amended: SL 2022/180 r. 10.]</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544" w:gutter="0"/>
          <w:cols w:space="720"/>
          <w:noEndnote/>
          <w:docGrid w:linePitch="326"/>
        </w:sectPr>
      </w:pPr>
    </w:p>
    <w:p>
      <w:pPr>
        <w:pStyle w:val="yScheduleHeading"/>
      </w:pPr>
      <w:bookmarkStart w:id="325" w:name="_Toc155094233"/>
      <w:bookmarkStart w:id="326" w:name="_Toc118114586"/>
      <w:bookmarkStart w:id="327" w:name="_Toc118119358"/>
      <w:bookmarkStart w:id="328" w:name="_Toc118124557"/>
      <w:r>
        <w:rPr>
          <w:rStyle w:val="CharSchNo"/>
        </w:rPr>
        <w:t>Schedule 2</w:t>
      </w:r>
      <w:r>
        <w:rPr>
          <w:rStyle w:val="CharSDivNo"/>
        </w:rPr>
        <w:t> </w:t>
      </w:r>
      <w:r>
        <w:t>—</w:t>
      </w:r>
      <w:r>
        <w:rPr>
          <w:rStyle w:val="CharSDivText"/>
        </w:rPr>
        <w:t> </w:t>
      </w:r>
      <w:r>
        <w:rPr>
          <w:rStyle w:val="CharSchText"/>
        </w:rPr>
        <w:t>Forms</w:t>
      </w:r>
      <w:bookmarkEnd w:id="325"/>
      <w:bookmarkEnd w:id="326"/>
      <w:bookmarkEnd w:id="327"/>
      <w:bookmarkEnd w:id="328"/>
    </w:p>
    <w:p>
      <w:pPr>
        <w:pStyle w:val="yShoulderClause"/>
      </w:pPr>
      <w:r>
        <w:t>[r. 3]</w:t>
      </w:r>
    </w:p>
    <w:p>
      <w:pPr>
        <w:pStyle w:val="yHeading5"/>
        <w:spacing w:after="240"/>
      </w:pPr>
      <w:bookmarkStart w:id="329" w:name="_Toc155094234"/>
      <w:bookmarkStart w:id="330" w:name="_Toc118124558"/>
      <w:r>
        <w:rPr>
          <w:rStyle w:val="CharSClsNo"/>
        </w:rPr>
        <w:t>1A</w:t>
      </w:r>
      <w:r>
        <w:t>.</w:t>
      </w:r>
      <w:r>
        <w:tab/>
        <w:t>Application for leave to lodge a document (r. 10)</w:t>
      </w:r>
      <w:bookmarkEnd w:id="329"/>
      <w:bookmarkEnd w:id="3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NAm"/>
              <w:spacing w:before="0"/>
              <w:rPr>
                <w:iCs/>
                <w:sz w:val="20"/>
              </w:rPr>
            </w:pPr>
            <w:r>
              <w:rPr>
                <w:i/>
                <w:sz w:val="20"/>
              </w:rPr>
              <w:t>Magistrates Court Act 2004</w:t>
            </w:r>
            <w:r>
              <w:rPr>
                <w:iCs/>
                <w:sz w:val="20"/>
              </w:rPr>
              <w:t xml:space="preserve"> s. 17(3)</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3"/>
            <w:tcBorders>
              <w:bottom w:val="single" w:sz="4" w:space="0" w:color="auto"/>
            </w:tcBorders>
          </w:tcPr>
          <w:p>
            <w:pPr>
              <w:pStyle w:val="yTableNAm"/>
              <w:spacing w:before="0"/>
              <w:rPr>
                <w:b/>
                <w:bCs/>
                <w:szCs w:val="22"/>
              </w:rPr>
            </w:pPr>
            <w:r>
              <w:rPr>
                <w:b/>
                <w:bCs/>
                <w:szCs w:val="22"/>
              </w:rPr>
              <w:t>Application for leave to lodge a document</w:t>
            </w:r>
          </w:p>
        </w:tc>
      </w:tr>
      <w:tr>
        <w:trPr>
          <w:cantSplit/>
          <w:trHeight w:val="90"/>
        </w:trPr>
        <w:tc>
          <w:tcPr>
            <w:tcW w:w="1701" w:type="dxa"/>
            <w:vMerge w:val="restart"/>
          </w:tcPr>
          <w:p>
            <w:pPr>
              <w:pStyle w:val="yTableNAm"/>
              <w:spacing w:before="0"/>
              <w:rPr>
                <w:sz w:val="20"/>
              </w:rPr>
            </w:pPr>
            <w:r>
              <w:rPr>
                <w:sz w:val="20"/>
              </w:rPr>
              <w:t>Applicant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701" w:type="dxa"/>
            <w:vMerge w:val="restart"/>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701" w:type="dxa"/>
            <w:vMerge/>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701" w:type="dxa"/>
          </w:tcPr>
          <w:p>
            <w:pPr>
              <w:pStyle w:val="yTableNAm"/>
              <w:spacing w:before="0"/>
              <w:rPr>
                <w:sz w:val="20"/>
              </w:rPr>
            </w:pPr>
            <w:r>
              <w:rPr>
                <w:sz w:val="20"/>
              </w:rPr>
              <w:t>Document to be lodged</w:t>
            </w:r>
          </w:p>
        </w:tc>
        <w:tc>
          <w:tcPr>
            <w:tcW w:w="5387" w:type="dxa"/>
            <w:gridSpan w:val="5"/>
          </w:tcPr>
          <w:p>
            <w:pPr>
              <w:pStyle w:val="yTableNAm"/>
              <w:spacing w:before="0"/>
              <w:rPr>
                <w:sz w:val="20"/>
              </w:rPr>
            </w:pPr>
          </w:p>
        </w:tc>
      </w:tr>
      <w:tr>
        <w:trPr>
          <w:cantSplit/>
        </w:trPr>
        <w:tc>
          <w:tcPr>
            <w:tcW w:w="1701" w:type="dxa"/>
          </w:tcPr>
          <w:p>
            <w:pPr>
              <w:pStyle w:val="yTableNAm"/>
              <w:spacing w:before="0"/>
              <w:rPr>
                <w:sz w:val="20"/>
              </w:rPr>
            </w:pPr>
            <w:r>
              <w:rPr>
                <w:sz w:val="20"/>
              </w:rPr>
              <w:t>Application</w:t>
            </w:r>
          </w:p>
        </w:tc>
        <w:tc>
          <w:tcPr>
            <w:tcW w:w="5387" w:type="dxa"/>
            <w:gridSpan w:val="5"/>
          </w:tcPr>
          <w:p>
            <w:pPr>
              <w:pStyle w:val="yTableNAm"/>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NAm"/>
              <w:spacing w:before="0"/>
              <w:rPr>
                <w:sz w:val="20"/>
              </w:rPr>
            </w:pPr>
            <w:r>
              <w:rPr>
                <w:sz w:val="20"/>
              </w:rPr>
              <w:t>Signature of applicant</w:t>
            </w:r>
          </w:p>
        </w:tc>
        <w:tc>
          <w:tcPr>
            <w:tcW w:w="2977"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1A inserted: Gazette 23 Nov 2007 p. 5864.]</w:t>
      </w:r>
    </w:p>
    <w:p>
      <w:pPr>
        <w:pStyle w:val="yHeading5"/>
        <w:pageBreakBefore/>
        <w:spacing w:before="0" w:after="240"/>
      </w:pPr>
      <w:bookmarkStart w:id="331" w:name="_Toc155094235"/>
      <w:bookmarkStart w:id="332" w:name="_Toc118124559"/>
      <w:r>
        <w:rPr>
          <w:rStyle w:val="CharSClsNo"/>
        </w:rPr>
        <w:t>1B</w:t>
      </w:r>
      <w:r>
        <w:t>.</w:t>
      </w:r>
      <w:r>
        <w:tab/>
        <w:t>Appeal against registrar’s decision (r. 26)</w:t>
      </w:r>
      <w:bookmarkEnd w:id="331"/>
      <w:bookmarkEnd w:id="3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NAm"/>
              <w:spacing w:before="0"/>
              <w:rPr>
                <w:sz w:val="20"/>
              </w:rPr>
            </w:pPr>
            <w:r>
              <w:rPr>
                <w:i/>
                <w:sz w:val="20"/>
              </w:rPr>
              <w:t>Magistrates Court Act 2004</w:t>
            </w:r>
            <w:r>
              <w:rPr>
                <w:iCs/>
                <w:sz w:val="20"/>
              </w:rPr>
              <w:t xml:space="preserve"> s. 29</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5"/>
            <w:tcBorders>
              <w:bottom w:val="nil"/>
            </w:tcBorders>
          </w:tcPr>
          <w:p>
            <w:pPr>
              <w:pStyle w:val="yTableNAm"/>
              <w:spacing w:before="0"/>
              <w:rPr>
                <w:b/>
                <w:szCs w:val="22"/>
              </w:rPr>
            </w:pPr>
            <w:r>
              <w:rPr>
                <w:b/>
                <w:szCs w:val="22"/>
              </w:rPr>
              <w:t>Appeal against registrar’s decision</w:t>
            </w:r>
          </w:p>
        </w:tc>
      </w:tr>
      <w:tr>
        <w:trPr>
          <w:cantSplit/>
          <w:trHeight w:val="90"/>
        </w:trPr>
        <w:tc>
          <w:tcPr>
            <w:tcW w:w="1701" w:type="dxa"/>
            <w:vMerge w:val="restart"/>
          </w:tcPr>
          <w:p>
            <w:pPr>
              <w:pStyle w:val="yTableNAm"/>
              <w:spacing w:before="0"/>
              <w:rPr>
                <w:sz w:val="20"/>
              </w:rPr>
            </w:pPr>
            <w:r>
              <w:rPr>
                <w:sz w:val="20"/>
              </w:rPr>
              <w:t>Appellant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3"/>
            <w:tcBorders>
              <w:bottom w:val="single" w:sz="4" w:space="0" w:color="auto"/>
            </w:tcBorders>
          </w:tcPr>
          <w:p>
            <w:pPr>
              <w:pStyle w:val="yTableNAm"/>
              <w:spacing w:before="0"/>
              <w:rPr>
                <w:sz w:val="20"/>
              </w:rPr>
            </w:pPr>
          </w:p>
        </w:tc>
        <w:tc>
          <w:tcPr>
            <w:tcW w:w="567" w:type="dxa"/>
            <w:gridSpan w:val="2"/>
            <w:tcBorders>
              <w:bottom w:val="single" w:sz="4" w:space="0" w:color="auto"/>
            </w:tcBorders>
          </w:tcPr>
          <w:p>
            <w:pPr>
              <w:pStyle w:val="yTableNAm"/>
              <w:spacing w:before="0"/>
              <w:rPr>
                <w:sz w:val="20"/>
              </w:rPr>
            </w:pPr>
            <w:r>
              <w:rPr>
                <w:sz w:val="20"/>
              </w:rPr>
              <w:t>Fax</w:t>
            </w:r>
          </w:p>
        </w:tc>
        <w:tc>
          <w:tcPr>
            <w:tcW w:w="1843" w:type="dxa"/>
            <w:gridSpan w:val="2"/>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7"/>
            <w:tcBorders>
              <w:bottom w:val="single" w:sz="4" w:space="0" w:color="auto"/>
            </w:tcBorders>
          </w:tcPr>
          <w:p>
            <w:pPr>
              <w:pStyle w:val="yTableNAm"/>
              <w:spacing w:before="0"/>
              <w:rPr>
                <w:sz w:val="20"/>
              </w:rPr>
            </w:pPr>
          </w:p>
        </w:tc>
      </w:tr>
      <w:tr>
        <w:trPr>
          <w:cantSplit/>
        </w:trPr>
        <w:tc>
          <w:tcPr>
            <w:tcW w:w="1701" w:type="dxa"/>
            <w:tcBorders>
              <w:bottom w:val="nil"/>
            </w:tcBorders>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5"/>
          </w:tcPr>
          <w:p>
            <w:pPr>
              <w:pStyle w:val="yTableNAm"/>
              <w:spacing w:before="0"/>
              <w:rPr>
                <w:sz w:val="20"/>
              </w:rPr>
            </w:pPr>
          </w:p>
        </w:tc>
        <w:tc>
          <w:tcPr>
            <w:tcW w:w="1843" w:type="dxa"/>
            <w:gridSpan w:val="2"/>
          </w:tcPr>
          <w:p>
            <w:pPr>
              <w:pStyle w:val="yTableNAm"/>
              <w:spacing w:before="0"/>
              <w:rPr>
                <w:sz w:val="20"/>
              </w:rPr>
            </w:pPr>
            <w:r>
              <w:rPr>
                <w:sz w:val="20"/>
              </w:rPr>
              <w:t>Civil/Criminal</w:t>
            </w:r>
          </w:p>
        </w:tc>
      </w:tr>
      <w:tr>
        <w:trPr>
          <w:cantSplit/>
        </w:trPr>
        <w:tc>
          <w:tcPr>
            <w:tcW w:w="1701" w:type="dxa"/>
            <w:tcBorders>
              <w:top w:val="nil"/>
            </w:tcBorders>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7"/>
          </w:tcPr>
          <w:p>
            <w:pPr>
              <w:pStyle w:val="yTableNAm"/>
              <w:spacing w:before="0"/>
              <w:rPr>
                <w:sz w:val="20"/>
              </w:rPr>
            </w:pPr>
          </w:p>
        </w:tc>
      </w:tr>
      <w:tr>
        <w:trPr>
          <w:cantSplit/>
          <w:trHeight w:val="90"/>
        </w:trPr>
        <w:tc>
          <w:tcPr>
            <w:tcW w:w="1701" w:type="dxa"/>
            <w:vMerge w:val="restart"/>
          </w:tcPr>
          <w:p>
            <w:pPr>
              <w:pStyle w:val="yTableNAm"/>
              <w:spacing w:before="0"/>
              <w:rPr>
                <w:sz w:val="20"/>
              </w:rPr>
            </w:pPr>
            <w:r>
              <w:rPr>
                <w:sz w:val="20"/>
              </w:rPr>
              <w:t>Decision being appealed</w:t>
            </w:r>
          </w:p>
        </w:tc>
        <w:tc>
          <w:tcPr>
            <w:tcW w:w="1276" w:type="dxa"/>
            <w:gridSpan w:val="2"/>
          </w:tcPr>
          <w:p>
            <w:pPr>
              <w:pStyle w:val="yTableNAm"/>
              <w:spacing w:before="0"/>
              <w:rPr>
                <w:sz w:val="20"/>
              </w:rPr>
            </w:pPr>
            <w:r>
              <w:rPr>
                <w:sz w:val="20"/>
              </w:rPr>
              <w:t>Date of decision</w:t>
            </w:r>
          </w:p>
        </w:tc>
        <w:tc>
          <w:tcPr>
            <w:tcW w:w="4111" w:type="dxa"/>
            <w:gridSpan w:val="6"/>
          </w:tcPr>
          <w:p>
            <w:pPr>
              <w:pStyle w:val="yTableNAm"/>
              <w:spacing w:before="0"/>
              <w:rPr>
                <w:sz w:val="20"/>
              </w:rPr>
            </w:pPr>
          </w:p>
        </w:tc>
      </w:tr>
      <w:tr>
        <w:trPr>
          <w:cantSplit/>
          <w:trHeight w:val="87"/>
        </w:trPr>
        <w:tc>
          <w:tcPr>
            <w:tcW w:w="1701" w:type="dxa"/>
            <w:vMerge/>
          </w:tcPr>
          <w:p>
            <w:pPr>
              <w:pStyle w:val="yTableNAm"/>
              <w:spacing w:before="0"/>
              <w:rPr>
                <w:sz w:val="20"/>
              </w:rPr>
            </w:pPr>
          </w:p>
        </w:tc>
        <w:tc>
          <w:tcPr>
            <w:tcW w:w="1276" w:type="dxa"/>
            <w:gridSpan w:val="2"/>
          </w:tcPr>
          <w:p>
            <w:pPr>
              <w:pStyle w:val="yTableNAm"/>
              <w:spacing w:before="0"/>
              <w:rPr>
                <w:sz w:val="20"/>
              </w:rPr>
            </w:pPr>
            <w:r>
              <w:rPr>
                <w:sz w:val="20"/>
              </w:rPr>
              <w:t>Brief description of decision</w:t>
            </w:r>
          </w:p>
        </w:tc>
        <w:tc>
          <w:tcPr>
            <w:tcW w:w="4111" w:type="dxa"/>
            <w:gridSpan w:val="6"/>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Appeal</w:t>
            </w:r>
          </w:p>
        </w:tc>
        <w:tc>
          <w:tcPr>
            <w:tcW w:w="5387" w:type="dxa"/>
            <w:gridSpan w:val="8"/>
            <w:tcBorders>
              <w:bottom w:val="single" w:sz="4" w:space="0" w:color="auto"/>
            </w:tcBorders>
          </w:tcPr>
          <w:p>
            <w:pPr>
              <w:pStyle w:val="yTableNAm"/>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NAm"/>
              <w:spacing w:before="0"/>
              <w:rPr>
                <w:sz w:val="20"/>
              </w:rPr>
            </w:pPr>
            <w:r>
              <w:rPr>
                <w:sz w:val="20"/>
              </w:rPr>
              <w:t>Extension of time</w:t>
            </w:r>
          </w:p>
        </w:tc>
        <w:tc>
          <w:tcPr>
            <w:tcW w:w="5387" w:type="dxa"/>
            <w:gridSpan w:val="8"/>
            <w:tcBorders>
              <w:bottom w:val="single" w:sz="4" w:space="0" w:color="auto"/>
            </w:tcBorders>
          </w:tcPr>
          <w:p>
            <w:pPr>
              <w:pStyle w:val="yTableNAm"/>
              <w:spacing w:before="0"/>
              <w:rPr>
                <w:sz w:val="20"/>
              </w:rPr>
            </w:pPr>
            <w:r>
              <w:rPr>
                <w:sz w:val="20"/>
              </w:rPr>
              <w:t>Is this application lodged within 21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701" w:type="dxa"/>
            <w:tcBorders>
              <w:top w:val="single" w:sz="4" w:space="0" w:color="auto"/>
            </w:tcBorders>
          </w:tcPr>
          <w:p>
            <w:pPr>
              <w:pStyle w:val="yTableNAm"/>
              <w:spacing w:before="0"/>
              <w:rPr>
                <w:sz w:val="20"/>
              </w:rPr>
            </w:pPr>
            <w:r>
              <w:rPr>
                <w:sz w:val="20"/>
              </w:rPr>
              <w:t>Grounds of appeal</w:t>
            </w:r>
          </w:p>
        </w:tc>
        <w:tc>
          <w:tcPr>
            <w:tcW w:w="5387" w:type="dxa"/>
            <w:gridSpan w:val="8"/>
            <w:tcBorders>
              <w:top w:val="single" w:sz="4" w:space="0" w:color="auto"/>
            </w:tcBorders>
          </w:tcPr>
          <w:p>
            <w:pPr>
              <w:pStyle w:val="yTableNAm"/>
              <w:spacing w:before="0"/>
              <w:rPr>
                <w:sz w:val="20"/>
              </w:rPr>
            </w:pPr>
            <w:r>
              <w:rPr>
                <w:sz w:val="20"/>
              </w:rPr>
              <w:t>1.</w:t>
            </w:r>
          </w:p>
        </w:tc>
      </w:tr>
      <w:tr>
        <w:trPr>
          <w:cantSplit/>
        </w:trPr>
        <w:tc>
          <w:tcPr>
            <w:tcW w:w="1701" w:type="dxa"/>
            <w:tcBorders>
              <w:bottom w:val="single" w:sz="4" w:space="0" w:color="auto"/>
            </w:tcBorders>
          </w:tcPr>
          <w:p>
            <w:pPr>
              <w:pStyle w:val="yTableNAm"/>
              <w:spacing w:before="0"/>
              <w:rPr>
                <w:sz w:val="20"/>
              </w:rPr>
            </w:pPr>
            <w:r>
              <w:rPr>
                <w:sz w:val="20"/>
              </w:rPr>
              <w:t>Signature of appellant or legal practitioner</w:t>
            </w:r>
          </w:p>
        </w:tc>
        <w:tc>
          <w:tcPr>
            <w:tcW w:w="3119"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legal practitioner</w:t>
            </w:r>
          </w:p>
        </w:tc>
        <w:tc>
          <w:tcPr>
            <w:tcW w:w="709" w:type="dxa"/>
            <w:gridSpan w:val="2"/>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Hearing details</w:t>
            </w:r>
          </w:p>
        </w:tc>
        <w:tc>
          <w:tcPr>
            <w:tcW w:w="5387" w:type="dxa"/>
            <w:gridSpan w:val="8"/>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1B inserted: Gazette 23 Nov 2007 p. 5864; amended: amended: SL 2022/106 r. 6.]</w:t>
      </w:r>
    </w:p>
    <w:p>
      <w:pPr>
        <w:pStyle w:val="yHeading5"/>
        <w:pageBreakBefore/>
        <w:spacing w:before="0" w:after="240"/>
      </w:pPr>
      <w:bookmarkStart w:id="333" w:name="_Toc155094236"/>
      <w:bookmarkStart w:id="334" w:name="_Toc118124560"/>
      <w:r>
        <w:rPr>
          <w:rStyle w:val="CharSClsNo"/>
        </w:rPr>
        <w:t>1</w:t>
      </w:r>
      <w:r>
        <w:t>.</w:t>
      </w:r>
      <w:r>
        <w:tab/>
        <w:t>Request to inspect or obtain copy of document from the Court (r. 37 and 40C)</w:t>
      </w:r>
      <w:bookmarkEnd w:id="333"/>
      <w:bookmarkEnd w:id="3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1134"/>
        <w:gridCol w:w="709"/>
        <w:gridCol w:w="567"/>
        <w:gridCol w:w="1843"/>
      </w:tblGrid>
      <w:tr>
        <w:trPr>
          <w:cantSplit/>
        </w:trPr>
        <w:tc>
          <w:tcPr>
            <w:tcW w:w="3969" w:type="dxa"/>
            <w:gridSpan w:val="3"/>
            <w:tcBorders>
              <w:bottom w:val="single" w:sz="4" w:space="0" w:color="auto"/>
            </w:tcBorders>
          </w:tcPr>
          <w:p>
            <w:pPr>
              <w:pStyle w:val="yTableNAm"/>
              <w:spacing w:before="0"/>
              <w:rPr>
                <w:sz w:val="20"/>
              </w:rPr>
            </w:pPr>
            <w:r>
              <w:rPr>
                <w:i/>
                <w:sz w:val="20"/>
              </w:rPr>
              <w:t>Magistrates Court Act 2004</w:t>
            </w:r>
            <w:r>
              <w:rPr>
                <w:sz w:val="20"/>
              </w:rPr>
              <w:t xml:space="preserve"> s. 33(3), (7) and (9)</w:t>
            </w:r>
          </w:p>
          <w:p>
            <w:pPr>
              <w:pStyle w:val="yTableNAm"/>
              <w:spacing w:before="60"/>
              <w:rPr>
                <w:sz w:val="20"/>
              </w:rPr>
            </w:pPr>
            <w:r>
              <w:rPr>
                <w:sz w:val="20"/>
              </w:rPr>
              <w:t>Magistrates Court at</w:t>
            </w:r>
          </w:p>
          <w:p>
            <w:pPr>
              <w:pStyle w:val="yTableNAm"/>
              <w:spacing w:before="0"/>
              <w:rPr>
                <w:sz w:val="20"/>
              </w:rPr>
            </w:pPr>
            <w:r>
              <w:rPr>
                <w:sz w:val="20"/>
              </w:rPr>
              <w:t>No:</w:t>
            </w:r>
          </w:p>
        </w:tc>
        <w:tc>
          <w:tcPr>
            <w:tcW w:w="3119" w:type="dxa"/>
            <w:gridSpan w:val="3"/>
            <w:tcBorders>
              <w:bottom w:val="single" w:sz="4" w:space="0" w:color="auto"/>
            </w:tcBorders>
          </w:tcPr>
          <w:p>
            <w:pPr>
              <w:pStyle w:val="yTableNAm"/>
              <w:spacing w:before="0"/>
              <w:rPr>
                <w:b/>
                <w:szCs w:val="22"/>
              </w:rPr>
            </w:pPr>
            <w:r>
              <w:rPr>
                <w:b/>
                <w:szCs w:val="22"/>
              </w:rPr>
              <w:t>Request to inspect or obtain copy of document from the Court</w:t>
            </w:r>
          </w:p>
        </w:tc>
      </w:tr>
      <w:tr>
        <w:trPr>
          <w:cantSplit/>
          <w:trHeight w:val="90"/>
        </w:trPr>
        <w:tc>
          <w:tcPr>
            <w:tcW w:w="1560" w:type="dxa"/>
            <w:vMerge w:val="restart"/>
          </w:tcPr>
          <w:p>
            <w:pPr>
              <w:pStyle w:val="yTableNAm"/>
              <w:spacing w:before="0"/>
              <w:rPr>
                <w:sz w:val="20"/>
              </w:rPr>
            </w:pPr>
            <w:r>
              <w:rPr>
                <w:sz w:val="20"/>
              </w:rPr>
              <w:t>Person making the request</w:t>
            </w:r>
          </w:p>
        </w:tc>
        <w:tc>
          <w:tcPr>
            <w:tcW w:w="1275" w:type="dxa"/>
            <w:tcBorders>
              <w:bottom w:val="single" w:sz="4" w:space="0" w:color="auto"/>
            </w:tcBorders>
          </w:tcPr>
          <w:p>
            <w:pPr>
              <w:pStyle w:val="yTableNAm"/>
              <w:spacing w:before="0"/>
              <w:rPr>
                <w:sz w:val="20"/>
              </w:rPr>
            </w:pPr>
            <w:r>
              <w:rPr>
                <w:sz w:val="20"/>
              </w:rPr>
              <w:t>Full name</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Telephone</w:t>
            </w:r>
          </w:p>
        </w:tc>
        <w:tc>
          <w:tcPr>
            <w:tcW w:w="1843"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Email 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vMerge w:val="restart"/>
          </w:tcPr>
          <w:p>
            <w:pPr>
              <w:pStyle w:val="yTableNAm"/>
              <w:spacing w:before="0"/>
              <w:rPr>
                <w:sz w:val="20"/>
              </w:rPr>
            </w:pPr>
            <w:r>
              <w:rPr>
                <w:sz w:val="20"/>
              </w:rPr>
              <w:t>Case details</w:t>
            </w:r>
          </w:p>
        </w:tc>
        <w:tc>
          <w:tcPr>
            <w:tcW w:w="1275" w:type="dxa"/>
          </w:tcPr>
          <w:p>
            <w:pPr>
              <w:pStyle w:val="yTableNAm"/>
              <w:spacing w:before="0"/>
              <w:rPr>
                <w:sz w:val="20"/>
              </w:rPr>
            </w:pPr>
            <w:r>
              <w:rPr>
                <w:sz w:val="20"/>
              </w:rPr>
              <w:t>Case No.</w:t>
            </w:r>
          </w:p>
        </w:tc>
        <w:tc>
          <w:tcPr>
            <w:tcW w:w="2410"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560" w:type="dxa"/>
            <w:vMerge/>
          </w:tcPr>
          <w:p>
            <w:pPr>
              <w:pStyle w:val="yTableNAm"/>
              <w:spacing w:before="0"/>
              <w:rPr>
                <w:sz w:val="20"/>
              </w:rPr>
            </w:pPr>
          </w:p>
        </w:tc>
        <w:tc>
          <w:tcPr>
            <w:tcW w:w="1275" w:type="dxa"/>
          </w:tcPr>
          <w:p>
            <w:pPr>
              <w:pStyle w:val="yTableNAm"/>
              <w:spacing w:before="0"/>
              <w:rPr>
                <w:sz w:val="20"/>
              </w:rPr>
            </w:pPr>
            <w:r>
              <w:rPr>
                <w:sz w:val="20"/>
              </w:rPr>
              <w:t>Parties</w:t>
            </w:r>
          </w:p>
        </w:tc>
        <w:tc>
          <w:tcPr>
            <w:tcW w:w="4253" w:type="dxa"/>
            <w:gridSpan w:val="4"/>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Documents wanted</w:t>
            </w:r>
          </w:p>
        </w:tc>
        <w:tc>
          <w:tcPr>
            <w:tcW w:w="5528" w:type="dxa"/>
            <w:gridSpan w:val="5"/>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Request by a party</w:t>
            </w:r>
          </w:p>
          <w:p>
            <w:pPr>
              <w:pStyle w:val="yTableNAm"/>
              <w:spacing w:before="0"/>
              <w:rPr>
                <w:sz w:val="18"/>
                <w:szCs w:val="18"/>
              </w:rPr>
            </w:pPr>
            <w:r>
              <w:rPr>
                <w:sz w:val="18"/>
                <w:szCs w:val="18"/>
              </w:rPr>
              <w:t>[Delete if not applicable.]</w:t>
            </w:r>
          </w:p>
        </w:tc>
        <w:tc>
          <w:tcPr>
            <w:tcW w:w="5528" w:type="dxa"/>
            <w:gridSpan w:val="5"/>
            <w:tcBorders>
              <w:bottom w:val="single" w:sz="4" w:space="0" w:color="auto"/>
            </w:tcBorders>
          </w:tcPr>
          <w:p>
            <w:pPr>
              <w:pStyle w:val="yTableNAm"/>
              <w:spacing w:before="0"/>
              <w:rPr>
                <w:sz w:val="20"/>
              </w:rPr>
            </w:pPr>
            <w:r>
              <w:rPr>
                <w:sz w:val="20"/>
              </w:rPr>
              <w:t>I am a party to the above case and I would like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Request by non</w:t>
            </w:r>
            <w:r>
              <w:rPr>
                <w:sz w:val="20"/>
              </w:rPr>
              <w:noBreakHyphen/>
              <w:t>party</w:t>
            </w:r>
          </w:p>
          <w:p>
            <w:pPr>
              <w:pStyle w:val="yTableNAm"/>
              <w:spacing w:before="0"/>
              <w:rPr>
                <w:sz w:val="20"/>
              </w:rPr>
            </w:pPr>
          </w:p>
        </w:tc>
        <w:tc>
          <w:tcPr>
            <w:tcW w:w="5528" w:type="dxa"/>
            <w:gridSpan w:val="5"/>
            <w:tcBorders>
              <w:top w:val="single" w:sz="4" w:space="0" w:color="auto"/>
              <w:bottom w:val="single" w:sz="4" w:space="0" w:color="auto"/>
            </w:tcBorders>
          </w:tcPr>
          <w:p>
            <w:pPr>
              <w:pStyle w:val="yTableNAm"/>
              <w:spacing w:before="0"/>
              <w:rPr>
                <w:sz w:val="20"/>
              </w:rPr>
            </w:pPr>
            <w:r>
              <w:rPr>
                <w:sz w:val="20"/>
              </w:rPr>
              <w:t xml:space="preserve">I am not a party to the above case.  I would like —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 on the following grounds —</w:t>
            </w:r>
          </w:p>
          <w:p>
            <w:pPr>
              <w:pStyle w:val="yTableNAm"/>
              <w:spacing w:before="0"/>
              <w:rPr>
                <w:sz w:val="20"/>
              </w:rPr>
            </w:pPr>
            <w:r>
              <w:rPr>
                <w:sz w:val="20"/>
              </w:rPr>
              <w:t>[give details].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Media organisation</w:t>
            </w:r>
          </w:p>
          <w:p>
            <w:pPr>
              <w:pStyle w:val="yTable"/>
              <w:spacing w:before="0"/>
              <w:rPr>
                <w:sz w:val="18"/>
                <w:szCs w:val="18"/>
              </w:rPr>
            </w:pPr>
            <w:r>
              <w:rPr>
                <w:sz w:val="18"/>
                <w:szCs w:val="18"/>
              </w:rPr>
              <w:t>[Delete if not applicable.]</w:t>
            </w:r>
          </w:p>
        </w:tc>
        <w:tc>
          <w:tcPr>
            <w:tcW w:w="5528" w:type="dxa"/>
            <w:gridSpan w:val="5"/>
            <w:tcBorders>
              <w:top w:val="single" w:sz="4" w:space="0" w:color="auto"/>
              <w:bottom w:val="single" w:sz="4" w:space="0" w:color="auto"/>
            </w:tcBorders>
          </w:tcPr>
          <w:p>
            <w:pPr>
              <w:pStyle w:val="yTableNAm"/>
              <w:spacing w:before="0"/>
              <w:rPr>
                <w:sz w:val="20"/>
              </w:rPr>
            </w:pPr>
            <w:r>
              <w:rPr>
                <w:sz w:val="20"/>
              </w:rPr>
              <w:t>I represent the following media organisation:</w:t>
            </w:r>
          </w:p>
          <w:p>
            <w:pPr>
              <w:pStyle w:val="yTableNAm"/>
              <w:spacing w:before="0"/>
              <w:rPr>
                <w:sz w:val="20"/>
              </w:rPr>
            </w:pPr>
          </w:p>
          <w:p>
            <w:pPr>
              <w:pStyle w:val="yTable"/>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Signature of person making the request</w:t>
            </w:r>
          </w:p>
        </w:tc>
        <w:tc>
          <w:tcPr>
            <w:tcW w:w="311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 inserted: Gazette 8 Apr 2008 p. 1338; amended: Gazette 11 Mar 2014 p. 582-3; 12 Aug 2014 p. 2893.]</w:t>
      </w:r>
    </w:p>
    <w:p>
      <w:pPr>
        <w:pStyle w:val="yHeading5"/>
        <w:pageBreakBefore/>
        <w:spacing w:before="0" w:after="240"/>
      </w:pPr>
      <w:bookmarkStart w:id="335" w:name="_Toc155094237"/>
      <w:bookmarkStart w:id="336" w:name="_Toc118124561"/>
      <w:r>
        <w:rPr>
          <w:rStyle w:val="CharSClsNo"/>
        </w:rPr>
        <w:t>2</w:t>
      </w:r>
      <w:r>
        <w:t>.</w:t>
      </w:r>
      <w:r>
        <w:tab/>
        <w:t>Application for leave in respect of court record (r. 38)</w:t>
      </w:r>
      <w:bookmarkEnd w:id="335"/>
      <w:bookmarkEnd w:id="3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33(4)</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leave in respect of court record</w:t>
            </w:r>
          </w:p>
        </w:tc>
      </w:tr>
      <w:tr>
        <w:trPr>
          <w:cantSplit/>
          <w:trHeight w:val="90"/>
        </w:trPr>
        <w:tc>
          <w:tcPr>
            <w:tcW w:w="1418" w:type="dxa"/>
            <w:vMerge w:val="restart"/>
          </w:tcPr>
          <w:p>
            <w:pPr>
              <w:pStyle w:val="yTableNAm"/>
              <w:spacing w:before="0"/>
              <w:rPr>
                <w:sz w:val="20"/>
              </w:rPr>
            </w:pPr>
            <w:r>
              <w:rPr>
                <w:sz w:val="20"/>
              </w:rPr>
              <w:t>Applicant</w:t>
            </w:r>
          </w:p>
        </w:tc>
        <w:tc>
          <w:tcPr>
            <w:tcW w:w="1276"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18" w:type="dxa"/>
            <w:vMerge w:val="restart"/>
          </w:tcPr>
          <w:p>
            <w:pPr>
              <w:pStyle w:val="yTableNAm"/>
              <w:spacing w:before="0"/>
              <w:rPr>
                <w:sz w:val="20"/>
              </w:rPr>
            </w:pPr>
            <w:r>
              <w:rPr>
                <w:sz w:val="20"/>
              </w:rPr>
              <w:t>Case details</w:t>
            </w:r>
          </w:p>
        </w:tc>
        <w:tc>
          <w:tcPr>
            <w:tcW w:w="1276"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18" w:type="dxa"/>
            <w:vMerge/>
          </w:tcPr>
          <w:p>
            <w:pPr>
              <w:pStyle w:val="yTableNAm"/>
              <w:spacing w:before="0"/>
              <w:rPr>
                <w:sz w:val="20"/>
              </w:rPr>
            </w:pPr>
          </w:p>
        </w:tc>
        <w:tc>
          <w:tcPr>
            <w:tcW w:w="1276"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418" w:type="dxa"/>
          </w:tcPr>
          <w:p>
            <w:pPr>
              <w:pStyle w:val="yTableNAm"/>
              <w:spacing w:before="0"/>
              <w:rPr>
                <w:sz w:val="20"/>
              </w:rPr>
            </w:pPr>
            <w:r>
              <w:rPr>
                <w:sz w:val="20"/>
              </w:rPr>
              <w:t>Records wanted</w:t>
            </w:r>
          </w:p>
        </w:tc>
        <w:tc>
          <w:tcPr>
            <w:tcW w:w="5670"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Application</w:t>
            </w:r>
            <w:r>
              <w:rPr>
                <w:sz w:val="20"/>
                <w:vertAlign w:val="superscript"/>
              </w:rPr>
              <w:t>1</w:t>
            </w:r>
          </w:p>
        </w:tc>
        <w:tc>
          <w:tcPr>
            <w:tcW w:w="5670" w:type="dxa"/>
            <w:gridSpan w:val="5"/>
          </w:tcPr>
          <w:p>
            <w:pPr>
              <w:pStyle w:val="yTableNAm"/>
              <w:spacing w:before="0"/>
              <w:rPr>
                <w:sz w:val="20"/>
              </w:rPr>
            </w:pPr>
            <w:r>
              <w:rPr>
                <w:sz w:val="20"/>
              </w:rPr>
              <w:t xml:space="preserve">I am a party to the above case and, under the </w:t>
            </w:r>
            <w:r>
              <w:rPr>
                <w:i/>
                <w:sz w:val="20"/>
              </w:rPr>
              <w:t>Magistrates Court Act 2004</w:t>
            </w:r>
            <w:r>
              <w:rPr>
                <w:sz w:val="20"/>
              </w:rPr>
              <w:t xml:space="preserve"> s. 33(4), I apply for leave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w:t>
            </w:r>
          </w:p>
        </w:tc>
        <w:tc>
          <w:tcPr>
            <w:tcW w:w="3260"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 Gazette 8 Apr 2008 p. 1338.]</w:t>
      </w:r>
    </w:p>
    <w:p>
      <w:pPr>
        <w:pStyle w:val="yHeading5"/>
        <w:pageBreakBefore/>
        <w:spacing w:before="0" w:after="240"/>
      </w:pPr>
      <w:bookmarkStart w:id="337" w:name="_Toc155094238"/>
      <w:bookmarkStart w:id="338" w:name="_Toc118124562"/>
      <w:r>
        <w:rPr>
          <w:rStyle w:val="CharSClsNo"/>
        </w:rPr>
        <w:t>3A</w:t>
      </w:r>
      <w:r>
        <w:t>.</w:t>
      </w:r>
      <w:r>
        <w:tab/>
        <w:t>Application for access to information held by the Court (r. 39)</w:t>
      </w:r>
      <w:bookmarkEnd w:id="337"/>
      <w:bookmarkEnd w:id="3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254"/>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33(8)</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access to information held by the Court</w:t>
            </w:r>
          </w:p>
        </w:tc>
      </w:tr>
      <w:tr>
        <w:trPr>
          <w:cantSplit/>
          <w:trHeight w:val="90"/>
        </w:trPr>
        <w:tc>
          <w:tcPr>
            <w:tcW w:w="1440" w:type="dxa"/>
            <w:vMerge w:val="restart"/>
          </w:tcPr>
          <w:p>
            <w:pPr>
              <w:pStyle w:val="yTableNAm"/>
              <w:spacing w:before="0"/>
              <w:rPr>
                <w:sz w:val="20"/>
              </w:rPr>
            </w:pPr>
            <w:r>
              <w:rPr>
                <w:sz w:val="20"/>
              </w:rPr>
              <w:t>Applicant</w:t>
            </w:r>
          </w:p>
        </w:tc>
        <w:tc>
          <w:tcPr>
            <w:tcW w:w="1254"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40" w:type="dxa"/>
            <w:vMerge w:val="restart"/>
          </w:tcPr>
          <w:p>
            <w:pPr>
              <w:pStyle w:val="yTableNAm"/>
              <w:spacing w:before="0"/>
              <w:rPr>
                <w:sz w:val="20"/>
              </w:rPr>
            </w:pPr>
            <w:r>
              <w:rPr>
                <w:sz w:val="20"/>
              </w:rPr>
              <w:t>Case details</w:t>
            </w:r>
          </w:p>
        </w:tc>
        <w:tc>
          <w:tcPr>
            <w:tcW w:w="1254"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Parties</w:t>
            </w:r>
          </w:p>
        </w:tc>
        <w:tc>
          <w:tcPr>
            <w:tcW w:w="4394" w:type="dxa"/>
            <w:gridSpan w:val="4"/>
            <w:tcBorders>
              <w:bottom w:val="single" w:sz="4" w:space="0" w:color="auto"/>
            </w:tcBorders>
          </w:tcPr>
          <w:p>
            <w:pPr>
              <w:pStyle w:val="yTableNAm"/>
              <w:spacing w:before="0"/>
              <w:rPr>
                <w:sz w:val="20"/>
              </w:rPr>
            </w:pPr>
          </w:p>
        </w:tc>
      </w:tr>
      <w:tr>
        <w:trPr>
          <w:cantSplit/>
        </w:trPr>
        <w:tc>
          <w:tcPr>
            <w:tcW w:w="1440" w:type="dxa"/>
            <w:tcBorders>
              <w:bottom w:val="single" w:sz="4" w:space="0" w:color="auto"/>
            </w:tcBorders>
          </w:tcPr>
          <w:p>
            <w:pPr>
              <w:pStyle w:val="yTableNAm"/>
              <w:spacing w:before="0"/>
              <w:rPr>
                <w:sz w:val="20"/>
              </w:rPr>
            </w:pPr>
            <w:r>
              <w:rPr>
                <w:sz w:val="20"/>
              </w:rPr>
              <w:t>Information wanted</w:t>
            </w:r>
          </w:p>
        </w:tc>
        <w:tc>
          <w:tcPr>
            <w:tcW w:w="5648" w:type="dxa"/>
            <w:gridSpan w:val="5"/>
            <w:tcBorders>
              <w:bottom w:val="single" w:sz="4" w:space="0" w:color="auto"/>
            </w:tcBorders>
          </w:tcPr>
          <w:p>
            <w:pPr>
              <w:pStyle w:val="yTableNAm"/>
              <w:spacing w:before="0"/>
              <w:rPr>
                <w:sz w:val="20"/>
              </w:rPr>
            </w:pPr>
          </w:p>
        </w:tc>
      </w:tr>
      <w:tr>
        <w:trPr>
          <w:cantSplit/>
        </w:trPr>
        <w:tc>
          <w:tcPr>
            <w:tcW w:w="1440" w:type="dxa"/>
            <w:tcBorders>
              <w:top w:val="single" w:sz="4" w:space="0" w:color="auto"/>
            </w:tcBorders>
          </w:tcPr>
          <w:p>
            <w:pPr>
              <w:pStyle w:val="yTableNAm"/>
              <w:spacing w:before="0"/>
              <w:rPr>
                <w:sz w:val="20"/>
              </w:rPr>
            </w:pPr>
            <w:r>
              <w:rPr>
                <w:sz w:val="20"/>
              </w:rPr>
              <w:t>Application</w:t>
            </w:r>
          </w:p>
        </w:tc>
        <w:tc>
          <w:tcPr>
            <w:tcW w:w="5648" w:type="dxa"/>
            <w:gridSpan w:val="5"/>
            <w:tcBorders>
              <w:top w:val="single" w:sz="4" w:space="0" w:color="auto"/>
            </w:tcBorders>
          </w:tcPr>
          <w:p>
            <w:pPr>
              <w:pStyle w:val="yTableNAm"/>
              <w:spacing w:before="0"/>
              <w:rPr>
                <w:sz w:val="20"/>
              </w:rPr>
            </w:pPr>
            <w:r>
              <w:rPr>
                <w:sz w:val="20"/>
              </w:rPr>
              <w:t>I would like —</w:t>
            </w:r>
          </w:p>
          <w:p>
            <w:pPr>
              <w:pStyle w:val="yTableNAm"/>
              <w:tabs>
                <w:tab w:val="clear" w:pos="567"/>
                <w:tab w:val="left" w:pos="347"/>
              </w:tabs>
              <w:spacing w:before="0"/>
              <w:rPr>
                <w:sz w:val="20"/>
              </w:rPr>
            </w:pPr>
            <w:r>
              <w:rPr>
                <w:sz w:val="20"/>
              </w:rPr>
              <w:sym w:font="Monotype Sorts" w:char="F070"/>
            </w:r>
            <w:r>
              <w:rPr>
                <w:sz w:val="20"/>
              </w:rPr>
              <w:tab/>
              <w:t>to inspect;</w:t>
            </w:r>
          </w:p>
          <w:p>
            <w:pPr>
              <w:pStyle w:val="yTableNAm"/>
              <w:tabs>
                <w:tab w:val="clear" w:pos="567"/>
                <w:tab w:val="left" w:pos="347"/>
              </w:tabs>
              <w:spacing w:before="0"/>
              <w:rPr>
                <w:sz w:val="20"/>
              </w:rPr>
            </w:pPr>
            <w:r>
              <w:rPr>
                <w:sz w:val="20"/>
              </w:rPr>
              <w:sym w:font="Monotype Sorts" w:char="F070"/>
            </w:r>
            <w:r>
              <w:rPr>
                <w:sz w:val="20"/>
              </w:rPr>
              <w:tab/>
              <w:t>to obtain a copy of;</w:t>
            </w:r>
          </w:p>
          <w:p>
            <w:pPr>
              <w:pStyle w:val="yTableNAm"/>
              <w:tabs>
                <w:tab w:val="clear" w:pos="567"/>
                <w:tab w:val="left" w:pos="347"/>
              </w:tabs>
              <w:spacing w:before="0"/>
              <w:rPr>
                <w:sz w:val="20"/>
              </w:rPr>
            </w:pPr>
            <w:r>
              <w:rPr>
                <w:sz w:val="20"/>
              </w:rPr>
              <w:sym w:font="Monotype Sorts" w:char="F070"/>
            </w:r>
            <w:r>
              <w:rPr>
                <w:sz w:val="20"/>
              </w:rPr>
              <w:tab/>
              <w:t>to view or listen to,</w:t>
            </w:r>
          </w:p>
          <w:p>
            <w:pPr>
              <w:pStyle w:val="yTableNAm"/>
              <w:spacing w:before="0"/>
              <w:rPr>
                <w:sz w:val="20"/>
              </w:rPr>
            </w:pPr>
            <w:r>
              <w:rPr>
                <w:sz w:val="20"/>
              </w:rPr>
              <w:t>the above information.</w:t>
            </w:r>
          </w:p>
          <w:p>
            <w:pPr>
              <w:pStyle w:val="yTableNAm"/>
              <w:spacing w:before="0"/>
              <w:rPr>
                <w:sz w:val="20"/>
              </w:rPr>
            </w:pPr>
            <w:r>
              <w:rPr>
                <w:sz w:val="20"/>
              </w:rPr>
              <w:t>[Set out grounds for the request.]</w:t>
            </w:r>
          </w:p>
        </w:tc>
      </w:tr>
      <w:tr>
        <w:trPr>
          <w:cantSplit/>
        </w:trPr>
        <w:tc>
          <w:tcPr>
            <w:tcW w:w="1440" w:type="dxa"/>
            <w:tcBorders>
              <w:bottom w:val="single" w:sz="4" w:space="0" w:color="auto"/>
            </w:tcBorders>
          </w:tcPr>
          <w:p>
            <w:pPr>
              <w:pStyle w:val="yTableNAm"/>
              <w:spacing w:before="0"/>
              <w:rPr>
                <w:sz w:val="20"/>
              </w:rPr>
            </w:pPr>
            <w:r>
              <w:rPr>
                <w:sz w:val="20"/>
              </w:rPr>
              <w:t>Signature of applicant</w:t>
            </w:r>
          </w:p>
        </w:tc>
        <w:tc>
          <w:tcPr>
            <w:tcW w:w="323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3A inserted: Gazette 8 Apr 2008 p. 1339.]</w:t>
      </w:r>
    </w:p>
    <w:p>
      <w:pPr>
        <w:pStyle w:val="yHeading5"/>
        <w:pageBreakBefore/>
        <w:spacing w:before="0" w:after="240"/>
      </w:pPr>
      <w:bookmarkStart w:id="339" w:name="_Toc155094239"/>
      <w:bookmarkStart w:id="340" w:name="_Toc118124563"/>
      <w:r>
        <w:rPr>
          <w:rStyle w:val="CharSClsNo"/>
        </w:rPr>
        <w:t>3</w:t>
      </w:r>
      <w:r>
        <w:t>.</w:t>
      </w:r>
      <w:r>
        <w:tab/>
        <w:t>Application to cancel licence suspension order made in respect of infringement notice (r. 48)</w:t>
      </w:r>
      <w:bookmarkEnd w:id="339"/>
      <w:bookmarkEnd w:id="3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 Gazette 20 Aug 2013 p. 3819.]</w:t>
      </w:r>
    </w:p>
    <w:p>
      <w:pPr>
        <w:pStyle w:val="yHeading5"/>
        <w:pageBreakBefore/>
        <w:spacing w:before="0" w:after="160"/>
      </w:pPr>
      <w:bookmarkStart w:id="341" w:name="_Toc155094240"/>
      <w:bookmarkStart w:id="342" w:name="_Toc118124564"/>
      <w:r>
        <w:rPr>
          <w:rStyle w:val="CharSClsNo"/>
        </w:rPr>
        <w:t>4AA</w:t>
      </w:r>
      <w:r>
        <w:t>.</w:t>
      </w:r>
      <w:r>
        <w:tab/>
        <w:t>Application to cancel enforcement warrant made in respect of infringement notice (r. 49A)</w:t>
      </w:r>
      <w:bookmarkEnd w:id="341"/>
      <w:bookmarkEnd w:id="3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single" w:sz="4" w:space="0" w:color="auto"/>
            </w:tcBorders>
          </w:tcPr>
          <w:p>
            <w:pPr>
              <w:pStyle w:val="yTableNAm"/>
              <w:spacing w:before="0"/>
            </w:pPr>
            <w:r>
              <w:rPr>
                <w:i/>
                <w:sz w:val="20"/>
              </w:rPr>
              <w:t>Fines, Penalties and Infringement Notices Enforcement Act 1994</w:t>
            </w:r>
            <w:r>
              <w:rPr>
                <w:iCs/>
                <w:sz w:val="20"/>
              </w:rPr>
              <w:t xml:space="preserve"> s. 101AA</w:t>
            </w:r>
          </w:p>
          <w:p>
            <w:pPr>
              <w:pStyle w:val="yTableNAm"/>
              <w:spacing w:before="60"/>
              <w:rPr>
                <w:sz w:val="20"/>
              </w:rPr>
            </w:pPr>
            <w:r>
              <w:rPr>
                <w:sz w:val="20"/>
              </w:rPr>
              <w:t>Magistrates Court at</w:t>
            </w:r>
          </w:p>
          <w:p>
            <w:pPr>
              <w:pStyle w:val="yTableNAm"/>
              <w:spacing w:before="0"/>
              <w:rPr>
                <w:b/>
              </w:rPr>
            </w:pPr>
            <w:r>
              <w:rPr>
                <w:sz w:val="20"/>
              </w:rPr>
              <w:t>No:</w:t>
            </w:r>
          </w:p>
        </w:tc>
        <w:tc>
          <w:tcPr>
            <w:tcW w:w="3402" w:type="dxa"/>
            <w:gridSpan w:val="3"/>
            <w:tcBorders>
              <w:bottom w:val="single" w:sz="4" w:space="0" w:color="auto"/>
            </w:tcBorders>
          </w:tcPr>
          <w:p>
            <w:pPr>
              <w:pStyle w:val="yTableNAm"/>
              <w:spacing w:before="0"/>
              <w:rPr>
                <w:szCs w:val="22"/>
              </w:rPr>
            </w:pPr>
            <w:r>
              <w:rPr>
                <w:b/>
                <w:bCs/>
                <w:szCs w:val="22"/>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spacing w:before="0"/>
            </w:pPr>
            <w:r>
              <w:rPr>
                <w:sz w:val="20"/>
              </w:rPr>
              <w:t>Applicant</w:t>
            </w:r>
          </w:p>
        </w:tc>
        <w:tc>
          <w:tcPr>
            <w:tcW w:w="1234" w:type="dxa"/>
            <w:tcBorders>
              <w:bottom w:val="single" w:sz="4" w:space="0" w:color="auto"/>
            </w:tcBorders>
          </w:tcPr>
          <w:p>
            <w:pPr>
              <w:pStyle w:val="yTableNAm"/>
              <w:spacing w:before="0"/>
            </w:pPr>
            <w:r>
              <w:rPr>
                <w:sz w:val="20"/>
              </w:rPr>
              <w:t>Full name</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Address</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Date of birth</w:t>
            </w:r>
          </w:p>
        </w:tc>
        <w:tc>
          <w:tcPr>
            <w:tcW w:w="4436" w:type="dxa"/>
            <w:gridSpan w:val="5"/>
            <w:tcBorders>
              <w:bottom w:val="single" w:sz="4" w:space="0" w:color="auto"/>
            </w:tcBorders>
          </w:tcPr>
          <w:p>
            <w:pPr>
              <w:pStyle w:val="yTableNAm"/>
              <w:spacing w:before="0"/>
            </w:pPr>
          </w:p>
        </w:tc>
      </w:tr>
      <w:tr>
        <w:trPr>
          <w:cantSplit/>
          <w:trHeight w:val="90"/>
        </w:trPr>
        <w:tc>
          <w:tcPr>
            <w:tcW w:w="1418" w:type="dxa"/>
            <w:vMerge w:val="restart"/>
            <w:tcBorders>
              <w:top w:val="single" w:sz="4" w:space="0" w:color="auto"/>
            </w:tcBorders>
          </w:tcPr>
          <w:p>
            <w:pPr>
              <w:pStyle w:val="yTableNAm"/>
              <w:spacing w:before="0"/>
            </w:pPr>
            <w:r>
              <w:rPr>
                <w:sz w:val="20"/>
              </w:rPr>
              <w:t>Enforcement warrant details</w:t>
            </w:r>
          </w:p>
        </w:tc>
        <w:tc>
          <w:tcPr>
            <w:tcW w:w="2126" w:type="dxa"/>
            <w:gridSpan w:val="2"/>
            <w:tcBorders>
              <w:top w:val="single" w:sz="4" w:space="0" w:color="auto"/>
            </w:tcBorders>
          </w:tcPr>
          <w:p>
            <w:pPr>
              <w:pStyle w:val="yTableNAm"/>
              <w:spacing w:before="0"/>
            </w:pPr>
            <w:r>
              <w:rPr>
                <w:sz w:val="20"/>
              </w:rPr>
              <w:t>Prosecuting authority</w:t>
            </w:r>
          </w:p>
        </w:tc>
        <w:tc>
          <w:tcPr>
            <w:tcW w:w="3544" w:type="dxa"/>
            <w:gridSpan w:val="4"/>
            <w:tcBorders>
              <w:top w:val="single" w:sz="4" w:space="0" w:color="auto"/>
            </w:tcBorders>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Infringement notice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Registry case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Action</w:t>
            </w:r>
          </w:p>
        </w:tc>
        <w:tc>
          <w:tcPr>
            <w:tcW w:w="3544" w:type="dxa"/>
            <w:gridSpan w:val="4"/>
          </w:tcPr>
          <w:p>
            <w:pPr>
              <w:pStyle w:val="yTableNAm"/>
              <w:tabs>
                <w:tab w:val="clear" w:pos="567"/>
                <w:tab w:val="left" w:pos="369"/>
              </w:tabs>
              <w:spacing w:before="0"/>
            </w:pPr>
            <w:r>
              <w:rPr>
                <w:sz w:val="20"/>
              </w:rPr>
              <w:sym w:font="Monotype Sorts" w:char="F070"/>
            </w:r>
            <w:r>
              <w:rPr>
                <w:sz w:val="20"/>
              </w:rPr>
              <w:tab/>
              <w:t>Personal property seized</w:t>
            </w:r>
          </w:p>
          <w:p>
            <w:pPr>
              <w:pStyle w:val="yTableNAm"/>
              <w:tabs>
                <w:tab w:val="clear" w:pos="567"/>
                <w:tab w:val="left" w:pos="369"/>
              </w:tabs>
              <w:spacing w:before="0"/>
              <w:rPr>
                <w:sz w:val="20"/>
              </w:rPr>
            </w:pPr>
            <w:r>
              <w:rPr>
                <w:sz w:val="20"/>
              </w:rPr>
              <w:sym w:font="Monotype Sorts" w:char="F070"/>
            </w:r>
            <w:r>
              <w:rPr>
                <w:sz w:val="20"/>
              </w:rPr>
              <w:tab/>
              <w:t>Land seized</w:t>
            </w:r>
          </w:p>
          <w:p>
            <w:pPr>
              <w:pStyle w:val="yTableNAm"/>
              <w:tabs>
                <w:tab w:val="clear" w:pos="567"/>
                <w:tab w:val="left" w:pos="369"/>
              </w:tabs>
              <w:spacing w:before="0"/>
              <w:rPr>
                <w:sz w:val="20"/>
              </w:rPr>
            </w:pPr>
            <w:r>
              <w:rPr>
                <w:sz w:val="20"/>
              </w:rPr>
              <w:sym w:font="Monotype Sorts" w:char="F070"/>
            </w:r>
            <w:r>
              <w:rPr>
                <w:sz w:val="20"/>
              </w:rPr>
              <w:tab/>
              <w:t>Vehicle immobilised</w:t>
            </w:r>
          </w:p>
          <w:p>
            <w:pPr>
              <w:pStyle w:val="yTableNAm"/>
              <w:tabs>
                <w:tab w:val="clear" w:pos="567"/>
                <w:tab w:val="left" w:pos="369"/>
              </w:tabs>
              <w:spacing w:before="0"/>
            </w:pPr>
            <w:r>
              <w:rPr>
                <w:sz w:val="20"/>
              </w:rPr>
              <w:sym w:font="Monotype Sorts" w:char="F070"/>
            </w:r>
            <w:r>
              <w:rPr>
                <w:sz w:val="20"/>
              </w:rPr>
              <w:tab/>
              <w:t>Number plates removed from vehicle</w:t>
            </w:r>
          </w:p>
        </w:tc>
      </w:tr>
      <w:tr>
        <w:trPr>
          <w:cantSplit/>
        </w:trPr>
        <w:tc>
          <w:tcPr>
            <w:tcW w:w="1418" w:type="dxa"/>
            <w:tcBorders>
              <w:bottom w:val="single" w:sz="4" w:space="0" w:color="auto"/>
            </w:tcBorders>
          </w:tcPr>
          <w:p>
            <w:pPr>
              <w:pStyle w:val="yTableNAm"/>
              <w:spacing w:before="0"/>
            </w:pPr>
            <w:r>
              <w:rPr>
                <w:sz w:val="20"/>
              </w:rPr>
              <w:t>Application</w:t>
            </w:r>
          </w:p>
          <w:p>
            <w:pPr>
              <w:pStyle w:val="zyTableNAm"/>
              <w:rPr>
                <w:sz w:val="20"/>
              </w:rPr>
            </w:pPr>
          </w:p>
        </w:tc>
        <w:tc>
          <w:tcPr>
            <w:tcW w:w="5670" w:type="dxa"/>
            <w:gridSpan w:val="6"/>
            <w:tcBorders>
              <w:bottom w:val="single" w:sz="4" w:space="0" w:color="auto"/>
            </w:tcBorders>
          </w:tcPr>
          <w:p>
            <w:pPr>
              <w:pStyle w:val="yTableNAm"/>
              <w:spacing w:before="0"/>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spacing w:before="80"/>
              <w:rPr>
                <w:sz w:val="20"/>
              </w:rPr>
            </w:pPr>
            <w:r>
              <w:rPr>
                <w:sz w:val="20"/>
              </w:rPr>
              <w:t>Under section 101AA of that Act I apply for an order cancelling the enforcement warrant on the grounds that I received none of the following —</w:t>
            </w:r>
          </w:p>
          <w:p>
            <w:pPr>
              <w:pStyle w:val="yTableNAm"/>
              <w:tabs>
                <w:tab w:val="clear" w:pos="567"/>
                <w:tab w:val="left" w:pos="369"/>
              </w:tabs>
              <w:spacing w:before="0"/>
              <w:ind w:left="369" w:hanging="369"/>
              <w:rPr>
                <w:sz w:val="20"/>
              </w:rPr>
            </w:pPr>
            <w:r>
              <w:rPr>
                <w:sz w:val="20"/>
              </w:rPr>
              <w:t>(a)</w:t>
            </w:r>
            <w:r>
              <w:rPr>
                <w:sz w:val="20"/>
              </w:rPr>
              <w:tab/>
              <w:t xml:space="preserve">the </w:t>
            </w:r>
            <w:r>
              <w:rPr>
                <w:b/>
                <w:sz w:val="20"/>
              </w:rPr>
              <w:t>infringement notice</w:t>
            </w:r>
            <w:r>
              <w:rPr>
                <w:sz w:val="20"/>
              </w:rPr>
              <w:t xml:space="preserve"> that gave rise to the warrant;</w:t>
            </w:r>
          </w:p>
          <w:p>
            <w:pPr>
              <w:pStyle w:val="yTableNAm"/>
              <w:tabs>
                <w:tab w:val="clear" w:pos="567"/>
                <w:tab w:val="left" w:pos="369"/>
              </w:tabs>
              <w:spacing w:before="0"/>
              <w:ind w:left="369" w:hanging="36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NAm"/>
              <w:tabs>
                <w:tab w:val="clear" w:pos="567"/>
                <w:tab w:val="left" w:pos="369"/>
              </w:tabs>
              <w:spacing w:before="0"/>
              <w:ind w:left="369" w:hanging="36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NAm"/>
              <w:tabs>
                <w:tab w:val="clear" w:pos="567"/>
                <w:tab w:val="left" w:pos="369"/>
              </w:tabs>
              <w:spacing w:before="0"/>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yTableNAm"/>
              <w:tabs>
                <w:tab w:val="clear" w:pos="567"/>
                <w:tab w:val="left" w:pos="369"/>
              </w:tabs>
              <w:spacing w:before="0"/>
              <w:ind w:left="369" w:hanging="369"/>
              <w:rPr>
                <w:i/>
              </w:rPr>
            </w:pPr>
            <w:r>
              <w:rPr>
                <w:sz w:val="20"/>
              </w:rPr>
              <w:t>(e)</w:t>
            </w:r>
            <w:r>
              <w:rPr>
                <w:sz w:val="20"/>
              </w:rPr>
              <w:tab/>
              <w:t xml:space="preserve">any </w:t>
            </w:r>
            <w:r>
              <w:rPr>
                <w:b/>
                <w:sz w:val="20"/>
              </w:rPr>
              <w:t>notice confirming licence suspension</w:t>
            </w:r>
            <w:r>
              <w:rPr>
                <w:sz w:val="20"/>
              </w:rPr>
              <w:t xml:space="preserve"> issued under section 19(6) of the Act in respect of the infringement notice.</w:t>
            </w:r>
          </w:p>
        </w:tc>
      </w:tr>
      <w:tr>
        <w:trPr>
          <w:cantSplit/>
        </w:trPr>
        <w:tc>
          <w:tcPr>
            <w:tcW w:w="1418" w:type="dxa"/>
            <w:tcBorders>
              <w:bottom w:val="single" w:sz="4" w:space="0" w:color="auto"/>
            </w:tcBorders>
          </w:tcPr>
          <w:p>
            <w:pPr>
              <w:pStyle w:val="yTableNAm"/>
              <w:spacing w:before="0"/>
            </w:pPr>
            <w:r>
              <w:rPr>
                <w:sz w:val="20"/>
              </w:rPr>
              <w:t>Certificate by applicant</w:t>
            </w:r>
          </w:p>
        </w:tc>
        <w:tc>
          <w:tcPr>
            <w:tcW w:w="5670" w:type="dxa"/>
            <w:gridSpan w:val="6"/>
            <w:tcBorders>
              <w:bottom w:val="single" w:sz="4" w:space="0" w:color="auto"/>
            </w:tcBorders>
          </w:tcPr>
          <w:p>
            <w:pPr>
              <w:pStyle w:val="yTableNAm"/>
              <w:spacing w:before="0"/>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spacing w:before="0"/>
            </w:pPr>
            <w:r>
              <w:rPr>
                <w:sz w:val="20"/>
              </w:rPr>
              <w:t>Signature of applicant</w:t>
            </w:r>
          </w:p>
        </w:tc>
        <w:tc>
          <w:tcPr>
            <w:tcW w:w="3402" w:type="dxa"/>
            <w:gridSpan w:val="4"/>
            <w:tcBorders>
              <w:top w:val="single" w:sz="4" w:space="0" w:color="auto"/>
              <w:bottom w:val="single" w:sz="4" w:space="0" w:color="auto"/>
            </w:tcBorders>
          </w:tcPr>
          <w:p>
            <w:pPr>
              <w:pStyle w:val="zyTableNAm"/>
              <w:spacing w:before="0"/>
              <w:rPr>
                <w:sz w:val="20"/>
              </w:rPr>
            </w:pPr>
          </w:p>
        </w:tc>
        <w:tc>
          <w:tcPr>
            <w:tcW w:w="709" w:type="dxa"/>
            <w:tcBorders>
              <w:top w:val="single" w:sz="4" w:space="0" w:color="auto"/>
              <w:bottom w:val="single" w:sz="4" w:space="0" w:color="auto"/>
            </w:tcBorders>
          </w:tcPr>
          <w:p>
            <w:pPr>
              <w:pStyle w:val="yTableNAm"/>
              <w:spacing w:before="0"/>
            </w:pPr>
            <w:r>
              <w:rPr>
                <w:sz w:val="20"/>
              </w:rPr>
              <w:t>Date</w:t>
            </w:r>
          </w:p>
        </w:tc>
        <w:tc>
          <w:tcPr>
            <w:tcW w:w="1559" w:type="dxa"/>
            <w:tcBorders>
              <w:top w:val="single" w:sz="4" w:space="0" w:color="auto"/>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keepNext/>
              <w:spacing w:before="0"/>
            </w:pPr>
            <w:r>
              <w:rPr>
                <w:sz w:val="20"/>
              </w:rPr>
              <w:t>Hearing details</w:t>
            </w:r>
          </w:p>
        </w:tc>
        <w:tc>
          <w:tcPr>
            <w:tcW w:w="5670" w:type="dxa"/>
            <w:gridSpan w:val="6"/>
            <w:tcBorders>
              <w:bottom w:val="single" w:sz="4" w:space="0" w:color="auto"/>
            </w:tcBorders>
          </w:tcPr>
          <w:p>
            <w:pPr>
              <w:pStyle w:val="yTableNAm"/>
              <w:keepNext/>
              <w:spacing w:before="0"/>
            </w:pPr>
            <w:r>
              <w:rPr>
                <w:sz w:val="20"/>
              </w:rPr>
              <w:t xml:space="preserve">This application will be heard — </w:t>
            </w:r>
          </w:p>
          <w:p>
            <w:pPr>
              <w:pStyle w:val="yTableNAm"/>
              <w:keepNext/>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keepNext/>
              <w:spacing w:before="0"/>
            </w:pPr>
            <w:r>
              <w:rPr>
                <w:sz w:val="20"/>
              </w:rPr>
              <w:t>at [</w:t>
            </w:r>
            <w:r>
              <w:rPr>
                <w:i/>
                <w:sz w:val="20"/>
              </w:rPr>
              <w:t>place</w:t>
            </w:r>
            <w:r>
              <w:rPr>
                <w:sz w:val="20"/>
              </w:rPr>
              <w:t>]</w:t>
            </w:r>
          </w:p>
        </w:tc>
      </w:tr>
    </w:tbl>
    <w:p>
      <w:pPr>
        <w:pStyle w:val="yFootnotesection"/>
        <w:spacing w:before="80"/>
      </w:pPr>
      <w:r>
        <w:tab/>
        <w:t>[Form 4AA inserted: Gazette 20 Aug 2013 p. 3819-20.]</w:t>
      </w:r>
    </w:p>
    <w:p>
      <w:pPr>
        <w:pStyle w:val="yHeading5"/>
        <w:pageBreakBefore/>
        <w:spacing w:before="0" w:after="240"/>
      </w:pPr>
      <w:bookmarkStart w:id="343" w:name="_Toc155094241"/>
      <w:bookmarkStart w:id="344" w:name="_Toc118124565"/>
      <w:r>
        <w:rPr>
          <w:rStyle w:val="CharSClsNo"/>
        </w:rPr>
        <w:t>4</w:t>
      </w:r>
      <w:r>
        <w:t>.</w:t>
      </w:r>
      <w:r>
        <w:tab/>
        <w:t>Application to cancel licence suspension order made in respect of a fine (r. 49)</w:t>
      </w:r>
      <w:bookmarkEnd w:id="343"/>
      <w:bookmarkEnd w:id="3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NAm"/>
              <w:spacing w:before="0" w:after="60"/>
              <w:rPr>
                <w:sz w:val="20"/>
              </w:rPr>
            </w:pPr>
            <w:r>
              <w:rPr>
                <w:i/>
                <w:sz w:val="20"/>
              </w:rPr>
              <w:t>Fines, Penalties and Infringement Notices Enforcement Act 1994</w:t>
            </w:r>
            <w:r>
              <w:rPr>
                <w:sz w:val="20"/>
              </w:rPr>
              <w:t xml:space="preserve"> s. 101A</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to cancel licence suspension order made in respect of a fine</w:t>
            </w:r>
          </w:p>
        </w:tc>
      </w:tr>
      <w:tr>
        <w:trPr>
          <w:cantSplit/>
          <w:trHeight w:val="90"/>
        </w:trPr>
        <w:tc>
          <w:tcPr>
            <w:tcW w:w="1418" w:type="dxa"/>
            <w:vMerge w:val="restart"/>
          </w:tcPr>
          <w:p>
            <w:pPr>
              <w:pStyle w:val="yTableNAm"/>
              <w:spacing w:before="0"/>
              <w:rPr>
                <w:sz w:val="20"/>
              </w:rPr>
            </w:pPr>
            <w:r>
              <w:rPr>
                <w:sz w:val="20"/>
              </w:rPr>
              <w:t>Applicant</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90"/>
        </w:trPr>
        <w:tc>
          <w:tcPr>
            <w:tcW w:w="1418" w:type="dxa"/>
            <w:vMerge w:val="restart"/>
          </w:tcPr>
          <w:p>
            <w:pPr>
              <w:pStyle w:val="yTableNAm"/>
              <w:spacing w:before="0"/>
              <w:rPr>
                <w:sz w:val="20"/>
              </w:rPr>
            </w:pPr>
            <w:r>
              <w:rPr>
                <w:sz w:val="20"/>
              </w:rPr>
              <w:t>Licence suspension details</w:t>
            </w:r>
          </w:p>
        </w:tc>
        <w:tc>
          <w:tcPr>
            <w:tcW w:w="1701" w:type="dxa"/>
            <w:gridSpan w:val="2"/>
          </w:tcPr>
          <w:p>
            <w:pPr>
              <w:pStyle w:val="yTableNAm"/>
              <w:spacing w:before="0"/>
              <w:rPr>
                <w:sz w:val="20"/>
              </w:rPr>
            </w:pPr>
            <w:r>
              <w:rPr>
                <w:sz w:val="20"/>
              </w:rPr>
              <w:t xml:space="preserve">Sentencing Court </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Charge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Registry case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Licence suspended</w:t>
            </w:r>
          </w:p>
          <w:p>
            <w:pPr>
              <w:pStyle w:val="yTableNAm"/>
              <w:spacing w:before="0"/>
              <w:rPr>
                <w:sz w:val="18"/>
                <w:szCs w:val="18"/>
              </w:rPr>
            </w:pPr>
            <w:r>
              <w:rPr>
                <w:sz w:val="18"/>
                <w:szCs w:val="18"/>
              </w:rPr>
              <w:t>[Tick one box]</w:t>
            </w:r>
          </w:p>
        </w:tc>
        <w:tc>
          <w:tcPr>
            <w:tcW w:w="3969" w:type="dxa"/>
            <w:gridSpan w:val="4"/>
          </w:tcPr>
          <w:p>
            <w:pPr>
              <w:pStyle w:val="yTableNAm"/>
              <w:tabs>
                <w:tab w:val="clear" w:pos="567"/>
                <w:tab w:val="left" w:pos="369"/>
              </w:tabs>
              <w:spacing w:before="0"/>
              <w:rPr>
                <w:sz w:val="20"/>
              </w:rPr>
            </w:pPr>
            <w:r>
              <w:rPr>
                <w:sz w:val="20"/>
              </w:rPr>
              <w:sym w:font="Monotype Sorts" w:char="F070"/>
            </w:r>
            <w:r>
              <w:rPr>
                <w:sz w:val="20"/>
              </w:rPr>
              <w:tab/>
              <w:t>Driver’s licence No.</w:t>
            </w:r>
          </w:p>
          <w:p>
            <w:pPr>
              <w:pStyle w:val="yTableNAm"/>
              <w:tabs>
                <w:tab w:val="clear" w:pos="567"/>
                <w:tab w:val="left" w:pos="369"/>
              </w:tabs>
              <w:spacing w:before="0"/>
              <w:rPr>
                <w:sz w:val="20"/>
              </w:rPr>
            </w:pPr>
            <w:r>
              <w:rPr>
                <w:sz w:val="20"/>
              </w:rPr>
              <w:sym w:font="Monotype Sorts" w:char="F070"/>
            </w:r>
            <w:r>
              <w:rPr>
                <w:sz w:val="20"/>
              </w:rPr>
              <w:tab/>
              <w:t>Vehicle licence No.</w:t>
            </w:r>
          </w:p>
          <w:p>
            <w:pPr>
              <w:pStyle w:val="yTableNAm"/>
              <w:tabs>
                <w:tab w:val="clear" w:pos="567"/>
                <w:tab w:val="left" w:pos="369"/>
              </w:tabs>
              <w:spacing w:before="0"/>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box]</w:t>
            </w:r>
          </w:p>
          <w:p>
            <w:pPr>
              <w:pStyle w:val="yTableNAm"/>
              <w:spacing w:before="0"/>
              <w:rPr>
                <w:sz w:val="20"/>
              </w:rPr>
            </w:pPr>
            <w:r>
              <w:rPr>
                <w:sz w:val="18"/>
                <w:szCs w:val="18"/>
              </w:rPr>
              <w:t>[*delete one]</w:t>
            </w:r>
          </w:p>
        </w:tc>
        <w:tc>
          <w:tcPr>
            <w:tcW w:w="5670" w:type="dxa"/>
            <w:gridSpan w:val="6"/>
            <w:tcBorders>
              <w:bottom w:val="single" w:sz="4" w:space="0" w:color="auto"/>
            </w:tcBorders>
          </w:tcPr>
          <w:p>
            <w:pPr>
              <w:pStyle w:val="yTableNAm"/>
              <w:spacing w:before="0"/>
              <w:rPr>
                <w:sz w:val="20"/>
              </w:rPr>
            </w:pPr>
            <w:r>
              <w:rPr>
                <w:sz w:val="20"/>
              </w:rPr>
              <w:t xml:space="preserve">I have been disqualified from holding or obtaining the above licence(s) by a licence suspension order made under the </w:t>
            </w:r>
            <w:r>
              <w:rPr>
                <w:i/>
                <w:sz w:val="20"/>
              </w:rPr>
              <w:t>Fines,</w:t>
            </w:r>
            <w:r>
              <w:rPr>
                <w:sz w:val="20"/>
              </w:rPr>
              <w:t xml:space="preserve"> </w:t>
            </w:r>
            <w:r>
              <w:rPr>
                <w:i/>
                <w:sz w:val="20"/>
              </w:rPr>
              <w:t>Penalties and Infringement Notices Enforcement Act 1994</w:t>
            </w:r>
            <w:r>
              <w:rPr>
                <w:sz w:val="20"/>
              </w:rPr>
              <w:t xml:space="preserve"> Part 4.</w:t>
            </w:r>
          </w:p>
          <w:p>
            <w:pPr>
              <w:pStyle w:val="yTableNAm"/>
              <w:spacing w:before="0"/>
              <w:rPr>
                <w:sz w:val="20"/>
              </w:rPr>
            </w:pPr>
            <w:r>
              <w:rPr>
                <w:sz w:val="20"/>
              </w:rPr>
              <w:t>Under section 101A of that Act I apply for an order cancelling the licence suspension order on the grounds that —</w:t>
            </w:r>
          </w:p>
          <w:p>
            <w:pPr>
              <w:pStyle w:val="yTableNAm"/>
              <w:tabs>
                <w:tab w:val="clear" w:pos="567"/>
                <w:tab w:val="left" w:pos="369"/>
              </w:tabs>
              <w:spacing w:before="0"/>
              <w:ind w:left="369" w:hanging="369"/>
              <w:rPr>
                <w:sz w:val="20"/>
              </w:rPr>
            </w:pPr>
            <w:r>
              <w:rPr>
                <w:sz w:val="20"/>
              </w:rPr>
              <w:t>(a)</w:t>
            </w:r>
            <w:r>
              <w:rPr>
                <w:sz w:val="20"/>
              </w:rPr>
              <w:tab/>
              <w:t xml:space="preserve">I did not receive a </w:t>
            </w:r>
            <w:r>
              <w:rPr>
                <w:b/>
                <w:sz w:val="20"/>
              </w:rPr>
              <w:t>summons</w:t>
            </w:r>
            <w:r>
              <w:rPr>
                <w:sz w:val="20"/>
              </w:rPr>
              <w:t xml:space="preserve"> or a </w:t>
            </w:r>
            <w:r>
              <w:rPr>
                <w:b/>
                <w:sz w:val="20"/>
              </w:rPr>
              <w:t>notice to attend court</w:t>
            </w:r>
            <w:r>
              <w:rPr>
                <w:sz w:val="20"/>
              </w:rPr>
              <w:t xml:space="preserve"> in respect of the charge that gave rise to the fine that gave rise to the licence suspension order;</w:t>
            </w:r>
          </w:p>
          <w:p>
            <w:pPr>
              <w:pStyle w:val="yTableNAm"/>
              <w:tabs>
                <w:tab w:val="clear" w:pos="567"/>
                <w:tab w:val="left" w:pos="369"/>
              </w:tabs>
              <w:spacing w:before="0"/>
              <w:ind w:left="369" w:hanging="369"/>
              <w:rPr>
                <w:sz w:val="20"/>
              </w:rPr>
            </w:pPr>
            <w:r>
              <w:rPr>
                <w:sz w:val="20"/>
              </w:rPr>
              <w:t>(b)</w:t>
            </w:r>
            <w:r>
              <w:rPr>
                <w:sz w:val="20"/>
              </w:rPr>
              <w:tab/>
              <w:t>I was not present in court when that fine was imposed; and</w:t>
            </w:r>
          </w:p>
          <w:p>
            <w:pPr>
              <w:pStyle w:val="yTableNAm"/>
              <w:tabs>
                <w:tab w:val="clear" w:pos="567"/>
                <w:tab w:val="left" w:pos="369"/>
              </w:tabs>
              <w:spacing w:before="0"/>
              <w:ind w:left="369" w:hanging="369"/>
              <w:rPr>
                <w:sz w:val="20"/>
              </w:rPr>
            </w:pPr>
            <w:r>
              <w:rPr>
                <w:sz w:val="20"/>
              </w:rPr>
              <w:t>(c)</w:t>
            </w:r>
            <w:r>
              <w:rPr>
                <w:sz w:val="20"/>
              </w:rPr>
              <w:tab/>
              <w:t>I received neither of the following —</w:t>
            </w:r>
          </w:p>
          <w:p>
            <w:pPr>
              <w:pStyle w:val="yTableNAm"/>
              <w:tabs>
                <w:tab w:val="clear" w:pos="567"/>
              </w:tabs>
              <w:spacing w:before="0"/>
              <w:ind w:left="766" w:hanging="397"/>
              <w:rPr>
                <w:sz w:val="20"/>
              </w:rPr>
            </w:pPr>
            <w:r>
              <w:rPr>
                <w:sz w:val="20"/>
              </w:rPr>
              <w:t>(i)</w:t>
            </w:r>
            <w:r>
              <w:rPr>
                <w:sz w:val="20"/>
              </w:rPr>
              <w:tab/>
              <w:t xml:space="preserve">the </w:t>
            </w:r>
            <w:r>
              <w:rPr>
                <w:b/>
                <w:sz w:val="20"/>
              </w:rPr>
              <w:t>notice of intention to enforce</w:t>
            </w:r>
            <w:r>
              <w:rPr>
                <w:sz w:val="20"/>
              </w:rPr>
              <w:t xml:space="preserve"> issued under section 42 of the Act in respect of that fine;</w:t>
            </w:r>
          </w:p>
          <w:p>
            <w:pPr>
              <w:pStyle w:val="yTableNAm"/>
              <w:tabs>
                <w:tab w:val="clear" w:pos="567"/>
              </w:tabs>
              <w:spacing w:before="0"/>
              <w:ind w:left="766" w:hanging="397"/>
              <w:rPr>
                <w:sz w:val="20"/>
              </w:rPr>
            </w:pPr>
            <w:r>
              <w:rPr>
                <w:sz w:val="20"/>
              </w:rPr>
              <w:t>(ii)</w:t>
            </w:r>
            <w:r>
              <w:rPr>
                <w:sz w:val="20"/>
              </w:rPr>
              <w:tab/>
              <w:t xml:space="preserve">the </w:t>
            </w:r>
            <w:r>
              <w:rPr>
                <w:b/>
                <w:sz w:val="20"/>
              </w:rPr>
              <w:t>notice confirming licence suspension</w:t>
            </w:r>
            <w:r>
              <w:rPr>
                <w:sz w:val="20"/>
              </w:rPr>
              <w:t xml:space="preserve"> issued under section 43(6) of the Act.</w:t>
            </w:r>
          </w:p>
        </w:tc>
      </w:tr>
      <w:tr>
        <w:trPr>
          <w:cantSplit/>
        </w:trPr>
        <w:tc>
          <w:tcPr>
            <w:tcW w:w="1418" w:type="dxa"/>
            <w:tcBorders>
              <w:bottom w:val="single" w:sz="4" w:space="0" w:color="auto"/>
            </w:tcBorders>
          </w:tcPr>
          <w:p>
            <w:pPr>
              <w:pStyle w:val="yTableNAm"/>
              <w:spacing w:before="0"/>
              <w:rPr>
                <w:sz w:val="20"/>
              </w:rPr>
            </w:pPr>
            <w:r>
              <w:rPr>
                <w:sz w:val="20"/>
              </w:rPr>
              <w:t>Certificate by applicant</w:t>
            </w:r>
          </w:p>
        </w:tc>
        <w:tc>
          <w:tcPr>
            <w:tcW w:w="5670" w:type="dxa"/>
            <w:gridSpan w:val="6"/>
            <w:tcBorders>
              <w:bottom w:val="single" w:sz="4" w:space="0" w:color="auto"/>
            </w:tcBorders>
          </w:tcPr>
          <w:p>
            <w:pPr>
              <w:pStyle w:val="yTableNAm"/>
              <w:spacing w:before="0"/>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4 amended: Gazette 20 Aug 2013 p. 3820.]</w:t>
      </w:r>
    </w:p>
    <w:p>
      <w:pPr>
        <w:pStyle w:val="yHeading5"/>
        <w:pageBreakBefore/>
        <w:spacing w:before="0" w:after="240"/>
      </w:pPr>
      <w:bookmarkStart w:id="345" w:name="_Toc155094242"/>
      <w:bookmarkStart w:id="346" w:name="_Toc118124566"/>
      <w:r>
        <w:rPr>
          <w:rStyle w:val="CharSClsNo"/>
        </w:rPr>
        <w:t>4A</w:t>
      </w:r>
      <w:r>
        <w:t>.</w:t>
      </w:r>
      <w:r>
        <w:tab/>
        <w:t>Application for an order for seized keys to be handed over (r. 50A)</w:t>
      </w:r>
      <w:bookmarkEnd w:id="345"/>
      <w:bookmarkEnd w:id="3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992"/>
        <w:gridCol w:w="709"/>
        <w:gridCol w:w="1134"/>
        <w:gridCol w:w="709"/>
        <w:gridCol w:w="1559"/>
      </w:tblGrid>
      <w:tr>
        <w:trPr>
          <w:cantSplit/>
        </w:trPr>
        <w:tc>
          <w:tcPr>
            <w:tcW w:w="3686" w:type="dxa"/>
            <w:gridSpan w:val="3"/>
            <w:tcBorders>
              <w:bottom w:val="nil"/>
            </w:tcBorders>
          </w:tcPr>
          <w:p>
            <w:pPr>
              <w:pStyle w:val="yTableNAm"/>
              <w:spacing w:before="0" w:after="60"/>
              <w:rPr>
                <w:sz w:val="20"/>
              </w:rPr>
            </w:pPr>
            <w:r>
              <w:rPr>
                <w:i/>
                <w:sz w:val="20"/>
              </w:rPr>
              <w:t>Road Traffic Act 1974</w:t>
            </w:r>
            <w:r>
              <w:rPr>
                <w:sz w:val="20"/>
              </w:rPr>
              <w:t xml:space="preserve"> s. 71B(7)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an order for seized keys to be handed over</w:t>
            </w:r>
          </w:p>
        </w:tc>
      </w:tr>
      <w:tr>
        <w:trPr>
          <w:cantSplit/>
          <w:trHeight w:val="90"/>
        </w:trPr>
        <w:tc>
          <w:tcPr>
            <w:tcW w:w="1985" w:type="dxa"/>
            <w:vMerge w:val="restart"/>
          </w:tcPr>
          <w:p>
            <w:pPr>
              <w:pStyle w:val="yTableNAm"/>
              <w:spacing w:before="0"/>
              <w:rPr>
                <w:sz w:val="20"/>
              </w:rPr>
            </w:pPr>
            <w:r>
              <w:rPr>
                <w:sz w:val="20"/>
              </w:rPr>
              <w:t>Applicant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985" w:type="dxa"/>
            <w:vMerge w:val="restart"/>
          </w:tcPr>
          <w:p>
            <w:pPr>
              <w:pStyle w:val="yTableNAm"/>
              <w:spacing w:before="0"/>
              <w:rPr>
                <w:sz w:val="20"/>
              </w:rPr>
            </w:pPr>
            <w:r>
              <w:rPr>
                <w:sz w:val="20"/>
              </w:rPr>
              <w:t>Person described in s. 71B(5) of the Act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Application</w:t>
            </w:r>
          </w:p>
        </w:tc>
        <w:tc>
          <w:tcPr>
            <w:tcW w:w="5103" w:type="dxa"/>
            <w:gridSpan w:val="5"/>
            <w:tcBorders>
              <w:bottom w:val="single" w:sz="4" w:space="0" w:color="auto"/>
            </w:tcBorders>
          </w:tcPr>
          <w:p>
            <w:pPr>
              <w:pStyle w:val="yTableNAm"/>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NAm"/>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985" w:type="dxa"/>
            <w:tcBorders>
              <w:top w:val="single" w:sz="4" w:space="0" w:color="auto"/>
              <w:bottom w:val="single" w:sz="4" w:space="0" w:color="auto"/>
            </w:tcBorders>
          </w:tcPr>
          <w:p>
            <w:pPr>
              <w:pStyle w:val="yTableNAm"/>
              <w:spacing w:before="0"/>
              <w:rPr>
                <w:sz w:val="20"/>
              </w:rPr>
            </w:pPr>
            <w:r>
              <w:rPr>
                <w:sz w:val="20"/>
              </w:rPr>
              <w:t>Signature of applicant or legal practitioner</w:t>
            </w:r>
          </w:p>
        </w:tc>
        <w:tc>
          <w:tcPr>
            <w:tcW w:w="2835"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legal practitioner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Hearing details</w:t>
            </w:r>
          </w:p>
        </w:tc>
        <w:tc>
          <w:tcPr>
            <w:tcW w:w="5103"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Gazette 23 Nov 2007 p. 5865; amended: Gazette 3 Oct 2008 p. 4486; SL 2022/106 r. 6.]</w:t>
      </w:r>
    </w:p>
    <w:p>
      <w:pPr>
        <w:pStyle w:val="yHeading5"/>
      </w:pPr>
      <w:bookmarkStart w:id="347" w:name="_Toc155094243"/>
      <w:bookmarkStart w:id="348" w:name="_Toc118124567"/>
      <w:r>
        <w:rPr>
          <w:rStyle w:val="CharSClsNo"/>
        </w:rPr>
        <w:t>4B</w:t>
      </w:r>
      <w:r>
        <w:t>.</w:t>
      </w:r>
      <w:r>
        <w:tab/>
        <w:t>Application for revocation of disqualification notice (r. 50B)</w:t>
      </w:r>
      <w:bookmarkEnd w:id="347"/>
      <w:bookmarkEnd w:id="348"/>
    </w:p>
    <w:p>
      <w:pPr>
        <w:pStyle w:val="yMiscellaneousBody"/>
        <w:keepNext/>
        <w:spacing w:after="60"/>
        <w:jc w:val="right"/>
      </w:pPr>
      <w:r>
        <w:t>Court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cantSplit/>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spacing w:before="60"/>
              <w:jc w:val="center"/>
              <w:rPr>
                <w:b/>
              </w:rPr>
            </w:pPr>
            <w:r>
              <w:rPr>
                <w:b/>
              </w:rPr>
              <w:t>APPLICATION FOR REVOCATION</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keepLines/>
              <w:spacing w:before="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Magistrates Court at</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Date lodged</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134" w:type="dxa"/>
          </w:tcPr>
          <w:p>
            <w:pPr>
              <w:pStyle w:val="yTableNAm"/>
              <w:spacing w:before="0"/>
            </w:pPr>
            <w:r>
              <w:rPr>
                <w:bCs/>
                <w:sz w:val="20"/>
              </w:rPr>
              <w:t>Receipt No.</w:t>
            </w:r>
          </w:p>
        </w:tc>
        <w:tc>
          <w:tcPr>
            <w:tcW w:w="1134"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55"/>
        <w:gridCol w:w="1131"/>
        <w:gridCol w:w="1400"/>
        <w:gridCol w:w="846"/>
        <w:gridCol w:w="280"/>
        <w:gridCol w:w="1120"/>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 xml:space="preserve">Signature of applicant or </w:t>
            </w:r>
            <w:r>
              <w:rPr>
                <w:b/>
                <w:sz w:val="20"/>
                <w:szCs w:val="16"/>
              </w:rPr>
              <w:t>legal practitioner</w:t>
            </w:r>
          </w:p>
        </w:tc>
        <w:tc>
          <w:tcPr>
            <w:tcW w:w="2552"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48"/>
        <w:gridCol w:w="1266"/>
        <w:gridCol w:w="1218"/>
        <w:gridCol w:w="1170"/>
        <w:gridCol w:w="1130"/>
      </w:tblGrid>
      <w:tr>
        <w:tc>
          <w:tcPr>
            <w:tcW w:w="7088" w:type="dxa"/>
            <w:gridSpan w:val="5"/>
          </w:tcPr>
          <w:p>
            <w:pPr>
              <w:pStyle w:val="yTableNAm"/>
              <w:keepNext/>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76" w:type="dxa"/>
          </w:tcPr>
          <w:p>
            <w:pPr>
              <w:pStyle w:val="yTableNAm"/>
              <w:keepNext/>
              <w:keepLines/>
              <w:spacing w:before="0"/>
            </w:pPr>
            <w:r>
              <w:rPr>
                <w:sz w:val="20"/>
              </w:rPr>
              <w:t>Date</w:t>
            </w:r>
          </w:p>
        </w:tc>
        <w:tc>
          <w:tcPr>
            <w:tcW w:w="1232" w:type="dxa"/>
          </w:tcPr>
          <w:p>
            <w:pPr>
              <w:pStyle w:val="yTableNAm"/>
              <w:keepNext/>
              <w:keepLines/>
              <w:spacing w:before="0"/>
            </w:pPr>
          </w:p>
        </w:tc>
        <w:tc>
          <w:tcPr>
            <w:tcW w:w="1178" w:type="dxa"/>
          </w:tcPr>
          <w:p>
            <w:pPr>
              <w:pStyle w:val="yTableNAm"/>
              <w:keepNext/>
              <w:keepLines/>
              <w:spacing w:before="0"/>
            </w:pPr>
            <w:r>
              <w:rPr>
                <w:sz w:val="20"/>
              </w:rPr>
              <w:t>Time</w:t>
            </w:r>
          </w:p>
        </w:tc>
        <w:tc>
          <w:tcPr>
            <w:tcW w:w="1134" w:type="dxa"/>
          </w:tcPr>
          <w:p>
            <w:pPr>
              <w:pStyle w:val="yTableNAm"/>
              <w:keepNext/>
              <w:keepLines/>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374"/>
        <w:gridCol w:w="1194"/>
        <w:gridCol w:w="334"/>
        <w:gridCol w:w="828"/>
        <w:gridCol w:w="1224"/>
        <w:gridCol w:w="1078"/>
      </w:tblGrid>
      <w:tr>
        <w:tc>
          <w:tcPr>
            <w:tcW w:w="7088" w:type="dxa"/>
            <w:gridSpan w:val="6"/>
            <w:tcBorders>
              <w:top w:val="single" w:sz="4" w:space="0" w:color="auto"/>
              <w:left w:val="single" w:sz="4" w:space="0" w:color="auto"/>
              <w:right w:val="single" w:sz="4" w:space="0" w:color="auto"/>
            </w:tcBorders>
          </w:tcPr>
          <w:p>
            <w:pPr>
              <w:pStyle w:val="yTableNAm"/>
              <w:keepNext/>
              <w:spacing w:before="0"/>
              <w:jc w:val="center"/>
            </w:pPr>
            <w:r>
              <w:rPr>
                <w:b/>
                <w:i/>
                <w:sz w:val="20"/>
              </w:rPr>
              <w:t>For Court Use Only</w:t>
            </w:r>
          </w:p>
        </w:tc>
      </w:tr>
      <w:tr>
        <w:tc>
          <w:tcPr>
            <w:tcW w:w="2410" w:type="dxa"/>
            <w:tcBorders>
              <w:left w:val="single" w:sz="4" w:space="0" w:color="auto"/>
              <w:right w:val="single" w:sz="4" w:space="0" w:color="auto"/>
            </w:tcBorders>
          </w:tcPr>
          <w:p>
            <w:pPr>
              <w:pStyle w:val="yTableNAm"/>
              <w:keepNext/>
              <w:spacing w:before="0"/>
            </w:pPr>
            <w:r>
              <w:rPr>
                <w:sz w:val="20"/>
              </w:rPr>
              <w:t>Date</w:t>
            </w:r>
          </w:p>
        </w:tc>
        <w:tc>
          <w:tcPr>
            <w:tcW w:w="1196" w:type="dxa"/>
            <w:tcBorders>
              <w:left w:val="single" w:sz="4" w:space="0" w:color="auto"/>
              <w:right w:val="single" w:sz="4" w:space="0" w:color="auto"/>
            </w:tcBorders>
          </w:tcPr>
          <w:p>
            <w:pPr>
              <w:pStyle w:val="yTableNAm"/>
              <w:keepNext/>
              <w:spacing w:before="0"/>
            </w:pPr>
            <w:r>
              <w:rPr>
                <w:sz w:val="20"/>
              </w:rPr>
              <w:t>Appearance by accused</w:t>
            </w:r>
          </w:p>
        </w:tc>
        <w:tc>
          <w:tcPr>
            <w:tcW w:w="1170" w:type="dxa"/>
            <w:gridSpan w:val="2"/>
            <w:tcBorders>
              <w:left w:val="single" w:sz="4" w:space="0" w:color="auto"/>
              <w:right w:val="single" w:sz="4" w:space="0" w:color="auto"/>
            </w:tcBorders>
          </w:tcPr>
          <w:p>
            <w:pPr>
              <w:pStyle w:val="yTableNAm"/>
              <w:keepNext/>
              <w:spacing w:before="0"/>
            </w:pPr>
            <w:r>
              <w:rPr>
                <w:sz w:val="20"/>
              </w:rPr>
              <w:t>Counsel</w:t>
            </w:r>
          </w:p>
        </w:tc>
        <w:tc>
          <w:tcPr>
            <w:tcW w:w="1227" w:type="dxa"/>
            <w:tcBorders>
              <w:left w:val="single" w:sz="4" w:space="0" w:color="auto"/>
              <w:right w:val="single" w:sz="4" w:space="0" w:color="auto"/>
            </w:tcBorders>
          </w:tcPr>
          <w:p>
            <w:pPr>
              <w:pStyle w:val="yTableNAm"/>
              <w:keepNext/>
              <w:spacing w:before="0"/>
            </w:pPr>
            <w:r>
              <w:rPr>
                <w:sz w:val="20"/>
              </w:rPr>
              <w:t>Record of court proceedings</w:t>
            </w:r>
          </w:p>
        </w:tc>
        <w:tc>
          <w:tcPr>
            <w:tcW w:w="1085" w:type="dxa"/>
            <w:tcBorders>
              <w:left w:val="single" w:sz="4" w:space="0" w:color="auto"/>
              <w:right w:val="single" w:sz="4" w:space="0" w:color="auto"/>
            </w:tcBorders>
          </w:tcPr>
          <w:p>
            <w:pPr>
              <w:pStyle w:val="yTableNAm"/>
              <w:keepNext/>
              <w:spacing w:before="0"/>
            </w:pPr>
            <w:r>
              <w:rPr>
                <w:sz w:val="20"/>
              </w:rPr>
              <w:t>Judicial officer</w:t>
            </w: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7088" w:type="dxa"/>
            <w:gridSpan w:val="6"/>
            <w:tcBorders>
              <w:left w:val="single" w:sz="4" w:space="0" w:color="auto"/>
              <w:right w:val="single" w:sz="4" w:space="0" w:color="auto"/>
            </w:tcBorders>
          </w:tcPr>
          <w:p>
            <w:pPr>
              <w:pStyle w:val="yTableNAm"/>
              <w:spacing w:before="0"/>
              <w:jc w:val="center"/>
            </w:pPr>
            <w:r>
              <w:rPr>
                <w:sz w:val="20"/>
              </w:rPr>
              <w:t>Orders</w:t>
            </w:r>
          </w:p>
          <w:p>
            <w:pPr>
              <w:pStyle w:val="yTableNAm"/>
              <w:spacing w:before="0"/>
            </w:pPr>
          </w:p>
          <w:p>
            <w:pPr>
              <w:pStyle w:val="yTableNAm"/>
              <w:spacing w:before="0"/>
            </w:pPr>
          </w:p>
          <w:p>
            <w:pPr>
              <w:pStyle w:val="yTableNAm"/>
              <w:spacing w:before="0"/>
            </w:pPr>
          </w:p>
          <w:p>
            <w:pPr>
              <w:pStyle w:val="yTableNAm"/>
              <w:spacing w:before="0"/>
            </w:pPr>
          </w:p>
        </w:tc>
      </w:tr>
      <w:tr>
        <w:tc>
          <w:tcPr>
            <w:tcW w:w="3941" w:type="dxa"/>
            <w:gridSpan w:val="3"/>
            <w:tcBorders>
              <w:left w:val="single" w:sz="4" w:space="0" w:color="auto"/>
              <w:right w:val="single" w:sz="4" w:space="0" w:color="auto"/>
            </w:tcBorders>
          </w:tcPr>
          <w:p>
            <w:pPr>
              <w:pStyle w:val="yTableNAm"/>
              <w:spacing w:before="0"/>
            </w:pPr>
            <w:r>
              <w:rPr>
                <w:sz w:val="20"/>
              </w:rPr>
              <w:t>Judicial officer</w:t>
            </w:r>
          </w:p>
        </w:tc>
        <w:tc>
          <w:tcPr>
            <w:tcW w:w="3147" w:type="dxa"/>
            <w:gridSpan w:val="3"/>
            <w:tcBorders>
              <w:left w:val="single" w:sz="4" w:space="0" w:color="auto"/>
              <w:right w:val="single" w:sz="4" w:space="0" w:color="auto"/>
            </w:tcBorders>
          </w:tcPr>
          <w:p>
            <w:pPr>
              <w:pStyle w:val="yTableNAm"/>
              <w:spacing w:before="0"/>
            </w:pPr>
            <w:r>
              <w:rPr>
                <w:sz w:val="20"/>
              </w:rPr>
              <w:t>Date</w:t>
            </w:r>
          </w:p>
        </w:tc>
      </w:tr>
    </w:tbl>
    <w:p>
      <w:pPr>
        <w:pStyle w:val="yMiscellaneousBody"/>
      </w:pPr>
    </w:p>
    <w:p>
      <w:pPr>
        <w:pStyle w:val="yMiscellaneousBody"/>
        <w:keepNext/>
        <w:pageBreakBefore/>
        <w:spacing w:before="0" w:after="60"/>
        <w:jc w:val="right"/>
      </w:pPr>
      <w:r>
        <w:t>Return of Service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 xml:space="preserve">s. 71F(1) </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55"/>
        <w:gridCol w:w="1131"/>
        <w:gridCol w:w="1400"/>
        <w:gridCol w:w="986"/>
        <w:gridCol w:w="140"/>
        <w:gridCol w:w="1120"/>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 xml:space="preserve">Signature of applicant or </w:t>
            </w:r>
            <w:r>
              <w:rPr>
                <w:b/>
                <w:sz w:val="20"/>
                <w:szCs w:val="16"/>
              </w:rPr>
              <w:t>legal practitioner</w:t>
            </w:r>
          </w:p>
        </w:tc>
        <w:tc>
          <w:tcPr>
            <w:tcW w:w="2552" w:type="dxa"/>
            <w:gridSpan w:val="2"/>
          </w:tcPr>
          <w:p>
            <w:pPr>
              <w:pStyle w:val="yTableNAm"/>
              <w:spacing w:before="0"/>
            </w:pPr>
          </w:p>
        </w:tc>
        <w:tc>
          <w:tcPr>
            <w:tcW w:w="992" w:type="dxa"/>
          </w:tcPr>
          <w:p>
            <w:pPr>
              <w:pStyle w:val="yTableNAm"/>
              <w:spacing w:before="0"/>
            </w:pPr>
            <w:r>
              <w:rPr>
                <w:sz w:val="20"/>
              </w:rPr>
              <w:t>Date</w:t>
            </w:r>
          </w:p>
        </w:tc>
        <w:tc>
          <w:tcPr>
            <w:tcW w:w="1276" w:type="dxa"/>
            <w:gridSpan w:val="2"/>
          </w:tcPr>
          <w:p>
            <w:pPr>
              <w:pStyle w:val="yTableNAm"/>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47"/>
        <w:gridCol w:w="1243"/>
        <w:gridCol w:w="1219"/>
        <w:gridCol w:w="1193"/>
        <w:gridCol w:w="1130"/>
      </w:tblGrid>
      <w:tr>
        <w:tc>
          <w:tcPr>
            <w:tcW w:w="7088" w:type="dxa"/>
            <w:gridSpan w:val="5"/>
          </w:tcPr>
          <w:p>
            <w:pPr>
              <w:pStyle w:val="yTableNAm"/>
              <w:keepNext/>
              <w:keepLines/>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52"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4637"/>
      </w:tblGrid>
      <w:tr>
        <w:tc>
          <w:tcPr>
            <w:tcW w:w="2410" w:type="dxa"/>
          </w:tcPr>
          <w:p>
            <w:pPr>
              <w:pStyle w:val="yTableNAm"/>
              <w:keepNext/>
              <w:spacing w:before="60"/>
            </w:pPr>
            <w:r>
              <w:rPr>
                <w:b/>
                <w:sz w:val="20"/>
              </w:rPr>
              <w:t>Service details</w:t>
            </w:r>
          </w:p>
          <w:p>
            <w:pPr>
              <w:pStyle w:val="yTableNAm"/>
              <w:keepNext/>
              <w:spacing w:before="60"/>
              <w:rPr>
                <w:sz w:val="20"/>
              </w:rPr>
            </w:pPr>
            <w:r>
              <w:rPr>
                <w:sz w:val="20"/>
              </w:rPr>
              <w:t>[Service on applicant]</w:t>
            </w:r>
          </w:p>
        </w:tc>
        <w:tc>
          <w:tcPr>
            <w:tcW w:w="4678" w:type="dxa"/>
          </w:tcPr>
          <w:p>
            <w:pPr>
              <w:pStyle w:val="yTableNAm"/>
              <w:keepNext/>
              <w:spacing w:before="60"/>
            </w:pPr>
            <w:r>
              <w:rPr>
                <w:sz w:val="20"/>
              </w:rPr>
              <w:t>On                                         , I served a copy of the application referred to above in the following manner:</w:t>
            </w:r>
          </w:p>
          <w:p>
            <w:pPr>
              <w:pStyle w:val="yTableNAm"/>
              <w:keepNext/>
              <w:spacing w:before="60"/>
              <w:rPr>
                <w:sz w:val="20"/>
              </w:rPr>
            </w:pPr>
            <w:r>
              <w:rPr>
                <w:sz w:val="20"/>
              </w:rPr>
              <w:t>Method of service:</w:t>
            </w:r>
          </w:p>
          <w:p>
            <w:pPr>
              <w:pStyle w:val="yTableNAm"/>
              <w:keepNext/>
              <w:spacing w:before="60"/>
              <w:rPr>
                <w:sz w:val="20"/>
              </w:rPr>
            </w:pPr>
            <w:r>
              <w:rPr>
                <w:sz w:val="20"/>
              </w:rPr>
              <w:t>Person served:</w:t>
            </w:r>
          </w:p>
          <w:p>
            <w:pPr>
              <w:pStyle w:val="yTableNAm"/>
              <w:keepNext/>
              <w:spacing w:before="60"/>
              <w:rPr>
                <w:sz w:val="20"/>
              </w:rPr>
            </w:pPr>
            <w:r>
              <w:rPr>
                <w:sz w:val="20"/>
              </w:rPr>
              <w:t>Name of server:</w:t>
            </w:r>
          </w:p>
          <w:p>
            <w:pPr>
              <w:pStyle w:val="yTableNAm"/>
              <w:keepNext/>
              <w:spacing w:before="60"/>
            </w:pPr>
            <w:r>
              <w:rPr>
                <w:sz w:val="20"/>
              </w:rPr>
              <w:t>Signature:</w:t>
            </w:r>
          </w:p>
        </w:tc>
      </w:tr>
      <w:tr>
        <w:tc>
          <w:tcPr>
            <w:tcW w:w="2410" w:type="dxa"/>
            <w:tcBorders>
              <w:bottom w:val="single" w:sz="4" w:space="0" w:color="auto"/>
            </w:tcBorders>
          </w:tcPr>
          <w:p>
            <w:pPr>
              <w:pStyle w:val="yTableNAm"/>
              <w:spacing w:before="60"/>
            </w:pPr>
            <w:r>
              <w:rPr>
                <w:b/>
                <w:sz w:val="20"/>
              </w:rPr>
              <w:t>Service details</w:t>
            </w:r>
          </w:p>
          <w:p>
            <w:pPr>
              <w:pStyle w:val="yTableNAm"/>
              <w:spacing w:before="60"/>
              <w:rPr>
                <w:sz w:val="20"/>
              </w:rPr>
            </w:pPr>
            <w:r>
              <w:rPr>
                <w:sz w:val="20"/>
              </w:rPr>
              <w:t>[Service on respondent]</w:t>
            </w:r>
          </w:p>
        </w:tc>
        <w:tc>
          <w:tcPr>
            <w:tcW w:w="4678" w:type="dxa"/>
            <w:tcBorders>
              <w:bottom w:val="single" w:sz="4" w:space="0" w:color="auto"/>
            </w:tcBorders>
          </w:tcPr>
          <w:p>
            <w:pPr>
              <w:pStyle w:val="yTableNAm"/>
              <w:spacing w:before="60"/>
            </w:pPr>
            <w:r>
              <w:rPr>
                <w:sz w:val="20"/>
              </w:rPr>
              <w:t>On                                         , I served a copy of the application referred to above in the following manner:</w:t>
            </w:r>
          </w:p>
          <w:p>
            <w:pPr>
              <w:pStyle w:val="yTableNAm"/>
              <w:spacing w:before="60"/>
              <w:rPr>
                <w:sz w:val="20"/>
              </w:rPr>
            </w:pPr>
            <w:r>
              <w:rPr>
                <w:sz w:val="20"/>
              </w:rPr>
              <w:t>Method of service:</w:t>
            </w:r>
          </w:p>
          <w:p>
            <w:pPr>
              <w:pStyle w:val="yTableNAm"/>
              <w:spacing w:before="60"/>
              <w:rPr>
                <w:sz w:val="20"/>
              </w:rPr>
            </w:pPr>
            <w:r>
              <w:rPr>
                <w:sz w:val="20"/>
              </w:rPr>
              <w:t>Person served:</w:t>
            </w:r>
          </w:p>
          <w:p>
            <w:pPr>
              <w:pStyle w:val="yTableNAm"/>
              <w:spacing w:before="60"/>
              <w:rPr>
                <w:sz w:val="20"/>
              </w:rPr>
            </w:pPr>
            <w:r>
              <w:rPr>
                <w:sz w:val="20"/>
              </w:rPr>
              <w:t>Name of server:</w:t>
            </w:r>
          </w:p>
          <w:p>
            <w:pPr>
              <w:pStyle w:val="yTableNAm"/>
              <w:spacing w:before="60"/>
            </w:pPr>
            <w:r>
              <w:rPr>
                <w:sz w:val="20"/>
              </w:rPr>
              <w:t>Signature:</w:t>
            </w:r>
          </w:p>
        </w:tc>
      </w:tr>
    </w:tbl>
    <w:p>
      <w:pPr>
        <w:pStyle w:val="yMiscellaneousBody"/>
      </w:pPr>
    </w:p>
    <w:p>
      <w:pPr>
        <w:pStyle w:val="yMiscellaneousBody"/>
        <w:keepNext/>
        <w:pageBreakBefore/>
        <w:spacing w:before="0" w:after="60"/>
        <w:jc w:val="right"/>
      </w:pPr>
      <w:r>
        <w:t>Copy for Applicant to retain</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keepNext/>
        <w:rPr>
          <w:sz w:val="16"/>
          <w:szCs w:val="16"/>
        </w:rPr>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991"/>
        <w:gridCol w:w="1400"/>
        <w:gridCol w:w="846"/>
        <w:gridCol w:w="280"/>
        <w:gridCol w:w="1120"/>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keepNext/>
              <w:spacing w:before="0"/>
            </w:pPr>
            <w:r>
              <w:rPr>
                <w:b/>
                <w:sz w:val="20"/>
              </w:rPr>
              <w:t>Notice details</w:t>
            </w:r>
          </w:p>
        </w:tc>
        <w:tc>
          <w:tcPr>
            <w:tcW w:w="992" w:type="dxa"/>
          </w:tcPr>
          <w:p>
            <w:pPr>
              <w:pStyle w:val="yTableNAm"/>
              <w:keepNext/>
              <w:spacing w:before="0"/>
            </w:pPr>
            <w:r>
              <w:rPr>
                <w:sz w:val="20"/>
              </w:rPr>
              <w:t>Provision/</w:t>
            </w:r>
            <w:r>
              <w:rPr>
                <w:sz w:val="20"/>
              </w:rPr>
              <w:br/>
              <w:t>Grounds</w:t>
            </w:r>
          </w:p>
        </w:tc>
        <w:tc>
          <w:tcPr>
            <w:tcW w:w="3686" w:type="dxa"/>
            <w:gridSpan w:val="4"/>
          </w:tcPr>
          <w:p>
            <w:pPr>
              <w:pStyle w:val="yTableNAm"/>
              <w:keepNext/>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 xml:space="preserve">Signature of applicant or </w:t>
            </w:r>
            <w:r>
              <w:rPr>
                <w:b/>
                <w:sz w:val="20"/>
                <w:szCs w:val="16"/>
              </w:rPr>
              <w:t>legal practitioner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rPr>
          <w:sz w:val="16"/>
          <w:szCs w:val="16"/>
        </w:rPr>
      </w:pPr>
    </w:p>
    <w:tbl>
      <w:tblPr>
        <w:tblStyle w:val="TableGrid"/>
        <w:tblW w:w="7088" w:type="dxa"/>
        <w:tblInd w:w="57" w:type="dxa"/>
        <w:tblLayout w:type="fixed"/>
        <w:tblCellMar>
          <w:left w:w="57" w:type="dxa"/>
          <w:right w:w="57" w:type="dxa"/>
        </w:tblCellMar>
        <w:tblLook w:val="01E0" w:firstRow="1" w:lastRow="1" w:firstColumn="1" w:lastColumn="1" w:noHBand="0" w:noVBand="0"/>
      </w:tblPr>
      <w:tblGrid>
        <w:gridCol w:w="2410"/>
        <w:gridCol w:w="1110"/>
        <w:gridCol w:w="1233"/>
        <w:gridCol w:w="1201"/>
        <w:gridCol w:w="1134"/>
      </w:tblGrid>
      <w:tr>
        <w:tc>
          <w:tcPr>
            <w:tcW w:w="7088" w:type="dxa"/>
            <w:gridSpan w:val="5"/>
          </w:tcPr>
          <w:p>
            <w:pPr>
              <w:pStyle w:val="yTableNAm"/>
              <w:spacing w:before="0"/>
              <w:jc w:val="center"/>
            </w:pPr>
            <w:r>
              <w:rPr>
                <w:b/>
                <w:sz w:val="20"/>
              </w:rPr>
              <w:t>HEARING DETAILS</w:t>
            </w:r>
            <w:r>
              <w:rPr>
                <w:b/>
                <w:sz w:val="20"/>
              </w:rPr>
              <w:br/>
              <w:t>This application will be heard on:</w:t>
            </w:r>
          </w:p>
        </w:tc>
      </w:tr>
      <w:tr>
        <w:tc>
          <w:tcPr>
            <w:tcW w:w="2410" w:type="dxa"/>
          </w:tcPr>
          <w:p>
            <w:pPr>
              <w:pStyle w:val="yTableNAm"/>
              <w:spacing w:before="0"/>
            </w:pPr>
            <w:r>
              <w:rPr>
                <w:b/>
                <w:sz w:val="20"/>
              </w:rPr>
              <w:t>Date and time</w:t>
            </w:r>
          </w:p>
        </w:tc>
        <w:tc>
          <w:tcPr>
            <w:tcW w:w="1110"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MiscellaneousBody"/>
        <w:pageBreakBefore/>
        <w:spacing w:before="0" w:after="60"/>
        <w:jc w:val="right"/>
      </w:pPr>
      <w:r>
        <w:t>Copy for service on Respondent</w:t>
      </w:r>
    </w:p>
    <w:tbl>
      <w:tblPr>
        <w:tblW w:w="70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5"/>
      </w:tblGrid>
      <w:tr>
        <w:trPr>
          <w:trHeight w:val="498"/>
          <w:tblHeader/>
        </w:trPr>
        <w:tc>
          <w:tcPr>
            <w:tcW w:w="4536"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spacing w:before="60"/>
              <w:jc w:val="center"/>
              <w:rPr>
                <w:b/>
                <w:bCs/>
                <w:sz w:val="20"/>
              </w:rPr>
            </w:pPr>
          </w:p>
        </w:tc>
        <w:tc>
          <w:tcPr>
            <w:tcW w:w="1134" w:type="dxa"/>
          </w:tcPr>
          <w:p>
            <w:pPr>
              <w:pStyle w:val="yTableNAm"/>
              <w:spacing w:before="0"/>
            </w:pPr>
            <w:r>
              <w:rPr>
                <w:bCs/>
                <w:sz w:val="20"/>
              </w:rPr>
              <w:t>Court No.</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Magistrates Court at</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Date lodged</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134" w:type="dxa"/>
          </w:tcPr>
          <w:p>
            <w:pPr>
              <w:pStyle w:val="yTableNAm"/>
              <w:spacing w:before="0"/>
            </w:pPr>
            <w:r>
              <w:rPr>
                <w:bCs/>
                <w:sz w:val="20"/>
              </w:rPr>
              <w:t>Receipt No.</w:t>
            </w:r>
          </w:p>
        </w:tc>
        <w:tc>
          <w:tcPr>
            <w:tcW w:w="1135"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991"/>
        <w:gridCol w:w="1400"/>
        <w:gridCol w:w="846"/>
        <w:gridCol w:w="280"/>
        <w:gridCol w:w="1120"/>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Address</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DOB</w:t>
            </w:r>
          </w:p>
        </w:tc>
        <w:tc>
          <w:tcPr>
            <w:tcW w:w="1418" w:type="dxa"/>
          </w:tcPr>
          <w:p>
            <w:pPr>
              <w:pStyle w:val="yTableNAm"/>
              <w:spacing w:before="0"/>
            </w:pPr>
          </w:p>
        </w:tc>
        <w:tc>
          <w:tcPr>
            <w:tcW w:w="1134" w:type="dxa"/>
            <w:gridSpan w:val="2"/>
          </w:tcPr>
          <w:p>
            <w:pPr>
              <w:pStyle w:val="yTableNAm"/>
              <w:keepNext/>
              <w:spacing w:before="0"/>
            </w:pPr>
            <w:r>
              <w:rPr>
                <w:sz w:val="20"/>
              </w:rPr>
              <w:t>MDL No.</w:t>
            </w:r>
          </w:p>
        </w:tc>
        <w:tc>
          <w:tcPr>
            <w:tcW w:w="1134" w:type="dxa"/>
          </w:tcPr>
          <w:p>
            <w:pPr>
              <w:pStyle w:val="yTableNAm"/>
              <w:keepNext/>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spacing w:before="0"/>
            </w:pPr>
            <w:r>
              <w:rPr>
                <w:b/>
                <w:sz w:val="20"/>
              </w:rPr>
              <w:t>Notice details</w:t>
            </w:r>
          </w:p>
        </w:tc>
        <w:tc>
          <w:tcPr>
            <w:tcW w:w="992"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 xml:space="preserve">Signature of applicant or </w:t>
            </w:r>
            <w:r>
              <w:rPr>
                <w:b/>
                <w:sz w:val="20"/>
                <w:szCs w:val="16"/>
              </w:rPr>
              <w:t>legal practitioner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388"/>
        <w:gridCol w:w="1102"/>
        <w:gridCol w:w="1145"/>
        <w:gridCol w:w="1267"/>
        <w:gridCol w:w="1130"/>
      </w:tblGrid>
      <w:tr>
        <w:tc>
          <w:tcPr>
            <w:tcW w:w="7088" w:type="dxa"/>
            <w:gridSpan w:val="5"/>
          </w:tcPr>
          <w:p>
            <w:pPr>
              <w:pStyle w:val="yTableNAm"/>
              <w:keepNext/>
              <w:keepLines/>
              <w:spacing w:before="60"/>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410" w:type="dxa"/>
          </w:tcPr>
          <w:p>
            <w:pPr>
              <w:pStyle w:val="yTableNAm"/>
              <w:keepNext/>
              <w:keepLines/>
              <w:spacing w:before="0"/>
            </w:pPr>
            <w:r>
              <w:rPr>
                <w:b/>
                <w:sz w:val="20"/>
              </w:rPr>
              <w:t>Date and time</w:t>
            </w:r>
          </w:p>
        </w:tc>
        <w:tc>
          <w:tcPr>
            <w:tcW w:w="1110" w:type="dxa"/>
          </w:tcPr>
          <w:p>
            <w:pPr>
              <w:pStyle w:val="yTableNAm"/>
              <w:spacing w:before="0"/>
            </w:pPr>
            <w:r>
              <w:rPr>
                <w:sz w:val="20"/>
              </w:rPr>
              <w:t>Date</w:t>
            </w:r>
          </w:p>
        </w:tc>
        <w:tc>
          <w:tcPr>
            <w:tcW w:w="1158" w:type="dxa"/>
          </w:tcPr>
          <w:p>
            <w:pPr>
              <w:pStyle w:val="yTableNAm"/>
              <w:spacing w:before="0"/>
            </w:pPr>
          </w:p>
        </w:tc>
        <w:tc>
          <w:tcPr>
            <w:tcW w:w="1276" w:type="dxa"/>
          </w:tcPr>
          <w:p>
            <w:pPr>
              <w:pStyle w:val="yTableNAm"/>
              <w:spacing w:before="0"/>
            </w:pPr>
            <w:r>
              <w:rPr>
                <w:sz w:val="20"/>
              </w:rPr>
              <w:t>Time</w:t>
            </w:r>
          </w:p>
        </w:tc>
        <w:tc>
          <w:tcPr>
            <w:tcW w:w="1134" w:type="dxa"/>
          </w:tcPr>
          <w:p>
            <w:pPr>
              <w:pStyle w:val="yTableNAm"/>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Footnotesection"/>
      </w:pPr>
      <w:r>
        <w:tab/>
        <w:t>[Form 4B inserted: Gazette 31 Jul 2012 p. 3691</w:t>
      </w:r>
      <w:r>
        <w:noBreakHyphen/>
        <w:t>5; amended: SL 2022/106 r. 6.]</w:t>
      </w:r>
    </w:p>
    <w:p>
      <w:pPr>
        <w:pStyle w:val="yEdnotesection"/>
      </w:pPr>
      <w:r>
        <w:t>[Form 5 deleted: SL 2021/25 r. 26(1).]</w:t>
      </w:r>
    </w:p>
    <w:p>
      <w:pPr>
        <w:pStyle w:val="yEdnotesection"/>
      </w:pPr>
      <w:r>
        <w:t>[Form 6 deleted: Gazette 15 Feb 2011 p. 538.]</w:t>
      </w:r>
    </w:p>
    <w:p>
      <w:pPr>
        <w:pStyle w:val="yEdnotesection"/>
      </w:pPr>
      <w:r>
        <w:t>[Form 7 deleted: SL 2021/25 r. 26(2).]</w:t>
      </w:r>
    </w:p>
    <w:p>
      <w:pPr>
        <w:pStyle w:val="yHeading5"/>
        <w:pageBreakBefore/>
        <w:spacing w:before="0" w:after="240"/>
      </w:pPr>
      <w:bookmarkStart w:id="349" w:name="_Toc155094244"/>
      <w:bookmarkStart w:id="350" w:name="_Toc118124568"/>
      <w:r>
        <w:rPr>
          <w:rStyle w:val="CharSClsNo"/>
        </w:rPr>
        <w:t>8</w:t>
      </w:r>
      <w:r>
        <w:t>.</w:t>
      </w:r>
      <w:r>
        <w:tab/>
        <w:t>Application by CEO to vary, cancel extraordinary licence (r. 51(4))</w:t>
      </w:r>
      <w:bookmarkEnd w:id="349"/>
      <w:bookmarkEnd w:id="35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35(2)</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CEO to vary extraordinary licence</w:t>
            </w:r>
          </w:p>
        </w:tc>
      </w:tr>
      <w:tr>
        <w:trPr>
          <w:cantSplit/>
          <w:trHeight w:val="90"/>
        </w:trPr>
        <w:tc>
          <w:tcPr>
            <w:tcW w:w="1418" w:type="dxa"/>
            <w:vMerge w:val="restart"/>
          </w:tcPr>
          <w:p>
            <w:pPr>
              <w:pStyle w:val="yTableNAm"/>
              <w:spacing w:before="0"/>
              <w:rPr>
                <w:sz w:val="20"/>
              </w:rPr>
            </w:pPr>
            <w:r>
              <w:rPr>
                <w:sz w:val="20"/>
              </w:rPr>
              <w:t xml:space="preserve">Extraordinary licence details </w:t>
            </w:r>
          </w:p>
        </w:tc>
        <w:tc>
          <w:tcPr>
            <w:tcW w:w="1833" w:type="dxa"/>
            <w:tcBorders>
              <w:bottom w:val="single" w:sz="4" w:space="0" w:color="auto"/>
            </w:tcBorders>
          </w:tcPr>
          <w:p>
            <w:pPr>
              <w:pStyle w:val="yTableNAm"/>
              <w:spacing w:before="0"/>
              <w:rPr>
                <w:sz w:val="20"/>
              </w:rPr>
            </w:pPr>
            <w:r>
              <w:rPr>
                <w:sz w:val="20"/>
              </w:rPr>
              <w:t>Holder’s name</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Holder’s address</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5"/>
          </w:tcPr>
          <w:p>
            <w:pPr>
              <w:pStyle w:val="yTableNAm"/>
              <w:spacing w:before="0"/>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9"/>
              </w:tabs>
              <w:spacing w:before="0"/>
              <w:ind w:left="369" w:hanging="369"/>
              <w:rPr>
                <w:sz w:val="20"/>
              </w:rPr>
            </w:pPr>
            <w:r>
              <w:rPr>
                <w:sz w:val="20"/>
              </w:rPr>
              <w:sym w:font="Monotype Sorts" w:char="F070"/>
            </w:r>
            <w:r>
              <w:rPr>
                <w:sz w:val="20"/>
              </w:rPr>
              <w:tab/>
              <w:t>An order that varies the above limitations and conditions by:</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extraordinary licence.</w:t>
            </w: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5"/>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for CEO</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(Authorisation to Drive) Act 2008 s. 35(4).</w:t>
      </w:r>
      <w:r>
        <w:t xml:space="preserve"> Use numbered paragraphs.</w:t>
      </w:r>
    </w:p>
    <w:p>
      <w:pPr>
        <w:pStyle w:val="yFootnotesection"/>
      </w:pPr>
      <w:r>
        <w:tab/>
        <w:t>[Form 8 amended: Gazette 8 Jan 2015 p. 166</w:t>
      </w:r>
      <w:r>
        <w:noBreakHyphen/>
        <w:t>7.]</w:t>
      </w:r>
    </w:p>
    <w:p>
      <w:pPr>
        <w:pStyle w:val="yHeading5"/>
        <w:pageBreakBefore/>
        <w:spacing w:before="0" w:after="120"/>
      </w:pPr>
      <w:bookmarkStart w:id="351" w:name="_Toc155094245"/>
      <w:bookmarkStart w:id="352" w:name="_Toc118124569"/>
      <w:r>
        <w:rPr>
          <w:rStyle w:val="CharSClsNo"/>
        </w:rPr>
        <w:t>9</w:t>
      </w:r>
      <w:r>
        <w:t>.</w:t>
      </w:r>
      <w:r>
        <w:rPr>
          <w:b w:val="0"/>
        </w:rPr>
        <w:tab/>
      </w:r>
      <w:r>
        <w:t>Application by owner for delay of sale of uncollected vehicle and/or return of item (r. 51A)</w:t>
      </w:r>
      <w:bookmarkEnd w:id="351"/>
      <w:bookmarkEnd w:id="3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559"/>
      </w:tblGrid>
      <w:tr>
        <w:trPr>
          <w:cantSplit/>
        </w:trPr>
        <w:tc>
          <w:tcPr>
            <w:tcW w:w="3360" w:type="dxa"/>
            <w:gridSpan w:val="3"/>
            <w:tcBorders>
              <w:bottom w:val="nil"/>
            </w:tcBorders>
          </w:tcPr>
          <w:p>
            <w:pPr>
              <w:pStyle w:val="yTable"/>
              <w:spacing w:before="0"/>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728" w:type="dxa"/>
            <w:gridSpan w:val="3"/>
            <w:tcBorders>
              <w:bottom w:val="nil"/>
            </w:tcBorders>
          </w:tcPr>
          <w:p>
            <w:pPr>
              <w:pStyle w:val="yTable"/>
              <w:spacing w:before="0"/>
              <w:rPr>
                <w:b/>
              </w:rPr>
            </w:pPr>
            <w:r>
              <w:rPr>
                <w:b/>
              </w:rPr>
              <w:t>Application by owner for delay of sale of uncollected vehicle and/or return of item</w:t>
            </w:r>
          </w:p>
        </w:tc>
      </w:tr>
      <w:tr>
        <w:trPr>
          <w:cantSplit/>
          <w:trHeight w:val="90"/>
        </w:trPr>
        <w:tc>
          <w:tcPr>
            <w:tcW w:w="1800" w:type="dxa"/>
            <w:vMerge w:val="restart"/>
          </w:tcPr>
          <w:p>
            <w:pPr>
              <w:pStyle w:val="yTable"/>
              <w:spacing w:before="0"/>
              <w:rPr>
                <w:sz w:val="20"/>
              </w:rPr>
            </w:pPr>
            <w:r>
              <w:rPr>
                <w:sz w:val="20"/>
              </w:rPr>
              <w:t>Applicant (Owner)</w:t>
            </w:r>
          </w:p>
        </w:tc>
        <w:tc>
          <w:tcPr>
            <w:tcW w:w="1200" w:type="dxa"/>
            <w:tcBorders>
              <w:bottom w:val="single" w:sz="4" w:space="0" w:color="auto"/>
            </w:tcBorders>
          </w:tcPr>
          <w:p>
            <w:pPr>
              <w:pStyle w:val="yTable"/>
              <w:spacing w:before="0"/>
              <w:rPr>
                <w:sz w:val="20"/>
              </w:rPr>
            </w:pPr>
            <w:r>
              <w:rPr>
                <w:sz w:val="20"/>
              </w:rPr>
              <w:t>Full name</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Address</w:t>
            </w:r>
          </w:p>
        </w:tc>
        <w:tc>
          <w:tcPr>
            <w:tcW w:w="4088" w:type="dxa"/>
            <w:gridSpan w:val="4"/>
            <w:tcBorders>
              <w:bottom w:val="nil"/>
            </w:tcBorders>
          </w:tcPr>
          <w:p>
            <w:pPr>
              <w:pStyle w:val="yTable"/>
              <w:spacing w:before="0"/>
              <w:rPr>
                <w:sz w:val="20"/>
              </w:rPr>
            </w:pPr>
          </w:p>
        </w:tc>
      </w:tr>
      <w:tr>
        <w:trPr>
          <w:cantSplit/>
          <w:trHeight w:val="90"/>
        </w:trPr>
        <w:tc>
          <w:tcPr>
            <w:tcW w:w="1800" w:type="dxa"/>
            <w:vMerge w:val="restart"/>
          </w:tcPr>
          <w:p>
            <w:pPr>
              <w:pStyle w:val="yTable"/>
              <w:spacing w:before="0"/>
              <w:rPr>
                <w:sz w:val="20"/>
              </w:rPr>
            </w:pPr>
            <w:r>
              <w:rPr>
                <w:sz w:val="20"/>
              </w:rPr>
              <w:t>Uncollected vehicle/item</w:t>
            </w:r>
          </w:p>
        </w:tc>
        <w:tc>
          <w:tcPr>
            <w:tcW w:w="1200" w:type="dxa"/>
            <w:tcBorders>
              <w:bottom w:val="single" w:sz="4" w:space="0" w:color="auto"/>
            </w:tcBorders>
          </w:tcPr>
          <w:p>
            <w:pPr>
              <w:pStyle w:val="yTable"/>
              <w:spacing w:before="0"/>
              <w:rPr>
                <w:sz w:val="20"/>
              </w:rPr>
            </w:pPr>
            <w:r>
              <w:rPr>
                <w:sz w:val="20"/>
              </w:rPr>
              <w:t>Registration No.</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Description of item</w:t>
            </w:r>
          </w:p>
        </w:tc>
        <w:tc>
          <w:tcPr>
            <w:tcW w:w="4088"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p>
            <w:pPr>
              <w:pStyle w:val="yTable"/>
              <w:rPr>
                <w:sz w:val="18"/>
              </w:rPr>
            </w:pPr>
            <w:r>
              <w:rPr>
                <w:sz w:val="18"/>
              </w:rPr>
              <w:t>[Tick applicable box(es)]</w:t>
            </w:r>
          </w:p>
        </w:tc>
        <w:tc>
          <w:tcPr>
            <w:tcW w:w="5288" w:type="dxa"/>
            <w:gridSpan w:val="5"/>
            <w:tcBorders>
              <w:bottom w:val="single" w:sz="4" w:space="0" w:color="auto"/>
            </w:tcBorders>
          </w:tcPr>
          <w:p>
            <w:pPr>
              <w:pStyle w:val="yTable"/>
              <w:spacing w:before="0"/>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legal practitioner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Applicant or legal practitioner</w:t>
            </w:r>
          </w:p>
        </w:tc>
        <w:tc>
          <w:tcPr>
            <w:tcW w:w="709" w:type="dxa"/>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288"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Gazette 3 Oct 2008 p. 4486</w:t>
      </w:r>
      <w:r>
        <w:noBreakHyphen/>
        <w:t>7; amended: SL 2022/106 r. 6.]</w:t>
      </w:r>
    </w:p>
    <w:p>
      <w:pPr>
        <w:pStyle w:val="yHeading5"/>
        <w:pageBreakBefore/>
        <w:spacing w:before="0" w:after="120"/>
      </w:pPr>
      <w:bookmarkStart w:id="353" w:name="_Toc155094246"/>
      <w:bookmarkStart w:id="354" w:name="_Toc118124570"/>
      <w:r>
        <w:rPr>
          <w:rStyle w:val="CharSClsNo"/>
        </w:rPr>
        <w:t>10</w:t>
      </w:r>
      <w:r>
        <w:t>.</w:t>
      </w:r>
      <w:r>
        <w:tab/>
        <w:t>Application for decision on whether information in seized record is privileged (r. 56)</w:t>
      </w:r>
      <w:bookmarkEnd w:id="353"/>
      <w:bookmarkEnd w:id="3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177"/>
        <w:gridCol w:w="709"/>
        <w:gridCol w:w="1134"/>
        <w:gridCol w:w="709"/>
        <w:gridCol w:w="1559"/>
      </w:tblGrid>
      <w:tr>
        <w:trPr>
          <w:cantSplit/>
        </w:trPr>
        <w:tc>
          <w:tcPr>
            <w:tcW w:w="3686" w:type="dxa"/>
            <w:gridSpan w:val="3"/>
            <w:tcBorders>
              <w:bottom w:val="nil"/>
            </w:tcBorders>
          </w:tcPr>
          <w:p>
            <w:pPr>
              <w:pStyle w:val="yTableNAm"/>
              <w:spacing w:before="0"/>
              <w:rPr>
                <w:sz w:val="20"/>
              </w:rPr>
            </w:pPr>
            <w:r>
              <w:rPr>
                <w:i/>
                <w:sz w:val="20"/>
              </w:rPr>
              <w:t>Criminal Investigation Act 2006</w:t>
            </w:r>
          </w:p>
          <w:p>
            <w:pPr>
              <w:pStyle w:val="yTableNAm"/>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decision on whether information in seized record is privileged</w:t>
            </w:r>
          </w:p>
        </w:tc>
      </w:tr>
      <w:tr>
        <w:trPr>
          <w:cantSplit/>
          <w:trHeight w:val="90"/>
        </w:trPr>
        <w:tc>
          <w:tcPr>
            <w:tcW w:w="1800" w:type="dxa"/>
            <w:vMerge w:val="restart"/>
          </w:tcPr>
          <w:p>
            <w:pPr>
              <w:pStyle w:val="yTableNAm"/>
              <w:spacing w:before="0"/>
              <w:rPr>
                <w:sz w:val="20"/>
              </w:rPr>
            </w:pPr>
            <w:r>
              <w:rPr>
                <w:sz w:val="20"/>
              </w:rPr>
              <w:t>Applicant</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800" w:type="dxa"/>
            <w:vMerge w:val="restart"/>
          </w:tcPr>
          <w:p>
            <w:pPr>
              <w:pStyle w:val="yTableNAm"/>
              <w:spacing w:before="0"/>
              <w:rPr>
                <w:sz w:val="20"/>
              </w:rPr>
            </w:pPr>
            <w:r>
              <w:rPr>
                <w:sz w:val="20"/>
              </w:rPr>
              <w:t>Person entitled to possession of the record</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Application</w:t>
            </w:r>
          </w:p>
        </w:tc>
        <w:tc>
          <w:tcPr>
            <w:tcW w:w="5288" w:type="dxa"/>
            <w:gridSpan w:val="5"/>
            <w:tcBorders>
              <w:bottom w:val="single" w:sz="4" w:space="0" w:color="auto"/>
            </w:tcBorders>
          </w:tcPr>
          <w:p>
            <w:pPr>
              <w:pStyle w:val="yTableNAm"/>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NAm"/>
              <w:spacing w:before="0"/>
              <w:rPr>
                <w:sz w:val="20"/>
              </w:rPr>
            </w:pPr>
            <w:r>
              <w:rPr>
                <w:sz w:val="20"/>
              </w:rPr>
              <w:t>Seized record(s)</w:t>
            </w:r>
            <w:r>
              <w:rPr>
                <w:sz w:val="20"/>
                <w:vertAlign w:val="superscript"/>
              </w:rPr>
              <w:t>1</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Privilege claimed</w:t>
            </w:r>
            <w:r>
              <w:rPr>
                <w:sz w:val="20"/>
                <w:vertAlign w:val="superscript"/>
              </w:rPr>
              <w:t>2</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top w:val="single" w:sz="4" w:space="0" w:color="auto"/>
              <w:bottom w:val="single" w:sz="4" w:space="0" w:color="auto"/>
            </w:tcBorders>
          </w:tcPr>
          <w:p>
            <w:pPr>
              <w:pStyle w:val="yTableNAm"/>
              <w:spacing w:before="0"/>
              <w:rPr>
                <w:sz w:val="20"/>
              </w:rPr>
            </w:pPr>
            <w:r>
              <w:rPr>
                <w:sz w:val="20"/>
              </w:rPr>
              <w:t>Signature of applicant or legal practitioner</w:t>
            </w:r>
          </w:p>
        </w:tc>
        <w:tc>
          <w:tcPr>
            <w:tcW w:w="3020"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legal practitioner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Hearing details</w:t>
            </w:r>
          </w:p>
        </w:tc>
        <w:tc>
          <w:tcPr>
            <w:tcW w:w="5288"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tabs>
          <w:tab w:val="left" w:pos="600"/>
        </w:tabs>
        <w:ind w:left="600" w:hanging="600"/>
      </w:pPr>
      <w:r>
        <w:t>Note to Form 10 —</w:t>
      </w:r>
    </w:p>
    <w:p>
      <w:pPr>
        <w:pStyle w:val="yMiscellaneousBody"/>
        <w:keepNext/>
        <w:tabs>
          <w:tab w:val="left" w:pos="600"/>
        </w:tabs>
        <w:spacing w:before="0"/>
        <w:ind w:left="601" w:hanging="601"/>
        <w:rPr>
          <w:bCs/>
        </w:rPr>
      </w:pPr>
      <w:r>
        <w:rPr>
          <w:bCs/>
        </w:rPr>
        <w:t>1.</w:t>
      </w:r>
      <w:r>
        <w:rPr>
          <w:bCs/>
        </w:rPr>
        <w:tab/>
      </w:r>
      <w:r>
        <w:t>Set</w:t>
      </w:r>
      <w:r>
        <w:rPr>
          <w:bCs/>
        </w:rPr>
        <w:t xml:space="preserve"> out a description of the seized record or records.</w:t>
      </w:r>
    </w:p>
    <w:p>
      <w:pPr>
        <w:pStyle w:val="yMiscellaneousBody"/>
        <w:tabs>
          <w:tab w:val="left" w:pos="600"/>
        </w:tabs>
        <w:spacing w:before="0"/>
        <w:ind w:left="601" w:hanging="601"/>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Gazette 24 Aug 2007 p. 4327; amended: SL 2022/106 r. 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4" w:bottom="3544" w:left="2404" w:header="709" w:footer="3544" w:gutter="0"/>
          <w:cols w:space="720"/>
          <w:noEndnote/>
          <w:docGrid w:linePitch="326"/>
        </w:sectPr>
      </w:pPr>
    </w:p>
    <w:p>
      <w:pPr>
        <w:pStyle w:val="nHeading2"/>
      </w:pPr>
      <w:bookmarkStart w:id="355" w:name="_Toc155094247"/>
      <w:bookmarkStart w:id="356" w:name="_Toc118114600"/>
      <w:bookmarkStart w:id="357" w:name="_Toc118119372"/>
      <w:bookmarkStart w:id="358" w:name="_Toc118124571"/>
      <w:r>
        <w:t>Notes</w:t>
      </w:r>
      <w:bookmarkEnd w:id="355"/>
      <w:bookmarkEnd w:id="356"/>
      <w:bookmarkEnd w:id="357"/>
      <w:bookmarkEnd w:id="358"/>
    </w:p>
    <w:p>
      <w:pPr>
        <w:pStyle w:val="nStatement"/>
      </w:pPr>
      <w:r>
        <w:t xml:space="preserve">This is a compilation of the </w:t>
      </w:r>
      <w:r>
        <w:rPr>
          <w:i/>
          <w:noProof/>
        </w:rPr>
        <w:t>Magistrates Court (General) Rules 2005</w:t>
      </w:r>
      <w:r>
        <w:t xml:space="preserve"> and includes amendments made by other written laws. For provisions that have come into operation, and for information about any reprints, see the compilation table. </w:t>
      </w:r>
    </w:p>
    <w:p>
      <w:pPr>
        <w:pStyle w:val="nHeading3"/>
      </w:pPr>
      <w:bookmarkStart w:id="359" w:name="_Toc155094248"/>
      <w:bookmarkStart w:id="360" w:name="_Toc118124572"/>
      <w:r>
        <w:t>Compilation table</w:t>
      </w:r>
      <w:bookmarkEnd w:id="359"/>
      <w:bookmarkEnd w:id="360"/>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Magistrates Court (General) Rules 2005</w:t>
            </w:r>
          </w:p>
        </w:tc>
        <w:tc>
          <w:tcPr>
            <w:tcW w:w="1276" w:type="dxa"/>
            <w:tcBorders>
              <w:top w:val="single" w:sz="8" w:space="0" w:color="auto"/>
            </w:tcBorders>
          </w:tcPr>
          <w:p>
            <w:pPr>
              <w:pStyle w:val="nTable"/>
              <w:spacing w:after="40"/>
            </w:pPr>
            <w:r>
              <w:t>28 Apr 2005 p. 1605</w:t>
            </w:r>
            <w:r>
              <w:noBreakHyphen/>
              <w:t>49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2005</w:t>
            </w:r>
          </w:p>
        </w:tc>
        <w:tc>
          <w:tcPr>
            <w:tcW w:w="1276" w:type="dxa"/>
          </w:tcPr>
          <w:p>
            <w:pPr>
              <w:pStyle w:val="nTable"/>
              <w:spacing w:after="40"/>
            </w:pPr>
            <w:r>
              <w:t>8 Jul 2005 p. 3160</w:t>
            </w:r>
          </w:p>
        </w:tc>
        <w:tc>
          <w:tcPr>
            <w:tcW w:w="2693" w:type="dxa"/>
          </w:tcPr>
          <w:p>
            <w:pPr>
              <w:pStyle w:val="nTable"/>
              <w:spacing w:after="40"/>
            </w:pPr>
            <w:r>
              <w:t>8 Jul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2007</w:t>
            </w:r>
          </w:p>
        </w:tc>
        <w:tc>
          <w:tcPr>
            <w:tcW w:w="1276" w:type="dxa"/>
          </w:tcPr>
          <w:p>
            <w:pPr>
              <w:pStyle w:val="nTable"/>
              <w:spacing w:after="40"/>
            </w:pPr>
            <w:r>
              <w:t>24 Aug 2007 p. 4322</w:t>
            </w:r>
            <w:r>
              <w:noBreakHyphen/>
              <w:t>7</w:t>
            </w:r>
          </w:p>
        </w:tc>
        <w:tc>
          <w:tcPr>
            <w:tcW w:w="2693" w:type="dxa"/>
          </w:tcPr>
          <w:p>
            <w:pPr>
              <w:pStyle w:val="nTable"/>
              <w:spacing w:after="40"/>
            </w:pPr>
            <w:r>
              <w:rPr>
                <w:snapToGrid w:val="0"/>
              </w:rPr>
              <w:t>r. 1-3: 24 Aug 2007 (see r. 2(a));</w:t>
            </w:r>
            <w:r>
              <w:rPr>
                <w:snapToGrid w:val="0"/>
              </w:rPr>
              <w:br/>
              <w:t>Rules other than r. 1-3: 25 Aug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(No. 2) 2007</w:t>
            </w:r>
          </w:p>
        </w:tc>
        <w:tc>
          <w:tcPr>
            <w:tcW w:w="1276" w:type="dxa"/>
          </w:tcPr>
          <w:p>
            <w:pPr>
              <w:pStyle w:val="nTable"/>
              <w:spacing w:after="40"/>
            </w:pPr>
            <w:r>
              <w:t>23 Nov 2007 p. 5861</w:t>
            </w:r>
            <w:r>
              <w:noBreakHyphen/>
              <w:t>5</w:t>
            </w:r>
          </w:p>
        </w:tc>
        <w:tc>
          <w:tcPr>
            <w:tcW w:w="2693" w:type="dxa"/>
          </w:tcPr>
          <w:p>
            <w:pPr>
              <w:pStyle w:val="nTable"/>
              <w:spacing w:after="40"/>
              <w:rPr>
                <w:snapToGrid w:val="0"/>
              </w:rPr>
            </w:pPr>
            <w:r>
              <w:rPr>
                <w:snapToGrid w:val="0"/>
              </w:rPr>
              <w:t>r. 1 and 2: 23 Nov 2007 (see r. 2(a));</w:t>
            </w:r>
            <w:r>
              <w:rPr>
                <w:snapToGrid w:val="0"/>
              </w:rPr>
              <w:br/>
              <w:t>Rules other than r. 1 and 2: 24 Nov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2008</w:t>
            </w:r>
          </w:p>
        </w:tc>
        <w:tc>
          <w:tcPr>
            <w:tcW w:w="1276" w:type="dxa"/>
          </w:tcPr>
          <w:p>
            <w:pPr>
              <w:pStyle w:val="nTable"/>
              <w:spacing w:after="40"/>
            </w:pPr>
            <w:r>
              <w:t>8 Apr 2008 p. 1335</w:t>
            </w:r>
            <w:r>
              <w:noBreakHyphen/>
              <w:t>9</w:t>
            </w:r>
          </w:p>
        </w:tc>
        <w:tc>
          <w:tcPr>
            <w:tcW w:w="2693" w:type="dxa"/>
          </w:tcPr>
          <w:p>
            <w:pPr>
              <w:pStyle w:val="nTable"/>
              <w:spacing w:after="40"/>
              <w:rPr>
                <w:snapToGrid w:val="0"/>
              </w:rPr>
            </w:pPr>
            <w:r>
              <w:rPr>
                <w:snapToGrid w:val="0"/>
              </w:rPr>
              <w:t>r. 1 and 2: 8 Apr 2008 (see r. 2(a));</w:t>
            </w:r>
            <w:r>
              <w:rPr>
                <w:snapToGrid w:val="0"/>
              </w:rPr>
              <w:br/>
              <w:t>Rules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(Road Traffic) Rules 2008</w:t>
            </w:r>
          </w:p>
        </w:tc>
        <w:tc>
          <w:tcPr>
            <w:tcW w:w="1276" w:type="dxa"/>
          </w:tcPr>
          <w:p>
            <w:pPr>
              <w:pStyle w:val="nTable"/>
              <w:spacing w:after="40"/>
            </w:pPr>
            <w:r>
              <w:t>23 May 2008 p. 1991</w:t>
            </w:r>
            <w:r>
              <w:noBreakHyphen/>
              <w:t>2</w:t>
            </w:r>
          </w:p>
        </w:tc>
        <w:tc>
          <w:tcPr>
            <w:tcW w:w="2693" w:type="dxa"/>
          </w:tcPr>
          <w:p>
            <w:pPr>
              <w:pStyle w:val="nTable"/>
              <w:spacing w:after="40"/>
              <w:rPr>
                <w:snapToGrid w:val="0"/>
              </w:rPr>
            </w:pPr>
            <w:r>
              <w:rPr>
                <w:snapToGrid w:val="0"/>
              </w:rPr>
              <w:t>r. 1 and 2: 23 May 2008 (see r. 2(a));</w:t>
            </w:r>
            <w:r>
              <w:rPr>
                <w:snapToGrid w:val="0"/>
              </w:rPr>
              <w:br/>
              <w:t xml:space="preserve">Rules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(No. 2) 2008</w:t>
            </w:r>
          </w:p>
        </w:tc>
        <w:tc>
          <w:tcPr>
            <w:tcW w:w="1276" w:type="dxa"/>
          </w:tcPr>
          <w:p>
            <w:pPr>
              <w:pStyle w:val="nTable"/>
              <w:spacing w:after="40"/>
            </w:pPr>
            <w:r>
              <w:t>3 Oct 2008 p. 4485</w:t>
            </w:r>
            <w:r>
              <w:noBreakHyphen/>
              <w:t>7</w:t>
            </w:r>
          </w:p>
        </w:tc>
        <w:tc>
          <w:tcPr>
            <w:tcW w:w="2693" w:type="dxa"/>
          </w:tcPr>
          <w:p>
            <w:pPr>
              <w:pStyle w:val="nTable"/>
              <w:spacing w:after="40"/>
              <w:rPr>
                <w:snapToGrid w:val="0"/>
              </w:rPr>
            </w:pPr>
            <w:r>
              <w:rPr>
                <w:snapToGrid w:val="0"/>
              </w:rPr>
              <w:t xml:space="preserve">r. 1 and 2: </w:t>
            </w:r>
            <w:r>
              <w:t>3 Oct 2008 (see r. 2(a));</w:t>
            </w:r>
            <w:r>
              <w:br/>
              <w:t>Rules other than r. 1 and 2: 4 Oct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snapToGrid w:val="0"/>
              </w:rPr>
              <w:t xml:space="preserve">Reprint 1:  The </w:t>
            </w:r>
            <w:r>
              <w:rPr>
                <w:b/>
                <w:bCs/>
                <w:i/>
              </w:rPr>
              <w:t>Magistrates Court (General) Rules 2005</w:t>
            </w:r>
            <w:r>
              <w:rPr>
                <w:b/>
                <w:bCs/>
                <w:snapToGrid w:val="0"/>
              </w:rPr>
              <w:t xml:space="preserve"> as at 13 Feb 2009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2010</w:t>
            </w:r>
          </w:p>
        </w:tc>
        <w:tc>
          <w:tcPr>
            <w:tcW w:w="1276" w:type="dxa"/>
          </w:tcPr>
          <w:p>
            <w:pPr>
              <w:pStyle w:val="nTable"/>
              <w:spacing w:after="40"/>
            </w:pPr>
            <w:r>
              <w:t>7 Jan 2011 p. 51</w:t>
            </w:r>
            <w:r>
              <w:noBreakHyphen/>
              <w:t>2</w:t>
            </w:r>
          </w:p>
        </w:tc>
        <w:tc>
          <w:tcPr>
            <w:tcW w:w="2693" w:type="dxa"/>
          </w:tcPr>
          <w:p>
            <w:pPr>
              <w:pStyle w:val="nTable"/>
              <w:spacing w:after="40"/>
              <w:rPr>
                <w:snapToGrid w:val="0"/>
              </w:rPr>
            </w:pPr>
            <w:r>
              <w:rPr>
                <w:snapToGrid w:val="0"/>
              </w:rPr>
              <w:t xml:space="preserve">r. 1 and 2: </w:t>
            </w:r>
            <w:r>
              <w:t>7 Jan 2011 (see r. 2(a));</w:t>
            </w:r>
            <w:r>
              <w:br/>
              <w:t>Rules other than r. 1 and 2: 8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Magistrates Court (General) Amendment Rules 2011</w:t>
            </w:r>
            <w:r>
              <w:t xml:space="preserve"> </w:t>
            </w:r>
          </w:p>
        </w:tc>
        <w:tc>
          <w:tcPr>
            <w:tcW w:w="1276" w:type="dxa"/>
          </w:tcPr>
          <w:p>
            <w:pPr>
              <w:pStyle w:val="nTable"/>
              <w:spacing w:after="40"/>
            </w:pPr>
            <w:r>
              <w:t>15 Feb 2011 p. 536-8</w:t>
            </w:r>
          </w:p>
        </w:tc>
        <w:tc>
          <w:tcPr>
            <w:tcW w:w="2693" w:type="dxa"/>
          </w:tcPr>
          <w:p>
            <w:pPr>
              <w:pStyle w:val="nTable"/>
              <w:spacing w:after="40"/>
            </w:pPr>
            <w:r>
              <w:rPr>
                <w:snapToGrid w:val="0"/>
              </w:rPr>
              <w:t>r. 1 and 2: 15 Feb 2011 (see r. 2(a));</w:t>
            </w:r>
            <w:r>
              <w:rPr>
                <w:snapToGrid w:val="0"/>
              </w:rPr>
              <w:br/>
              <w:t xml:space="preserve">Rules other than r. 1 and 2: 4 Jul 2011 (see r. 2(b) and </w:t>
            </w:r>
            <w:r>
              <w:rPr>
                <w:i/>
                <w:snapToGrid w:val="0"/>
              </w:rPr>
              <w:t>Gazette</w:t>
            </w:r>
            <w:r>
              <w:rPr>
                <w:snapToGrid w:val="0"/>
              </w:rPr>
              <w:t xml:space="preserve"> 20 May 2011 p. 1837)</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Magistrates Court (General) Amendment Rules (No. 2) 2011</w:t>
            </w:r>
          </w:p>
        </w:tc>
        <w:tc>
          <w:tcPr>
            <w:tcW w:w="1276" w:type="dxa"/>
          </w:tcPr>
          <w:p>
            <w:pPr>
              <w:pStyle w:val="nTable"/>
              <w:spacing w:after="40"/>
            </w:pPr>
            <w:r>
              <w:t>17 May 2011 p. 1823</w:t>
            </w:r>
          </w:p>
        </w:tc>
        <w:tc>
          <w:tcPr>
            <w:tcW w:w="2693" w:type="dxa"/>
          </w:tcPr>
          <w:p>
            <w:pPr>
              <w:pStyle w:val="nTable"/>
              <w:spacing w:after="40"/>
              <w:rPr>
                <w:snapToGrid w:val="0"/>
              </w:rPr>
            </w:pPr>
            <w:r>
              <w:rPr>
                <w:snapToGrid w:val="0"/>
              </w:rPr>
              <w:t>r. 1 and 2: 17 May 2011 (see r. 2(a));</w:t>
            </w:r>
            <w:r>
              <w:rPr>
                <w:snapToGrid w:val="0"/>
              </w:rPr>
              <w:br/>
              <w:t>Rules other than r. 1 and 2: 18 May 2011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2012</w:t>
            </w:r>
          </w:p>
        </w:tc>
        <w:tc>
          <w:tcPr>
            <w:tcW w:w="1276" w:type="dxa"/>
            <w:shd w:val="clear" w:color="auto" w:fill="auto"/>
          </w:tcPr>
          <w:p>
            <w:pPr>
              <w:pStyle w:val="nTable"/>
              <w:spacing w:after="40"/>
            </w:pPr>
            <w:r>
              <w:t>31 Jul 2012 p. 3689</w:t>
            </w:r>
            <w:r>
              <w:noBreakHyphen/>
              <w:t>95</w:t>
            </w:r>
          </w:p>
        </w:tc>
        <w:tc>
          <w:tcPr>
            <w:tcW w:w="2693" w:type="dxa"/>
            <w:shd w:val="clear" w:color="auto" w:fill="auto"/>
          </w:tcPr>
          <w:p>
            <w:pPr>
              <w:pStyle w:val="nTable"/>
              <w:spacing w:after="40"/>
              <w:rPr>
                <w:snapToGrid w:val="0"/>
              </w:rPr>
            </w:pPr>
            <w:r>
              <w:rPr>
                <w:snapToGrid w:val="0"/>
              </w:rPr>
              <w:t>r. 1 and 2: 31 Jul 2012 (see r. 2(a));</w:t>
            </w:r>
            <w:r>
              <w:rPr>
                <w:snapToGrid w:val="0"/>
              </w:rPr>
              <w:br/>
              <w:t>Rules other than r. 1 and 2: 1 Aug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bCs/>
                <w:snapToGrid w:val="0"/>
              </w:rPr>
              <w:t xml:space="preserve">Reprint 2:  The </w:t>
            </w:r>
            <w:r>
              <w:rPr>
                <w:b/>
                <w:bCs/>
                <w:i/>
              </w:rPr>
              <w:t>Magistrates Court (General) Rules 2005</w:t>
            </w:r>
            <w:r>
              <w:rPr>
                <w:b/>
                <w:bCs/>
                <w:snapToGrid w:val="0"/>
              </w:rPr>
              <w:t xml:space="preserve"> as at 23 Nov 2012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3) 2013</w:t>
            </w:r>
          </w:p>
        </w:tc>
        <w:tc>
          <w:tcPr>
            <w:tcW w:w="1276" w:type="dxa"/>
            <w:shd w:val="clear" w:color="auto" w:fill="auto"/>
          </w:tcPr>
          <w:p>
            <w:pPr>
              <w:pStyle w:val="nTable"/>
              <w:spacing w:after="40"/>
            </w:pPr>
            <w:r>
              <w:t>26 Jul 2013 p. 3346-7</w:t>
            </w:r>
          </w:p>
        </w:tc>
        <w:tc>
          <w:tcPr>
            <w:tcW w:w="2693" w:type="dxa"/>
            <w:shd w:val="clear" w:color="auto" w:fill="auto"/>
          </w:tcPr>
          <w:p>
            <w:pPr>
              <w:pStyle w:val="nTable"/>
              <w:spacing w:after="40"/>
              <w:rPr>
                <w:i/>
                <w:snapToGrid w:val="0"/>
              </w:rPr>
            </w:pPr>
            <w:r>
              <w:rPr>
                <w:snapToGrid w:val="0"/>
              </w:rPr>
              <w:t>r. 1 and 2: 26 Jul 2013 (see r. 2(a));</w:t>
            </w:r>
            <w:r>
              <w:rPr>
                <w:snapToGrid w:val="0"/>
              </w:rPr>
              <w:br/>
              <w:t>Rules other than r. 1 and 2: 27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2) 2013</w:t>
            </w:r>
          </w:p>
        </w:tc>
        <w:tc>
          <w:tcPr>
            <w:tcW w:w="1276" w:type="dxa"/>
            <w:shd w:val="clear" w:color="auto" w:fill="auto"/>
          </w:tcPr>
          <w:p>
            <w:pPr>
              <w:pStyle w:val="nTable"/>
              <w:spacing w:after="40"/>
            </w:pPr>
            <w:r>
              <w:t>20 Aug 2013 p. 3818-20</w:t>
            </w:r>
          </w:p>
        </w:tc>
        <w:tc>
          <w:tcPr>
            <w:tcW w:w="2693" w:type="dxa"/>
            <w:shd w:val="clear" w:color="auto" w:fill="auto"/>
          </w:tcPr>
          <w:p>
            <w:pPr>
              <w:pStyle w:val="nTable"/>
              <w:spacing w:after="40"/>
              <w:rPr>
                <w:i/>
                <w:snapToGrid w:val="0"/>
              </w:rPr>
            </w:pPr>
            <w:r>
              <w:rPr>
                <w:snapToGrid w:val="0"/>
              </w:rPr>
              <w:t>r. 1 and 2: 20 Aug 2013 (see r. 2(a));</w:t>
            </w:r>
            <w:r>
              <w:rPr>
                <w:snapToGrid w:val="0"/>
              </w:rPr>
              <w:br/>
              <w:t xml:space="preserve">Rules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2013</w:t>
            </w:r>
          </w:p>
        </w:tc>
        <w:tc>
          <w:tcPr>
            <w:tcW w:w="1276" w:type="dxa"/>
            <w:shd w:val="clear" w:color="auto" w:fill="auto"/>
          </w:tcPr>
          <w:p>
            <w:pPr>
              <w:pStyle w:val="nTable"/>
              <w:spacing w:after="40"/>
            </w:pPr>
            <w:r>
              <w:t>31 Dec 2013 p. 6548</w:t>
            </w:r>
          </w:p>
        </w:tc>
        <w:tc>
          <w:tcPr>
            <w:tcW w:w="2693" w:type="dxa"/>
            <w:shd w:val="clear" w:color="auto" w:fill="auto"/>
          </w:tcPr>
          <w:p>
            <w:pPr>
              <w:pStyle w:val="nTable"/>
              <w:spacing w:after="40"/>
              <w:rPr>
                <w:i/>
                <w:snapToGrid w:val="0"/>
              </w:rPr>
            </w:pPr>
            <w:r>
              <w:rPr>
                <w:snapToGrid w:val="0"/>
              </w:rPr>
              <w:t>r. 1 and 2: 31 Dec 2013 (see r. 2(a));</w:t>
            </w:r>
            <w:r>
              <w:rPr>
                <w:snapToGrid w:val="0"/>
              </w:rPr>
              <w:br/>
              <w:t>Rules other than r. 1 and 2: 1 Jan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2) 2014</w:t>
            </w:r>
          </w:p>
        </w:tc>
        <w:tc>
          <w:tcPr>
            <w:tcW w:w="1276" w:type="dxa"/>
            <w:shd w:val="clear" w:color="auto" w:fill="auto"/>
          </w:tcPr>
          <w:p>
            <w:pPr>
              <w:pStyle w:val="nTable"/>
              <w:spacing w:after="40"/>
            </w:pPr>
            <w:r>
              <w:t>11 Mar 2014 p. 573-83</w:t>
            </w:r>
          </w:p>
        </w:tc>
        <w:tc>
          <w:tcPr>
            <w:tcW w:w="2693" w:type="dxa"/>
            <w:shd w:val="clear" w:color="auto" w:fill="auto"/>
          </w:tcPr>
          <w:p>
            <w:pPr>
              <w:pStyle w:val="nTable"/>
              <w:spacing w:after="40"/>
              <w:rPr>
                <w:i/>
                <w:snapToGrid w:val="0"/>
              </w:rPr>
            </w:pPr>
            <w:r>
              <w:rPr>
                <w:snapToGrid w:val="0"/>
              </w:rPr>
              <w:t>r. 1 and 2: 11 Mar 2014 (see r. 2(a));</w:t>
            </w:r>
            <w:r>
              <w:rPr>
                <w:snapToGrid w:val="0"/>
              </w:rPr>
              <w:br/>
              <w:t>Rules other than r. 1 and 2: 12 Mar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bCs/>
                <w:snapToGrid w:val="0"/>
              </w:rPr>
              <w:t xml:space="preserve">Reprint 3:  The </w:t>
            </w:r>
            <w:r>
              <w:rPr>
                <w:b/>
                <w:bCs/>
                <w:i/>
              </w:rPr>
              <w:t>Magistrates Court (General) Rules 2005</w:t>
            </w:r>
            <w:r>
              <w:rPr>
                <w:b/>
                <w:bCs/>
                <w:snapToGrid w:val="0"/>
              </w:rPr>
              <w:t xml:space="preserve"> as at 13 Jun 2014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4) 2014</w:t>
            </w:r>
          </w:p>
        </w:tc>
        <w:tc>
          <w:tcPr>
            <w:tcW w:w="1276" w:type="dxa"/>
            <w:shd w:val="clear" w:color="auto" w:fill="auto"/>
          </w:tcPr>
          <w:p>
            <w:pPr>
              <w:pStyle w:val="nTable"/>
              <w:spacing w:after="40"/>
            </w:pPr>
            <w:r>
              <w:t>12 Aug 2014 p. 2892</w:t>
            </w:r>
            <w:r>
              <w:noBreakHyphen/>
              <w:t>4</w:t>
            </w:r>
          </w:p>
        </w:tc>
        <w:tc>
          <w:tcPr>
            <w:tcW w:w="2693" w:type="dxa"/>
            <w:shd w:val="clear" w:color="auto" w:fill="auto"/>
          </w:tcPr>
          <w:p>
            <w:pPr>
              <w:pStyle w:val="nTable"/>
              <w:spacing w:after="40"/>
              <w:rPr>
                <w:i/>
                <w:snapToGrid w:val="0"/>
              </w:rPr>
            </w:pPr>
            <w:r>
              <w:rPr>
                <w:snapToGrid w:val="0"/>
              </w:rPr>
              <w:t>r. 1 and 2: 12 Aug 2014 (see r. 2(a));</w:t>
            </w:r>
            <w:r>
              <w:rPr>
                <w:snapToGrid w:val="0"/>
              </w:rPr>
              <w:br/>
              <w:t>Rules other than r. 1 and 2: 13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2014</w:t>
            </w:r>
          </w:p>
        </w:tc>
        <w:tc>
          <w:tcPr>
            <w:tcW w:w="1276" w:type="dxa"/>
            <w:shd w:val="clear" w:color="auto" w:fill="auto"/>
          </w:tcPr>
          <w:p>
            <w:pPr>
              <w:pStyle w:val="nTable"/>
              <w:keepNext/>
              <w:spacing w:after="40"/>
            </w:pPr>
            <w:r>
              <w:t>15 Aug 2014 p. 2937</w:t>
            </w:r>
            <w:r>
              <w:noBreakHyphen/>
              <w:t>46</w:t>
            </w:r>
          </w:p>
        </w:tc>
        <w:tc>
          <w:tcPr>
            <w:tcW w:w="2693" w:type="dxa"/>
            <w:shd w:val="clear" w:color="auto" w:fill="auto"/>
          </w:tcPr>
          <w:p>
            <w:pPr>
              <w:pStyle w:val="nTable"/>
              <w:keepNext/>
              <w:spacing w:after="40"/>
              <w:rPr>
                <w:snapToGrid w:val="0"/>
              </w:rPr>
            </w:pPr>
            <w:r>
              <w:rPr>
                <w:snapToGrid w:val="0"/>
              </w:rPr>
              <w:t>r. 1 and 2: 15 Aug 2014 (see r. 2(a));</w:t>
            </w:r>
            <w:r>
              <w:rPr>
                <w:snapToGrid w:val="0"/>
              </w:rPr>
              <w:br/>
              <w:t>Rules other than r. 1 and 2: 16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(No. 3) 2014</w:t>
            </w:r>
          </w:p>
        </w:tc>
        <w:tc>
          <w:tcPr>
            <w:tcW w:w="1276" w:type="dxa"/>
            <w:shd w:val="clear" w:color="auto" w:fill="auto"/>
          </w:tcPr>
          <w:p>
            <w:pPr>
              <w:pStyle w:val="nTable"/>
              <w:keepNext/>
              <w:spacing w:after="40"/>
            </w:pPr>
            <w:r>
              <w:t>8 Jan 2015 p. 161</w:t>
            </w:r>
            <w:r>
              <w:noBreakHyphen/>
              <w:t>7</w:t>
            </w:r>
          </w:p>
        </w:tc>
        <w:tc>
          <w:tcPr>
            <w:tcW w:w="2693" w:type="dxa"/>
            <w:shd w:val="clear" w:color="auto" w:fill="auto"/>
          </w:tcPr>
          <w:p>
            <w:pPr>
              <w:pStyle w:val="nTable"/>
              <w:keepNext/>
              <w:spacing w:after="40"/>
              <w:rPr>
                <w:snapToGrid w:val="0"/>
              </w:rPr>
            </w:pPr>
            <w:r>
              <w:rPr>
                <w:snapToGrid w:val="0"/>
                <w:spacing w:val="-2"/>
              </w:rPr>
              <w:t>r. 1 and 2: 8 Jan 2015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2015</w:t>
            </w:r>
          </w:p>
        </w:tc>
        <w:tc>
          <w:tcPr>
            <w:tcW w:w="1276" w:type="dxa"/>
            <w:shd w:val="clear" w:color="auto" w:fill="auto"/>
          </w:tcPr>
          <w:p>
            <w:pPr>
              <w:pStyle w:val="nTable"/>
              <w:keepNext/>
              <w:spacing w:after="40"/>
            </w:pPr>
            <w:r>
              <w:t>18 Dec 2015 p. 5077</w:t>
            </w:r>
          </w:p>
        </w:tc>
        <w:tc>
          <w:tcPr>
            <w:tcW w:w="2693" w:type="dxa"/>
            <w:shd w:val="clear" w:color="auto" w:fill="auto"/>
          </w:tcPr>
          <w:p>
            <w:pPr>
              <w:pStyle w:val="nTable"/>
              <w:keepNext/>
              <w:spacing w:after="40"/>
              <w:rPr>
                <w:snapToGrid w:val="0"/>
                <w:spacing w:val="-2"/>
              </w:rPr>
            </w:pPr>
            <w:r>
              <w:rPr>
                <w:snapToGrid w:val="0"/>
              </w:rPr>
              <w:t>r. 1 and 2: 18 Dec 2015 (see r. 2(a));</w:t>
            </w:r>
            <w:r>
              <w:rPr>
                <w:snapToGrid w:val="0"/>
              </w:rPr>
              <w:br/>
              <w:t>Rules other than r. 1 and 2: 19 Dec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2018</w:t>
            </w:r>
          </w:p>
        </w:tc>
        <w:tc>
          <w:tcPr>
            <w:tcW w:w="1276" w:type="dxa"/>
            <w:shd w:val="clear" w:color="auto" w:fill="auto"/>
          </w:tcPr>
          <w:p>
            <w:pPr>
              <w:pStyle w:val="nTable"/>
              <w:keepNext/>
              <w:spacing w:after="40"/>
            </w:pPr>
            <w:r>
              <w:t>4 Dec 2018 p. 4629</w:t>
            </w:r>
            <w:r>
              <w:noBreakHyphen/>
              <w:t>30</w:t>
            </w:r>
          </w:p>
        </w:tc>
        <w:tc>
          <w:tcPr>
            <w:tcW w:w="2693" w:type="dxa"/>
            <w:shd w:val="clear" w:color="auto" w:fill="auto"/>
          </w:tcPr>
          <w:p>
            <w:pPr>
              <w:pStyle w:val="nTable"/>
              <w:keepNext/>
              <w:spacing w:after="40"/>
              <w:rPr>
                <w:snapToGrid w:val="0"/>
              </w:rPr>
            </w:pPr>
            <w:r>
              <w:rPr>
                <w:snapToGrid w:val="0"/>
              </w:rPr>
              <w:t>r. 1 and 2: 4 Dec 2018 (see r. 2(a));</w:t>
            </w:r>
            <w:r>
              <w:rPr>
                <w:snapToGrid w:val="0"/>
              </w:rPr>
              <w:br/>
              <w:t>Rules other than r. 1 and 2: 5 Dec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2019</w:t>
            </w:r>
          </w:p>
        </w:tc>
        <w:tc>
          <w:tcPr>
            <w:tcW w:w="1276" w:type="dxa"/>
            <w:shd w:val="clear" w:color="auto" w:fill="auto"/>
          </w:tcPr>
          <w:p>
            <w:pPr>
              <w:pStyle w:val="nTable"/>
              <w:keepNext/>
              <w:spacing w:after="40"/>
            </w:pPr>
            <w:r>
              <w:t>26 Mar 2019 p. 946-7</w:t>
            </w:r>
          </w:p>
        </w:tc>
        <w:tc>
          <w:tcPr>
            <w:tcW w:w="2693" w:type="dxa"/>
            <w:shd w:val="clear" w:color="auto" w:fill="auto"/>
          </w:tcPr>
          <w:p>
            <w:pPr>
              <w:pStyle w:val="nTable"/>
              <w:keepNext/>
              <w:spacing w:after="40"/>
              <w:rPr>
                <w:snapToGrid w:val="0"/>
              </w:rPr>
            </w:pPr>
            <w:r>
              <w:rPr>
                <w:snapToGrid w:val="0"/>
              </w:rPr>
              <w:t>r. 1 and 2: 26 Mar 2019 (see r. 2(a));</w:t>
            </w:r>
            <w:r>
              <w:rPr>
                <w:snapToGrid w:val="0"/>
              </w:rPr>
              <w:br/>
              <w:t>Rules other than r. 1 and 2: 27 Mar 2019 (see r. 2(b))</w:t>
            </w:r>
          </w:p>
        </w:tc>
      </w:tr>
      <w:tr>
        <w:tc>
          <w:tcPr>
            <w:tcW w:w="3119" w:type="dxa"/>
            <w:tcBorders>
              <w:top w:val="nil"/>
              <w:bottom w:val="nil"/>
            </w:tcBorders>
            <w:shd w:val="clear" w:color="auto" w:fill="auto"/>
          </w:tcPr>
          <w:p>
            <w:pPr>
              <w:pStyle w:val="nTable"/>
              <w:keepNext/>
              <w:spacing w:after="40"/>
              <w:rPr>
                <w:i/>
              </w:rPr>
            </w:pPr>
            <w:r>
              <w:rPr>
                <w:i/>
              </w:rPr>
              <w:t>Magistrates Court (General) Amendment Rules (No. 2) 2019</w:t>
            </w:r>
          </w:p>
        </w:tc>
        <w:tc>
          <w:tcPr>
            <w:tcW w:w="1276" w:type="dxa"/>
            <w:tcBorders>
              <w:top w:val="nil"/>
              <w:bottom w:val="nil"/>
            </w:tcBorders>
            <w:shd w:val="clear" w:color="auto" w:fill="auto"/>
          </w:tcPr>
          <w:p>
            <w:pPr>
              <w:pStyle w:val="nTable"/>
              <w:keepNext/>
              <w:spacing w:after="40"/>
            </w:pPr>
            <w:r>
              <w:t>31 Dec 2019 p. 4674-5</w:t>
            </w:r>
          </w:p>
        </w:tc>
        <w:tc>
          <w:tcPr>
            <w:tcW w:w="2693" w:type="dxa"/>
            <w:tcBorders>
              <w:top w:val="nil"/>
              <w:bottom w:val="nil"/>
            </w:tcBorders>
            <w:shd w:val="clear" w:color="auto" w:fill="auto"/>
          </w:tcPr>
          <w:p>
            <w:pPr>
              <w:pStyle w:val="nTable"/>
              <w:keepNext/>
              <w:spacing w:after="40"/>
              <w:rPr>
                <w:snapToGrid w:val="0"/>
              </w:rPr>
            </w:pPr>
            <w:r>
              <w:rPr>
                <w:snapToGrid w:val="0"/>
              </w:rPr>
              <w:t>r. 1 and 2: 31 Dec 2019 (see r. 2(a));</w:t>
            </w:r>
            <w:r>
              <w:rPr>
                <w:snapToGrid w:val="0"/>
              </w:rPr>
              <w:br/>
              <w:t>Rules other than r. 1 and 2: 1 Jan 2020 (see r. 2(b))</w:t>
            </w:r>
          </w:p>
        </w:tc>
      </w:tr>
      <w:tr>
        <w:tc>
          <w:tcPr>
            <w:tcW w:w="3119" w:type="dxa"/>
            <w:tcBorders>
              <w:top w:val="nil"/>
              <w:bottom w:val="nil"/>
            </w:tcBorders>
            <w:shd w:val="clear" w:color="auto" w:fill="auto"/>
          </w:tcPr>
          <w:p>
            <w:pPr>
              <w:pStyle w:val="nTable"/>
              <w:keepNext/>
              <w:spacing w:after="40"/>
            </w:pPr>
            <w:r>
              <w:rPr>
                <w:i/>
              </w:rPr>
              <w:t>Magistrates Court Rules Amendment Rules 2021</w:t>
            </w:r>
            <w:r>
              <w:t xml:space="preserve"> Pt. 3</w:t>
            </w:r>
          </w:p>
        </w:tc>
        <w:tc>
          <w:tcPr>
            <w:tcW w:w="1276" w:type="dxa"/>
            <w:tcBorders>
              <w:top w:val="nil"/>
              <w:bottom w:val="nil"/>
            </w:tcBorders>
            <w:shd w:val="clear" w:color="auto" w:fill="auto"/>
          </w:tcPr>
          <w:p>
            <w:pPr>
              <w:pStyle w:val="nTable"/>
              <w:keepNext/>
              <w:spacing w:after="40"/>
            </w:pPr>
            <w:r>
              <w:t>SL 2021/25 26 Feb 2021</w:t>
            </w:r>
          </w:p>
        </w:tc>
        <w:tc>
          <w:tcPr>
            <w:tcW w:w="2693" w:type="dxa"/>
            <w:tcBorders>
              <w:top w:val="nil"/>
              <w:bottom w:val="nil"/>
            </w:tcBorders>
            <w:shd w:val="clear" w:color="auto" w:fill="auto"/>
          </w:tcPr>
          <w:p>
            <w:pPr>
              <w:pStyle w:val="nTable"/>
              <w:keepNext/>
              <w:spacing w:after="40"/>
              <w:rPr>
                <w:snapToGrid w:val="0"/>
              </w:rPr>
            </w:pPr>
            <w:r>
              <w:rPr>
                <w:snapToGrid w:val="0"/>
              </w:rPr>
              <w:t>27 Feb 2021 (see r. 2(b))</w:t>
            </w:r>
          </w:p>
        </w:tc>
      </w:tr>
      <w:tr>
        <w:tc>
          <w:tcPr>
            <w:tcW w:w="3119" w:type="dxa"/>
            <w:tcBorders>
              <w:top w:val="nil"/>
              <w:bottom w:val="nil"/>
            </w:tcBorders>
            <w:shd w:val="clear" w:color="auto" w:fill="auto"/>
          </w:tcPr>
          <w:p>
            <w:pPr>
              <w:pStyle w:val="nTable"/>
              <w:keepNext/>
              <w:spacing w:after="40"/>
            </w:pPr>
            <w:r>
              <w:rPr>
                <w:i/>
              </w:rPr>
              <w:t>Magistrates Court Rules Amendment Rules (No. 2) 2021</w:t>
            </w:r>
            <w:r>
              <w:t xml:space="preserve"> Pt. 3</w:t>
            </w:r>
          </w:p>
        </w:tc>
        <w:tc>
          <w:tcPr>
            <w:tcW w:w="1276" w:type="dxa"/>
            <w:tcBorders>
              <w:top w:val="nil"/>
              <w:bottom w:val="nil"/>
            </w:tcBorders>
            <w:shd w:val="clear" w:color="auto" w:fill="auto"/>
          </w:tcPr>
          <w:p>
            <w:pPr>
              <w:pStyle w:val="nTable"/>
              <w:keepNext/>
              <w:spacing w:after="40"/>
            </w:pPr>
            <w:r>
              <w:t>SL 2021/133 23 Jul 2021</w:t>
            </w:r>
          </w:p>
        </w:tc>
        <w:tc>
          <w:tcPr>
            <w:tcW w:w="2693" w:type="dxa"/>
            <w:tcBorders>
              <w:top w:val="nil"/>
              <w:bottom w:val="nil"/>
            </w:tcBorders>
            <w:shd w:val="clear" w:color="auto" w:fill="auto"/>
          </w:tcPr>
          <w:p>
            <w:pPr>
              <w:pStyle w:val="nTable"/>
              <w:keepNext/>
              <w:spacing w:after="40"/>
              <w:rPr>
                <w:snapToGrid w:val="0"/>
              </w:rPr>
            </w:pPr>
            <w:r>
              <w:rPr>
                <w:snapToGrid w:val="0"/>
              </w:rPr>
              <w:t>24 Jul 2021 (see r. 2(b))</w:t>
            </w:r>
          </w:p>
        </w:tc>
      </w:tr>
      <w:tr>
        <w:tc>
          <w:tcPr>
            <w:tcW w:w="3119" w:type="dxa"/>
            <w:tcBorders>
              <w:top w:val="nil"/>
              <w:bottom w:val="nil"/>
            </w:tcBorders>
            <w:shd w:val="clear" w:color="auto" w:fill="auto"/>
          </w:tcPr>
          <w:p>
            <w:pPr>
              <w:pStyle w:val="nTable"/>
              <w:keepNext/>
              <w:spacing w:after="40"/>
            </w:pPr>
            <w:r>
              <w:rPr>
                <w:i/>
              </w:rPr>
              <w:t>Magistrates Court Rules Amendment Rules 2022</w:t>
            </w:r>
            <w:r>
              <w:t xml:space="preserve"> Pt. 3</w:t>
            </w:r>
          </w:p>
        </w:tc>
        <w:tc>
          <w:tcPr>
            <w:tcW w:w="1276" w:type="dxa"/>
            <w:tcBorders>
              <w:top w:val="nil"/>
              <w:bottom w:val="nil"/>
            </w:tcBorders>
            <w:shd w:val="clear" w:color="auto" w:fill="auto"/>
          </w:tcPr>
          <w:p>
            <w:pPr>
              <w:pStyle w:val="nTable"/>
              <w:keepNext/>
              <w:spacing w:after="40"/>
            </w:pPr>
            <w:r>
              <w:t>SL 2022/54 13 May 2022</w:t>
            </w:r>
          </w:p>
        </w:tc>
        <w:tc>
          <w:tcPr>
            <w:tcW w:w="2693" w:type="dxa"/>
            <w:tcBorders>
              <w:top w:val="nil"/>
              <w:bottom w:val="nil"/>
            </w:tcBorders>
            <w:shd w:val="clear" w:color="auto" w:fill="auto"/>
          </w:tcPr>
          <w:p>
            <w:pPr>
              <w:pStyle w:val="nTable"/>
              <w:keepNext/>
              <w:spacing w:after="40"/>
              <w:rPr>
                <w:snapToGrid w:val="0"/>
              </w:rPr>
            </w:pPr>
            <w:r>
              <w:rPr>
                <w:snapToGrid w:val="0"/>
              </w:rPr>
              <w:t>14 May 2022 (see r. 2(b))</w:t>
            </w:r>
          </w:p>
        </w:tc>
      </w:tr>
      <w:tr>
        <w:tc>
          <w:tcPr>
            <w:tcW w:w="3119" w:type="dxa"/>
            <w:tcBorders>
              <w:top w:val="nil"/>
              <w:bottom w:val="nil"/>
            </w:tcBorders>
            <w:shd w:val="clear" w:color="auto" w:fill="auto"/>
          </w:tcPr>
          <w:p>
            <w:pPr>
              <w:pStyle w:val="nTable"/>
              <w:keepNext/>
              <w:spacing w:after="40"/>
              <w:rPr>
                <w:i/>
              </w:rPr>
            </w:pPr>
            <w:r>
              <w:rPr>
                <w:i/>
              </w:rPr>
              <w:t>Magistrates Court Rules Amendment (Legal Profession) Rules 2022</w:t>
            </w:r>
            <w:r>
              <w:t xml:space="preserve"> Pt. 3</w:t>
            </w:r>
          </w:p>
        </w:tc>
        <w:tc>
          <w:tcPr>
            <w:tcW w:w="1276" w:type="dxa"/>
            <w:tcBorders>
              <w:top w:val="nil"/>
              <w:bottom w:val="nil"/>
            </w:tcBorders>
            <w:shd w:val="clear" w:color="auto" w:fill="auto"/>
          </w:tcPr>
          <w:p>
            <w:pPr>
              <w:pStyle w:val="nTable"/>
              <w:keepNext/>
              <w:spacing w:after="40"/>
            </w:pPr>
            <w:r>
              <w:t>SL 2022/106 24 Jun 2022</w:t>
            </w:r>
          </w:p>
        </w:tc>
        <w:tc>
          <w:tcPr>
            <w:tcW w:w="2693" w:type="dxa"/>
            <w:tcBorders>
              <w:top w:val="nil"/>
              <w:bottom w:val="nil"/>
            </w:tcBorders>
            <w:shd w:val="clear" w:color="auto" w:fill="auto"/>
          </w:tcPr>
          <w:p>
            <w:pPr>
              <w:pStyle w:val="nTable"/>
              <w:keepNext/>
              <w:spacing w:after="40"/>
              <w:rPr>
                <w:snapToGrid w:val="0"/>
              </w:rPr>
            </w:pPr>
            <w:r>
              <w:t>1 Jul 2022 (see r. 2(b) and SL 2022/113 cl. 2)</w:t>
            </w:r>
          </w:p>
        </w:tc>
      </w:tr>
      <w:tr>
        <w:tc>
          <w:tcPr>
            <w:tcW w:w="3119" w:type="dxa"/>
            <w:tcBorders>
              <w:top w:val="nil"/>
              <w:bottom w:val="nil"/>
            </w:tcBorders>
            <w:shd w:val="clear" w:color="auto" w:fill="auto"/>
          </w:tcPr>
          <w:p>
            <w:pPr>
              <w:pStyle w:val="nTable"/>
              <w:keepNext/>
              <w:spacing w:after="40"/>
              <w:rPr>
                <w:i/>
              </w:rPr>
            </w:pPr>
            <w:r>
              <w:rPr>
                <w:i/>
              </w:rPr>
              <w:t>Magistrates Court (General) Amendment Rules 2022</w:t>
            </w:r>
          </w:p>
        </w:tc>
        <w:tc>
          <w:tcPr>
            <w:tcW w:w="1276" w:type="dxa"/>
            <w:tcBorders>
              <w:top w:val="nil"/>
              <w:bottom w:val="nil"/>
            </w:tcBorders>
            <w:shd w:val="clear" w:color="auto" w:fill="auto"/>
          </w:tcPr>
          <w:p>
            <w:pPr>
              <w:pStyle w:val="nTable"/>
              <w:keepNext/>
              <w:spacing w:after="40"/>
            </w:pPr>
            <w:r>
              <w:t>SL 2022/180 4 Nov 2022</w:t>
            </w:r>
          </w:p>
        </w:tc>
        <w:tc>
          <w:tcPr>
            <w:tcW w:w="2693" w:type="dxa"/>
            <w:tcBorders>
              <w:top w:val="nil"/>
              <w:bottom w:val="nil"/>
            </w:tcBorders>
            <w:shd w:val="clear" w:color="auto" w:fill="auto"/>
          </w:tcPr>
          <w:p>
            <w:pPr>
              <w:pStyle w:val="nTable"/>
              <w:keepNext/>
              <w:spacing w:after="40"/>
            </w:pPr>
            <w:r>
              <w:t>r. 1 and 2: 4 Nov 2022 (see r. 2(a));</w:t>
            </w:r>
            <w:r>
              <w:br/>
              <w:t>Rules other than r. 1 and 2: 5 Nov 2022 (see r. 2(b))</w:t>
            </w:r>
          </w:p>
        </w:tc>
      </w:tr>
    </w:tbl>
    <w:p>
      <w:pPr>
        <w:rPr>
          <w:del w:id="361" w:author="Master Repository Process" w:date="2024-01-02T13:22:00Z"/>
        </w:rPr>
        <w:sectPr>
          <w:headerReference w:type="even" r:id="rId27"/>
          <w:headerReference w:type="default" r:id="rId28"/>
          <w:pgSz w:w="11907" w:h="16840" w:code="9"/>
          <w:pgMar w:top="2376" w:right="2404" w:bottom="3544" w:left="2404" w:header="720" w:footer="3380" w:gutter="0"/>
          <w:cols w:space="720"/>
          <w:noEndnote/>
          <w:docGrid w:linePitch="326"/>
        </w:sectPr>
      </w:pPr>
    </w:p>
    <w:tbl>
      <w:tblPr>
        <w:tblW w:w="7088" w:type="dxa"/>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ins w:id="362" w:author="Master Repository Process" w:date="2024-01-02T13:22:00Z"/>
        </w:trPr>
        <w:tc>
          <w:tcPr>
            <w:tcW w:w="3119" w:type="dxa"/>
            <w:tcBorders>
              <w:bottom w:val="single" w:sz="4" w:space="0" w:color="auto"/>
            </w:tcBorders>
            <w:shd w:val="clear" w:color="auto" w:fill="auto"/>
          </w:tcPr>
          <w:p>
            <w:pPr>
              <w:pStyle w:val="nTable"/>
              <w:keepNext/>
              <w:spacing w:after="40"/>
              <w:rPr>
                <w:ins w:id="363" w:author="Master Repository Process" w:date="2024-01-02T13:22:00Z"/>
              </w:rPr>
            </w:pPr>
            <w:ins w:id="364" w:author="Master Repository Process" w:date="2024-01-02T13:22:00Z">
              <w:r>
                <w:rPr>
                  <w:i/>
                </w:rPr>
                <w:t xml:space="preserve">Magistrates Court Rules Amendment Rules 2023 </w:t>
              </w:r>
              <w:r>
                <w:t>Pt. 3</w:t>
              </w:r>
            </w:ins>
          </w:p>
        </w:tc>
        <w:tc>
          <w:tcPr>
            <w:tcW w:w="1276" w:type="dxa"/>
            <w:tcBorders>
              <w:bottom w:val="single" w:sz="4" w:space="0" w:color="auto"/>
            </w:tcBorders>
            <w:shd w:val="clear" w:color="auto" w:fill="auto"/>
          </w:tcPr>
          <w:p>
            <w:pPr>
              <w:pStyle w:val="nTable"/>
              <w:keepNext/>
              <w:spacing w:after="40"/>
              <w:rPr>
                <w:ins w:id="365" w:author="Master Repository Process" w:date="2024-01-02T13:22:00Z"/>
              </w:rPr>
            </w:pPr>
            <w:ins w:id="366" w:author="Master Repository Process" w:date="2024-01-02T13:22:00Z">
              <w:r>
                <w:t>SL 2023/148 20 Sep 2023</w:t>
              </w:r>
            </w:ins>
          </w:p>
        </w:tc>
        <w:tc>
          <w:tcPr>
            <w:tcW w:w="2693" w:type="dxa"/>
            <w:tcBorders>
              <w:bottom w:val="single" w:sz="4" w:space="0" w:color="auto"/>
            </w:tcBorders>
            <w:shd w:val="clear" w:color="auto" w:fill="auto"/>
          </w:tcPr>
          <w:p>
            <w:pPr>
              <w:pStyle w:val="nTable"/>
              <w:keepNext/>
              <w:spacing w:after="40"/>
              <w:rPr>
                <w:ins w:id="367" w:author="Master Repository Process" w:date="2024-01-02T13:22:00Z"/>
              </w:rPr>
            </w:pPr>
            <w:ins w:id="368" w:author="Master Repository Process" w:date="2024-01-02T13:22:00Z">
              <w:r>
                <w:t>21 Sep 2023 (see r. 2(b))</w:t>
              </w:r>
            </w:ins>
          </w:p>
        </w:tc>
      </w:tr>
    </w:tbl>
    <w:p>
      <w:pPr>
        <w:rPr>
          <w:ins w:id="369" w:author="Master Repository Process" w:date="2024-01-02T13:22:00Z"/>
        </w:rPr>
        <w:sectPr>
          <w:headerReference w:type="even" r:id="rId29"/>
          <w:headerReference w:type="default" r:id="rId30"/>
          <w:pgSz w:w="11907" w:h="16840" w:code="9"/>
          <w:pgMar w:top="2376" w:right="2404" w:bottom="3544" w:left="2404" w:header="720" w:footer="3544" w:gutter="0"/>
          <w:cols w:space="720"/>
          <w:noEndnote/>
          <w:docGrid w:linePitch="326"/>
        </w:sectPr>
      </w:pPr>
    </w:p>
    <w:p>
      <w:ins w:id="371" w:author="Master Repository Process" w:date="2024-01-02T13:22: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72" w:author="Master Repository Process" w:date="2024-01-02T13:22:00Z"/>
                                  <w:sz w:val="16"/>
                                </w:rPr>
                              </w:pPr>
                              <w:ins w:id="373" w:author="Master Repository Process" w:date="2024-01-02T13:2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74" w:author="Master Repository Process" w:date="2024-01-02T13:22:00Z"/>
                                  <w:sz w:val="16"/>
                                </w:rPr>
                              </w:pPr>
                              <w:ins w:id="375" w:author="Master Repository Process" w:date="2024-01-02T13:2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76" w:author="Master Repository Process" w:date="2024-01-02T13:22:00Z"/>
                                  <w:sz w:val="16"/>
                                </w:rPr>
                              </w:pPr>
                              <w:ins w:id="377" w:author="Master Repository Process" w:date="2024-01-02T13:2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78" w:author="Master Repository Process" w:date="2024-01-02T13:22:00Z"/>
                                  <w:rFonts w:ascii="Arial" w:hAnsi="Arial" w:cs="Arial"/>
                                  <w:sz w:val="12"/>
                                </w:rPr>
                              </w:pPr>
                              <w:ins w:id="379" w:author="Master Repository Process" w:date="2024-01-02T13:22: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380" w:author="Master Repository Process" w:date="2024-01-02T13:22:00Z"/>
                            <w:sz w:val="16"/>
                          </w:rPr>
                        </w:pPr>
                        <w:ins w:id="381" w:author="Master Repository Process" w:date="2024-01-02T13:2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82" w:author="Master Repository Process" w:date="2024-01-02T13:22:00Z"/>
                            <w:sz w:val="16"/>
                          </w:rPr>
                        </w:pPr>
                        <w:ins w:id="383" w:author="Master Repository Process" w:date="2024-01-02T13:2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84" w:author="Master Repository Process" w:date="2024-01-02T13:22:00Z"/>
                            <w:sz w:val="16"/>
                          </w:rPr>
                        </w:pPr>
                        <w:ins w:id="385" w:author="Master Repository Process" w:date="2024-01-02T13:2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86" w:author="Master Repository Process" w:date="2024-01-02T13:22:00Z"/>
                            <w:rFonts w:ascii="Arial" w:hAnsi="Arial" w:cs="Arial"/>
                            <w:sz w:val="12"/>
                          </w:rPr>
                        </w:pPr>
                        <w:ins w:id="387" w:author="Master Repository Process" w:date="2024-01-02T13:22:00Z">
                          <w:r>
                            <w:rPr>
                              <w:rFonts w:ascii="Arial" w:hAnsi="Arial" w:cs="Arial"/>
                              <w:sz w:val="12"/>
                            </w:rPr>
                            <w:t>By Authority: GEOFF O. LAWN, Government Printer</w:t>
                          </w:r>
                        </w:ins>
                      </w:p>
                    </w:txbxContent>
                  </v:textbox>
                  <w10:wrap anchorx="page" anchory="page"/>
                </v:shape>
              </w:pict>
            </mc:Fallback>
          </mc:AlternateContent>
        </w:r>
      </w:ins>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Suburbs and registries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Suburbs and registries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70" w:name="Compilation"/>
    <w:bookmarkEnd w:id="37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8" w:name="Coversheet"/>
    <w:bookmarkEnd w:id="3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ind w:right="456"/>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ind w:right="315"/>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ind w:firstLine="567"/>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ind w:firstLine="284"/>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4" w:name="Schedule"/>
    <w:bookmarkEnd w:id="3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3726A16"/>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94936"/>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 w:name="WAFER_20140326105402" w:val="RemoveTocBookmarks,RemoveUnusedBookmarks,RemoveLanguageTags,UsedStyles,ResetPageSize,RemoveCustomizations,UpdateArrangement"/>
    <w:docVar w:name="WAFER_20140326105402_GUID" w:val="dc557e4f-fe59-48d7-b9fb-bf860718d7c5"/>
    <w:docVar w:name="WAFER_20140606080152" w:val="RemoveTocBookmarks,RemoveUnusedBookmarks,RemoveLanguageTags,UsedStyles,RemoveTrackChanges"/>
    <w:docVar w:name="WAFER_20140606080152_GUID" w:val="7f06ad93-f51c-40c2-ab43-fe640dd15920"/>
    <w:docVar w:name="WAFER_20140606080206" w:val="RemoveTocBookmarks,RemoveLanguageTags,RemoveTrackChanges,RunningHeaders"/>
    <w:docVar w:name="WAFER_20140606080206_GUID" w:val="851b1990-eb0f-4fce-ac72-999df3c4156b"/>
    <w:docVar w:name="WAFER_20140811095736" w:val="RemoveTocBookmarks,RemoveUnusedBookmarks,RemoveLanguageTags,UsedStyles,ResetPageSize,UpdateArrangement"/>
    <w:docVar w:name="WAFER_20140811095736_GUID" w:val="00debe45-06fb-4e1a-a3a2-0cc892ea072d"/>
    <w:docVar w:name="WAFER_20140814113030" w:val="RemoveTocBookmarks,RunningHeaders"/>
    <w:docVar w:name="WAFER_20140814113030_GUID" w:val="2029e301-439d-42be-b2bd-ca0288332d01"/>
    <w:docVar w:name="WAFER_20150109114724" w:val="RemoveTocBookmarks,RunningHeaders"/>
    <w:docVar w:name="WAFER_20150109114724_GUID" w:val="5ee3de2e-278e-4624-84bf-add5c04b6fa1"/>
    <w:docVar w:name="WAFER_20150415161730" w:val="ResetPageSize,UpdateArrangement,UpdateNTable"/>
    <w:docVar w:name="WAFER_20150415161730_GUID" w:val="3b3aa1cd-d29e-41d0-a6df-8701adbde489"/>
    <w:docVar w:name="WAFER_20151106150602" w:val="UpdateStyles,UsedStyles"/>
    <w:docVar w:name="WAFER_20151106150602_GUID" w:val="69e04adf-d516-4922-949c-8cea0dd5d90b"/>
    <w:docVar w:name="WAFER_20151112155240" w:val="UpdateStyles,UsedStyles"/>
    <w:docVar w:name="WAFER_20151112155240_GUID" w:val="3c9c54db-11ea-4b3b-b771-a3b55ba1a7a3"/>
    <w:docVar w:name="WAFER_20190325105617" w:val="RemoveTocBookmarks,RemoveUnusedBookmarks,RemoveLanguageTags,ResetPageSize,RunningHeaders,UpdateStyles,UsedStyles"/>
    <w:docVar w:name="WAFER_20190325105617_GUID" w:val="300caf64-a380-40fe-ab7f-277126920857"/>
    <w:docVar w:name="WAFER_20191227123227" w:val="RemoveTocBookmarks,RemoveUnusedBookmarks,RemoveLanguageTags,ResetPageSize,RunningHeaders,UpdateStyles,UsedStyles"/>
    <w:docVar w:name="WAFER_20191227123227_GUID" w:val="bca4d499-7c94-4439-b6cc-667f2fa7d2ee"/>
    <w:docVar w:name="WAFER_202002110907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0747_GUID" w:val="069a652d-f5bc-4ad9-a6e6-e2f98a773f19"/>
    <w:docVar w:name="WAFER_202102231216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618_GUID" w:val="7aaf6f4a-fd46-4634-8b80-4dcfd1bff6b5"/>
    <w:docVar w:name="WAFER_2021072011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0112003_GUID" w:val="81e8a130-6cf3-43de-965f-d2b50f3baf67"/>
    <w:docVar w:name="WAFER_202205091225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22548_GUID" w:val="2e94c20b-3a56-44b4-985c-fdbbd3210335"/>
    <w:docVar w:name="WAFER_202206211517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51705_GUID" w:val="bf955fcf-9c0c-4afc-a860-fa41dfe96301"/>
    <w:docVar w:name="WAFER_202206281344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34436_GUID" w:val="fd05ae02-8b33-4437-add4-87bc2710d152"/>
    <w:docVar w:name="WAFER_202210311313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31339_GUID" w:val="b5716285-55d0-4e9a-a491-6f3555a6e9f0"/>
    <w:docVar w:name="WAFER_202309191017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919101752_GUID" w:val="cc31289d-34c6-4a28-b657-b612859c18d3"/>
    <w:docVar w:name="WAFER_202312290949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4936_GUID" w:val="4c05e4e1-70c1-428c-8247-d9d4f1ddd2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F10C1CD-4F60-4733-BEED-00731D44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80012">
      <w:bodyDiv w:val="1"/>
      <w:marLeft w:val="0"/>
      <w:marRight w:val="0"/>
      <w:marTop w:val="0"/>
      <w:marBottom w:val="0"/>
      <w:divBdr>
        <w:top w:val="none" w:sz="0" w:space="0" w:color="auto"/>
        <w:left w:val="none" w:sz="0" w:space="0" w:color="auto"/>
        <w:bottom w:val="none" w:sz="0" w:space="0" w:color="auto"/>
        <w:right w:val="none" w:sz="0" w:space="0" w:color="auto"/>
      </w:divBdr>
    </w:div>
    <w:div w:id="302543327">
      <w:bodyDiv w:val="1"/>
      <w:marLeft w:val="0"/>
      <w:marRight w:val="0"/>
      <w:marTop w:val="0"/>
      <w:marBottom w:val="0"/>
      <w:divBdr>
        <w:top w:val="none" w:sz="0" w:space="0" w:color="auto"/>
        <w:left w:val="none" w:sz="0" w:space="0" w:color="auto"/>
        <w:bottom w:val="none" w:sz="0" w:space="0" w:color="auto"/>
        <w:right w:val="none" w:sz="0" w:space="0" w:color="auto"/>
      </w:divBdr>
    </w:div>
    <w:div w:id="89177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F6D58-6310-4DE8-96C6-88B32B3B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15618</Words>
  <Characters>75284</Characters>
  <Application>Microsoft Office Word</Application>
  <DocSecurity>0</DocSecurity>
  <Lines>3584</Lines>
  <Paragraphs>2456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03-o0-01 - 03-p0-01</dc:title>
  <dc:subject/>
  <dc:creator/>
  <cp:keywords/>
  <dc:description/>
  <cp:lastModifiedBy>Master Repository Process</cp:lastModifiedBy>
  <cp:revision>2</cp:revision>
  <cp:lastPrinted>2018-12-04T00:33:00Z</cp:lastPrinted>
  <dcterms:created xsi:type="dcterms:W3CDTF">2024-01-02T05:22:00Z</dcterms:created>
  <dcterms:modified xsi:type="dcterms:W3CDTF">2024-01-02T05:22:00Z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ReprintNo">
    <vt:lpwstr>3</vt:lpwstr>
  </property>
  <property fmtid="{D5CDD505-2E9C-101B-9397-08002B2CF9AE}" pid="4" name="ReprintedAsAt">
    <vt:filetime>2014-06-12T16:00:00Z</vt:filetime>
  </property>
  <property fmtid="{D5CDD505-2E9C-101B-9397-08002B2CF9AE}" pid="5" name="OWLSUId">
    <vt:i4>9257</vt:i4>
  </property>
  <property fmtid="{D5CDD505-2E9C-101B-9397-08002B2CF9AE}" pid="6" name="DocumentType">
    <vt:lpwstr>Reg</vt:lpwstr>
  </property>
  <property fmtid="{D5CDD505-2E9C-101B-9397-08002B2CF9AE}" pid="7" name="Official">
    <vt:lpwstr/>
  </property>
  <property fmtid="{D5CDD505-2E9C-101B-9397-08002B2CF9AE}" pid="8" name="CommencementDate">
    <vt:lpwstr>20230921</vt:lpwstr>
  </property>
  <property fmtid="{D5CDD505-2E9C-101B-9397-08002B2CF9AE}" pid="9" name="CommencementAsAt">
    <vt:filetime>2023-09-20T16:00:00Z</vt:filetime>
  </property>
  <property fmtid="{D5CDD505-2E9C-101B-9397-08002B2CF9AE}" pid="10" name="CommencementYear">
    <vt:lpwstr>2023</vt:lpwstr>
  </property>
  <property fmtid="{D5CDD505-2E9C-101B-9397-08002B2CF9AE}" pid="11" name="FromSuffix">
    <vt:lpwstr>03-o0-01</vt:lpwstr>
  </property>
  <property fmtid="{D5CDD505-2E9C-101B-9397-08002B2CF9AE}" pid="12" name="FromAsAtDate">
    <vt:lpwstr>05 Nov 2022</vt:lpwstr>
  </property>
  <property fmtid="{D5CDD505-2E9C-101B-9397-08002B2CF9AE}" pid="13" name="ToSuffix">
    <vt:lpwstr>03-p0-01</vt:lpwstr>
  </property>
  <property fmtid="{D5CDD505-2E9C-101B-9397-08002B2CF9AE}" pid="14" name="ToAsAtDate">
    <vt:lpwstr>21 Sep 2023</vt:lpwstr>
  </property>
</Properties>
</file>