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2023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Oct 2023</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1" w:name="_Toc155087105"/>
      <w:bookmarkStart w:id="2" w:name="_Toc15508706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rPr>
        <w:t>.</w:t>
      </w:r>
    </w:p>
    <w:p>
      <w:pPr>
        <w:pStyle w:val="Footnotesection"/>
      </w:pPr>
      <w:r>
        <w:tab/>
        <w:t>[Regulation 1 amended: Gazette 4 Apr 1997 p. 1761.]</w:t>
      </w:r>
    </w:p>
    <w:p>
      <w:pPr>
        <w:pStyle w:val="Heading5"/>
        <w:rPr>
          <w:snapToGrid w:val="0"/>
        </w:rPr>
      </w:pPr>
      <w:bookmarkStart w:id="4" w:name="_Toc155087106"/>
      <w:bookmarkStart w:id="5" w:name="_Toc15508706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6" w:name="_Toc155087107"/>
      <w:bookmarkStart w:id="7" w:name="_Toc155087067"/>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8" w:name="_Toc155087108"/>
      <w:bookmarkStart w:id="9" w:name="_Toc155087068"/>
      <w:r>
        <w:rPr>
          <w:rStyle w:val="CharSectno"/>
        </w:rPr>
        <w:t>4</w:t>
      </w:r>
      <w:r>
        <w:rPr>
          <w:snapToGrid w:val="0"/>
        </w:rPr>
        <w:t>.</w:t>
      </w:r>
      <w:r>
        <w:rPr>
          <w:snapToGrid w:val="0"/>
        </w:rPr>
        <w:tab/>
        <w:t>Professional training agreements</w:t>
      </w:r>
      <w:bookmarkEnd w:id="8"/>
      <w:bookmarkEnd w:id="9"/>
      <w:r>
        <w:rPr>
          <w:snapToGrid w:val="0"/>
        </w:rPr>
        <w:t xml:space="preserve"> </w:t>
      </w:r>
    </w:p>
    <w:p>
      <w:pPr>
        <w:pStyle w:val="Subsection"/>
        <w:keepNext/>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10" w:name="_Toc155087109"/>
      <w:bookmarkStart w:id="11" w:name="_Toc155087069"/>
      <w:r>
        <w:rPr>
          <w:rStyle w:val="CharSectno"/>
        </w:rPr>
        <w:t>5</w:t>
      </w:r>
      <w:r>
        <w:rPr>
          <w:snapToGrid w:val="0"/>
        </w:rPr>
        <w:t>.</w:t>
      </w:r>
      <w:r>
        <w:rPr>
          <w:snapToGrid w:val="0"/>
        </w:rPr>
        <w:tab/>
        <w:t>Registration of professional training agreement</w:t>
      </w:r>
      <w:bookmarkEnd w:id="10"/>
      <w:bookmarkEnd w:id="11"/>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Gazette 4 Apr 1997 p. 1761.]</w:t>
      </w:r>
    </w:p>
    <w:p>
      <w:pPr>
        <w:pStyle w:val="Heading5"/>
        <w:rPr>
          <w:snapToGrid w:val="0"/>
        </w:rPr>
      </w:pPr>
      <w:bookmarkStart w:id="12" w:name="_Toc155087110"/>
      <w:bookmarkStart w:id="13" w:name="_Toc155087070"/>
      <w:r>
        <w:rPr>
          <w:rStyle w:val="CharSectno"/>
        </w:rPr>
        <w:t>6</w:t>
      </w:r>
      <w:r>
        <w:rPr>
          <w:snapToGrid w:val="0"/>
        </w:rPr>
        <w:t>.</w:t>
      </w:r>
      <w:r>
        <w:rPr>
          <w:snapToGrid w:val="0"/>
        </w:rPr>
        <w:tab/>
        <w:t>Register of professional training agreements</w:t>
      </w:r>
      <w:bookmarkEnd w:id="12"/>
      <w:bookmarkEnd w:id="13"/>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4" w:name="_Toc155087111"/>
      <w:bookmarkStart w:id="15" w:name="_Toc155087071"/>
      <w:r>
        <w:rPr>
          <w:rStyle w:val="CharSectno"/>
        </w:rPr>
        <w:t>7</w:t>
      </w:r>
      <w:r>
        <w:rPr>
          <w:snapToGrid w:val="0"/>
        </w:rPr>
        <w:t>.</w:t>
      </w:r>
      <w:r>
        <w:rPr>
          <w:snapToGrid w:val="0"/>
        </w:rPr>
        <w:tab/>
        <w:t>Transfer of professional training agreements</w:t>
      </w:r>
      <w:bookmarkEnd w:id="14"/>
      <w:bookmarkEnd w:id="15"/>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keepNext/>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Gazette 4 Apr 1997 p. 1761</w:t>
      </w:r>
      <w:r>
        <w:noBreakHyphen/>
        <w:t>2.]</w:t>
      </w:r>
    </w:p>
    <w:p>
      <w:pPr>
        <w:pStyle w:val="Heading5"/>
        <w:rPr>
          <w:snapToGrid w:val="0"/>
        </w:rPr>
      </w:pPr>
      <w:bookmarkStart w:id="16" w:name="_Toc155087112"/>
      <w:bookmarkStart w:id="17" w:name="_Toc155087072"/>
      <w:r>
        <w:rPr>
          <w:rStyle w:val="CharSectno"/>
        </w:rPr>
        <w:t>8</w:t>
      </w:r>
      <w:r>
        <w:rPr>
          <w:snapToGrid w:val="0"/>
        </w:rPr>
        <w:t>.</w:t>
      </w:r>
      <w:r>
        <w:rPr>
          <w:snapToGrid w:val="0"/>
        </w:rPr>
        <w:tab/>
        <w:t>Board may reduce period of professional training</w:t>
      </w:r>
      <w:bookmarkEnd w:id="16"/>
      <w:bookmarkEnd w:id="17"/>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8" w:name="_Toc155087113"/>
      <w:bookmarkStart w:id="19" w:name="_Toc155087073"/>
      <w:r>
        <w:rPr>
          <w:rStyle w:val="CharSectno"/>
        </w:rPr>
        <w:t>9</w:t>
      </w:r>
      <w:r>
        <w:rPr>
          <w:snapToGrid w:val="0"/>
        </w:rPr>
        <w:t>.</w:t>
      </w:r>
      <w:r>
        <w:rPr>
          <w:snapToGrid w:val="0"/>
        </w:rPr>
        <w:tab/>
        <w:t>Extension of professional training agreement</w:t>
      </w:r>
      <w:bookmarkEnd w:id="18"/>
      <w:bookmarkEnd w:id="19"/>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20" w:name="_Toc155087114"/>
      <w:bookmarkStart w:id="21" w:name="_Toc155087074"/>
      <w:r>
        <w:rPr>
          <w:rStyle w:val="CharSectno"/>
        </w:rPr>
        <w:t>10</w:t>
      </w:r>
      <w:r>
        <w:rPr>
          <w:snapToGrid w:val="0"/>
        </w:rPr>
        <w:t>.</w:t>
      </w:r>
      <w:r>
        <w:rPr>
          <w:snapToGrid w:val="0"/>
        </w:rPr>
        <w:tab/>
        <w:t>Examinations</w:t>
      </w:r>
      <w:bookmarkEnd w:id="20"/>
      <w:bookmarkEnd w:id="21"/>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22" w:name="_Toc155087115"/>
      <w:bookmarkStart w:id="23" w:name="_Toc155087075"/>
      <w:r>
        <w:rPr>
          <w:rStyle w:val="CharSectno"/>
        </w:rPr>
        <w:t>11</w:t>
      </w:r>
      <w:r>
        <w:rPr>
          <w:snapToGrid w:val="0"/>
        </w:rPr>
        <w:t>.</w:t>
      </w:r>
      <w:r>
        <w:rPr>
          <w:snapToGrid w:val="0"/>
        </w:rPr>
        <w:tab/>
        <w:t>Examinations conducted by reciprocating States and countries</w:t>
      </w:r>
      <w:bookmarkEnd w:id="22"/>
      <w:bookmarkEnd w:id="23"/>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24" w:name="_Toc155087116"/>
      <w:bookmarkStart w:id="25" w:name="_Toc155087076"/>
      <w:r>
        <w:rPr>
          <w:rStyle w:val="CharSectno"/>
        </w:rPr>
        <w:t>12</w:t>
      </w:r>
      <w:r>
        <w:rPr>
          <w:snapToGrid w:val="0"/>
        </w:rPr>
        <w:t>.</w:t>
      </w:r>
      <w:r>
        <w:rPr>
          <w:snapToGrid w:val="0"/>
        </w:rPr>
        <w:tab/>
        <w:t>Equivalent experience or qualifications</w:t>
      </w:r>
      <w:bookmarkEnd w:id="24"/>
      <w:bookmarkEnd w:id="25"/>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26" w:name="_Toc155087117"/>
      <w:bookmarkStart w:id="27" w:name="_Toc155087077"/>
      <w:r>
        <w:rPr>
          <w:rStyle w:val="CharSectno"/>
        </w:rPr>
        <w:t>13</w:t>
      </w:r>
      <w:r>
        <w:rPr>
          <w:snapToGrid w:val="0"/>
        </w:rPr>
        <w:t>.</w:t>
      </w:r>
      <w:r>
        <w:rPr>
          <w:snapToGrid w:val="0"/>
        </w:rPr>
        <w:tab/>
        <w:t>Examinations</w:t>
      </w:r>
      <w:bookmarkEnd w:id="26"/>
      <w:bookmarkEnd w:id="27"/>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Gazette 4 Apr 1997 p. 1762.] </w:t>
      </w:r>
    </w:p>
    <w:p>
      <w:pPr>
        <w:pStyle w:val="Heading5"/>
        <w:rPr>
          <w:snapToGrid w:val="0"/>
        </w:rPr>
      </w:pPr>
      <w:bookmarkStart w:id="28" w:name="_Toc155087118"/>
      <w:bookmarkStart w:id="29" w:name="_Toc155087078"/>
      <w:r>
        <w:rPr>
          <w:rStyle w:val="CharSectno"/>
        </w:rPr>
        <w:t>14</w:t>
      </w:r>
      <w:r>
        <w:rPr>
          <w:snapToGrid w:val="0"/>
        </w:rPr>
        <w:t>.</w:t>
      </w:r>
      <w:r>
        <w:rPr>
          <w:snapToGrid w:val="0"/>
        </w:rPr>
        <w:tab/>
        <w:t>Certificate of competency</w:t>
      </w:r>
      <w:bookmarkEnd w:id="28"/>
      <w:bookmarkEnd w:id="29"/>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30" w:name="_Toc155087119"/>
      <w:bookmarkStart w:id="31" w:name="_Toc155087079"/>
      <w:r>
        <w:rPr>
          <w:rStyle w:val="CharSectno"/>
        </w:rPr>
        <w:t>15</w:t>
      </w:r>
      <w:r>
        <w:rPr>
          <w:snapToGrid w:val="0"/>
        </w:rPr>
        <w:t>.</w:t>
      </w:r>
      <w:r>
        <w:rPr>
          <w:snapToGrid w:val="0"/>
        </w:rPr>
        <w:tab/>
        <w:t>Application for registration</w:t>
      </w:r>
      <w:bookmarkEnd w:id="30"/>
      <w:bookmarkEnd w:id="31"/>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Gazette 4 Apr 1997 p. 1762.] </w:t>
      </w:r>
    </w:p>
    <w:p>
      <w:pPr>
        <w:pStyle w:val="Heading5"/>
        <w:rPr>
          <w:snapToGrid w:val="0"/>
        </w:rPr>
      </w:pPr>
      <w:bookmarkStart w:id="32" w:name="_Toc155087120"/>
      <w:bookmarkStart w:id="33" w:name="_Toc155087080"/>
      <w:r>
        <w:rPr>
          <w:rStyle w:val="CharSectno"/>
        </w:rPr>
        <w:t>16</w:t>
      </w:r>
      <w:r>
        <w:rPr>
          <w:snapToGrid w:val="0"/>
        </w:rPr>
        <w:t>.</w:t>
      </w:r>
      <w:r>
        <w:rPr>
          <w:snapToGrid w:val="0"/>
        </w:rPr>
        <w:tab/>
        <w:t>Application by person licensed in reciprocating State or country</w:t>
      </w:r>
      <w:bookmarkEnd w:id="32"/>
      <w:bookmarkEnd w:id="33"/>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Gazette 4 Apr 1997 p. 1762.] </w:t>
      </w:r>
    </w:p>
    <w:p>
      <w:pPr>
        <w:pStyle w:val="Heading5"/>
        <w:rPr>
          <w:snapToGrid w:val="0"/>
        </w:rPr>
      </w:pPr>
      <w:bookmarkStart w:id="34" w:name="_Toc155087121"/>
      <w:bookmarkStart w:id="35" w:name="_Toc155087081"/>
      <w:r>
        <w:rPr>
          <w:rStyle w:val="CharSectno"/>
        </w:rPr>
        <w:t>17</w:t>
      </w:r>
      <w:r>
        <w:rPr>
          <w:snapToGrid w:val="0"/>
        </w:rPr>
        <w:t>.</w:t>
      </w:r>
      <w:r>
        <w:rPr>
          <w:snapToGrid w:val="0"/>
        </w:rPr>
        <w:tab/>
        <w:t>Form of licence</w:t>
      </w:r>
      <w:bookmarkEnd w:id="34"/>
      <w:bookmarkEnd w:id="35"/>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36" w:name="_Toc155087122"/>
      <w:bookmarkStart w:id="37" w:name="_Toc155087082"/>
      <w:r>
        <w:rPr>
          <w:rStyle w:val="CharSectno"/>
        </w:rPr>
        <w:t>18</w:t>
      </w:r>
      <w:r>
        <w:rPr>
          <w:snapToGrid w:val="0"/>
        </w:rPr>
        <w:t>.</w:t>
      </w:r>
      <w:r>
        <w:rPr>
          <w:snapToGrid w:val="0"/>
        </w:rPr>
        <w:tab/>
        <w:t>Letter of accreditation</w:t>
      </w:r>
      <w:bookmarkEnd w:id="36"/>
      <w:bookmarkEnd w:id="37"/>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Gazette 4 Apr 1997 p. 1762.]</w:t>
      </w:r>
    </w:p>
    <w:p>
      <w:pPr>
        <w:pStyle w:val="Heading5"/>
        <w:rPr>
          <w:snapToGrid w:val="0"/>
        </w:rPr>
      </w:pPr>
      <w:bookmarkStart w:id="38" w:name="_Toc155087123"/>
      <w:bookmarkStart w:id="39" w:name="_Toc155087083"/>
      <w:r>
        <w:rPr>
          <w:rStyle w:val="CharSectno"/>
        </w:rPr>
        <w:t>18A</w:t>
      </w:r>
      <w:r>
        <w:rPr>
          <w:snapToGrid w:val="0"/>
        </w:rPr>
        <w:t>.</w:t>
      </w:r>
      <w:r>
        <w:rPr>
          <w:snapToGrid w:val="0"/>
        </w:rPr>
        <w:tab/>
        <w:t>Standard periods</w:t>
      </w:r>
      <w:bookmarkEnd w:id="38"/>
      <w:bookmarkEnd w:id="39"/>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 Gazette 4 Apr 1997 p. 1762.]</w:t>
      </w:r>
    </w:p>
    <w:p>
      <w:pPr>
        <w:pStyle w:val="Heading5"/>
        <w:rPr>
          <w:snapToGrid w:val="0"/>
        </w:rPr>
      </w:pPr>
      <w:bookmarkStart w:id="40" w:name="_Toc155087124"/>
      <w:bookmarkStart w:id="41" w:name="_Toc155087084"/>
      <w:r>
        <w:rPr>
          <w:rStyle w:val="CharSectno"/>
        </w:rPr>
        <w:t>18B</w:t>
      </w:r>
      <w:r>
        <w:rPr>
          <w:snapToGrid w:val="0"/>
        </w:rPr>
        <w:t>.</w:t>
      </w:r>
      <w:r>
        <w:rPr>
          <w:snapToGrid w:val="0"/>
        </w:rPr>
        <w:tab/>
        <w:t>Applications for practising certificates</w:t>
      </w:r>
      <w:bookmarkEnd w:id="40"/>
      <w:bookmarkEnd w:id="41"/>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Gazette 4 Apr 1997 p. 1762.]</w:t>
      </w:r>
    </w:p>
    <w:p>
      <w:pPr>
        <w:pStyle w:val="Heading5"/>
        <w:rPr>
          <w:snapToGrid w:val="0"/>
        </w:rPr>
      </w:pPr>
      <w:bookmarkStart w:id="42" w:name="_Toc155087125"/>
      <w:bookmarkStart w:id="43" w:name="_Toc155087085"/>
      <w:r>
        <w:rPr>
          <w:rStyle w:val="CharSectno"/>
        </w:rPr>
        <w:t>18C</w:t>
      </w:r>
      <w:r>
        <w:rPr>
          <w:snapToGrid w:val="0"/>
        </w:rPr>
        <w:t>.</w:t>
      </w:r>
      <w:r>
        <w:rPr>
          <w:snapToGrid w:val="0"/>
        </w:rPr>
        <w:tab/>
        <w:t>Applications for renewal of practising certificates</w:t>
      </w:r>
      <w:bookmarkEnd w:id="42"/>
      <w:bookmarkEnd w:id="43"/>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Gazette 4 Apr 1997 p. 1762</w:t>
      </w:r>
      <w:r>
        <w:noBreakHyphen/>
        <w:t xml:space="preserve">3.] </w:t>
      </w:r>
    </w:p>
    <w:p>
      <w:pPr>
        <w:pStyle w:val="Heading5"/>
        <w:rPr>
          <w:snapToGrid w:val="0"/>
        </w:rPr>
      </w:pPr>
      <w:bookmarkStart w:id="44" w:name="_Toc155087126"/>
      <w:bookmarkStart w:id="45" w:name="_Toc155087086"/>
      <w:r>
        <w:rPr>
          <w:rStyle w:val="CharSectno"/>
        </w:rPr>
        <w:t>18D</w:t>
      </w:r>
      <w:r>
        <w:rPr>
          <w:snapToGrid w:val="0"/>
        </w:rPr>
        <w:t>.</w:t>
      </w:r>
      <w:r>
        <w:rPr>
          <w:snapToGrid w:val="0"/>
        </w:rPr>
        <w:tab/>
        <w:t>Form of practising certificates</w:t>
      </w:r>
      <w:bookmarkEnd w:id="44"/>
      <w:bookmarkEnd w:id="45"/>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Gazette 4 Apr 1997 p. 1763.]</w:t>
      </w:r>
    </w:p>
    <w:p>
      <w:pPr>
        <w:pStyle w:val="Heading5"/>
        <w:rPr>
          <w:snapToGrid w:val="0"/>
        </w:rPr>
      </w:pPr>
      <w:bookmarkStart w:id="46" w:name="_Toc155087127"/>
      <w:bookmarkStart w:id="47" w:name="_Toc155087087"/>
      <w:r>
        <w:rPr>
          <w:rStyle w:val="CharSectno"/>
        </w:rPr>
        <w:t>18E</w:t>
      </w:r>
      <w:r>
        <w:rPr>
          <w:snapToGrid w:val="0"/>
        </w:rPr>
        <w:t>.</w:t>
      </w:r>
      <w:r>
        <w:rPr>
          <w:snapToGrid w:val="0"/>
        </w:rPr>
        <w:tab/>
        <w:t>Issue of replacement certificates and licences</w:t>
      </w:r>
      <w:bookmarkEnd w:id="46"/>
      <w:bookmarkEnd w:id="47"/>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Gazette 4 Apr 1997 p. 1763.] </w:t>
      </w:r>
    </w:p>
    <w:p>
      <w:pPr>
        <w:pStyle w:val="Heading5"/>
        <w:rPr>
          <w:snapToGrid w:val="0"/>
        </w:rPr>
      </w:pPr>
      <w:bookmarkStart w:id="48" w:name="_Toc155087128"/>
      <w:bookmarkStart w:id="49" w:name="_Toc155087088"/>
      <w:r>
        <w:rPr>
          <w:rStyle w:val="CharSectno"/>
        </w:rPr>
        <w:t>19</w:t>
      </w:r>
      <w:r>
        <w:rPr>
          <w:snapToGrid w:val="0"/>
        </w:rPr>
        <w:t>.</w:t>
      </w:r>
      <w:r>
        <w:rPr>
          <w:snapToGrid w:val="0"/>
        </w:rPr>
        <w:tab/>
        <w:t>Fees</w:t>
      </w:r>
      <w:bookmarkEnd w:id="48"/>
      <w:bookmarkEnd w:id="49"/>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Gazette 4 Apr 1997 p. 1763.]</w:t>
      </w:r>
    </w:p>
    <w:p>
      <w:pPr>
        <w:pStyle w:val="Heading5"/>
        <w:rPr>
          <w:snapToGrid w:val="0"/>
        </w:rPr>
      </w:pPr>
      <w:bookmarkStart w:id="50" w:name="_Toc155087129"/>
      <w:bookmarkStart w:id="51" w:name="_Toc155087089"/>
      <w:r>
        <w:rPr>
          <w:rStyle w:val="CharSectno"/>
        </w:rPr>
        <w:t>20</w:t>
      </w:r>
      <w:r>
        <w:rPr>
          <w:snapToGrid w:val="0"/>
        </w:rPr>
        <w:t>.</w:t>
      </w:r>
      <w:r>
        <w:rPr>
          <w:snapToGrid w:val="0"/>
        </w:rPr>
        <w:tab/>
        <w:t>Repeal</w:t>
      </w:r>
      <w:bookmarkEnd w:id="50"/>
      <w:bookmarkEnd w:id="51"/>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vertAlign w:val="superscript"/>
        </w:rPr>
        <w:t> 1</w:t>
      </w:r>
      <w:r>
        <w:rPr>
          <w:snapToGrid w:val="0"/>
        </w:rPr>
        <w:t xml:space="preserve"> are repealed.</w:t>
      </w:r>
    </w:p>
    <w:p>
      <w:pPr>
        <w:pStyle w:val="Heading5"/>
        <w:rPr>
          <w:snapToGrid w:val="0"/>
        </w:rPr>
      </w:pPr>
      <w:bookmarkStart w:id="52" w:name="_Toc155087130"/>
      <w:bookmarkStart w:id="53" w:name="_Toc155087090"/>
      <w:r>
        <w:rPr>
          <w:rStyle w:val="CharSectno"/>
        </w:rPr>
        <w:t>21</w:t>
      </w:r>
      <w:r>
        <w:rPr>
          <w:snapToGrid w:val="0"/>
        </w:rPr>
        <w:t>.</w:t>
      </w:r>
      <w:r>
        <w:rPr>
          <w:snapToGrid w:val="0"/>
        </w:rPr>
        <w:tab/>
        <w:t>Savings and transitional</w:t>
      </w:r>
      <w:bookmarkEnd w:id="52"/>
      <w:bookmarkEnd w:id="53"/>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54" w:name="_Toc155087131"/>
      <w:bookmarkStart w:id="55" w:name="_Toc155087091"/>
      <w:r>
        <w:rPr>
          <w:rStyle w:val="CharSchNo"/>
        </w:rPr>
        <w:t>Schedule 1</w:t>
      </w:r>
      <w:r>
        <w:t> — </w:t>
      </w:r>
      <w:r>
        <w:rPr>
          <w:rStyle w:val="CharSchText"/>
        </w:rPr>
        <w:t>Fees</w:t>
      </w:r>
      <w:bookmarkEnd w:id="54"/>
      <w:bookmarkEnd w:id="55"/>
    </w:p>
    <w:p>
      <w:pPr>
        <w:pStyle w:val="yShoulderClause"/>
      </w:pPr>
      <w:r>
        <w:t>[r.</w:t>
      </w:r>
      <w:del w:id="56" w:author="Master Repository Process" w:date="2024-01-02T11:25:00Z">
        <w:r>
          <w:delText xml:space="preserve"> </w:delText>
        </w:r>
      </w:del>
      <w:ins w:id="57" w:author="Master Repository Process" w:date="2024-01-02T11:25:00Z">
        <w:r>
          <w:t> </w:t>
        </w:r>
      </w:ins>
      <w:r>
        <w:t>5, 7, 13, 15, 16, 18, 18B, 18C, 18E and 19]</w:t>
      </w:r>
    </w:p>
    <w:p>
      <w:pPr>
        <w:pStyle w:val="yFootnoteheading"/>
        <w:spacing w:after="60"/>
      </w:pPr>
      <w:r>
        <w:tab/>
        <w:t xml:space="preserve">[Heading inserted: </w:t>
      </w:r>
      <w:del w:id="58" w:author="Master Repository Process" w:date="2024-01-02T11:25:00Z">
        <w:r>
          <w:delText>Gazette 15 Jul 2014 p. 2466</w:delText>
        </w:r>
      </w:del>
      <w:ins w:id="59" w:author="Master Repository Process" w:date="2024-01-02T11:25:00Z">
        <w:r>
          <w:t>SL 2023/149 r. 4</w:t>
        </w:r>
      </w:ins>
      <w:r>
        <w:t>.]</w:t>
      </w:r>
    </w:p>
    <w:p>
      <w:pPr>
        <w:pStyle w:val="yMiscellaneousBody"/>
        <w:spacing w:after="160"/>
        <w:rPr>
          <w:del w:id="60" w:author="Master Repository Process" w:date="2024-01-02T11:25:00Z"/>
          <w:snapToGrid w:val="0"/>
        </w:rPr>
      </w:pPr>
      <w:del w:id="61" w:author="Master Repository Process" w:date="2024-01-02T11:25:00Z">
        <w:r>
          <w:rPr>
            <w:snapToGrid w:val="0"/>
          </w:rPr>
          <w:delText>The fee specified in an item in this Schedule is payable in respect of the matter specified in that item.</w:delText>
        </w:r>
      </w:del>
    </w:p>
    <w:tbl>
      <w:tblPr>
        <w:tblW w:w="6972" w:type="dxa"/>
        <w:tblInd w:w="108" w:type="dxa"/>
        <w:tblLayout w:type="fixed"/>
        <w:tblCellMar>
          <w:bottom w:w="113" w:type="dxa"/>
        </w:tblCellMar>
        <w:tblLook w:val="0000" w:firstRow="0" w:lastRow="0" w:firstColumn="0" w:lastColumn="0" w:noHBand="0" w:noVBand="0"/>
      </w:tblPr>
      <w:tblGrid>
        <w:gridCol w:w="993"/>
        <w:gridCol w:w="5019"/>
        <w:gridCol w:w="960"/>
      </w:tblGrid>
      <w:tr>
        <w:trPr>
          <w:tblHeader/>
        </w:trPr>
        <w:tc>
          <w:tcPr>
            <w:tcW w:w="993" w:type="dxa"/>
            <w:tcBorders>
              <w:top w:val="single" w:sz="4" w:space="0" w:color="auto"/>
              <w:bottom w:val="single" w:sz="4" w:space="0" w:color="auto"/>
            </w:tcBorders>
          </w:tcPr>
          <w:p>
            <w:pPr>
              <w:pStyle w:val="yTableNAm"/>
              <w:rPr>
                <w:b/>
              </w:rPr>
            </w:pPr>
            <w:r>
              <w:rPr>
                <w:b/>
              </w:rPr>
              <w:t>Item</w:t>
            </w:r>
          </w:p>
        </w:tc>
        <w:tc>
          <w:tcPr>
            <w:tcW w:w="5019" w:type="dxa"/>
            <w:tcBorders>
              <w:top w:val="single" w:sz="4" w:space="0" w:color="auto"/>
              <w:bottom w:val="single" w:sz="4" w:space="0" w:color="auto"/>
            </w:tcBorders>
          </w:tcPr>
          <w:p>
            <w:pPr>
              <w:pStyle w:val="yTableNAm"/>
              <w:rPr>
                <w:b/>
              </w:rPr>
            </w:pPr>
            <w:r>
              <w:rPr>
                <w:b/>
              </w:rPr>
              <w:t>Matter</w:t>
            </w:r>
          </w:p>
        </w:tc>
        <w:tc>
          <w:tcPr>
            <w:tcW w:w="960" w:type="dxa"/>
            <w:tcBorders>
              <w:top w:val="single" w:sz="4" w:space="0" w:color="auto"/>
              <w:bottom w:val="single" w:sz="4" w:space="0" w:color="auto"/>
            </w:tcBorders>
          </w:tcPr>
          <w:p>
            <w:pPr>
              <w:pStyle w:val="yTableNAm"/>
              <w:rPr>
                <w:b/>
              </w:rPr>
            </w:pPr>
            <w:r>
              <w:rPr>
                <w:b/>
              </w:rPr>
              <w:t>Fee</w:t>
            </w:r>
          </w:p>
        </w:tc>
      </w:tr>
      <w:tr>
        <w:tc>
          <w:tcPr>
            <w:tcW w:w="993" w:type="dxa"/>
            <w:tcBorders>
              <w:top w:val="single" w:sz="4" w:space="0" w:color="auto"/>
            </w:tcBorders>
          </w:tcPr>
          <w:p>
            <w:pPr>
              <w:pStyle w:val="yTableNAm"/>
            </w:pPr>
            <w:r>
              <w:t>1.</w:t>
            </w:r>
          </w:p>
        </w:tc>
        <w:tc>
          <w:tcPr>
            <w:tcW w:w="5019" w:type="dxa"/>
            <w:tcBorders>
              <w:top w:val="single" w:sz="4" w:space="0" w:color="auto"/>
            </w:tcBorders>
          </w:tcPr>
          <w:p>
            <w:pPr>
              <w:pStyle w:val="yTableNAm"/>
            </w:pPr>
            <w:r>
              <w:t xml:space="preserve">Registration under regulation 5 of </w:t>
            </w:r>
            <w:ins w:id="62" w:author="Master Repository Process" w:date="2024-01-02T11:25:00Z">
              <w:r>
                <w:t xml:space="preserve">a </w:t>
              </w:r>
            </w:ins>
            <w:r>
              <w:t>professional training agreement</w:t>
            </w:r>
          </w:p>
        </w:tc>
        <w:tc>
          <w:tcPr>
            <w:tcW w:w="960" w:type="dxa"/>
            <w:tcBorders>
              <w:top w:val="single" w:sz="4" w:space="0" w:color="auto"/>
            </w:tcBorders>
            <w:vAlign w:val="bottom"/>
          </w:tcPr>
          <w:p>
            <w:pPr>
              <w:pStyle w:val="yTableNAm"/>
              <w:tabs>
                <w:tab w:val="clear" w:pos="567"/>
              </w:tabs>
              <w:ind w:left="-212" w:right="147"/>
              <w:jc w:val="right"/>
            </w:pPr>
            <w:del w:id="63" w:author="Master Repository Process" w:date="2024-01-02T11:25:00Z">
              <w:r>
                <w:br/>
                <w:delText>$44.90</w:delText>
              </w:r>
            </w:del>
            <w:ins w:id="64" w:author="Master Repository Process" w:date="2024-01-02T11:25:00Z">
              <w:r>
                <w:t>$53.25</w:t>
              </w:r>
            </w:ins>
          </w:p>
        </w:tc>
      </w:tr>
      <w:tr>
        <w:tc>
          <w:tcPr>
            <w:tcW w:w="993" w:type="dxa"/>
          </w:tcPr>
          <w:p>
            <w:pPr>
              <w:pStyle w:val="yTableNAm"/>
            </w:pPr>
            <w:r>
              <w:t>2.</w:t>
            </w:r>
          </w:p>
        </w:tc>
        <w:tc>
          <w:tcPr>
            <w:tcW w:w="5019" w:type="dxa"/>
          </w:tcPr>
          <w:p>
            <w:pPr>
              <w:pStyle w:val="yTableNAm"/>
            </w:pPr>
            <w:r>
              <w:t xml:space="preserve">Application under regulation 7 for approval of assignment of </w:t>
            </w:r>
            <w:ins w:id="65" w:author="Master Repository Process" w:date="2024-01-02T11:25:00Z">
              <w:r>
                <w:t xml:space="preserve">a </w:t>
              </w:r>
            </w:ins>
            <w:r>
              <w:t>professional training agreement</w:t>
            </w:r>
          </w:p>
        </w:tc>
        <w:tc>
          <w:tcPr>
            <w:tcW w:w="960" w:type="dxa"/>
            <w:vAlign w:val="bottom"/>
          </w:tcPr>
          <w:p>
            <w:pPr>
              <w:pStyle w:val="yTableNAm"/>
              <w:tabs>
                <w:tab w:val="clear" w:pos="567"/>
              </w:tabs>
              <w:ind w:left="-212" w:right="147"/>
              <w:jc w:val="right"/>
            </w:pPr>
            <w:del w:id="66" w:author="Master Repository Process" w:date="2024-01-02T11:25:00Z">
              <w:r>
                <w:br/>
                <w:delText>$44.90</w:delText>
              </w:r>
            </w:del>
            <w:ins w:id="67" w:author="Master Repository Process" w:date="2024-01-02T11:25:00Z">
              <w:r>
                <w:t>$53.25</w:t>
              </w:r>
            </w:ins>
          </w:p>
        </w:tc>
      </w:tr>
      <w:tr>
        <w:tc>
          <w:tcPr>
            <w:tcW w:w="993" w:type="dxa"/>
          </w:tcPr>
          <w:p>
            <w:pPr>
              <w:pStyle w:val="yTableNAm"/>
            </w:pPr>
            <w:r>
              <w:t>3.</w:t>
            </w:r>
          </w:p>
        </w:tc>
        <w:tc>
          <w:tcPr>
            <w:tcW w:w="5019" w:type="dxa"/>
          </w:tcPr>
          <w:p>
            <w:pPr>
              <w:pStyle w:val="yTableNAm"/>
            </w:pPr>
            <w:r>
              <w:t>Application under regulation 13 to enter examination</w:t>
            </w:r>
          </w:p>
        </w:tc>
        <w:tc>
          <w:tcPr>
            <w:tcW w:w="960" w:type="dxa"/>
            <w:vAlign w:val="bottom"/>
          </w:tcPr>
          <w:p>
            <w:pPr>
              <w:pStyle w:val="yTableNAm"/>
              <w:tabs>
                <w:tab w:val="clear" w:pos="567"/>
              </w:tabs>
              <w:ind w:left="-212" w:right="147"/>
              <w:jc w:val="right"/>
            </w:pPr>
            <w:r>
              <w:t>$</w:t>
            </w:r>
            <w:del w:id="68" w:author="Master Repository Process" w:date="2024-01-02T11:25:00Z">
              <w:r>
                <w:delText>85.50</w:delText>
              </w:r>
            </w:del>
            <w:ins w:id="69" w:author="Master Repository Process" w:date="2024-01-02T11:25:00Z">
              <w:r>
                <w:t>101.40</w:t>
              </w:r>
            </w:ins>
          </w:p>
        </w:tc>
      </w:tr>
      <w:tr>
        <w:tc>
          <w:tcPr>
            <w:tcW w:w="993" w:type="dxa"/>
          </w:tcPr>
          <w:p>
            <w:pPr>
              <w:pStyle w:val="yTableNAm"/>
            </w:pPr>
            <w:r>
              <w:t>4.</w:t>
            </w:r>
          </w:p>
        </w:tc>
        <w:tc>
          <w:tcPr>
            <w:tcW w:w="5019" w:type="dxa"/>
          </w:tcPr>
          <w:p>
            <w:pPr>
              <w:pStyle w:val="yTableNAm"/>
            </w:pPr>
            <w:r>
              <w:t>Examination fee under regulation 13 (for each examination or project)</w:t>
            </w:r>
          </w:p>
        </w:tc>
        <w:tc>
          <w:tcPr>
            <w:tcW w:w="960" w:type="dxa"/>
            <w:vAlign w:val="bottom"/>
          </w:tcPr>
          <w:p>
            <w:pPr>
              <w:pStyle w:val="yTableNAm"/>
              <w:tabs>
                <w:tab w:val="clear" w:pos="567"/>
              </w:tabs>
              <w:ind w:left="-212" w:right="147"/>
              <w:jc w:val="right"/>
            </w:pPr>
            <w:del w:id="70" w:author="Master Repository Process" w:date="2024-01-02T11:25:00Z">
              <w:r>
                <w:br/>
                <w:delText>$44.90</w:delText>
              </w:r>
            </w:del>
            <w:ins w:id="71" w:author="Master Repository Process" w:date="2024-01-02T11:25:00Z">
              <w:r>
                <w:t>$53.25</w:t>
              </w:r>
            </w:ins>
          </w:p>
        </w:tc>
      </w:tr>
      <w:tr>
        <w:tc>
          <w:tcPr>
            <w:tcW w:w="993" w:type="dxa"/>
          </w:tcPr>
          <w:p>
            <w:pPr>
              <w:pStyle w:val="yTableNAm"/>
            </w:pPr>
            <w:r>
              <w:t>5.</w:t>
            </w:r>
          </w:p>
        </w:tc>
        <w:tc>
          <w:tcPr>
            <w:tcW w:w="5019" w:type="dxa"/>
          </w:tcPr>
          <w:p>
            <w:pPr>
              <w:pStyle w:val="yTableNAm"/>
            </w:pPr>
            <w:r>
              <w:t xml:space="preserve">Issue under regulation 18 of </w:t>
            </w:r>
            <w:ins w:id="72" w:author="Master Repository Process" w:date="2024-01-02T11:25:00Z">
              <w:r>
                <w:t xml:space="preserve">a </w:t>
              </w:r>
            </w:ins>
            <w:r>
              <w:t>letter of accreditation</w:t>
            </w:r>
          </w:p>
        </w:tc>
        <w:tc>
          <w:tcPr>
            <w:tcW w:w="960" w:type="dxa"/>
            <w:vAlign w:val="bottom"/>
          </w:tcPr>
          <w:p>
            <w:pPr>
              <w:pStyle w:val="yTableNAm"/>
              <w:tabs>
                <w:tab w:val="clear" w:pos="567"/>
              </w:tabs>
              <w:ind w:left="-212" w:right="147"/>
              <w:jc w:val="right"/>
            </w:pPr>
            <w:r>
              <w:t>$</w:t>
            </w:r>
            <w:del w:id="73" w:author="Master Repository Process" w:date="2024-01-02T11:25:00Z">
              <w:r>
                <w:delText>60.95</w:delText>
              </w:r>
            </w:del>
            <w:ins w:id="74" w:author="Master Repository Process" w:date="2024-01-02T11:25:00Z">
              <w:r>
                <w:t>72.30</w:t>
              </w:r>
            </w:ins>
          </w:p>
        </w:tc>
      </w:tr>
      <w:tr>
        <w:tc>
          <w:tcPr>
            <w:tcW w:w="993" w:type="dxa"/>
          </w:tcPr>
          <w:p>
            <w:pPr>
              <w:pStyle w:val="yTableNAm"/>
            </w:pPr>
            <w:r>
              <w:t>6.</w:t>
            </w:r>
          </w:p>
        </w:tc>
        <w:tc>
          <w:tcPr>
            <w:tcW w:w="5019" w:type="dxa"/>
          </w:tcPr>
          <w:p>
            <w:pPr>
              <w:pStyle w:val="yTableNAm"/>
              <w:rPr>
                <w:rStyle w:val="DraftersNotes"/>
                <w:b w:val="0"/>
                <w:i w:val="0"/>
              </w:rPr>
            </w:pPr>
            <w:r>
              <w:t xml:space="preserve">Issue under regulation 18E of </w:t>
            </w:r>
            <w:ins w:id="75" w:author="Master Repository Process" w:date="2024-01-02T11:25:00Z">
              <w:r>
                <w:t xml:space="preserve">a </w:t>
              </w:r>
            </w:ins>
            <w:r>
              <w:t>replacement certificate or licence</w:t>
            </w:r>
          </w:p>
        </w:tc>
        <w:tc>
          <w:tcPr>
            <w:tcW w:w="960" w:type="dxa"/>
            <w:vAlign w:val="bottom"/>
          </w:tcPr>
          <w:p>
            <w:pPr>
              <w:pStyle w:val="yTableNAm"/>
              <w:tabs>
                <w:tab w:val="clear" w:pos="567"/>
              </w:tabs>
              <w:ind w:left="-212" w:right="147"/>
              <w:jc w:val="right"/>
            </w:pPr>
            <w:del w:id="76" w:author="Master Repository Process" w:date="2024-01-02T11:25:00Z">
              <w:r>
                <w:br/>
                <w:delText>$36.35</w:delText>
              </w:r>
            </w:del>
            <w:ins w:id="77" w:author="Master Repository Process" w:date="2024-01-02T11:25:00Z">
              <w:r>
                <w:t>$43.10</w:t>
              </w:r>
            </w:ins>
          </w:p>
        </w:tc>
      </w:tr>
      <w:tr>
        <w:tc>
          <w:tcPr>
            <w:tcW w:w="993" w:type="dxa"/>
          </w:tcPr>
          <w:p>
            <w:pPr>
              <w:pStyle w:val="yTableNAm"/>
            </w:pPr>
            <w:r>
              <w:t>7.</w:t>
            </w:r>
          </w:p>
        </w:tc>
        <w:tc>
          <w:tcPr>
            <w:tcW w:w="5019" w:type="dxa"/>
          </w:tcPr>
          <w:p>
            <w:pPr>
              <w:pStyle w:val="yTableNAm"/>
            </w:pPr>
            <w:r>
              <w:t>Application under section 7 of the Act for a licence</w:t>
            </w:r>
          </w:p>
        </w:tc>
        <w:tc>
          <w:tcPr>
            <w:tcW w:w="960" w:type="dxa"/>
            <w:vAlign w:val="bottom"/>
          </w:tcPr>
          <w:p>
            <w:pPr>
              <w:pStyle w:val="yTableNAm"/>
              <w:tabs>
                <w:tab w:val="clear" w:pos="567"/>
              </w:tabs>
              <w:ind w:left="-212" w:right="147"/>
              <w:jc w:val="right"/>
            </w:pPr>
            <w:r>
              <w:t>$</w:t>
            </w:r>
            <w:del w:id="78" w:author="Master Repository Process" w:date="2024-01-02T11:25:00Z">
              <w:r>
                <w:delText>48.65</w:delText>
              </w:r>
            </w:del>
            <w:ins w:id="79" w:author="Master Repository Process" w:date="2024-01-02T11:25:00Z">
              <w:r>
                <w:t>57.70</w:t>
              </w:r>
            </w:ins>
          </w:p>
        </w:tc>
      </w:tr>
      <w:tr>
        <w:tc>
          <w:tcPr>
            <w:tcW w:w="993" w:type="dxa"/>
          </w:tcPr>
          <w:p>
            <w:pPr>
              <w:pStyle w:val="yTableNAm"/>
            </w:pPr>
            <w:r>
              <w:t>8.</w:t>
            </w:r>
          </w:p>
        </w:tc>
        <w:tc>
          <w:tcPr>
            <w:tcW w:w="5019" w:type="dxa"/>
          </w:tcPr>
          <w:p>
            <w:pPr>
              <w:pStyle w:val="yTableNAm"/>
            </w:pPr>
            <w:r>
              <w:t>Application under section 11A</w:t>
            </w:r>
            <w:ins w:id="80" w:author="Master Repository Process" w:date="2024-01-02T11:25:00Z">
              <w:r>
                <w:t>(1)</w:t>
              </w:r>
            </w:ins>
            <w:r>
              <w:t xml:space="preserve"> of the Act for a practising certificate — </w:t>
            </w:r>
          </w:p>
        </w:tc>
        <w:tc>
          <w:tcPr>
            <w:tcW w:w="960" w:type="dxa"/>
            <w:vAlign w:val="bottom"/>
          </w:tcPr>
          <w:p>
            <w:pPr>
              <w:pStyle w:val="yTableNAm"/>
              <w:tabs>
                <w:tab w:val="clear" w:pos="567"/>
              </w:tabs>
              <w:ind w:left="-212" w:right="147"/>
              <w:jc w:val="right"/>
            </w:pPr>
          </w:p>
        </w:tc>
      </w:tr>
      <w:tr>
        <w:tc>
          <w:tcPr>
            <w:tcW w:w="993" w:type="dxa"/>
          </w:tcPr>
          <w:p>
            <w:pPr>
              <w:pStyle w:val="yTableNAm"/>
            </w:pPr>
          </w:p>
        </w:tc>
        <w:tc>
          <w:tcPr>
            <w:tcW w:w="5019" w:type="dxa"/>
          </w:tcPr>
          <w:p>
            <w:pPr>
              <w:pStyle w:val="yTableNAm"/>
            </w:pPr>
            <w:r>
              <w:t>(a)</w:t>
            </w:r>
            <w:r>
              <w:tab/>
              <w:t>for first year — </w:t>
            </w:r>
          </w:p>
        </w:tc>
        <w:tc>
          <w:tcPr>
            <w:tcW w:w="960" w:type="dxa"/>
            <w:vAlign w:val="bottom"/>
          </w:tcPr>
          <w:p>
            <w:pPr>
              <w:pStyle w:val="yTableNAm"/>
              <w:tabs>
                <w:tab w:val="clear" w:pos="567"/>
              </w:tabs>
              <w:ind w:left="-212" w:right="147"/>
              <w:jc w:val="right"/>
            </w:pPr>
          </w:p>
        </w:tc>
      </w:tr>
      <w:tr>
        <w:tc>
          <w:tcPr>
            <w:tcW w:w="993" w:type="dxa"/>
          </w:tcPr>
          <w:p>
            <w:pPr>
              <w:pStyle w:val="yTableNAm"/>
            </w:pPr>
          </w:p>
        </w:tc>
        <w:tc>
          <w:tcPr>
            <w:tcW w:w="5019" w:type="dxa"/>
          </w:tcPr>
          <w:p>
            <w:pPr>
              <w:pStyle w:val="yTableNAm"/>
              <w:tabs>
                <w:tab w:val="left" w:pos="1249"/>
              </w:tabs>
            </w:pPr>
            <w:r>
              <w:tab/>
              <w:t>(i)</w:t>
            </w:r>
            <w:r>
              <w:tab/>
              <w:t>before 1 September</w:t>
            </w:r>
          </w:p>
        </w:tc>
        <w:tc>
          <w:tcPr>
            <w:tcW w:w="960" w:type="dxa"/>
            <w:vAlign w:val="bottom"/>
          </w:tcPr>
          <w:p>
            <w:pPr>
              <w:pStyle w:val="yTableNAm"/>
              <w:tabs>
                <w:tab w:val="clear" w:pos="567"/>
              </w:tabs>
              <w:ind w:left="-212" w:right="147"/>
              <w:jc w:val="right"/>
            </w:pPr>
            <w:r>
              <w:t>$</w:t>
            </w:r>
            <w:del w:id="81" w:author="Master Repository Process" w:date="2024-01-02T11:25:00Z">
              <w:r>
                <w:delText>152.85</w:delText>
              </w:r>
            </w:del>
            <w:ins w:id="82" w:author="Master Repository Process" w:date="2024-01-02T11:25:00Z">
              <w:r>
                <w:t>181.30</w:t>
              </w:r>
            </w:ins>
          </w:p>
        </w:tc>
      </w:tr>
      <w:tr>
        <w:tc>
          <w:tcPr>
            <w:tcW w:w="993" w:type="dxa"/>
          </w:tcPr>
          <w:p>
            <w:pPr>
              <w:pStyle w:val="yTableNAm"/>
            </w:pPr>
          </w:p>
        </w:tc>
        <w:tc>
          <w:tcPr>
            <w:tcW w:w="5019" w:type="dxa"/>
          </w:tcPr>
          <w:p>
            <w:pPr>
              <w:pStyle w:val="yTableNAm"/>
              <w:tabs>
                <w:tab w:val="left" w:pos="1249"/>
              </w:tabs>
            </w:pPr>
            <w:r>
              <w:tab/>
              <w:t>(ii)</w:t>
            </w:r>
            <w:r>
              <w:tab/>
              <w:t>on or after 1 September</w:t>
            </w:r>
          </w:p>
        </w:tc>
        <w:tc>
          <w:tcPr>
            <w:tcW w:w="960" w:type="dxa"/>
            <w:vAlign w:val="bottom"/>
          </w:tcPr>
          <w:p>
            <w:pPr>
              <w:pStyle w:val="yTableNAm"/>
              <w:tabs>
                <w:tab w:val="clear" w:pos="567"/>
              </w:tabs>
              <w:ind w:left="-212" w:right="147"/>
              <w:jc w:val="right"/>
            </w:pPr>
            <w:r>
              <w:t>$</w:t>
            </w:r>
            <w:del w:id="83" w:author="Master Repository Process" w:date="2024-01-02T11:25:00Z">
              <w:r>
                <w:delText>67.35</w:delText>
              </w:r>
            </w:del>
            <w:ins w:id="84" w:author="Master Repository Process" w:date="2024-01-02T11:25:00Z">
              <w:r>
                <w:t>79.90</w:t>
              </w:r>
            </w:ins>
          </w:p>
        </w:tc>
      </w:tr>
      <w:tr>
        <w:tc>
          <w:tcPr>
            <w:tcW w:w="993" w:type="dxa"/>
          </w:tcPr>
          <w:p>
            <w:pPr>
              <w:pStyle w:val="yTableNAm"/>
            </w:pPr>
          </w:p>
        </w:tc>
        <w:tc>
          <w:tcPr>
            <w:tcW w:w="5019" w:type="dxa"/>
          </w:tcPr>
          <w:p>
            <w:pPr>
              <w:pStyle w:val="yTableNAm"/>
            </w:pPr>
            <w:r>
              <w:t>(b)</w:t>
            </w:r>
            <w:r>
              <w:tab/>
              <w:t>for each subsequent year</w:t>
            </w:r>
          </w:p>
        </w:tc>
        <w:tc>
          <w:tcPr>
            <w:tcW w:w="960" w:type="dxa"/>
            <w:vAlign w:val="bottom"/>
          </w:tcPr>
          <w:p>
            <w:pPr>
              <w:pStyle w:val="yTableNAm"/>
              <w:tabs>
                <w:tab w:val="clear" w:pos="567"/>
              </w:tabs>
              <w:ind w:left="-212" w:right="147"/>
              <w:jc w:val="right"/>
              <w:rPr>
                <w:rStyle w:val="DraftersNotes"/>
                <w:b w:val="0"/>
                <w:i w:val="0"/>
              </w:rPr>
            </w:pPr>
            <w:r>
              <w:t>$</w:t>
            </w:r>
            <w:del w:id="85" w:author="Master Repository Process" w:date="2024-01-02T11:25:00Z">
              <w:r>
                <w:delText>152.85</w:delText>
              </w:r>
            </w:del>
            <w:ins w:id="86" w:author="Master Repository Process" w:date="2024-01-02T11:25:00Z">
              <w:r>
                <w:t>181.30</w:t>
              </w:r>
            </w:ins>
          </w:p>
        </w:tc>
      </w:tr>
      <w:tr>
        <w:tc>
          <w:tcPr>
            <w:tcW w:w="993" w:type="dxa"/>
          </w:tcPr>
          <w:p>
            <w:pPr>
              <w:pStyle w:val="yTableNAm"/>
            </w:pPr>
            <w:r>
              <w:t>9.</w:t>
            </w:r>
          </w:p>
        </w:tc>
        <w:tc>
          <w:tcPr>
            <w:tcW w:w="5019" w:type="dxa"/>
          </w:tcPr>
          <w:p>
            <w:pPr>
              <w:pStyle w:val="yTableNAm"/>
            </w:pPr>
            <w:r>
              <w:t>Renewal under section 11A of the Act of a practising certificate for each year</w:t>
            </w:r>
          </w:p>
        </w:tc>
        <w:tc>
          <w:tcPr>
            <w:tcW w:w="960" w:type="dxa"/>
            <w:vAlign w:val="bottom"/>
          </w:tcPr>
          <w:p>
            <w:pPr>
              <w:pStyle w:val="yTableNAm"/>
              <w:tabs>
                <w:tab w:val="clear" w:pos="567"/>
              </w:tabs>
              <w:ind w:left="-212" w:right="147"/>
              <w:jc w:val="right"/>
            </w:pPr>
            <w:del w:id="87" w:author="Master Repository Process" w:date="2024-01-02T11:25:00Z">
              <w:r>
                <w:br/>
                <w:delText>$152.85</w:delText>
              </w:r>
            </w:del>
            <w:ins w:id="88" w:author="Master Repository Process" w:date="2024-01-02T11:25:00Z">
              <w:r>
                <w:t>$181.30</w:t>
              </w:r>
            </w:ins>
          </w:p>
        </w:tc>
      </w:tr>
      <w:tr>
        <w:tc>
          <w:tcPr>
            <w:tcW w:w="993" w:type="dxa"/>
          </w:tcPr>
          <w:p>
            <w:pPr>
              <w:pStyle w:val="yTableNAm"/>
            </w:pPr>
            <w:r>
              <w:t>10.</w:t>
            </w:r>
          </w:p>
        </w:tc>
        <w:tc>
          <w:tcPr>
            <w:tcW w:w="5019" w:type="dxa"/>
          </w:tcPr>
          <w:p>
            <w:pPr>
              <w:pStyle w:val="yTableNAm"/>
            </w:pPr>
            <w:r>
              <w:t>Late renewal under section 11A(6) of the Act of a practising certificate</w:t>
            </w:r>
          </w:p>
        </w:tc>
        <w:tc>
          <w:tcPr>
            <w:tcW w:w="960" w:type="dxa"/>
            <w:vAlign w:val="bottom"/>
          </w:tcPr>
          <w:p>
            <w:pPr>
              <w:pStyle w:val="yTableNAm"/>
              <w:tabs>
                <w:tab w:val="clear" w:pos="567"/>
              </w:tabs>
              <w:ind w:left="-212" w:right="147"/>
              <w:jc w:val="right"/>
            </w:pPr>
            <w:del w:id="89" w:author="Master Repository Process" w:date="2024-01-02T11:25:00Z">
              <w:r>
                <w:br/>
                <w:delText>$152.85</w:delText>
              </w:r>
            </w:del>
            <w:ins w:id="90" w:author="Master Repository Process" w:date="2024-01-02T11:25:00Z">
              <w:r>
                <w:t>$181.30</w:t>
              </w:r>
            </w:ins>
          </w:p>
        </w:tc>
      </w:tr>
      <w:tr>
        <w:tc>
          <w:tcPr>
            <w:tcW w:w="993" w:type="dxa"/>
            <w:tcBorders>
              <w:bottom w:val="single" w:sz="4" w:space="0" w:color="auto"/>
            </w:tcBorders>
          </w:tcPr>
          <w:p>
            <w:pPr>
              <w:pStyle w:val="yTableNAm"/>
              <w:keepNext/>
              <w:keepLines/>
            </w:pPr>
            <w:r>
              <w:t>11.</w:t>
            </w:r>
          </w:p>
        </w:tc>
        <w:tc>
          <w:tcPr>
            <w:tcW w:w="5019" w:type="dxa"/>
            <w:tcBorders>
              <w:bottom w:val="single" w:sz="4" w:space="0" w:color="auto"/>
            </w:tcBorders>
          </w:tcPr>
          <w:p>
            <w:pPr>
              <w:pStyle w:val="yTableNAm"/>
              <w:keepNext/>
              <w:keepLines/>
            </w:pPr>
            <w:r>
              <w:t>Inspection under section 12(2) of the Act of the register</w:t>
            </w:r>
          </w:p>
        </w:tc>
        <w:tc>
          <w:tcPr>
            <w:tcW w:w="960" w:type="dxa"/>
            <w:tcBorders>
              <w:bottom w:val="single" w:sz="4" w:space="0" w:color="auto"/>
            </w:tcBorders>
            <w:vAlign w:val="bottom"/>
          </w:tcPr>
          <w:p>
            <w:pPr>
              <w:pStyle w:val="yTableNAm"/>
              <w:keepNext/>
              <w:keepLines/>
              <w:tabs>
                <w:tab w:val="clear" w:pos="567"/>
              </w:tabs>
              <w:ind w:left="-212" w:right="147"/>
              <w:jc w:val="right"/>
            </w:pPr>
            <w:r>
              <w:t>$</w:t>
            </w:r>
            <w:del w:id="91" w:author="Master Repository Process" w:date="2024-01-02T11:25:00Z">
              <w:r>
                <w:delText>14.45</w:delText>
              </w:r>
            </w:del>
            <w:ins w:id="92" w:author="Master Repository Process" w:date="2024-01-02T11:25:00Z">
              <w:r>
                <w:t>17.15</w:t>
              </w:r>
            </w:ins>
          </w:p>
        </w:tc>
      </w:tr>
    </w:tbl>
    <w:p>
      <w:pPr>
        <w:pStyle w:val="yFootnotesection"/>
      </w:pPr>
      <w:r>
        <w:tab/>
        <w:t>[Schedule</w:t>
      </w:r>
      <w:del w:id="93" w:author="Master Repository Process" w:date="2024-01-02T11:25:00Z">
        <w:r>
          <w:delText xml:space="preserve"> </w:delText>
        </w:r>
      </w:del>
      <w:ins w:id="94" w:author="Master Repository Process" w:date="2024-01-02T11:25:00Z">
        <w:r>
          <w:t> </w:t>
        </w:r>
      </w:ins>
      <w:r>
        <w:t xml:space="preserve">1 inserted: </w:t>
      </w:r>
      <w:del w:id="95" w:author="Master Repository Process" w:date="2024-01-02T11:25:00Z">
        <w:r>
          <w:delText>Gazette 15 Jul 2014 p. 2466</w:delText>
        </w:r>
        <w:r>
          <w:noBreakHyphen/>
          <w:delText>7; amended: Gazette 23 Jun 2017 p. 3180</w:delText>
        </w:r>
      </w:del>
      <w:ins w:id="96" w:author="Master Repository Process" w:date="2024-01-02T11:25:00Z">
        <w:r>
          <w:t>SL 2023/149 r. 4</w:t>
        </w:r>
      </w:ins>
      <w:r>
        <w:t>.]</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98" w:name="_Toc155087132"/>
      <w:bookmarkStart w:id="99" w:name="_Toc155087092"/>
      <w:r>
        <w:rPr>
          <w:rStyle w:val="CharSchNo"/>
        </w:rPr>
        <w:t>Schedule 2</w:t>
      </w:r>
      <w:bookmarkEnd w:id="98"/>
      <w:bookmarkEnd w:id="99"/>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r>
        <w:rPr>
          <w:vertAlign w:val="superscript"/>
        </w:rPr>
        <w:t> 2</w:t>
      </w:r>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Office of the Land Surveyors’ Licensing Board, Perth</w:t>
      </w:r>
      <w:r>
        <w:rPr>
          <w:vertAlign w:val="superscript"/>
        </w:rPr>
        <w:t> 2</w:t>
      </w:r>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Office of the Land Surveyors’ Licensing Board Cathedral Avenue, PERTH</w:t>
      </w:r>
      <w:r>
        <w:rPr>
          <w:vertAlign w:val="superscript"/>
        </w:rPr>
        <w:t> 2</w:t>
      </w:r>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 Gazette 4 Apr 1997 p. 1764.]</w:t>
      </w:r>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00" w:name="_Toc155087133"/>
      <w:bookmarkStart w:id="101" w:name="_Toc155087093"/>
      <w:r>
        <w:t>Notes</w:t>
      </w:r>
      <w:bookmarkEnd w:id="100"/>
      <w:bookmarkEnd w:id="101"/>
    </w:p>
    <w:p>
      <w:pPr>
        <w:pStyle w:val="nStatement"/>
      </w:pPr>
      <w:r>
        <w:t xml:space="preserve">This is a compilation of the </w:t>
      </w:r>
      <w:r>
        <w:rPr>
          <w:i/>
          <w:noProof/>
        </w:rPr>
        <w:t>Licensed Surveyors (Licensing and Registration) Regulations 1990</w:t>
      </w:r>
      <w:r>
        <w:t xml:space="preserve"> and includes amendments made by other written laws. For provisions that have come into operation, and for information about any reprints, see the compilation table.</w:t>
      </w:r>
      <w:del w:id="102" w:author="Master Repository Process" w:date="2024-01-02T11:25:00Z">
        <w:r>
          <w:delText xml:space="preserve"> For provisions that have not yet come into operation see the uncommenced provisions table.</w:delText>
        </w:r>
      </w:del>
    </w:p>
    <w:p>
      <w:pPr>
        <w:pStyle w:val="nHeading3"/>
      </w:pPr>
      <w:bookmarkStart w:id="103" w:name="_Toc155087134"/>
      <w:bookmarkStart w:id="104" w:name="_Toc155087094"/>
      <w:r>
        <w:t>Compilation table</w:t>
      </w:r>
      <w:bookmarkEnd w:id="103"/>
      <w:bookmarkEnd w:id="1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Licensed Surveyors Registration Regulations 1990</w:t>
            </w:r>
            <w:r>
              <w:rPr>
                <w:vertAlign w:val="superscript"/>
              </w:rPr>
              <w:t> 3</w:t>
            </w:r>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r>
        <w:trPr>
          <w:cantSplit/>
        </w:trPr>
        <w:tc>
          <w:tcPr>
            <w:tcW w:w="3118" w:type="dxa"/>
            <w:tcBorders>
              <w:top w:val="nil"/>
              <w:bottom w:val="nil"/>
            </w:tcBorders>
          </w:tcPr>
          <w:p>
            <w:pPr>
              <w:pStyle w:val="nTable"/>
              <w:spacing w:after="40"/>
              <w:rPr>
                <w:i/>
              </w:rPr>
            </w:pPr>
            <w:r>
              <w:rPr>
                <w:i/>
              </w:rPr>
              <w:t>Licensed Surveyors (Licensing and Registration) Amendment Regulations 2017</w:t>
            </w:r>
          </w:p>
        </w:tc>
        <w:tc>
          <w:tcPr>
            <w:tcW w:w="1276" w:type="dxa"/>
            <w:tcBorders>
              <w:top w:val="nil"/>
              <w:bottom w:val="nil"/>
            </w:tcBorders>
          </w:tcPr>
          <w:p>
            <w:pPr>
              <w:pStyle w:val="nTable"/>
              <w:spacing w:after="40"/>
            </w:pPr>
            <w:r>
              <w:t>23 Jun 2017 p. 3179</w:t>
            </w:r>
            <w:r>
              <w:noBreakHyphen/>
              <w:t>80</w:t>
            </w:r>
          </w:p>
        </w:tc>
        <w:tc>
          <w:tcPr>
            <w:tcW w:w="2693" w:type="dxa"/>
            <w:tcBorders>
              <w:top w:val="nil"/>
              <w:bottom w:val="nil"/>
            </w:tcBorders>
          </w:tcPr>
          <w:p>
            <w:pPr>
              <w:pStyle w:val="nTable"/>
              <w:spacing w:after="40"/>
            </w:pPr>
            <w:r>
              <w:t>r. 1 and 2: 23 Jun 2017 (see r. 2(a));</w:t>
            </w:r>
            <w:r>
              <w:br/>
              <w:t>Regulations other than r. 1 and 2: 1 Jul 2017 (see r. 2(b))</w:t>
            </w:r>
          </w:p>
        </w:tc>
      </w:tr>
    </w:tbl>
    <w:p>
      <w:pPr>
        <w:pStyle w:val="nHeading3"/>
        <w:rPr>
          <w:del w:id="105" w:author="Master Repository Process" w:date="2024-01-02T11:25:00Z"/>
        </w:rPr>
      </w:pPr>
      <w:bookmarkStart w:id="106" w:name="_Toc155087095"/>
      <w:del w:id="107" w:author="Master Repository Process" w:date="2024-01-02T11:25:00Z">
        <w:r>
          <w:delText>Uncommenced provisions table</w:delText>
        </w:r>
        <w:bookmarkEnd w:id="106"/>
      </w:del>
    </w:p>
    <w:p>
      <w:pPr>
        <w:pStyle w:val="nStatement"/>
        <w:keepNext/>
        <w:spacing w:after="240"/>
        <w:rPr>
          <w:del w:id="108" w:author="Master Repository Process" w:date="2024-01-02T11:25:00Z"/>
        </w:rPr>
      </w:pPr>
      <w:del w:id="109" w:author="Master Repository Process" w:date="2024-01-02T11: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0" w:author="Master Repository Process" w:date="2024-01-02T11:25:00Z"/>
        </w:trPr>
        <w:tc>
          <w:tcPr>
            <w:tcW w:w="3118" w:type="dxa"/>
          </w:tcPr>
          <w:p>
            <w:pPr>
              <w:pStyle w:val="nTable"/>
              <w:spacing w:after="40"/>
              <w:rPr>
                <w:del w:id="111" w:author="Master Repository Process" w:date="2024-01-02T11:25:00Z"/>
                <w:b/>
              </w:rPr>
            </w:pPr>
            <w:del w:id="112" w:author="Master Repository Process" w:date="2024-01-02T11:25:00Z">
              <w:r>
                <w:rPr>
                  <w:b/>
                </w:rPr>
                <w:delText>Citation</w:delText>
              </w:r>
            </w:del>
          </w:p>
        </w:tc>
        <w:tc>
          <w:tcPr>
            <w:tcW w:w="1276" w:type="dxa"/>
          </w:tcPr>
          <w:p>
            <w:pPr>
              <w:pStyle w:val="nTable"/>
              <w:spacing w:after="40"/>
              <w:rPr>
                <w:del w:id="113" w:author="Master Repository Process" w:date="2024-01-02T11:25:00Z"/>
                <w:b/>
              </w:rPr>
            </w:pPr>
            <w:del w:id="114" w:author="Master Repository Process" w:date="2024-01-02T11:25:00Z">
              <w:r>
                <w:rPr>
                  <w:b/>
                </w:rPr>
                <w:delText>Published</w:delText>
              </w:r>
            </w:del>
          </w:p>
        </w:tc>
        <w:tc>
          <w:tcPr>
            <w:tcW w:w="2693" w:type="dxa"/>
          </w:tcPr>
          <w:p>
            <w:pPr>
              <w:pStyle w:val="nTable"/>
              <w:spacing w:after="40"/>
              <w:rPr>
                <w:del w:id="115" w:author="Master Repository Process" w:date="2024-01-02T11:25:00Z"/>
                <w:b/>
              </w:rPr>
            </w:pPr>
            <w:del w:id="116" w:author="Master Repository Process" w:date="2024-01-02T11:25: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left w:val="single" w:sz="4" w:space="0" w:color="auto"/>
              <w:bottom w:val="single" w:sz="4" w:space="0" w:color="auto"/>
            </w:tcBorders>
          </w:tcPr>
          <w:p>
            <w:pPr>
              <w:pStyle w:val="nTable"/>
              <w:spacing w:after="40"/>
              <w:rPr>
                <w:i/>
              </w:rPr>
            </w:pPr>
            <w:r>
              <w:rPr>
                <w:i/>
              </w:rPr>
              <w:t>Licensed Surveyors (Licensing and Registration) Amendment Regulations 2023</w:t>
            </w:r>
            <w:del w:id="117" w:author="Master Repository Process" w:date="2024-01-02T11:25:00Z">
              <w:r>
                <w:rPr>
                  <w:i/>
                </w:rPr>
                <w:delText xml:space="preserve"> </w:delText>
              </w:r>
              <w:r>
                <w:delText>r. 3 and 4</w:delText>
              </w:r>
            </w:del>
          </w:p>
        </w:tc>
        <w:tc>
          <w:tcPr>
            <w:tcW w:w="1276" w:type="dxa"/>
            <w:tcBorders>
              <w:bottom w:val="single" w:sz="4" w:space="0" w:color="auto"/>
            </w:tcBorders>
          </w:tcPr>
          <w:p>
            <w:pPr>
              <w:pStyle w:val="nTable"/>
              <w:spacing w:after="40"/>
            </w:pPr>
            <w:r>
              <w:t>SL 2023/149</w:t>
            </w:r>
            <w:r>
              <w:br/>
              <w:t>22 Sep 2023</w:t>
            </w:r>
          </w:p>
        </w:tc>
        <w:tc>
          <w:tcPr>
            <w:tcW w:w="2693" w:type="dxa"/>
            <w:tcBorders>
              <w:bottom w:val="single" w:sz="4" w:space="0" w:color="auto"/>
            </w:tcBorders>
          </w:tcPr>
          <w:p>
            <w:pPr>
              <w:pStyle w:val="nTable"/>
              <w:spacing w:after="40"/>
            </w:pPr>
            <w:ins w:id="118" w:author="Master Repository Process" w:date="2024-01-02T11:25:00Z">
              <w:r>
                <w:t>r. 1 and 2: 22 Sep 2023 (see r. 2(a))</w:t>
              </w:r>
              <w:r>
                <w:br/>
                <w:t xml:space="preserve">Regulations other than r. 1 and 2: </w:t>
              </w:r>
            </w:ins>
            <w:r>
              <w:t>1 Oct 2023 (see r. 2(b))</w:t>
            </w:r>
          </w:p>
        </w:tc>
      </w:tr>
    </w:tbl>
    <w:p>
      <w:pPr>
        <w:pStyle w:val="nHeading3"/>
      </w:pPr>
      <w:bookmarkStart w:id="119" w:name="_Toc155087135"/>
      <w:bookmarkStart w:id="120" w:name="_Toc155087096"/>
      <w:r>
        <w:t>Other notes</w:t>
      </w:r>
      <w:bookmarkEnd w:id="119"/>
      <w:bookmarkEnd w:id="120"/>
    </w:p>
    <w:p>
      <w:pPr>
        <w:pStyle w:val="nNote"/>
        <w:rPr>
          <w:snapToGrid w:val="0"/>
        </w:rPr>
      </w:pPr>
      <w:r>
        <w:rPr>
          <w:snapToGrid w:val="0"/>
          <w:vertAlign w:val="superscript"/>
        </w:rPr>
        <w:t>1</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Note"/>
        <w:rPr>
          <w:snapToGrid w:val="0"/>
        </w:rPr>
      </w:pPr>
      <w:r>
        <w:rPr>
          <w:snapToGrid w:val="0"/>
          <w:vertAlign w:val="superscript"/>
        </w:rPr>
        <w:t>2</w:t>
      </w:r>
      <w:r>
        <w:rPr>
          <w:snapToGrid w:val="0"/>
        </w:rPr>
        <w:tab/>
        <w:t xml:space="preserve">Now </w:t>
      </w:r>
      <w:r>
        <w:rPr>
          <w:color w:val="000000"/>
          <w:sz w:val="21"/>
          <w:szCs w:val="21"/>
        </w:rPr>
        <w:t xml:space="preserve">1 </w:t>
      </w:r>
      <w:r>
        <w:rPr>
          <w:snapToGrid w:val="0"/>
        </w:rPr>
        <w:t>Midland Square, Midland 6056.</w:t>
      </w:r>
    </w:p>
    <w:p>
      <w:pPr>
        <w:pStyle w:val="nNote"/>
        <w:rPr>
          <w:snapToGrid w:val="0"/>
        </w:rPr>
      </w:pPr>
      <w:r>
        <w:rPr>
          <w:snapToGrid w:val="0"/>
          <w:vertAlign w:val="superscript"/>
        </w:rPr>
        <w:t>3</w:t>
      </w:r>
      <w:r>
        <w:rPr>
          <w:snapToGrid w:val="0"/>
        </w:rPr>
        <w:tab/>
        <w:t xml:space="preserve">Now known as the </w:t>
      </w:r>
      <w:r>
        <w:rPr>
          <w:i/>
          <w:snapToGrid w:val="0"/>
        </w:rPr>
        <w:t>Licensed Surveyors (Licensing and Registration) Regulations 1990</w:t>
      </w:r>
      <w:r>
        <w:rPr>
          <w:snapToGrid w:val="0"/>
        </w:rPr>
        <w:t>; citation changed (see note under r. 1).</w:t>
      </w:r>
    </w:p>
    <w:p>
      <w:pPr>
        <w:pStyle w:val="nHeading3"/>
      </w:pPr>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snapToGrid w:val="0"/>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Licensed Surveyors (Licensing and Registration)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2" w:name="Coversheet"/>
    <w:bookmarkEnd w:id="1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607"/>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 w:name="WAFER_20230922091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30922091607_GUID" w:val="bca119e0-7ff3-40c7-983b-bedf9a4ade16"/>
    <w:docVar w:name="WAFER_202309220917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2091755_GUID" w:val="9de7cf51-9bc6-4ab9-865a-1cd1779152e1"/>
    <w:docVar w:name="WAFER_20230922122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22303_GUID" w:val="23ab3e4f-8685-4980-b5bd-1b73b35dca02"/>
    <w:docVar w:name="WAFER_20231228144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607_GUID" w:val="68045fcc-32b6-445d-a75f-b242e4ac3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0C04C7-1E4E-4ECA-930F-D01A438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Footnotesection0">
    <w:name w:val="yFootnotesection"/>
    <w:basedOn w:val="BlankClose"/>
    <w:pPr>
      <w:keepNext/>
      <w:jc w:val="left"/>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3529</Words>
  <Characters>20859</Characters>
  <Application>Microsoft Office Word</Application>
  <DocSecurity>0</DocSecurity>
  <Lines>672</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02-c0-01 - 02-d0-01</dc:title>
  <dc:subject/>
  <dc:creator/>
  <cp:keywords/>
  <dc:description/>
  <cp:lastModifiedBy>Master Repository Process</cp:lastModifiedBy>
  <cp:revision>2</cp:revision>
  <cp:lastPrinted>2014-11-18T01:58:00Z</cp:lastPrinted>
  <dcterms:created xsi:type="dcterms:W3CDTF">2024-01-02T03:25:00Z</dcterms:created>
  <dcterms:modified xsi:type="dcterms:W3CDTF">2024-01-02T03:25:00Z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DocumentType">
    <vt:lpwstr>Reg</vt:lpwstr>
  </property>
  <property fmtid="{D5CDD505-2E9C-101B-9397-08002B2CF9AE}" pid="4" name="OwlsUID">
    <vt:i4>4562</vt:i4>
  </property>
  <property fmtid="{D5CDD505-2E9C-101B-9397-08002B2CF9AE}" pid="5" name="ReprintedAsAt">
    <vt:filetime>2014-11-13T16:00:00Z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20231001</vt:lpwstr>
  </property>
  <property fmtid="{D5CDD505-2E9C-101B-9397-08002B2CF9AE}" pid="9" name="CommencementAsAt">
    <vt:filetime>2023-09-30T16:00:00Z</vt:filetime>
  </property>
  <property fmtid="{D5CDD505-2E9C-101B-9397-08002B2CF9AE}" pid="10" name="CommencementYear">
    <vt:lpwstr>2023</vt:lpwstr>
  </property>
  <property fmtid="{D5CDD505-2E9C-101B-9397-08002B2CF9AE}" pid="11" name="FromSuffix">
    <vt:lpwstr>02-c0-01</vt:lpwstr>
  </property>
  <property fmtid="{D5CDD505-2E9C-101B-9397-08002B2CF9AE}" pid="12" name="FromAsAtDate">
    <vt:lpwstr>22 Sep 2023</vt:lpwstr>
  </property>
  <property fmtid="{D5CDD505-2E9C-101B-9397-08002B2CF9AE}" pid="13" name="ToSuffix">
    <vt:lpwstr>02-d0-01</vt:lpwstr>
  </property>
  <property fmtid="{D5CDD505-2E9C-101B-9397-08002B2CF9AE}" pid="14" name="ToAsAtDate">
    <vt:lpwstr>01 Oct 2023</vt:lpwstr>
  </property>
</Properties>
</file>