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Employers Indemnity Policies (Premium Rates) Act 1990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11 Sep 2010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01-d0-05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24 Oct 2023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01-e0-02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"/>
      </w:pPr>
      <w:r>
        <w:t xml:space="preserve">Employers Indemnity Policies (Premium Rates) Act 1990 </w:t>
      </w:r>
    </w:p>
    <w:p>
      <w:pPr>
        <w:pStyle w:val="LongTitle"/>
        <w:rPr>
          <w:snapToGrid w:val="0"/>
        </w:rPr>
      </w:pPr>
      <w:r>
        <w:rPr>
          <w:snapToGrid w:val="0"/>
        </w:rPr>
        <w:t xml:space="preserve">An Act to provide for the determination of recommended premium rates for certain employer indemnity policies and for related purposes. </w:t>
      </w:r>
    </w:p>
    <w:p>
      <w:pPr>
        <w:pStyle w:val="Heading5"/>
        <w:rPr>
          <w:snapToGrid w:val="0"/>
        </w:rPr>
      </w:pPr>
      <w:bookmarkStart w:id="1" w:name="_Toc161401125"/>
      <w:bookmarkStart w:id="2" w:name="_Toc378234880"/>
      <w:bookmarkStart w:id="3" w:name="_Toc416784137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1"/>
      <w:bookmarkEnd w:id="2"/>
      <w:bookmarkEnd w:id="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 may be cited as the </w:t>
      </w:r>
      <w:r>
        <w:rPr>
          <w:i/>
          <w:snapToGrid w:val="0"/>
        </w:rPr>
        <w:t>Employers Indemnity Policies (Premium Rates) Act 1990</w:t>
      </w:r>
      <w:del w:id="4" w:author="Master Repository Process" w:date="2024-03-19T13:13:00Z">
        <w:r>
          <w:rPr>
            <w:snapToGrid w:val="0"/>
            <w:vertAlign w:val="superscript"/>
          </w:rPr>
          <w:delText xml:space="preserve"> 1</w:delText>
        </w:r>
      </w:del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161401126"/>
      <w:bookmarkStart w:id="6" w:name="_Toc378234881"/>
      <w:bookmarkStart w:id="7" w:name="_Toc416784138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This Act shall come into operation on the day on which it receives the Royal Assent</w:t>
      </w:r>
      <w:del w:id="8" w:author="Master Repository Process" w:date="2024-03-19T13:13:00Z">
        <w:r>
          <w:rPr>
            <w:snapToGrid w:val="0"/>
            <w:vertAlign w:val="superscript"/>
          </w:rPr>
          <w:delText> 1</w:delText>
        </w:r>
      </w:del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9" w:name="_Toc161401127"/>
      <w:bookmarkStart w:id="10" w:name="_Toc378234882"/>
      <w:bookmarkStart w:id="11" w:name="_Toc41678413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9"/>
      <w:bookmarkEnd w:id="10"/>
      <w:bookmarkEnd w:id="1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In this Act, unless the contrary intention appears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employer indemnity policy</w:t>
      </w:r>
      <w:r>
        <w:t xml:space="preserve"> means a policy of insurance that gives to an employer, in addition to the insurance required by the</w:t>
      </w:r>
      <w:r>
        <w:rPr>
          <w:i/>
        </w:rPr>
        <w:t xml:space="preserve"> Workers’ Compensation and Injury Management Act 1981</w:t>
      </w:r>
      <w:r>
        <w:t xml:space="preserve">, such insurance against liability arising under the </w:t>
      </w:r>
      <w:r>
        <w:rPr>
          <w:i/>
        </w:rPr>
        <w:t>Fatal Accidents Act 1959</w:t>
      </w:r>
      <w:r>
        <w:t xml:space="preserve">, the </w:t>
      </w:r>
      <w:r>
        <w:rPr>
          <w:i/>
        </w:rPr>
        <w:t>Law Reform (Miscellaneous Provisions) Act 1941</w:t>
      </w:r>
      <w:r>
        <w:t xml:space="preserve">, the </w:t>
      </w:r>
      <w:r>
        <w:rPr>
          <w:i/>
        </w:rPr>
        <w:t>Law Reform (Contributory Negligence and Tortfeasors’ Contribution) Act 1947</w:t>
      </w:r>
      <w:r>
        <w:t>, or at common law for personal injury sustained by a person employed by the employer under a contract of service or apprenticeship as may be specified in the policy;</w:t>
      </w:r>
    </w:p>
    <w:p>
      <w:pPr>
        <w:pStyle w:val="Defstart"/>
      </w:pPr>
      <w:r>
        <w:tab/>
      </w:r>
      <w:r>
        <w:rPr>
          <w:rStyle w:val="CharDefText"/>
        </w:rPr>
        <w:t>employer</w:t>
      </w:r>
      <w:r>
        <w:t xml:space="preserve"> means a person required by the </w:t>
      </w:r>
      <w:r>
        <w:rPr>
          <w:i/>
        </w:rPr>
        <w:t xml:space="preserve">Workers’ Compensation and Injury Management Act 1981 </w:t>
      </w:r>
      <w:r>
        <w:t xml:space="preserve">to obtain and </w:t>
      </w:r>
      <w:r>
        <w:lastRenderedPageBreak/>
        <w:t>keep current a policy of insurance for liability to pay compensation under that Act.</w:t>
      </w:r>
    </w:p>
    <w:p>
      <w:pPr>
        <w:pStyle w:val="Subsection"/>
        <w:spacing w:before="80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</w:r>
      <w:r>
        <w:t>In this Act, unless the contrary intention appears, expressions</w:t>
      </w:r>
      <w:r>
        <w:rPr>
          <w:snapToGrid w:val="0"/>
        </w:rPr>
        <w:t xml:space="preserve"> used in the </w:t>
      </w:r>
      <w:r>
        <w:rPr>
          <w:i/>
        </w:rPr>
        <w:t xml:space="preserve">Workers’ Compensation and Injury Management Act 1981 </w:t>
      </w:r>
      <w:r>
        <w:rPr>
          <w:snapToGrid w:val="0"/>
        </w:rPr>
        <w:t>have the same respective meanings as they have in that Act.</w:t>
      </w:r>
    </w:p>
    <w:p>
      <w:pPr>
        <w:pStyle w:val="Footnotesection"/>
      </w:pPr>
      <w:r>
        <w:tab/>
        <w:t>[Section 3 amended: No. 42 of 2004 s. 174; No. 19 of 2010 s. 51.]</w:t>
      </w:r>
    </w:p>
    <w:p>
      <w:pPr>
        <w:pStyle w:val="Heading5"/>
        <w:rPr>
          <w:snapToGrid w:val="0"/>
        </w:rPr>
      </w:pPr>
      <w:bookmarkStart w:id="12" w:name="_Toc161401128"/>
      <w:bookmarkStart w:id="13" w:name="_Toc378234883"/>
      <w:bookmarkStart w:id="14" w:name="_Toc416784140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Premium rates for composite policies may be determined</w:t>
      </w:r>
      <w:bookmarkEnd w:id="12"/>
      <w:bookmarkEnd w:id="13"/>
      <w:bookmarkEnd w:id="1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</w:r>
      <w:r>
        <w:t>WorkCover WA</w:t>
      </w:r>
      <w:r>
        <w:rPr>
          <w:snapToGrid w:val="0"/>
        </w:rPr>
        <w:t xml:space="preserve"> may determine recommended premium rates for employer indemnity policies that give such insurance, additional to the insurance required by the</w:t>
      </w:r>
      <w:r>
        <w:rPr>
          <w:i/>
        </w:rPr>
        <w:t xml:space="preserve"> Workers’ Compensation and Injury Management Act 1981</w:t>
      </w:r>
      <w:r>
        <w:rPr>
          <w:snapToGrid w:val="0"/>
        </w:rPr>
        <w:t>, as is described in the determination.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Different premium rates may be determined under subsection (1) according to the different categories or groups of businesses referred to in section 151 of the</w:t>
      </w:r>
      <w:r>
        <w:rPr>
          <w:i/>
        </w:rPr>
        <w:t xml:space="preserve"> Workers’ Compensation and Injury Management Act 1981</w:t>
      </w:r>
      <w:r>
        <w:rPr>
          <w:snapToGrid w:val="0"/>
        </w:rPr>
        <w:t>.</w:t>
      </w:r>
    </w:p>
    <w:p>
      <w:pPr>
        <w:pStyle w:val="Footnotesection"/>
      </w:pPr>
      <w:r>
        <w:tab/>
        <w:t>[Section 4 amended: No. 42 of 2004 s. 158(1 and 174).]</w:t>
      </w:r>
    </w:p>
    <w:p>
      <w:pPr>
        <w:pStyle w:val="Heading5"/>
        <w:rPr>
          <w:snapToGrid w:val="0"/>
        </w:rPr>
      </w:pPr>
      <w:bookmarkStart w:id="15" w:name="_Toc161401129"/>
      <w:bookmarkStart w:id="16" w:name="_Toc378234884"/>
      <w:bookmarkStart w:id="17" w:name="_Toc416784141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Information</w:t>
      </w:r>
      <w:bookmarkEnd w:id="15"/>
      <w:bookmarkEnd w:id="16"/>
      <w:bookmarkEnd w:id="1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Information required by </w:t>
      </w:r>
      <w:r>
        <w:t>WorkCover WA</w:t>
      </w:r>
      <w:r>
        <w:rPr>
          <w:snapToGrid w:val="0"/>
        </w:rPr>
        <w:t xml:space="preserve"> for the purposes of this Act may be obtained under the </w:t>
      </w:r>
      <w:r>
        <w:rPr>
          <w:i/>
        </w:rPr>
        <w:t xml:space="preserve">Workers’ Compensation and Injury Management Act 1981 </w:t>
      </w:r>
      <w:r>
        <w:rPr>
          <w:snapToGrid w:val="0"/>
        </w:rPr>
        <w:t>as if it were required for the purposes of that Act, and information that may be used for the purposes of that Act may be used for the purposes of this Act.</w:t>
      </w:r>
    </w:p>
    <w:p>
      <w:pPr>
        <w:pStyle w:val="Footnotesection"/>
      </w:pPr>
      <w:r>
        <w:tab/>
        <w:t>[Section 5 amended: No. 42 of 2004 s. 158(2) and 174.]</w:t>
      </w:r>
    </w:p>
    <w:p>
      <w:pPr>
        <w:pStyle w:val="Heading5"/>
        <w:rPr>
          <w:snapToGrid w:val="0"/>
        </w:rPr>
      </w:pPr>
      <w:bookmarkStart w:id="18" w:name="_Toc161401130"/>
      <w:bookmarkStart w:id="19" w:name="_Toc378234885"/>
      <w:bookmarkStart w:id="20" w:name="_Toc416784142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Savings</w:t>
      </w:r>
      <w:bookmarkEnd w:id="18"/>
      <w:bookmarkEnd w:id="19"/>
      <w:bookmarkEnd w:id="2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Nothing in this Act shall be construed as affecting the provisions of the </w:t>
      </w:r>
      <w:r>
        <w:rPr>
          <w:i/>
        </w:rPr>
        <w:t xml:space="preserve">Workers’ Compensation and Injury Management Act 1981 </w:t>
      </w:r>
      <w:r>
        <w:rPr>
          <w:snapToGrid w:val="0"/>
        </w:rPr>
        <w:t>relating to premium rates for insurance required by that Act.</w:t>
      </w:r>
    </w:p>
    <w:p>
      <w:pPr>
        <w:pStyle w:val="Footnotesection"/>
      </w:pPr>
      <w:r>
        <w:tab/>
        <w:t>[Section 6 amended: No. 42 of 2004 s. 174.]</w:t>
      </w:r>
    </w:p>
    <w:p>
      <w:pPr>
        <w:pStyle w:val="CentredBaseLine"/>
        <w:jc w:val="center"/>
        <w:rPr>
          <w:ins w:id="21" w:author="Master Repository Process" w:date="2024-03-19T13:13:00Z"/>
        </w:rPr>
      </w:pPr>
      <w:ins w:id="22" w:author="Master Repository Process" w:date="2024-03-19T13:13:00Z">
        <w:r>
          <w:rPr>
            <w:noProof/>
          </w:rPr>
          <w:drawing>
            <wp:inline distT="0" distB="0" distL="0" distR="0">
              <wp:extent cx="933450" cy="171450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2671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rPr>
          <w:rStyle w:val="CharDivText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76" w:right="2405" w:bottom="3542" w:left="2405" w:header="706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3" w:name="_Toc161401053"/>
      <w:bookmarkStart w:id="24" w:name="_Toc161401096"/>
      <w:bookmarkStart w:id="25" w:name="_Toc161401131"/>
      <w:bookmarkStart w:id="26" w:name="_Toc378234000"/>
      <w:bookmarkStart w:id="27" w:name="_Toc378234886"/>
      <w:bookmarkStart w:id="28" w:name="_Toc416784126"/>
      <w:bookmarkStart w:id="29" w:name="_Toc416784143"/>
      <w:r>
        <w:t>Notes</w:t>
      </w:r>
      <w:bookmarkEnd w:id="23"/>
      <w:bookmarkEnd w:id="24"/>
      <w:bookmarkEnd w:id="25"/>
      <w:bookmarkEnd w:id="26"/>
      <w:bookmarkEnd w:id="27"/>
      <w:bookmarkEnd w:id="28"/>
      <w:bookmarkEnd w:id="29"/>
    </w:p>
    <w:p>
      <w:pPr>
        <w:pStyle w:val="nStatement"/>
      </w:pPr>
      <w:del w:id="30" w:author="Master Repository Process" w:date="2024-03-19T13:13:00Z">
        <w:r>
          <w:rPr>
            <w:snapToGrid w:val="0"/>
            <w:vertAlign w:val="superscript"/>
          </w:rPr>
          <w:delText>1</w:delText>
        </w:r>
        <w:r>
          <w:rPr>
            <w:snapToGrid w:val="0"/>
          </w:rPr>
          <w:tab/>
        </w:r>
      </w:del>
      <w:r>
        <w:t xml:space="preserve">This is a compilation of the </w:t>
      </w:r>
      <w:r>
        <w:rPr>
          <w:i/>
          <w:noProof/>
        </w:rPr>
        <w:t>Employers Indemnity Policies (Premium Rates) Act 1990</w:t>
      </w:r>
      <w:r>
        <w:t xml:space="preserve"> and includes </w:t>
      </w:r>
      <w:del w:id="31" w:author="Master Repository Process" w:date="2024-03-19T13:13:00Z">
        <w:r>
          <w:rPr>
            <w:snapToGrid w:val="0"/>
          </w:rPr>
          <w:delText xml:space="preserve">the </w:delText>
        </w:r>
      </w:del>
      <w:r>
        <w:t xml:space="preserve">amendments made by </w:t>
      </w:r>
      <w:del w:id="32" w:author="Master Repository Process" w:date="2024-03-19T13:13:00Z">
        <w:r>
          <w:rPr>
            <w:snapToGrid w:val="0"/>
          </w:rPr>
          <w:delText xml:space="preserve">the </w:delText>
        </w:r>
      </w:del>
      <w:r>
        <w:t>other written laws</w:t>
      </w:r>
      <w:del w:id="33" w:author="Master Repository Process" w:date="2024-03-19T13:13:00Z">
        <w:r>
          <w:rPr>
            <w:snapToGrid w:val="0"/>
          </w:rPr>
          <w:delText xml:space="preserve"> referred to in the following table.  The table also contains</w:delText>
        </w:r>
      </w:del>
      <w:ins w:id="34" w:author="Master Repository Process" w:date="2024-03-19T13:13:00Z">
        <w:r>
          <w:t>. For provisions that have come into operation, and for</w:t>
        </w:r>
      </w:ins>
      <w:r>
        <w:t xml:space="preserve"> information about any </w:t>
      </w:r>
      <w:del w:id="35" w:author="Master Repository Process" w:date="2024-03-19T13:13:00Z">
        <w:r>
          <w:rPr>
            <w:snapToGrid w:val="0"/>
          </w:rPr>
          <w:delText xml:space="preserve">reprint. </w:delText>
        </w:r>
      </w:del>
      <w:ins w:id="36" w:author="Master Repository Process" w:date="2024-03-19T13:13:00Z">
        <w:r>
          <w:t>reprints, see the compilation table. For provisions that have not yet come into operation see the uncommenced provisions table.</w:t>
        </w:r>
      </w:ins>
    </w:p>
    <w:p>
      <w:pPr>
        <w:pStyle w:val="nHeading3"/>
      </w:pPr>
      <w:bookmarkStart w:id="37" w:name="_Toc161401132"/>
      <w:bookmarkStart w:id="38" w:name="_Toc378234887"/>
      <w:bookmarkStart w:id="39" w:name="_Toc416784144"/>
      <w:r>
        <w:t>Compilation table</w:t>
      </w:r>
      <w:bookmarkEnd w:id="37"/>
      <w:bookmarkEnd w:id="38"/>
      <w:bookmarkEnd w:id="39"/>
    </w:p>
    <w:tbl>
      <w:tblPr>
        <w:tblW w:w="7088" w:type="dxa"/>
        <w:tblInd w:w="56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tblHeader/>
        </w:trPr>
        <w:tc>
          <w:tcPr>
            <w:tcW w:w="226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 year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2268" w:type="dxa"/>
          </w:tcPr>
          <w:p>
            <w:pPr>
              <w:pStyle w:val="nTable"/>
              <w:spacing w:before="80"/>
            </w:pPr>
            <w:r>
              <w:rPr>
                <w:i/>
              </w:rPr>
              <w:t>Employers Indemnity Policies (Premium Rates) Act 1990</w:t>
            </w:r>
          </w:p>
        </w:tc>
        <w:tc>
          <w:tcPr>
            <w:tcW w:w="1134" w:type="dxa"/>
          </w:tcPr>
          <w:p>
            <w:pPr>
              <w:pStyle w:val="nTable"/>
              <w:spacing w:before="80"/>
            </w:pPr>
            <w:r>
              <w:t>69 of 1990</w:t>
            </w:r>
          </w:p>
        </w:tc>
        <w:tc>
          <w:tcPr>
            <w:tcW w:w="1134" w:type="dxa"/>
          </w:tcPr>
          <w:p>
            <w:pPr>
              <w:pStyle w:val="nTable"/>
              <w:spacing w:before="80"/>
            </w:pPr>
            <w:r>
              <w:t>17 Dec 1990</w:t>
            </w:r>
          </w:p>
        </w:tc>
        <w:tc>
          <w:tcPr>
            <w:tcW w:w="2552" w:type="dxa"/>
          </w:tcPr>
          <w:p>
            <w:pPr>
              <w:pStyle w:val="nTable"/>
              <w:spacing w:before="80"/>
            </w:pPr>
            <w:r>
              <w:t>17 Dec 1990 (see s. 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4"/>
          </w:tcPr>
          <w:p>
            <w:pPr>
              <w:pStyle w:val="nTable"/>
              <w:spacing w:before="80"/>
              <w:rPr>
                <w:b/>
              </w:rPr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  <w:noProof/>
                <w:snapToGrid w:val="0"/>
              </w:rPr>
              <w:t xml:space="preserve">Employers Indemnity Policies (Premium Rates) Act 1990 </w:t>
            </w:r>
            <w:r>
              <w:rPr>
                <w:b/>
                <w:noProof/>
                <w:snapToGrid w:val="0"/>
              </w:rPr>
              <w:t>as at 4 Oct 2002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nTable"/>
              <w:rPr>
                <w:snapToGrid w:val="0"/>
                <w:vertAlign w:val="superscript"/>
              </w:rPr>
            </w:pPr>
            <w:r>
              <w:rPr>
                <w:i/>
                <w:iCs/>
                <w:snapToGrid w:val="0"/>
              </w:rPr>
              <w:t>Workers’ Compensation Reform Act 2004</w:t>
            </w:r>
            <w:r>
              <w:rPr>
                <w:snapToGrid w:val="0"/>
              </w:rPr>
              <w:t xml:space="preserve"> s. 158 and 174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nTable"/>
              <w:rPr>
                <w:snapToGrid w:val="0"/>
              </w:rPr>
            </w:pPr>
            <w:r>
              <w:rPr>
                <w:snapToGrid w:val="0"/>
              </w:rPr>
              <w:t>42 of 2004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nTable"/>
            </w:pPr>
            <w:r>
              <w:t>9 Nov 2004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nTable"/>
              <w:rPr>
                <w:snapToGrid w:val="0"/>
              </w:rPr>
            </w:pPr>
            <w:r>
              <w:rPr>
                <w:iCs/>
                <w:snapToGrid w:val="0"/>
                <w:spacing w:val="-2"/>
              </w:rPr>
              <w:t xml:space="preserve">4 Jan 2005 (see s. 2 and </w:t>
            </w:r>
            <w:r>
              <w:rPr>
                <w:i/>
                <w:iCs/>
                <w:snapToGrid w:val="0"/>
                <w:spacing w:val="-2"/>
              </w:rPr>
              <w:t>Gazette</w:t>
            </w:r>
            <w:r>
              <w:rPr>
                <w:iCs/>
                <w:snapToGrid w:val="0"/>
                <w:spacing w:val="-2"/>
              </w:rPr>
              <w:t xml:space="preserve"> 31 Dec 2004 p. 7131)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226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ind w:right="113"/>
              <w:rPr>
                <w:iCs/>
                <w:snapToGrid w:val="0"/>
              </w:rPr>
            </w:pPr>
            <w:r>
              <w:rPr>
                <w:i/>
                <w:snapToGrid w:val="0"/>
              </w:rPr>
              <w:t>Standardisation of Formatting Act 2010</w:t>
            </w:r>
            <w:r>
              <w:rPr>
                <w:iCs/>
                <w:snapToGrid w:val="0"/>
              </w:rPr>
              <w:t xml:space="preserve"> s. 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19 of 2010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28 Jun 2010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 xml:space="preserve">11 Sep 2010 (see s. 2(b) and </w:t>
            </w:r>
            <w:r>
              <w:rPr>
                <w:i/>
                <w:iCs/>
                <w:snapToGrid w:val="0"/>
              </w:rPr>
              <w:t>Gazette</w:t>
            </w:r>
            <w:r>
              <w:rPr>
                <w:snapToGrid w:val="0"/>
              </w:rPr>
              <w:t xml:space="preserve"> 10 Sep 2010 p. 4341)</w:t>
            </w:r>
          </w:p>
        </w:tc>
      </w:tr>
    </w:tbl>
    <w:p>
      <w:pPr>
        <w:rPr>
          <w:del w:id="40" w:author="Master Repository Process" w:date="2024-03-19T13:13:00Z"/>
        </w:rPr>
      </w:pPr>
      <w:bookmarkStart w:id="41" w:name="_Toc161401133"/>
    </w:p>
    <w:p>
      <w:pPr>
        <w:rPr>
          <w:del w:id="42" w:author="Master Repository Process" w:date="2024-03-19T13:13:00Z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3"/>
        <w:rPr>
          <w:ins w:id="43" w:author="Master Repository Process" w:date="2024-03-19T13:13:00Z"/>
        </w:rPr>
      </w:pPr>
      <w:ins w:id="44" w:author="Master Repository Process" w:date="2024-03-19T13:13:00Z">
        <w:r>
          <w:t>Uncommenced provisions table</w:t>
        </w:r>
        <w:bookmarkEnd w:id="41"/>
      </w:ins>
    </w:p>
    <w:p>
      <w:pPr>
        <w:pStyle w:val="nStatement"/>
        <w:keepNext/>
        <w:spacing w:after="240"/>
        <w:rPr>
          <w:ins w:id="45" w:author="Master Repository Process" w:date="2024-03-19T13:13:00Z"/>
        </w:rPr>
      </w:pPr>
      <w:ins w:id="46" w:author="Master Repository Process" w:date="2024-03-19T13:13:00Z">
        <w:r>
          <w:t xml:space="preserve">To view the text of the uncommenced provisions see </w:t>
        </w:r>
        <w:r>
          <w:rPr>
            <w:i/>
          </w:rPr>
          <w:t>Acts as passed</w:t>
        </w:r>
        <w:r>
          <w:t xml:space="preserve"> on the WA Legislation website.</w:t>
        </w:r>
      </w:ins>
    </w:p>
    <w:tbl>
      <w:tblPr>
        <w:tblW w:w="0" w:type="auto"/>
        <w:tblInd w:w="28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tblHeader/>
          <w:ins w:id="47" w:author="Master Repository Process" w:date="2024-03-19T13:13:00Z"/>
        </w:trPr>
        <w:tc>
          <w:tcPr>
            <w:tcW w:w="2268" w:type="dxa"/>
          </w:tcPr>
          <w:p>
            <w:pPr>
              <w:pStyle w:val="nTable"/>
              <w:spacing w:after="40"/>
              <w:rPr>
                <w:ins w:id="48" w:author="Master Repository Process" w:date="2024-03-19T13:13:00Z"/>
                <w:b/>
              </w:rPr>
            </w:pPr>
            <w:ins w:id="49" w:author="Master Repository Process" w:date="2024-03-19T13:13:00Z">
              <w:r>
                <w:rPr>
                  <w:b/>
                </w:rPr>
                <w:t>Short title</w:t>
              </w:r>
            </w:ins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ins w:id="50" w:author="Master Repository Process" w:date="2024-03-19T13:13:00Z"/>
                <w:b/>
              </w:rPr>
            </w:pPr>
            <w:ins w:id="51" w:author="Master Repository Process" w:date="2024-03-19T13:13:00Z">
              <w:r>
                <w:rPr>
                  <w:b/>
                </w:rPr>
                <w:t>Number and year</w:t>
              </w:r>
            </w:ins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ins w:id="52" w:author="Master Repository Process" w:date="2024-03-19T13:13:00Z"/>
                <w:b/>
              </w:rPr>
            </w:pPr>
            <w:ins w:id="53" w:author="Master Repository Process" w:date="2024-03-19T13:13:00Z">
              <w:r>
                <w:rPr>
                  <w:b/>
                </w:rPr>
                <w:t>Assent</w:t>
              </w:r>
            </w:ins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ins w:id="54" w:author="Master Repository Process" w:date="2024-03-19T13:13:00Z"/>
                <w:b/>
              </w:rPr>
            </w:pPr>
            <w:ins w:id="55" w:author="Master Repository Process" w:date="2024-03-19T13:13:00Z">
              <w:r>
                <w:rPr>
                  <w:b/>
                </w:rPr>
                <w:t>Commencement</w:t>
              </w:r>
            </w:ins>
          </w:p>
        </w:tc>
      </w:tr>
      <w:tr>
        <w:trPr>
          <w:ins w:id="56" w:author="Master Repository Process" w:date="2024-03-19T13:13:00Z"/>
        </w:trPr>
        <w:tc>
          <w:tcPr>
            <w:tcW w:w="2268" w:type="dxa"/>
          </w:tcPr>
          <w:p>
            <w:pPr>
              <w:pStyle w:val="nTable"/>
              <w:spacing w:after="40"/>
              <w:rPr>
                <w:ins w:id="57" w:author="Master Repository Process" w:date="2024-03-19T13:13:00Z"/>
              </w:rPr>
            </w:pPr>
            <w:ins w:id="58" w:author="Master Repository Process" w:date="2024-03-19T13:13:00Z">
              <w:r>
                <w:rPr>
                  <w:i/>
                  <w:iCs/>
                </w:rPr>
                <w:t>Workers Compensation and Injury Management Act 2023</w:t>
              </w:r>
              <w:r>
                <w:t xml:space="preserve"> s. 617</w:t>
              </w:r>
            </w:ins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ins w:id="59" w:author="Master Repository Process" w:date="2024-03-19T13:13:00Z"/>
              </w:rPr>
            </w:pPr>
            <w:ins w:id="60" w:author="Master Repository Process" w:date="2024-03-19T13:13:00Z">
              <w:r>
                <w:t>21 of 2023</w:t>
              </w:r>
            </w:ins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ins w:id="61" w:author="Master Repository Process" w:date="2024-03-19T13:13:00Z"/>
                <w:highlight w:val="yellow"/>
              </w:rPr>
            </w:pPr>
            <w:ins w:id="62" w:author="Master Repository Process" w:date="2024-03-19T13:13:00Z">
              <w:r>
                <w:t>24 Oct 2023</w:t>
              </w:r>
            </w:ins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ins w:id="63" w:author="Master Repository Process" w:date="2024-03-19T13:13:00Z"/>
              </w:rPr>
            </w:pPr>
            <w:ins w:id="64" w:author="Master Repository Process" w:date="2024-03-19T13:13:00Z">
              <w:r>
                <w:rPr>
                  <w:noProof/>
                </w:rPr>
                <w:t xml:space="preserve">1 Jul 2024 </w:t>
              </w:r>
              <w:r>
                <w:t xml:space="preserve"> (see s. 2(d)</w:t>
              </w:r>
              <w:r>
                <w:rPr>
                  <w:noProof/>
                </w:rPr>
                <w:t xml:space="preserve"> and SL 2024/34 cl. 2</w:t>
              </w:r>
              <w:r>
                <w:t>)</w:t>
              </w:r>
            </w:ins>
          </w:p>
        </w:tc>
      </w:tr>
    </w:tbl>
    <w:p>
      <w:pPr>
        <w:rPr>
          <w:ins w:id="65" w:author="Master Repository Process" w:date="2024-03-19T13:13:00Z"/>
        </w:rPr>
      </w:pPr>
    </w:p>
    <w:p>
      <w:pPr>
        <w:rPr>
          <w:ins w:id="66" w:author="Master Repository Process" w:date="2024-03-19T13:13:00Z"/>
        </w:rPr>
        <w:sectPr>
          <w:headerReference w:type="even" r:id="rId24"/>
          <w:headerReference w:type="default" r:id="rId25"/>
          <w:pgSz w:w="11907" w:h="16840" w:code="9"/>
          <w:pgMar w:top="2376" w:right="2405" w:bottom="3542" w:left="2405" w:header="706" w:footer="3544" w:gutter="0"/>
          <w:cols w:space="720"/>
          <w:noEndnote/>
          <w:docGrid w:linePitch="326"/>
        </w:sectPr>
      </w:pPr>
    </w:p>
    <w:p>
      <w:ins w:id="68" w:author="Master Repository Process" w:date="2024-03-19T13:13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page">
                    <wp:posOffset>7505700</wp:posOffset>
                  </wp:positionV>
                  <wp:extent cx="127000" cy="647700"/>
                  <wp:effectExtent l="0" t="0" r="1905" b="0"/>
                  <wp:wrapNone/>
                  <wp:docPr id="1" name="Authority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270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ind w:left="2835" w:right="2268"/>
                                <w:rPr>
                                  <w:ins w:id="69" w:author="Master Repository Process" w:date="2024-03-19T13:13:00Z"/>
                                  <w:sz w:val="16"/>
                                </w:rPr>
                              </w:pPr>
                              <w:ins w:id="70" w:author="Master Repository Process" w:date="2024-03-19T13:13:00Z">
                                <w:r>
                                  <w:rPr>
                                    <w:sz w:val="16"/>
                                  </w:rPr>
                                  <w:t xml:space="preserve">© State of Western Australia 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6"/>
                                  </w:rPr>
                                  <w:instrText xml:space="preserve"> DOCPROPERTY CommencementYear</w:instrTex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</w:rPr>
                                  <w:t>2023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835" w:right="2268"/>
                                <w:rPr>
                                  <w:ins w:id="71" w:author="Master Repository Process" w:date="2024-03-19T13:13:00Z"/>
                                  <w:sz w:val="16"/>
                                </w:rPr>
                              </w:pPr>
                              <w:ins w:id="72" w:author="Master Repository Process" w:date="2024-03-19T13:13:00Z">
                                <w:r>
                                  <w:rPr>
                                    <w:sz w:val="16"/>
                                  </w:rPr>
                                  <w:t xml:space="preserve">This work is licensed under a Creative Commons Attribution 4.0 International Licence (CC BY 4.0). To view relevant information and for a link to a copy of the licence, visit </w:t>
                                </w:r>
                                <w:r>
                                  <w:rPr>
                                    <w:sz w:val="16"/>
                                    <w:u w:val="single"/>
                                  </w:rPr>
                                  <w:t>www.legislation.wa.gov.au</w:t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835" w:right="2268"/>
                                <w:rPr>
                                  <w:ins w:id="73" w:author="Master Repository Process" w:date="2024-03-19T13:13:00Z"/>
                                  <w:sz w:val="16"/>
                                </w:rPr>
                              </w:pPr>
                              <w:ins w:id="74" w:author="Master Repository Process" w:date="2024-03-19T13:13:00Z">
                                <w:r>
                                  <w:rPr>
                                    <w:sz w:val="16"/>
                                  </w:rPr>
                                  <w:t xml:space="preserve">Attribute work as: © State of Western Australia 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6"/>
                                  </w:rPr>
                                  <w:instrText xml:space="preserve"> DOCPROPERTY CommencementYear</w:instrTex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</w:rPr>
                                  <w:t>2023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438" w:right="2098"/>
                                <w:jc w:val="center"/>
                                <w:rPr>
                                  <w:ins w:id="75" w:author="Master Repository Process" w:date="2024-03-19T13:13:00Z"/>
                                  <w:rFonts w:ascii="Arial" w:hAnsi="Arial" w:cs="Arial"/>
                                  <w:sz w:val="12"/>
                                </w:rPr>
                              </w:pPr>
                              <w:ins w:id="76" w:author="Master Repository Process" w:date="2024-03-19T13:13:00Z">
                                <w:r>
                                  <w:rPr>
                                    <w:rFonts w:ascii="Arial" w:hAnsi="Arial" w:cs="Arial"/>
                                    <w:sz w:val="12"/>
                                  </w:rPr>
                                  <w:t>By Authority: GEOFF O. LAWN, Government Printer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  <v:textbox>
                    <w:txbxContent>
                      <w:p>
                        <w:pPr>
                          <w:ind w:left="2835" w:right="2268"/>
                          <w:rPr>
                            <w:ins w:id="77" w:author="Master Repository Process" w:date="2024-03-19T13:13:00Z"/>
                            <w:sz w:val="16"/>
                          </w:rPr>
                        </w:pPr>
                        <w:ins w:id="78" w:author="Master Repository Process" w:date="2024-03-19T13:13:00Z">
                          <w:r>
                            <w:rPr>
                              <w:sz w:val="16"/>
                            </w:rPr>
                            <w:t xml:space="preserve">© State of Western Australia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DOCPROPERTY CommencementYear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2023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835" w:right="2268"/>
                          <w:rPr>
                            <w:ins w:id="79" w:author="Master Repository Process" w:date="2024-03-19T13:13:00Z"/>
                            <w:sz w:val="16"/>
                          </w:rPr>
                        </w:pPr>
                        <w:ins w:id="80" w:author="Master Repository Process" w:date="2024-03-19T13:13:00Z">
                          <w:r>
                            <w:rPr>
                              <w:sz w:val="16"/>
                            </w:rPr>
                            <w:t xml:space="preserve">This work is licensed under a Creative Commons Attribution 4.0 International Licence (CC BY 4.0). To view relevant information and for a link to a copy of the licence, visit </w:t>
                          </w:r>
                          <w:r>
                            <w:rPr>
                              <w:sz w:val="16"/>
                              <w:u w:val="single"/>
                            </w:rPr>
                            <w:t>www.legislation.wa.gov.au</w:t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835" w:right="2268"/>
                          <w:rPr>
                            <w:ins w:id="81" w:author="Master Repository Process" w:date="2024-03-19T13:13:00Z"/>
                            <w:sz w:val="16"/>
                          </w:rPr>
                        </w:pPr>
                        <w:ins w:id="82" w:author="Master Repository Process" w:date="2024-03-19T13:13:00Z">
                          <w:r>
                            <w:rPr>
                              <w:sz w:val="16"/>
                            </w:rPr>
                            <w:t xml:space="preserve">Attribute work as: © State of Western Australia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DOCPROPERTY CommencementYear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2023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438" w:right="2098"/>
                          <w:jc w:val="center"/>
                          <w:rPr>
                            <w:ins w:id="83" w:author="Master Repository Process" w:date="2024-03-19T13:13:00Z"/>
                            <w:rFonts w:ascii="Arial" w:hAnsi="Arial" w:cs="Arial"/>
                            <w:sz w:val="12"/>
                          </w:rPr>
                        </w:pPr>
                        <w:ins w:id="84" w:author="Master Repository Process" w:date="2024-03-19T13:13:00Z">
                          <w:r>
                            <w:rPr>
                              <w:rFonts w:ascii="Arial" w:hAnsi="Arial" w:cs="Arial"/>
                              <w:sz w:val="12"/>
                            </w:rPr>
                            <w:t>By Authority: GEOFF O. LAWN, Government Printer</w:t>
                          </w:r>
                        </w:ins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ins>
    </w:p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7" w:h="16840" w:code="9"/>
      <w:pgMar w:top="2381" w:right="2410" w:bottom="2977" w:left="2410" w:header="720" w:footer="3544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01-d0-05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24 Oct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01-e0-02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01-d0-05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24 Oct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01-e0-02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01-d0-05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24 Oct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01-e0-02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Employers Indemnity Policies (Premium Rates) Act 1990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64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Employers Indemnity Policies (Premium Rates) Act 1990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67" w:name="Compilation"/>
    <w:bookmarkEnd w:id="67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85" w:name="Coversheet"/>
    <w:bookmarkEnd w:id="8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Employers Indemnity Policies (Premium Rates) Act 1990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Employers Indemnity Policies (Premium Rates) Act 1990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Employers Indemnity Policies (Premium Rates) Act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Employers Indemnity Policies (Premium Rates) Act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2086C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924D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0C1B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56A9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D40C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24B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548D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1C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D07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982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7CBA8330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40314162314"/>
    <w:docVar w:name="WAFER_20140123094131" w:val="RemoveTocBookmarks,RemoveUnusedBookmarks,RemoveLanguageTags,UsedStyles,ResetPageSize,UpdateArrangement"/>
    <w:docVar w:name="WAFER_20140123094131_GUID" w:val="55ea3de3-921a-496b-85e0-61655ae9fe15"/>
    <w:docVar w:name="WAFER_20140123094740" w:val="RemoveTocBookmarks,RunningHeaders"/>
    <w:docVar w:name="WAFER_20140123094740_GUID" w:val="d853bc01-dba4-48bf-a4ab-41cd331cbbf1"/>
    <w:docVar w:name="WAFER_20150414135051" w:val="ResetPageSize,UpdateArrangement,UpdateNTable"/>
    <w:docVar w:name="WAFER_20150414135051_GUID" w:val="02f3fd23-28ee-4627-8e6e-122511d2f221"/>
    <w:docVar w:name="WAFER_20151105120131" w:val="UpdateStyles,UsedStyles"/>
    <w:docVar w:name="WAFER_20151105120131_GUID" w:val="430688e7-21f2-4d46-bb4d-7d46e03912c7"/>
    <w:docVar w:name="WAFER_20231019133410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,RemoveIncorrectStyles.ProcessStyles"/>
    <w:docVar w:name="WAFER_20231019133410_GUID" w:val="f48b54ee-773f-4344-88ee-b750f873243e"/>
    <w:docVar w:name="WAFER_2023122209552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222095524_GUID" w:val="347c9580-29a8-4aae-8f55-438190cad6e5"/>
    <w:docVar w:name="WAFER_2024031416231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40314162314_GUID" w:val="0b676524-00bf-4781-b579-1b3b91d49cf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3A67632-B509-4080-9FA6-3F984BD8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4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708</Words>
  <Characters>3548</Characters>
  <Application>Microsoft Office Word</Application>
  <DocSecurity>0</DocSecurity>
  <Lines>126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Employers Indemnity Policies (Premium Rates) Act 1990 01-d0-05 - 01-e0-02</dc:title>
  <dc:subject/>
  <dc:creator/>
  <cp:keywords/>
  <dc:description/>
  <cp:lastModifiedBy>Master Repository Process</cp:lastModifiedBy>
  <cp:revision>2</cp:revision>
  <cp:lastPrinted>2002-10-09T07:56:00Z</cp:lastPrinted>
  <dcterms:created xsi:type="dcterms:W3CDTF">2024-03-19T05:13:00Z</dcterms:created>
  <dcterms:modified xsi:type="dcterms:W3CDTF">2024-03-19T05:13:00Z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69 of 1990</vt:lpwstr>
  </property>
  <property fmtid="{D5CDD505-2E9C-101B-9397-08002B2CF9AE}" pid="3" name="DocumentType">
    <vt:lpwstr>Act</vt:lpwstr>
  </property>
  <property fmtid="{D5CDD505-2E9C-101B-9397-08002B2CF9AE}" pid="4" name="OwlsUID">
    <vt:i4>246</vt:i4>
  </property>
  <property fmtid="{D5CDD505-2E9C-101B-9397-08002B2CF9AE}" pid="5" name="Official">
    <vt:lpwstr/>
  </property>
  <property fmtid="{D5CDD505-2E9C-101B-9397-08002B2CF9AE}" pid="6" name="CommencementDate">
    <vt:lpwstr>20231024</vt:lpwstr>
  </property>
  <property fmtid="{D5CDD505-2E9C-101B-9397-08002B2CF9AE}" pid="7" name="CommencementYear">
    <vt:lpwstr>2023</vt:lpwstr>
  </property>
  <property fmtid="{D5CDD505-2E9C-101B-9397-08002B2CF9AE}" pid="8" name="FromSuffix">
    <vt:lpwstr>01-d0-05</vt:lpwstr>
  </property>
  <property fmtid="{D5CDD505-2E9C-101B-9397-08002B2CF9AE}" pid="9" name="FromAsAtDate">
    <vt:lpwstr>11 Sep 2010</vt:lpwstr>
  </property>
  <property fmtid="{D5CDD505-2E9C-101B-9397-08002B2CF9AE}" pid="10" name="ToSuffix">
    <vt:lpwstr>01-e0-02</vt:lpwstr>
  </property>
  <property fmtid="{D5CDD505-2E9C-101B-9397-08002B2CF9AE}" pid="11" name="ToAsAtDate">
    <vt:lpwstr>24 Oct 2023</vt:lpwstr>
  </property>
</Properties>
</file>