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Feb 2019</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800"/>
      </w:pPr>
      <w:r>
        <w:t>Western Australian Marine Act 1982</w:t>
      </w:r>
    </w:p>
    <w:p>
      <w:pPr>
        <w:pStyle w:val="LongTitle"/>
        <w:rPr>
          <w:snapToGrid w:val="0"/>
        </w:rPr>
      </w:pPr>
      <w:r>
        <w:rPr>
          <w:snapToGrid w:val="0"/>
        </w:rPr>
        <w:t>A</w:t>
      </w:r>
      <w:bookmarkStart w:id="1" w:name="_GoBack"/>
      <w:bookmarkEnd w:id="1"/>
      <w:r>
        <w:rPr>
          <w:snapToGrid w:val="0"/>
        </w:rPr>
        <w:t>n Act to regulate navigation and shipping.</w:t>
      </w:r>
    </w:p>
    <w:p>
      <w:pPr>
        <w:pStyle w:val="Heading2"/>
      </w:pPr>
      <w:bookmarkStart w:id="2" w:name="_Toc155177563"/>
      <w:bookmarkStart w:id="3" w:name="_Toc132296244"/>
      <w:r>
        <w:rPr>
          <w:rStyle w:val="CharPartNo"/>
        </w:rPr>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155177564"/>
      <w:bookmarkStart w:id="5" w:name="_Toc132296245"/>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rPr>
        <w:t>.</w:t>
      </w:r>
    </w:p>
    <w:p>
      <w:pPr>
        <w:pStyle w:val="Heading5"/>
        <w:rPr>
          <w:snapToGrid w:val="0"/>
        </w:rPr>
      </w:pPr>
      <w:bookmarkStart w:id="6" w:name="_Toc155177565"/>
      <w:bookmarkStart w:id="7" w:name="_Toc132296246"/>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p>
    <w:p>
      <w:pPr>
        <w:pStyle w:val="Heading5"/>
        <w:rPr>
          <w:snapToGrid w:val="0"/>
        </w:rPr>
      </w:pPr>
      <w:bookmarkStart w:id="8" w:name="_Toc155177566"/>
      <w:bookmarkStart w:id="9" w:name="_Toc132296247"/>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rPr>
          <w:vertAlign w:val="superscript"/>
        </w:rPr>
        <w:t> 1</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 or</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spacing w:before="60"/>
      </w:pPr>
      <w:r>
        <w:tab/>
        <w:t>(a)</w:t>
      </w:r>
      <w:r>
        <w:tab/>
        <w:t>operations within a limit of 200 nautical miles to seaward of the coast; or</w:t>
      </w:r>
    </w:p>
    <w:p>
      <w:pPr>
        <w:pStyle w:val="Defpara"/>
        <w:spacing w:before="60"/>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spacing w:before="60"/>
      </w:pPr>
      <w:r>
        <w:tab/>
        <w:t>(a)</w:t>
      </w:r>
      <w:r>
        <w:tab/>
        <w:t>the master, members of the crew, other persons employed or engaged in any capacity on board the vessel in the business of that vessel, and special personnel; and</w:t>
      </w:r>
    </w:p>
    <w:p>
      <w:pPr>
        <w:pStyle w:val="Defpara"/>
        <w:spacing w:before="60"/>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No. 35 of 1990 s. 4 and 21; No. 47 of 1993 s. 33(1); No. 57 of 1997 s. 130(1); No. 7 of 2004 s. 70; No. 55 of 2004 s. 1309.]</w:t>
      </w:r>
    </w:p>
    <w:p>
      <w:pPr>
        <w:pStyle w:val="Heading5"/>
        <w:rPr>
          <w:snapToGrid w:val="0"/>
        </w:rPr>
      </w:pPr>
      <w:bookmarkStart w:id="10" w:name="_Toc155177567"/>
      <w:bookmarkStart w:id="11" w:name="_Toc132296248"/>
      <w:r>
        <w:rPr>
          <w:rStyle w:val="CharSectno"/>
        </w:rPr>
        <w:t>4</w:t>
      </w:r>
      <w:r>
        <w:rPr>
          <w:snapToGrid w:val="0"/>
        </w:rPr>
        <w:t>.</w:t>
      </w:r>
      <w:r>
        <w:rPr>
          <w:snapToGrid w:val="0"/>
        </w:rPr>
        <w:tab/>
        <w:t>Act not to apply to naval ships etc.</w:t>
      </w:r>
      <w:bookmarkEnd w:id="10"/>
      <w:bookmarkEnd w:id="11"/>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12" w:name="_Toc155177568"/>
      <w:bookmarkStart w:id="13" w:name="_Toc132296249"/>
      <w:r>
        <w:rPr>
          <w:rStyle w:val="CharSectno"/>
        </w:rPr>
        <w:t>5</w:t>
      </w:r>
      <w:r>
        <w:rPr>
          <w:snapToGrid w:val="0"/>
        </w:rPr>
        <w:t>.</w:t>
      </w:r>
      <w:r>
        <w:rPr>
          <w:snapToGrid w:val="0"/>
        </w:rPr>
        <w:tab/>
        <w:t>Application to Crown</w:t>
      </w:r>
      <w:bookmarkEnd w:id="12"/>
      <w:bookmarkEnd w:id="13"/>
    </w:p>
    <w:p>
      <w:pPr>
        <w:pStyle w:val="Subsection"/>
        <w:rPr>
          <w:snapToGrid w:val="0"/>
        </w:rPr>
      </w:pPr>
      <w:r>
        <w:rPr>
          <w:snapToGrid w:val="0"/>
        </w:rPr>
        <w:tab/>
      </w:r>
      <w:r>
        <w:rPr>
          <w:snapToGrid w:val="0"/>
        </w:rPr>
        <w:tab/>
        <w:t>This Act binds the Crown.</w:t>
      </w:r>
    </w:p>
    <w:p>
      <w:pPr>
        <w:pStyle w:val="Heading5"/>
        <w:rPr>
          <w:snapToGrid w:val="0"/>
        </w:rPr>
      </w:pPr>
      <w:bookmarkStart w:id="14" w:name="_Toc155177569"/>
      <w:bookmarkStart w:id="15" w:name="_Toc132296250"/>
      <w:r>
        <w:rPr>
          <w:rStyle w:val="CharSectno"/>
        </w:rPr>
        <w:t>6</w:t>
      </w:r>
      <w:r>
        <w:rPr>
          <w:snapToGrid w:val="0"/>
        </w:rPr>
        <w:t>.</w:t>
      </w:r>
      <w:r>
        <w:rPr>
          <w:snapToGrid w:val="0"/>
        </w:rPr>
        <w:tab/>
        <w:t>Application to intra</w:t>
      </w:r>
      <w:r>
        <w:rPr>
          <w:snapToGrid w:val="0"/>
        </w:rPr>
        <w:noBreakHyphen/>
        <w:t>state voyages etc.</w:t>
      </w:r>
      <w:bookmarkEnd w:id="14"/>
      <w:bookmarkEnd w:id="15"/>
    </w:p>
    <w:p>
      <w:pPr>
        <w:pStyle w:val="Subsection"/>
        <w:keepNext/>
        <w:rPr>
          <w:snapToGrid w:val="0"/>
        </w:rPr>
      </w:pPr>
      <w:r>
        <w:rPr>
          <w:snapToGrid w:val="0"/>
        </w:rPr>
        <w:tab/>
        <w:t>(1)</w:t>
      </w:r>
      <w:r>
        <w:rPr>
          <w:snapToGrid w:val="0"/>
        </w:rPr>
        <w:tab/>
        <w:t>Except where the context otherwise requires, this Act applies in relation to —</w:t>
      </w:r>
    </w:p>
    <w:p>
      <w:pPr>
        <w:pStyle w:val="Indenta"/>
        <w:spacing w:before="70"/>
        <w:rPr>
          <w:snapToGrid w:val="0"/>
        </w:rPr>
      </w:pPr>
      <w:r>
        <w:rPr>
          <w:snapToGrid w:val="0"/>
        </w:rPr>
        <w:tab/>
        <w:t>(a)</w:t>
      </w:r>
      <w:r>
        <w:rPr>
          <w:snapToGrid w:val="0"/>
        </w:rPr>
        <w:tab/>
        <w:t>a trading ship proceeding on an intra</w:t>
      </w:r>
      <w:r>
        <w:rPr>
          <w:snapToGrid w:val="0"/>
        </w:rPr>
        <w:noBreakHyphen/>
        <w:t>state voyage; and</w:t>
      </w:r>
    </w:p>
    <w:p>
      <w:pPr>
        <w:pStyle w:val="Indenta"/>
        <w:spacing w:before="70"/>
        <w:rPr>
          <w:snapToGrid w:val="0"/>
        </w:rPr>
      </w:pPr>
      <w:r>
        <w:rPr>
          <w:snapToGrid w:val="0"/>
        </w:rPr>
        <w:tab/>
        <w:t>(b)</w:t>
      </w:r>
      <w:r>
        <w:rPr>
          <w:snapToGrid w:val="0"/>
        </w:rPr>
        <w:tab/>
        <w:t>an Australian fishing vessel, a hire and drive vessel, and a pleasure vessel, proceeding on —</w:t>
      </w:r>
    </w:p>
    <w:p>
      <w:pPr>
        <w:pStyle w:val="Indenti"/>
        <w:spacing w:before="70"/>
        <w:rPr>
          <w:snapToGrid w:val="0"/>
        </w:rPr>
      </w:pPr>
      <w:r>
        <w:rPr>
          <w:snapToGrid w:val="0"/>
        </w:rPr>
        <w:tab/>
        <w:t>(i)</w:t>
      </w:r>
      <w:r>
        <w:rPr>
          <w:snapToGrid w:val="0"/>
        </w:rPr>
        <w:tab/>
        <w:t>an intra</w:t>
      </w:r>
      <w:r>
        <w:rPr>
          <w:snapToGrid w:val="0"/>
        </w:rPr>
        <w:noBreakHyphen/>
        <w:t>state voyage; or</w:t>
      </w:r>
    </w:p>
    <w:p>
      <w:pPr>
        <w:pStyle w:val="Indenti"/>
        <w:spacing w:before="70"/>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spacing w:before="70"/>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spacing w:before="70"/>
        <w:rPr>
          <w:snapToGrid w:val="0"/>
        </w:rPr>
      </w:pPr>
      <w:r>
        <w:rPr>
          <w:snapToGrid w:val="0"/>
        </w:rPr>
        <w:tab/>
        <w:t>(i)</w:t>
      </w:r>
      <w:r>
        <w:rPr>
          <w:snapToGrid w:val="0"/>
        </w:rPr>
        <w:tab/>
        <w:t>the territorial sea adjacent to the State; and</w:t>
      </w:r>
    </w:p>
    <w:p>
      <w:pPr>
        <w:pStyle w:val="Indenti"/>
        <w:spacing w:before="70"/>
        <w:rPr>
          <w:snapToGrid w:val="0"/>
        </w:rPr>
      </w:pPr>
      <w:r>
        <w:rPr>
          <w:snapToGrid w:val="0"/>
        </w:rPr>
        <w:tab/>
        <w:t>(ii)</w:t>
      </w:r>
      <w:r>
        <w:rPr>
          <w:snapToGrid w:val="0"/>
        </w:rPr>
        <w:tab/>
        <w:t>the sea on the landward side of the territorial sea adjacent to the State that is not within the limits of the State; and</w:t>
      </w:r>
    </w:p>
    <w:p>
      <w:pPr>
        <w:pStyle w:val="Indenti"/>
        <w:spacing w:before="70"/>
        <w:rPr>
          <w:snapToGrid w:val="0"/>
        </w:rPr>
      </w:pPr>
      <w:r>
        <w:rPr>
          <w:snapToGrid w:val="0"/>
        </w:rPr>
        <w:tab/>
        <w:t>(iii)</w:t>
      </w:r>
      <w:r>
        <w:rPr>
          <w:snapToGrid w:val="0"/>
        </w:rPr>
        <w:tab/>
        <w:t>waters within the limits of the State,</w:t>
      </w:r>
    </w:p>
    <w:p>
      <w:pPr>
        <w:pStyle w:val="Subsection"/>
        <w:spacing w:before="120"/>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spacing w:before="60"/>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spacing w:before="60"/>
        <w:rPr>
          <w:snapToGrid w:val="0"/>
        </w:rPr>
      </w:pPr>
      <w:r>
        <w:rPr>
          <w:snapToGrid w:val="0"/>
        </w:rPr>
        <w:tab/>
        <w:t>(b)</w:t>
      </w:r>
      <w:r>
        <w:rPr>
          <w:snapToGrid w:val="0"/>
        </w:rPr>
        <w:tab/>
        <w:t>an Australian fishing vessel proceeding on an overseas voyage,</w:t>
      </w:r>
    </w:p>
    <w:p>
      <w:pPr>
        <w:pStyle w:val="Subsection"/>
        <w:spacing w:before="120"/>
        <w:rPr>
          <w:snapToGrid w:val="0"/>
        </w:rPr>
      </w:pPr>
      <w:r>
        <w:rPr>
          <w:snapToGrid w:val="0"/>
        </w:rPr>
        <w:tab/>
      </w:r>
      <w:r>
        <w:rPr>
          <w:snapToGrid w:val="0"/>
        </w:rPr>
        <w:tab/>
        <w:t>or in relation to its owner, master or crew.</w:t>
      </w:r>
    </w:p>
    <w:p>
      <w:pPr>
        <w:pStyle w:val="Subsection"/>
        <w:spacing w:before="120"/>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spacing w:before="120"/>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spacing w:before="120"/>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spacing w:before="120"/>
        <w:rPr>
          <w:snapToGrid w:val="0"/>
        </w:rPr>
      </w:pPr>
      <w:r>
        <w:rPr>
          <w:snapToGrid w:val="0"/>
        </w:rPr>
        <w:tab/>
        <w:t>(6)</w:t>
      </w:r>
      <w:r>
        <w:rPr>
          <w:snapToGrid w:val="0"/>
        </w:rPr>
        <w:tab/>
        <w:t>For the purposes of this section, a vessel is connected with the State which —</w:t>
      </w:r>
    </w:p>
    <w:p>
      <w:pPr>
        <w:pStyle w:val="Indenta"/>
        <w:spacing w:before="60"/>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 or</w:t>
      </w:r>
    </w:p>
    <w:p>
      <w:pPr>
        <w:pStyle w:val="Indenta"/>
        <w:spacing w:before="60"/>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 or</w:t>
      </w:r>
    </w:p>
    <w:p>
      <w:pPr>
        <w:pStyle w:val="Indenta"/>
        <w:spacing w:before="60"/>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spacing w:before="60"/>
        <w:rPr>
          <w:snapToGrid w:val="0"/>
        </w:rPr>
      </w:pPr>
      <w:r>
        <w:rPr>
          <w:snapToGrid w:val="0"/>
        </w:rPr>
        <w:tab/>
        <w:t>(d)</w:t>
      </w:r>
      <w:r>
        <w:rPr>
          <w:snapToGrid w:val="0"/>
        </w:rPr>
        <w:tab/>
        <w:t>is registered or licensed or required to be registered or licensed under a law of the State.</w:t>
      </w:r>
    </w:p>
    <w:p>
      <w:pPr>
        <w:pStyle w:val="Heading2"/>
      </w:pPr>
      <w:bookmarkStart w:id="16" w:name="_Toc155177570"/>
      <w:bookmarkStart w:id="17" w:name="_Toc132296251"/>
      <w:r>
        <w:rPr>
          <w:rStyle w:val="CharPartNo"/>
        </w:rPr>
        <w:t>Part II</w:t>
      </w:r>
      <w:r>
        <w:t> — </w:t>
      </w:r>
      <w:r>
        <w:rPr>
          <w:rStyle w:val="CharPartText"/>
        </w:rPr>
        <w:t>Survey, manning and operation of commercial vessels</w:t>
      </w:r>
      <w:bookmarkEnd w:id="16"/>
      <w:bookmarkEnd w:id="17"/>
    </w:p>
    <w:p>
      <w:pPr>
        <w:pStyle w:val="Heading3"/>
      </w:pPr>
      <w:bookmarkStart w:id="18" w:name="_Toc155177571"/>
      <w:bookmarkStart w:id="19" w:name="_Toc132296252"/>
      <w:r>
        <w:rPr>
          <w:rStyle w:val="CharDivNo"/>
        </w:rPr>
        <w:t>Division 1</w:t>
      </w:r>
      <w:r>
        <w:rPr>
          <w:snapToGrid w:val="0"/>
        </w:rPr>
        <w:t> — </w:t>
      </w:r>
      <w:r>
        <w:rPr>
          <w:rStyle w:val="CharDivText"/>
        </w:rPr>
        <w:t>General</w:t>
      </w:r>
      <w:bookmarkEnd w:id="18"/>
      <w:bookmarkEnd w:id="19"/>
    </w:p>
    <w:p>
      <w:pPr>
        <w:pStyle w:val="Heading5"/>
        <w:rPr>
          <w:snapToGrid w:val="0"/>
        </w:rPr>
      </w:pPr>
      <w:bookmarkStart w:id="20" w:name="_Toc155177572"/>
      <w:bookmarkStart w:id="21" w:name="_Toc132296253"/>
      <w:r>
        <w:rPr>
          <w:rStyle w:val="CharSectno"/>
        </w:rPr>
        <w:t>7</w:t>
      </w:r>
      <w:r>
        <w:rPr>
          <w:snapToGrid w:val="0"/>
        </w:rPr>
        <w:t>.</w:t>
      </w:r>
      <w:r>
        <w:rPr>
          <w:snapToGrid w:val="0"/>
        </w:rPr>
        <w:tab/>
        <w:t>Operational areas and classification of vessels</w:t>
      </w:r>
      <w:bookmarkEnd w:id="20"/>
      <w:bookmarkEnd w:id="21"/>
    </w:p>
    <w:p>
      <w:pPr>
        <w:pStyle w:val="Subsection"/>
        <w:spacing w:before="120"/>
        <w:rPr>
          <w:snapToGrid w:val="0"/>
        </w:rPr>
      </w:pPr>
      <w:r>
        <w:rPr>
          <w:snapToGrid w:val="0"/>
        </w:rPr>
        <w:tab/>
      </w:r>
      <w:r>
        <w:rPr>
          <w:snapToGrid w:val="0"/>
        </w:rPr>
        <w:tab/>
        <w:t>For the purposes of this Part, the Governor may make regulations —</w:t>
      </w:r>
    </w:p>
    <w:p>
      <w:pPr>
        <w:pStyle w:val="Indenta"/>
        <w:spacing w:before="60"/>
        <w:rPr>
          <w:snapToGrid w:val="0"/>
        </w:rPr>
      </w:pPr>
      <w:r>
        <w:rPr>
          <w:snapToGrid w:val="0"/>
        </w:rPr>
        <w:tab/>
        <w:t>(a)</w:t>
      </w:r>
      <w:r>
        <w:rPr>
          <w:snapToGrid w:val="0"/>
        </w:rPr>
        <w:tab/>
        <w:t>prescribing operational areas which may be applied in relation to the limits of a vessel’s area of operations;</w:t>
      </w:r>
    </w:p>
    <w:p>
      <w:pPr>
        <w:pStyle w:val="Indenta"/>
        <w:spacing w:before="60"/>
        <w:rPr>
          <w:snapToGrid w:val="0"/>
        </w:rPr>
      </w:pPr>
      <w:r>
        <w:rPr>
          <w:snapToGrid w:val="0"/>
        </w:rPr>
        <w:tab/>
        <w:t>(b)</w:t>
      </w:r>
      <w:r>
        <w:rPr>
          <w:snapToGrid w:val="0"/>
        </w:rPr>
        <w:tab/>
        <w:t>for the classification of vessels.</w:t>
      </w:r>
    </w:p>
    <w:p>
      <w:pPr>
        <w:pStyle w:val="Ednotesection"/>
      </w:pPr>
      <w:r>
        <w:t>[</w:t>
      </w:r>
      <w:r>
        <w:rPr>
          <w:b/>
        </w:rPr>
        <w:t>8.</w:t>
      </w:r>
      <w:r>
        <w:tab/>
        <w:t>Deleted: No. 35 of 1990 s. 5.]</w:t>
      </w:r>
    </w:p>
    <w:p>
      <w:pPr>
        <w:pStyle w:val="Heading3"/>
      </w:pPr>
      <w:bookmarkStart w:id="22" w:name="_Toc155177573"/>
      <w:bookmarkStart w:id="23" w:name="_Toc132296254"/>
      <w:r>
        <w:rPr>
          <w:rStyle w:val="CharDivNo"/>
        </w:rPr>
        <w:t>Division 2</w:t>
      </w:r>
      <w:r>
        <w:rPr>
          <w:snapToGrid w:val="0"/>
        </w:rPr>
        <w:t> — </w:t>
      </w:r>
      <w:r>
        <w:rPr>
          <w:rStyle w:val="CharDivText"/>
        </w:rPr>
        <w:t>Examinations and certificates of competency</w:t>
      </w:r>
      <w:bookmarkEnd w:id="22"/>
      <w:bookmarkEnd w:id="23"/>
    </w:p>
    <w:p>
      <w:pPr>
        <w:pStyle w:val="Heading5"/>
        <w:rPr>
          <w:snapToGrid w:val="0"/>
        </w:rPr>
      </w:pPr>
      <w:bookmarkStart w:id="24" w:name="_Toc155177574"/>
      <w:bookmarkStart w:id="25" w:name="_Toc132296255"/>
      <w:r>
        <w:rPr>
          <w:rStyle w:val="CharSectno"/>
        </w:rPr>
        <w:t>9</w:t>
      </w:r>
      <w:r>
        <w:rPr>
          <w:snapToGrid w:val="0"/>
        </w:rPr>
        <w:t>.</w:t>
      </w:r>
      <w:r>
        <w:rPr>
          <w:snapToGrid w:val="0"/>
        </w:rPr>
        <w:tab/>
        <w:t>Issue of certificates of competency after examinations</w:t>
      </w:r>
      <w:bookmarkEnd w:id="24"/>
      <w:bookmarkEnd w:id="25"/>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No. 35 of 1990 s. 21.]</w:t>
      </w:r>
    </w:p>
    <w:p>
      <w:pPr>
        <w:pStyle w:val="Heading5"/>
        <w:keepNext w:val="0"/>
        <w:keepLines w:val="0"/>
        <w:rPr>
          <w:snapToGrid w:val="0"/>
        </w:rPr>
      </w:pPr>
      <w:bookmarkStart w:id="26" w:name="_Toc155177575"/>
      <w:bookmarkStart w:id="27" w:name="_Toc132296256"/>
      <w:r>
        <w:rPr>
          <w:rStyle w:val="CharSectno"/>
        </w:rPr>
        <w:t>10</w:t>
      </w:r>
      <w:r>
        <w:rPr>
          <w:snapToGrid w:val="0"/>
        </w:rPr>
        <w:t>.</w:t>
      </w:r>
      <w:r>
        <w:rPr>
          <w:snapToGrid w:val="0"/>
        </w:rPr>
        <w:tab/>
        <w:t>Regulations in respect of examinations and certificates of competency</w:t>
      </w:r>
      <w:bookmarkEnd w:id="26"/>
      <w:bookmarkEnd w:id="27"/>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 and</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 and</w:t>
      </w:r>
    </w:p>
    <w:p>
      <w:pPr>
        <w:pStyle w:val="Indenta"/>
        <w:rPr>
          <w:snapToGrid w:val="0"/>
        </w:rPr>
      </w:pPr>
      <w:r>
        <w:rPr>
          <w:snapToGrid w:val="0"/>
        </w:rPr>
        <w:tab/>
        <w:t>(c)</w:t>
      </w:r>
      <w:r>
        <w:rPr>
          <w:snapToGrid w:val="0"/>
        </w:rPr>
        <w:tab/>
        <w:t>prescribing the qualifications required to be possessed by candidates for examinations under this Division; and</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 and</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 and</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 and</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 and</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Footnotesection"/>
      </w:pPr>
      <w:r>
        <w:tab/>
        <w:t>[Section 10 amended: No. 55 of 2004 s. 1310.]</w:t>
      </w:r>
    </w:p>
    <w:p>
      <w:pPr>
        <w:pStyle w:val="Heading5"/>
        <w:rPr>
          <w:snapToGrid w:val="0"/>
        </w:rPr>
      </w:pPr>
      <w:bookmarkStart w:id="28" w:name="_Toc155177576"/>
      <w:bookmarkStart w:id="29" w:name="_Toc132296257"/>
      <w:r>
        <w:rPr>
          <w:rStyle w:val="CharSectno"/>
        </w:rPr>
        <w:t>11</w:t>
      </w:r>
      <w:r>
        <w:rPr>
          <w:snapToGrid w:val="0"/>
        </w:rPr>
        <w:t>.</w:t>
      </w:r>
      <w:r>
        <w:rPr>
          <w:snapToGrid w:val="0"/>
        </w:rPr>
        <w:tab/>
        <w:t>Constituting the SAT</w:t>
      </w:r>
      <w:bookmarkEnd w:id="28"/>
      <w:bookmarkEnd w:id="29"/>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No. 55 of 2004 s. 1311.]</w:t>
      </w:r>
    </w:p>
    <w:p>
      <w:pPr>
        <w:pStyle w:val="Heading3"/>
      </w:pPr>
      <w:bookmarkStart w:id="30" w:name="_Toc155177577"/>
      <w:bookmarkStart w:id="31" w:name="_Toc132296258"/>
      <w:r>
        <w:rPr>
          <w:rStyle w:val="CharDivNo"/>
        </w:rPr>
        <w:t>Division 3</w:t>
      </w:r>
      <w:r>
        <w:rPr>
          <w:snapToGrid w:val="0"/>
        </w:rPr>
        <w:t> — </w:t>
      </w:r>
      <w:r>
        <w:rPr>
          <w:rStyle w:val="CharDivText"/>
        </w:rPr>
        <w:t>Safety manning</w:t>
      </w:r>
      <w:bookmarkEnd w:id="30"/>
      <w:bookmarkEnd w:id="31"/>
    </w:p>
    <w:p>
      <w:pPr>
        <w:pStyle w:val="Heading5"/>
        <w:rPr>
          <w:snapToGrid w:val="0"/>
        </w:rPr>
      </w:pPr>
      <w:bookmarkStart w:id="32" w:name="_Toc155177578"/>
      <w:bookmarkStart w:id="33" w:name="_Toc132296259"/>
      <w:r>
        <w:rPr>
          <w:rStyle w:val="CharSectno"/>
        </w:rPr>
        <w:t>12</w:t>
      </w:r>
      <w:r>
        <w:rPr>
          <w:snapToGrid w:val="0"/>
        </w:rPr>
        <w:t>.</w:t>
      </w:r>
      <w:r>
        <w:rPr>
          <w:snapToGrid w:val="0"/>
        </w:rPr>
        <w:tab/>
        <w:t>Regulations in respect of safety manning</w:t>
      </w:r>
      <w:bookmarkEnd w:id="32"/>
      <w:bookmarkEnd w:id="33"/>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 and</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34" w:name="_Toc155177579"/>
      <w:bookmarkStart w:id="35" w:name="_Toc132296260"/>
      <w:r>
        <w:rPr>
          <w:rStyle w:val="CharSectno"/>
        </w:rPr>
        <w:t>13</w:t>
      </w:r>
      <w:r>
        <w:rPr>
          <w:snapToGrid w:val="0"/>
        </w:rPr>
        <w:t>.</w:t>
      </w:r>
      <w:r>
        <w:rPr>
          <w:snapToGrid w:val="0"/>
        </w:rPr>
        <w:tab/>
        <w:t>Penalty for acting when uncertificated or employing uncertificated person</w:t>
      </w:r>
      <w:bookmarkEnd w:id="34"/>
      <w:bookmarkEnd w:id="3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36" w:name="_Toc155177580"/>
      <w:bookmarkStart w:id="37" w:name="_Toc132296261"/>
      <w:r>
        <w:rPr>
          <w:rStyle w:val="CharSectno"/>
        </w:rPr>
        <w:t>14</w:t>
      </w:r>
      <w:r>
        <w:rPr>
          <w:snapToGrid w:val="0"/>
        </w:rPr>
        <w:t>.</w:t>
      </w:r>
      <w:r>
        <w:rPr>
          <w:snapToGrid w:val="0"/>
        </w:rPr>
        <w:tab/>
        <w:t>Penalty for beginning a voyage under</w:t>
      </w:r>
      <w:r>
        <w:rPr>
          <w:snapToGrid w:val="0"/>
        </w:rPr>
        <w:noBreakHyphen/>
        <w:t>manned</w:t>
      </w:r>
      <w:bookmarkEnd w:id="36"/>
      <w:bookmarkEnd w:id="37"/>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38" w:name="_Toc155177581"/>
      <w:bookmarkStart w:id="39" w:name="_Toc132296262"/>
      <w:r>
        <w:rPr>
          <w:rStyle w:val="CharSectno"/>
        </w:rPr>
        <w:t>15</w:t>
      </w:r>
      <w:r>
        <w:rPr>
          <w:snapToGrid w:val="0"/>
        </w:rPr>
        <w:t>.</w:t>
      </w:r>
      <w:r>
        <w:rPr>
          <w:snapToGrid w:val="0"/>
        </w:rPr>
        <w:tab/>
        <w:t>Manning Committee</w:t>
      </w:r>
      <w:bookmarkEnd w:id="38"/>
      <w:bookmarkEnd w:id="39"/>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 and</w:t>
      </w:r>
    </w:p>
    <w:p>
      <w:pPr>
        <w:pStyle w:val="Indenta"/>
        <w:rPr>
          <w:snapToGrid w:val="0"/>
        </w:rPr>
      </w:pPr>
      <w:r>
        <w:rPr>
          <w:snapToGrid w:val="0"/>
        </w:rPr>
        <w:tab/>
        <w:t>(b)</w:t>
      </w:r>
      <w:r>
        <w:rPr>
          <w:snapToGrid w:val="0"/>
        </w:rPr>
        <w:tab/>
        <w:t>the Manager, Shipping and Navigation Division of the Department; and</w:t>
      </w:r>
    </w:p>
    <w:p>
      <w:pPr>
        <w:pStyle w:val="Indenta"/>
        <w:rPr>
          <w:snapToGrid w:val="0"/>
        </w:rPr>
      </w:pPr>
      <w:r>
        <w:rPr>
          <w:snapToGrid w:val="0"/>
        </w:rPr>
        <w:tab/>
        <w:t>(c)</w:t>
      </w:r>
      <w:r>
        <w:rPr>
          <w:snapToGrid w:val="0"/>
        </w:rPr>
        <w:tab/>
        <w:t>the Manager, Survey Division of the Department; and</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 and</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 and</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No. 47 of 1993 s. 33(2); No. 32 of 1994 s. 19.]</w:t>
      </w:r>
    </w:p>
    <w:p>
      <w:pPr>
        <w:pStyle w:val="Heading5"/>
        <w:rPr>
          <w:snapToGrid w:val="0"/>
        </w:rPr>
      </w:pPr>
      <w:bookmarkStart w:id="40" w:name="_Toc155177582"/>
      <w:bookmarkStart w:id="41" w:name="_Toc132296263"/>
      <w:r>
        <w:rPr>
          <w:rStyle w:val="CharSectno"/>
        </w:rPr>
        <w:t>16</w:t>
      </w:r>
      <w:r>
        <w:rPr>
          <w:snapToGrid w:val="0"/>
        </w:rPr>
        <w:t>.</w:t>
      </w:r>
      <w:r>
        <w:rPr>
          <w:snapToGrid w:val="0"/>
        </w:rPr>
        <w:tab/>
        <w:t>Nomination of members by owner or agent</w:t>
      </w:r>
      <w:bookmarkEnd w:id="40"/>
      <w:bookmarkEnd w:id="41"/>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No. 47 of 1993 s. 33(2).]</w:t>
      </w:r>
    </w:p>
    <w:p>
      <w:pPr>
        <w:pStyle w:val="Heading5"/>
        <w:rPr>
          <w:snapToGrid w:val="0"/>
        </w:rPr>
      </w:pPr>
      <w:bookmarkStart w:id="42" w:name="_Toc155177583"/>
      <w:bookmarkStart w:id="43" w:name="_Toc132296264"/>
      <w:r>
        <w:rPr>
          <w:rStyle w:val="CharSectno"/>
        </w:rPr>
        <w:t>17</w:t>
      </w:r>
      <w:r>
        <w:rPr>
          <w:snapToGrid w:val="0"/>
        </w:rPr>
        <w:t>.</w:t>
      </w:r>
      <w:r>
        <w:rPr>
          <w:snapToGrid w:val="0"/>
        </w:rPr>
        <w:tab/>
        <w:t>Decisions of Manning Committee</w:t>
      </w:r>
      <w:bookmarkEnd w:id="42"/>
      <w:bookmarkEnd w:id="43"/>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44" w:name="_Toc155177584"/>
      <w:bookmarkStart w:id="45" w:name="_Toc132296265"/>
      <w:r>
        <w:rPr>
          <w:rStyle w:val="CharSectno"/>
        </w:rPr>
        <w:t>18</w:t>
      </w:r>
      <w:r>
        <w:rPr>
          <w:snapToGrid w:val="0"/>
        </w:rPr>
        <w:t>.</w:t>
      </w:r>
      <w:r>
        <w:rPr>
          <w:snapToGrid w:val="0"/>
        </w:rPr>
        <w:tab/>
        <w:t>Representatives’ voting powers</w:t>
      </w:r>
      <w:bookmarkEnd w:id="44"/>
      <w:bookmarkEnd w:id="45"/>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46" w:name="_Toc155177585"/>
      <w:bookmarkStart w:id="47" w:name="_Toc132296266"/>
      <w:r>
        <w:rPr>
          <w:rStyle w:val="CharSectno"/>
        </w:rPr>
        <w:t>19</w:t>
      </w:r>
      <w:r>
        <w:rPr>
          <w:snapToGrid w:val="0"/>
        </w:rPr>
        <w:t>.</w:t>
      </w:r>
      <w:r>
        <w:rPr>
          <w:snapToGrid w:val="0"/>
        </w:rPr>
        <w:tab/>
        <w:t>Minister may vary determination</w:t>
      </w:r>
      <w:bookmarkEnd w:id="46"/>
      <w:bookmarkEnd w:id="47"/>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48" w:name="_Toc155177586"/>
      <w:bookmarkStart w:id="49" w:name="_Toc132296267"/>
      <w:r>
        <w:rPr>
          <w:rStyle w:val="CharSectno"/>
        </w:rPr>
        <w:t>20</w:t>
      </w:r>
      <w:r>
        <w:rPr>
          <w:snapToGrid w:val="0"/>
        </w:rPr>
        <w:t>.</w:t>
      </w:r>
      <w:r>
        <w:rPr>
          <w:snapToGrid w:val="0"/>
        </w:rPr>
        <w:tab/>
        <w:t>Manning Committee may obtain information</w:t>
      </w:r>
      <w:bookmarkEnd w:id="48"/>
      <w:bookmarkEnd w:id="49"/>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 and</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examine witnesses on oath or affirmation, which may be administered by the chairman or a member; and</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 or</w:t>
      </w:r>
    </w:p>
    <w:p>
      <w:pPr>
        <w:pStyle w:val="Indenta"/>
        <w:rPr>
          <w:snapToGrid w:val="0"/>
        </w:rPr>
      </w:pPr>
      <w:r>
        <w:rPr>
          <w:snapToGrid w:val="0"/>
        </w:rPr>
        <w:tab/>
        <w:t>(b)</w:t>
      </w:r>
      <w:r>
        <w:rPr>
          <w:snapToGrid w:val="0"/>
        </w:rPr>
        <w:tab/>
        <w:t>wilfully insults the Manning Committee or any member of it; or</w:t>
      </w:r>
    </w:p>
    <w:p>
      <w:pPr>
        <w:pStyle w:val="Indenta"/>
        <w:rPr>
          <w:snapToGrid w:val="0"/>
        </w:rPr>
      </w:pPr>
      <w:r>
        <w:rPr>
          <w:snapToGrid w:val="0"/>
        </w:rPr>
        <w:tab/>
        <w:t>(c)</w:t>
      </w:r>
      <w:r>
        <w:rPr>
          <w:snapToGrid w:val="0"/>
        </w:rPr>
        <w:tab/>
        <w:t>misbehaves himself before the Manning Committee; or</w:t>
      </w:r>
    </w:p>
    <w:p>
      <w:pPr>
        <w:pStyle w:val="Indenta"/>
        <w:rPr>
          <w:snapToGrid w:val="0"/>
        </w:rPr>
      </w:pPr>
      <w:r>
        <w:rPr>
          <w:snapToGrid w:val="0"/>
        </w:rPr>
        <w:tab/>
        <w:t>(d)</w:t>
      </w:r>
      <w:r>
        <w:rPr>
          <w:snapToGrid w:val="0"/>
        </w:rPr>
        <w:tab/>
        <w:t>obstructs the Manning Committee or interrupts its proceedings; or</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50" w:name="_Toc155177587"/>
      <w:bookmarkStart w:id="51" w:name="_Toc132296268"/>
      <w:r>
        <w:rPr>
          <w:rStyle w:val="CharDivNo"/>
        </w:rPr>
        <w:t>Division 4</w:t>
      </w:r>
      <w:r>
        <w:rPr>
          <w:snapToGrid w:val="0"/>
        </w:rPr>
        <w:t> — </w:t>
      </w:r>
      <w:r>
        <w:rPr>
          <w:rStyle w:val="CharDivText"/>
        </w:rPr>
        <w:t>Mercantile marine</w:t>
      </w:r>
      <w:bookmarkEnd w:id="50"/>
      <w:bookmarkEnd w:id="51"/>
    </w:p>
    <w:p>
      <w:pPr>
        <w:pStyle w:val="Heading5"/>
        <w:rPr>
          <w:snapToGrid w:val="0"/>
        </w:rPr>
      </w:pPr>
      <w:bookmarkStart w:id="52" w:name="_Toc155177588"/>
      <w:bookmarkStart w:id="53" w:name="_Toc132296269"/>
      <w:r>
        <w:rPr>
          <w:rStyle w:val="CharSectno"/>
        </w:rPr>
        <w:t>21</w:t>
      </w:r>
      <w:r>
        <w:rPr>
          <w:snapToGrid w:val="0"/>
        </w:rPr>
        <w:t>.</w:t>
      </w:r>
      <w:r>
        <w:rPr>
          <w:snapToGrid w:val="0"/>
        </w:rPr>
        <w:tab/>
        <w:t>Regulations in respect of mercantile marine matters</w:t>
      </w:r>
      <w:bookmarkEnd w:id="52"/>
      <w:bookmarkEnd w:id="53"/>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 and</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 and</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 and</w:t>
      </w:r>
    </w:p>
    <w:p>
      <w:pPr>
        <w:pStyle w:val="Indenta"/>
        <w:rPr>
          <w:snapToGrid w:val="0"/>
        </w:rPr>
      </w:pPr>
      <w:r>
        <w:rPr>
          <w:snapToGrid w:val="0"/>
        </w:rPr>
        <w:tab/>
        <w:t>(d)</w:t>
      </w:r>
      <w:r>
        <w:rPr>
          <w:snapToGrid w:val="0"/>
        </w:rPr>
        <w:tab/>
        <w:t>making provision with respect to facilities for the making of complaints by seamen; and</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54" w:name="_Toc155177589"/>
      <w:bookmarkStart w:id="55" w:name="_Toc132296270"/>
      <w:r>
        <w:rPr>
          <w:rStyle w:val="CharSectno"/>
        </w:rPr>
        <w:t>22</w:t>
      </w:r>
      <w:r>
        <w:rPr>
          <w:snapToGrid w:val="0"/>
        </w:rPr>
        <w:t>.</w:t>
      </w:r>
      <w:r>
        <w:rPr>
          <w:snapToGrid w:val="0"/>
        </w:rPr>
        <w:tab/>
        <w:t>Disciplinary Appeal Tribunal</w:t>
      </w:r>
      <w:bookmarkEnd w:id="54"/>
      <w:bookmarkEnd w:id="55"/>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 and</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No. 35 of 1990 s. 21.]</w:t>
      </w:r>
    </w:p>
    <w:p>
      <w:pPr>
        <w:pStyle w:val="Heading3"/>
      </w:pPr>
      <w:bookmarkStart w:id="56" w:name="_Toc155177590"/>
      <w:bookmarkStart w:id="57" w:name="_Toc132296271"/>
      <w:r>
        <w:rPr>
          <w:rStyle w:val="CharDivNo"/>
        </w:rPr>
        <w:t>Division 5</w:t>
      </w:r>
      <w:r>
        <w:rPr>
          <w:snapToGrid w:val="0"/>
        </w:rPr>
        <w:t> — </w:t>
      </w:r>
      <w:r>
        <w:rPr>
          <w:rStyle w:val="CharDivText"/>
        </w:rPr>
        <w:t>Surveys and certificates of survey</w:t>
      </w:r>
      <w:bookmarkEnd w:id="56"/>
      <w:bookmarkEnd w:id="57"/>
    </w:p>
    <w:p>
      <w:pPr>
        <w:pStyle w:val="Heading5"/>
        <w:rPr>
          <w:snapToGrid w:val="0"/>
        </w:rPr>
      </w:pPr>
      <w:bookmarkStart w:id="58" w:name="_Toc155177591"/>
      <w:bookmarkStart w:id="59" w:name="_Toc132296272"/>
      <w:r>
        <w:rPr>
          <w:rStyle w:val="CharSectno"/>
        </w:rPr>
        <w:t>23</w:t>
      </w:r>
      <w:r>
        <w:rPr>
          <w:snapToGrid w:val="0"/>
        </w:rPr>
        <w:t>.</w:t>
      </w:r>
      <w:r>
        <w:rPr>
          <w:snapToGrid w:val="0"/>
        </w:rPr>
        <w:tab/>
        <w:t>Application of this Division</w:t>
      </w:r>
      <w:bookmarkEnd w:id="58"/>
      <w:bookmarkEnd w:id="59"/>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60" w:name="_Toc155177592"/>
      <w:bookmarkStart w:id="61" w:name="_Toc132296273"/>
      <w:r>
        <w:rPr>
          <w:rStyle w:val="CharSectno"/>
        </w:rPr>
        <w:t>24</w:t>
      </w:r>
      <w:r>
        <w:rPr>
          <w:snapToGrid w:val="0"/>
        </w:rPr>
        <w:t>.</w:t>
      </w:r>
      <w:r>
        <w:rPr>
          <w:snapToGrid w:val="0"/>
        </w:rPr>
        <w:tab/>
        <w:t>Power to appoint survey authorities</w:t>
      </w:r>
      <w:bookmarkEnd w:id="60"/>
      <w:bookmarkEnd w:id="61"/>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62" w:name="_Toc155177593"/>
      <w:bookmarkStart w:id="63" w:name="_Toc132296274"/>
      <w:r>
        <w:rPr>
          <w:rStyle w:val="CharSectno"/>
        </w:rPr>
        <w:t>25</w:t>
      </w:r>
      <w:r>
        <w:rPr>
          <w:snapToGrid w:val="0"/>
        </w:rPr>
        <w:t>.</w:t>
      </w:r>
      <w:r>
        <w:rPr>
          <w:snapToGrid w:val="0"/>
        </w:rPr>
        <w:tab/>
        <w:t>Regulations in respect of surveys and certificates of survey</w:t>
      </w:r>
      <w:bookmarkEnd w:id="62"/>
      <w:bookmarkEnd w:id="63"/>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 and</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 and</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64" w:name="_Toc155177594"/>
      <w:bookmarkStart w:id="65" w:name="_Toc132296275"/>
      <w:r>
        <w:rPr>
          <w:rStyle w:val="CharSectno"/>
        </w:rPr>
        <w:t>26</w:t>
      </w:r>
      <w:r>
        <w:rPr>
          <w:snapToGrid w:val="0"/>
        </w:rPr>
        <w:t>.</w:t>
      </w:r>
      <w:r>
        <w:rPr>
          <w:snapToGrid w:val="0"/>
        </w:rPr>
        <w:tab/>
        <w:t>Offence for ship to ply without certificate of survey</w:t>
      </w:r>
      <w:bookmarkEnd w:id="64"/>
      <w:bookmarkEnd w:id="65"/>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spacing w:before="100"/>
        <w:ind w:left="890" w:hanging="890"/>
      </w:pPr>
      <w:r>
        <w:tab/>
        <w:t>[Section 26 amended: No. 35 of 1990 s. 21; No. 57 of 1997 s. 130(2).]</w:t>
      </w:r>
    </w:p>
    <w:p>
      <w:pPr>
        <w:pStyle w:val="Heading5"/>
        <w:rPr>
          <w:snapToGrid w:val="0"/>
        </w:rPr>
      </w:pPr>
      <w:bookmarkStart w:id="66" w:name="_Toc155177595"/>
      <w:bookmarkStart w:id="67" w:name="_Toc132296276"/>
      <w:r>
        <w:rPr>
          <w:rStyle w:val="CharSectno"/>
        </w:rPr>
        <w:t>27</w:t>
      </w:r>
      <w:r>
        <w:rPr>
          <w:snapToGrid w:val="0"/>
        </w:rPr>
        <w:t>.</w:t>
      </w:r>
      <w:r>
        <w:rPr>
          <w:snapToGrid w:val="0"/>
        </w:rPr>
        <w:tab/>
        <w:t>Penalty for failure to exhibit certificate in ship</w:t>
      </w:r>
      <w:bookmarkEnd w:id="66"/>
      <w:bookmarkEnd w:id="67"/>
    </w:p>
    <w:p>
      <w:pPr>
        <w:pStyle w:val="Subsection"/>
        <w:spacing w:before="140"/>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68" w:name="_Toc155177596"/>
      <w:bookmarkStart w:id="69" w:name="_Toc132296277"/>
      <w:r>
        <w:rPr>
          <w:rStyle w:val="CharSectno"/>
        </w:rPr>
        <w:t>28</w:t>
      </w:r>
      <w:r>
        <w:rPr>
          <w:snapToGrid w:val="0"/>
        </w:rPr>
        <w:t>.</w:t>
      </w:r>
      <w:r>
        <w:rPr>
          <w:snapToGrid w:val="0"/>
        </w:rPr>
        <w:tab/>
        <w:t>Overloading</w:t>
      </w:r>
      <w:bookmarkEnd w:id="68"/>
      <w:bookmarkEnd w:id="69"/>
    </w:p>
    <w:p>
      <w:pPr>
        <w:pStyle w:val="Subsection"/>
        <w:spacing w:before="140"/>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spacing w:before="60"/>
        <w:rPr>
          <w:snapToGrid w:val="0"/>
        </w:rPr>
      </w:pPr>
      <w:r>
        <w:rPr>
          <w:snapToGrid w:val="0"/>
        </w:rPr>
        <w:tab/>
        <w:t>(a)</w:t>
      </w:r>
      <w:r>
        <w:rPr>
          <w:snapToGrid w:val="0"/>
        </w:rPr>
        <w:tab/>
        <w:t>for a first offence $2 000; and</w:t>
      </w:r>
    </w:p>
    <w:p>
      <w:pPr>
        <w:pStyle w:val="Indenta"/>
        <w:spacing w:before="60"/>
        <w:rPr>
          <w:snapToGrid w:val="0"/>
        </w:rPr>
      </w:pPr>
      <w:r>
        <w:rPr>
          <w:snapToGrid w:val="0"/>
        </w:rPr>
        <w:tab/>
        <w:t>(b)</w:t>
      </w:r>
      <w:r>
        <w:rPr>
          <w:snapToGrid w:val="0"/>
        </w:rPr>
        <w:tab/>
        <w:t>for a subsequent offence, $3 000, and</w:t>
      </w:r>
    </w:p>
    <w:p>
      <w:pPr>
        <w:pStyle w:val="Subsection"/>
        <w:spacing w:before="120"/>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spacing w:before="140"/>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spacing w:before="140"/>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spacing w:before="60"/>
        <w:rPr>
          <w:snapToGrid w:val="0"/>
        </w:rPr>
      </w:pPr>
      <w:r>
        <w:rPr>
          <w:snapToGrid w:val="0"/>
        </w:rPr>
        <w:tab/>
        <w:t>(a)</w:t>
      </w:r>
      <w:r>
        <w:rPr>
          <w:snapToGrid w:val="0"/>
        </w:rPr>
        <w:tab/>
        <w:t>an inspector; or</w:t>
      </w:r>
    </w:p>
    <w:p>
      <w:pPr>
        <w:pStyle w:val="Indenta"/>
        <w:spacing w:before="6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No. 57 of 1997 s. 130(3).]</w:t>
      </w:r>
    </w:p>
    <w:p>
      <w:pPr>
        <w:pStyle w:val="Heading3"/>
      </w:pPr>
      <w:bookmarkStart w:id="70" w:name="_Toc155177597"/>
      <w:bookmarkStart w:id="71" w:name="_Toc132296278"/>
      <w:r>
        <w:rPr>
          <w:rStyle w:val="CharDivNo"/>
        </w:rPr>
        <w:t>Division 6</w:t>
      </w:r>
      <w:r>
        <w:rPr>
          <w:snapToGrid w:val="0"/>
        </w:rPr>
        <w:t> — </w:t>
      </w:r>
      <w:r>
        <w:rPr>
          <w:rStyle w:val="CharDivText"/>
        </w:rPr>
        <w:t>Construction</w:t>
      </w:r>
      <w:bookmarkEnd w:id="70"/>
      <w:bookmarkEnd w:id="71"/>
    </w:p>
    <w:p>
      <w:pPr>
        <w:pStyle w:val="Heading5"/>
        <w:rPr>
          <w:snapToGrid w:val="0"/>
        </w:rPr>
      </w:pPr>
      <w:bookmarkStart w:id="72" w:name="_Toc155177598"/>
      <w:bookmarkStart w:id="73" w:name="_Toc132296279"/>
      <w:r>
        <w:rPr>
          <w:rStyle w:val="CharSectno"/>
        </w:rPr>
        <w:t>29</w:t>
      </w:r>
      <w:r>
        <w:rPr>
          <w:snapToGrid w:val="0"/>
        </w:rPr>
        <w:t>.</w:t>
      </w:r>
      <w:r>
        <w:rPr>
          <w:snapToGrid w:val="0"/>
        </w:rPr>
        <w:tab/>
        <w:t>Regulations in respect of the construction of vessels</w:t>
      </w:r>
      <w:bookmarkEnd w:id="72"/>
      <w:bookmarkEnd w:id="73"/>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 and</w:t>
      </w:r>
    </w:p>
    <w:p>
      <w:pPr>
        <w:pStyle w:val="Indenta"/>
        <w:spacing w:before="6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 and</w:t>
      </w:r>
    </w:p>
    <w:p>
      <w:pPr>
        <w:pStyle w:val="Indenta"/>
        <w:spacing w:before="60"/>
        <w:rPr>
          <w:snapToGrid w:val="0"/>
        </w:rPr>
      </w:pPr>
      <w:r>
        <w:rPr>
          <w:snapToGrid w:val="0"/>
        </w:rPr>
        <w:tab/>
        <w:t>(c)</w:t>
      </w:r>
      <w:r>
        <w:rPr>
          <w:snapToGrid w:val="0"/>
        </w:rPr>
        <w:tab/>
        <w:t>prescribing construction requirements with respect to the carriage of passengers, accommodation for passengers and guard rails and bulwarks of vessels; and</w:t>
      </w:r>
    </w:p>
    <w:p>
      <w:pPr>
        <w:pStyle w:val="Indenta"/>
        <w:spacing w:before="6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 and</w:t>
      </w:r>
    </w:p>
    <w:p>
      <w:pPr>
        <w:pStyle w:val="Indenta"/>
        <w:spacing w:before="6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6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No. 35 of 1990 s. 21.]</w:t>
      </w:r>
    </w:p>
    <w:p>
      <w:pPr>
        <w:pStyle w:val="Heading3"/>
      </w:pPr>
      <w:bookmarkStart w:id="74" w:name="_Toc155177599"/>
      <w:bookmarkStart w:id="75" w:name="_Toc132296280"/>
      <w:r>
        <w:rPr>
          <w:rStyle w:val="CharDivNo"/>
        </w:rPr>
        <w:t>Division 7</w:t>
      </w:r>
      <w:r>
        <w:rPr>
          <w:snapToGrid w:val="0"/>
        </w:rPr>
        <w:t> — </w:t>
      </w:r>
      <w:r>
        <w:rPr>
          <w:rStyle w:val="CharDivText"/>
        </w:rPr>
        <w:t>Crew accommodation</w:t>
      </w:r>
      <w:bookmarkEnd w:id="74"/>
      <w:bookmarkEnd w:id="75"/>
    </w:p>
    <w:p>
      <w:pPr>
        <w:pStyle w:val="Heading5"/>
        <w:rPr>
          <w:snapToGrid w:val="0"/>
        </w:rPr>
      </w:pPr>
      <w:bookmarkStart w:id="76" w:name="_Toc155177600"/>
      <w:bookmarkStart w:id="77" w:name="_Toc132296281"/>
      <w:r>
        <w:rPr>
          <w:rStyle w:val="CharSectno"/>
        </w:rPr>
        <w:t>30</w:t>
      </w:r>
      <w:r>
        <w:rPr>
          <w:snapToGrid w:val="0"/>
        </w:rPr>
        <w:t>.</w:t>
      </w:r>
      <w:r>
        <w:rPr>
          <w:snapToGrid w:val="0"/>
        </w:rPr>
        <w:tab/>
        <w:t>Regulations in respect of crew accommodation in vessels</w:t>
      </w:r>
      <w:bookmarkEnd w:id="76"/>
      <w:bookmarkEnd w:id="77"/>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spacing w:before="60"/>
        <w:rPr>
          <w:snapToGrid w:val="0"/>
        </w:rPr>
      </w:pPr>
      <w:r>
        <w:rPr>
          <w:snapToGrid w:val="0"/>
        </w:rPr>
        <w:tab/>
        <w:t>(a)</w:t>
      </w:r>
      <w:r>
        <w:rPr>
          <w:snapToGrid w:val="0"/>
        </w:rPr>
        <w:tab/>
        <w:t>prescribing the location, means of access, structure, and arrangement of crew accommodation to be provided in vessels; and</w:t>
      </w:r>
    </w:p>
    <w:p>
      <w:pPr>
        <w:pStyle w:val="Indenta"/>
        <w:spacing w:before="60"/>
        <w:rPr>
          <w:snapToGrid w:val="0"/>
        </w:rPr>
      </w:pPr>
      <w:r>
        <w:rPr>
          <w:snapToGrid w:val="0"/>
        </w:rPr>
        <w:tab/>
        <w:t>(b)</w:t>
      </w:r>
      <w:r>
        <w:rPr>
          <w:snapToGrid w:val="0"/>
        </w:rPr>
        <w:tab/>
        <w:t>regulating the ventilation, heating, lighting, and sanitation accommodation to be provided in vessels; and</w:t>
      </w:r>
    </w:p>
    <w:p>
      <w:pPr>
        <w:pStyle w:val="Indenta"/>
        <w:spacing w:before="60"/>
        <w:rPr>
          <w:snapToGrid w:val="0"/>
        </w:rPr>
      </w:pPr>
      <w:r>
        <w:rPr>
          <w:snapToGrid w:val="0"/>
        </w:rPr>
        <w:tab/>
        <w:t>(c)</w:t>
      </w:r>
      <w:r>
        <w:rPr>
          <w:snapToGrid w:val="0"/>
        </w:rPr>
        <w:tab/>
        <w:t>prescribing requirements with respect to free movement areas, sleeping rooms, mess rooms, and galleys in vessels; and</w:t>
      </w:r>
    </w:p>
    <w:p>
      <w:pPr>
        <w:pStyle w:val="Indenta"/>
        <w:spacing w:before="60"/>
        <w:rPr>
          <w:snapToGrid w:val="0"/>
        </w:rPr>
      </w:pPr>
      <w:r>
        <w:rPr>
          <w:snapToGrid w:val="0"/>
        </w:rPr>
        <w:tab/>
        <w:t>(d)</w:t>
      </w:r>
      <w:r>
        <w:rPr>
          <w:snapToGrid w:val="0"/>
        </w:rPr>
        <w:tab/>
        <w:t>permitting, in relation to particular vessels, variation of the prescribed requirements.</w:t>
      </w:r>
    </w:p>
    <w:p>
      <w:pPr>
        <w:pStyle w:val="Heading3"/>
      </w:pPr>
      <w:bookmarkStart w:id="78" w:name="_Toc155177601"/>
      <w:bookmarkStart w:id="79" w:name="_Toc132296282"/>
      <w:r>
        <w:rPr>
          <w:rStyle w:val="CharDivNo"/>
        </w:rPr>
        <w:t>Division 8</w:t>
      </w:r>
      <w:r>
        <w:rPr>
          <w:snapToGrid w:val="0"/>
        </w:rPr>
        <w:t> — </w:t>
      </w:r>
      <w:r>
        <w:rPr>
          <w:rStyle w:val="CharDivText"/>
        </w:rPr>
        <w:t>Load lines</w:t>
      </w:r>
      <w:bookmarkEnd w:id="78"/>
      <w:bookmarkEnd w:id="79"/>
    </w:p>
    <w:p>
      <w:pPr>
        <w:pStyle w:val="Heading5"/>
        <w:rPr>
          <w:snapToGrid w:val="0"/>
        </w:rPr>
      </w:pPr>
      <w:bookmarkStart w:id="80" w:name="_Toc155177602"/>
      <w:bookmarkStart w:id="81" w:name="_Toc132296283"/>
      <w:r>
        <w:rPr>
          <w:rStyle w:val="CharSectno"/>
        </w:rPr>
        <w:t>31</w:t>
      </w:r>
      <w:r>
        <w:rPr>
          <w:snapToGrid w:val="0"/>
        </w:rPr>
        <w:t>.</w:t>
      </w:r>
      <w:r>
        <w:rPr>
          <w:snapToGrid w:val="0"/>
        </w:rPr>
        <w:tab/>
        <w:t>Power to appoint authorities to assign freeboards etc.</w:t>
      </w:r>
      <w:bookmarkEnd w:id="80"/>
      <w:bookmarkEnd w:id="81"/>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82" w:name="_Toc155177603"/>
      <w:bookmarkStart w:id="83" w:name="_Toc132296284"/>
      <w:r>
        <w:rPr>
          <w:rStyle w:val="CharSectno"/>
        </w:rPr>
        <w:t>32</w:t>
      </w:r>
      <w:r>
        <w:rPr>
          <w:snapToGrid w:val="0"/>
        </w:rPr>
        <w:t>.</w:t>
      </w:r>
      <w:r>
        <w:rPr>
          <w:snapToGrid w:val="0"/>
        </w:rPr>
        <w:tab/>
        <w:t>Regulations in respect of freeboards, load lines etc.</w:t>
      </w:r>
      <w:bookmarkEnd w:id="82"/>
      <w:bookmarkEnd w:id="83"/>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 and</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 and</w:t>
      </w:r>
    </w:p>
    <w:p>
      <w:pPr>
        <w:pStyle w:val="Indenta"/>
        <w:rPr>
          <w:snapToGrid w:val="0"/>
        </w:rPr>
      </w:pPr>
      <w:r>
        <w:rPr>
          <w:snapToGrid w:val="0"/>
        </w:rPr>
        <w:tab/>
        <w:t>(c)</w:t>
      </w:r>
      <w:r>
        <w:rPr>
          <w:snapToGrid w:val="0"/>
        </w:rPr>
        <w:tab/>
        <w:t>regulating the marking on vessels of load lines and associated marks; and</w:t>
      </w:r>
    </w:p>
    <w:p>
      <w:pPr>
        <w:pStyle w:val="Indenta"/>
        <w:rPr>
          <w:snapToGrid w:val="0"/>
        </w:rPr>
      </w:pPr>
      <w:r>
        <w:rPr>
          <w:snapToGrid w:val="0"/>
        </w:rPr>
        <w:tab/>
        <w:t>(d)</w:t>
      </w:r>
      <w:r>
        <w:rPr>
          <w:snapToGrid w:val="0"/>
        </w:rPr>
        <w:tab/>
        <w:t>providing for the issue, extension, and cancellation of load line certificates and load line exemption certificates; and</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84" w:name="_Toc155177604"/>
      <w:bookmarkStart w:id="85" w:name="_Toc132296285"/>
      <w:r>
        <w:rPr>
          <w:rStyle w:val="CharSectno"/>
        </w:rPr>
        <w:t>33</w:t>
      </w:r>
      <w:r>
        <w:rPr>
          <w:snapToGrid w:val="0"/>
        </w:rPr>
        <w:t>.</w:t>
      </w:r>
      <w:r>
        <w:rPr>
          <w:snapToGrid w:val="0"/>
        </w:rPr>
        <w:tab/>
        <w:t>Penalty for not keeping vessel marked</w:t>
      </w:r>
      <w:bookmarkEnd w:id="84"/>
      <w:bookmarkEnd w:id="85"/>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86" w:name="_Toc155177605"/>
      <w:bookmarkStart w:id="87" w:name="_Toc132296286"/>
      <w:r>
        <w:rPr>
          <w:rStyle w:val="CharSectno"/>
        </w:rPr>
        <w:t>34</w:t>
      </w:r>
      <w:r>
        <w:rPr>
          <w:snapToGrid w:val="0"/>
        </w:rPr>
        <w:t>.</w:t>
      </w:r>
      <w:r>
        <w:rPr>
          <w:snapToGrid w:val="0"/>
        </w:rPr>
        <w:tab/>
        <w:t>Penalty for removal or alteration of load lines</w:t>
      </w:r>
      <w:bookmarkEnd w:id="86"/>
      <w:bookmarkEnd w:id="87"/>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88" w:name="_Toc155177606"/>
      <w:bookmarkStart w:id="89" w:name="_Toc132296287"/>
      <w:r>
        <w:rPr>
          <w:rStyle w:val="CharSectno"/>
        </w:rPr>
        <w:t>35</w:t>
      </w:r>
      <w:r>
        <w:rPr>
          <w:snapToGrid w:val="0"/>
        </w:rPr>
        <w:t>.</w:t>
      </w:r>
      <w:r>
        <w:rPr>
          <w:snapToGrid w:val="0"/>
        </w:rPr>
        <w:tab/>
        <w:t>Penalty for taking uncertified vessel to sea</w:t>
      </w:r>
      <w:bookmarkEnd w:id="88"/>
      <w:bookmarkEnd w:id="89"/>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90" w:name="_Toc155177607"/>
      <w:bookmarkStart w:id="91" w:name="_Toc132296288"/>
      <w:r>
        <w:rPr>
          <w:rStyle w:val="CharSectno"/>
        </w:rPr>
        <w:t>36</w:t>
      </w:r>
      <w:r>
        <w:rPr>
          <w:snapToGrid w:val="0"/>
        </w:rPr>
        <w:t>.</w:t>
      </w:r>
      <w:r>
        <w:rPr>
          <w:snapToGrid w:val="0"/>
        </w:rPr>
        <w:tab/>
        <w:t>Penalty for overloading</w:t>
      </w:r>
      <w:bookmarkEnd w:id="90"/>
      <w:bookmarkEnd w:id="91"/>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mm or part thereof by which the ship is overloaded.</w:t>
      </w:r>
    </w:p>
    <w:p>
      <w:pPr>
        <w:pStyle w:val="MiscellaneousHeading"/>
        <w:spacing w:before="12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spacing w:before="0"/>
            </w:pPr>
          </w:p>
        </w:tc>
        <w:tc>
          <w:tcPr>
            <w:tcW w:w="1134" w:type="dxa"/>
          </w:tcPr>
          <w:p>
            <w:pPr>
              <w:pStyle w:val="Table"/>
              <w:spacing w:before="0"/>
              <w:jc w:val="center"/>
              <w:rPr>
                <w:b/>
              </w:rPr>
            </w:pPr>
            <w:r>
              <w:rPr>
                <w:b/>
              </w:rPr>
              <w:t>Amount</w:t>
            </w:r>
            <w:r>
              <w:rPr>
                <w:b/>
              </w:rPr>
              <w:br/>
              <w:t>$</w:t>
            </w:r>
          </w:p>
        </w:tc>
      </w:tr>
      <w:t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 and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92" w:name="_Toc155177608"/>
      <w:bookmarkStart w:id="93" w:name="_Toc132296289"/>
      <w:r>
        <w:rPr>
          <w:rStyle w:val="CharDivNo"/>
        </w:rPr>
        <w:t>Division 9</w:t>
      </w:r>
      <w:r>
        <w:rPr>
          <w:snapToGrid w:val="0"/>
        </w:rPr>
        <w:t> — </w:t>
      </w:r>
      <w:r>
        <w:rPr>
          <w:rStyle w:val="CharDivText"/>
        </w:rPr>
        <w:t>Stability</w:t>
      </w:r>
      <w:bookmarkEnd w:id="92"/>
      <w:bookmarkEnd w:id="93"/>
    </w:p>
    <w:p>
      <w:pPr>
        <w:pStyle w:val="Heading5"/>
        <w:rPr>
          <w:snapToGrid w:val="0"/>
        </w:rPr>
      </w:pPr>
      <w:bookmarkStart w:id="94" w:name="_Toc155177609"/>
      <w:bookmarkStart w:id="95" w:name="_Toc132296290"/>
      <w:r>
        <w:rPr>
          <w:rStyle w:val="CharSectno"/>
        </w:rPr>
        <w:t>37</w:t>
      </w:r>
      <w:r>
        <w:rPr>
          <w:snapToGrid w:val="0"/>
        </w:rPr>
        <w:t>.</w:t>
      </w:r>
      <w:r>
        <w:rPr>
          <w:snapToGrid w:val="0"/>
        </w:rPr>
        <w:tab/>
        <w:t>Regulations in respect of stability</w:t>
      </w:r>
      <w:bookmarkEnd w:id="94"/>
      <w:bookmarkEnd w:id="95"/>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 and</w:t>
      </w:r>
    </w:p>
    <w:p>
      <w:pPr>
        <w:pStyle w:val="Indenta"/>
        <w:rPr>
          <w:snapToGrid w:val="0"/>
        </w:rPr>
      </w:pPr>
      <w:r>
        <w:rPr>
          <w:snapToGrid w:val="0"/>
        </w:rPr>
        <w:tab/>
        <w:t>(b)</w:t>
      </w:r>
      <w:r>
        <w:rPr>
          <w:snapToGrid w:val="0"/>
        </w:rPr>
        <w:tab/>
        <w:t>regulating the position and marking of draught marks; and</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96" w:name="_Toc155177610"/>
      <w:bookmarkStart w:id="97" w:name="_Toc132296291"/>
      <w:r>
        <w:rPr>
          <w:rStyle w:val="CharDivNo"/>
        </w:rPr>
        <w:t>Division 10</w:t>
      </w:r>
      <w:r>
        <w:rPr>
          <w:snapToGrid w:val="0"/>
        </w:rPr>
        <w:t> — </w:t>
      </w:r>
      <w:r>
        <w:rPr>
          <w:rStyle w:val="CharDivText"/>
        </w:rPr>
        <w:t>Engineering</w:t>
      </w:r>
      <w:bookmarkEnd w:id="96"/>
      <w:bookmarkEnd w:id="97"/>
    </w:p>
    <w:p>
      <w:pPr>
        <w:pStyle w:val="Heading5"/>
        <w:rPr>
          <w:snapToGrid w:val="0"/>
        </w:rPr>
      </w:pPr>
      <w:bookmarkStart w:id="98" w:name="_Toc155177611"/>
      <w:bookmarkStart w:id="99" w:name="_Toc132296292"/>
      <w:r>
        <w:rPr>
          <w:rStyle w:val="CharSectno"/>
        </w:rPr>
        <w:t>38</w:t>
      </w:r>
      <w:r>
        <w:rPr>
          <w:snapToGrid w:val="0"/>
        </w:rPr>
        <w:t>.</w:t>
      </w:r>
      <w:r>
        <w:rPr>
          <w:snapToGrid w:val="0"/>
        </w:rPr>
        <w:tab/>
        <w:t>Regulations in respect of engineering</w:t>
      </w:r>
      <w:bookmarkEnd w:id="98"/>
      <w:bookmarkEnd w:id="99"/>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 and</w:t>
      </w:r>
    </w:p>
    <w:p>
      <w:pPr>
        <w:pStyle w:val="Indenta"/>
        <w:rPr>
          <w:snapToGrid w:val="0"/>
        </w:rPr>
      </w:pPr>
      <w:r>
        <w:rPr>
          <w:snapToGrid w:val="0"/>
        </w:rPr>
        <w:tab/>
        <w:t>(b)</w:t>
      </w:r>
      <w:r>
        <w:rPr>
          <w:snapToGrid w:val="0"/>
        </w:rPr>
        <w:tab/>
        <w:t>making provisions in respect of liquefied gas installations in vessels; and</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100" w:name="_Toc155177612"/>
      <w:bookmarkStart w:id="101" w:name="_Toc132296293"/>
      <w:r>
        <w:rPr>
          <w:rStyle w:val="CharDivNo"/>
        </w:rPr>
        <w:t>Division 11</w:t>
      </w:r>
      <w:r>
        <w:rPr>
          <w:snapToGrid w:val="0"/>
        </w:rPr>
        <w:t> — </w:t>
      </w:r>
      <w:r>
        <w:rPr>
          <w:rStyle w:val="CharDivText"/>
        </w:rPr>
        <w:t>Life saving appliances</w:t>
      </w:r>
      <w:bookmarkEnd w:id="100"/>
      <w:bookmarkEnd w:id="101"/>
    </w:p>
    <w:p>
      <w:pPr>
        <w:pStyle w:val="Heading5"/>
        <w:rPr>
          <w:snapToGrid w:val="0"/>
        </w:rPr>
      </w:pPr>
      <w:bookmarkStart w:id="102" w:name="_Toc155177613"/>
      <w:bookmarkStart w:id="103" w:name="_Toc132296294"/>
      <w:r>
        <w:rPr>
          <w:rStyle w:val="CharSectno"/>
        </w:rPr>
        <w:t>39</w:t>
      </w:r>
      <w:r>
        <w:rPr>
          <w:snapToGrid w:val="0"/>
        </w:rPr>
        <w:t>.</w:t>
      </w:r>
      <w:r>
        <w:rPr>
          <w:snapToGrid w:val="0"/>
        </w:rPr>
        <w:tab/>
        <w:t>Regulations in respect of life saving appliances</w:t>
      </w:r>
      <w:bookmarkEnd w:id="102"/>
      <w:bookmarkEnd w:id="103"/>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104" w:name="_Toc155177614"/>
      <w:bookmarkStart w:id="105" w:name="_Toc132296295"/>
      <w:r>
        <w:rPr>
          <w:rStyle w:val="CharSectno"/>
        </w:rPr>
        <w:t>40</w:t>
      </w:r>
      <w:r>
        <w:rPr>
          <w:snapToGrid w:val="0"/>
        </w:rPr>
        <w:t>.</w:t>
      </w:r>
      <w:r>
        <w:rPr>
          <w:snapToGrid w:val="0"/>
        </w:rPr>
        <w:tab/>
        <w:t>Offences as to life saving appliances</w:t>
      </w:r>
      <w:bookmarkEnd w:id="104"/>
      <w:bookmarkEnd w:id="105"/>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 or</w:t>
      </w:r>
    </w:p>
    <w:p>
      <w:pPr>
        <w:pStyle w:val="Indenta"/>
        <w:rPr>
          <w:snapToGrid w:val="0"/>
        </w:rPr>
      </w:pPr>
      <w:r>
        <w:rPr>
          <w:snapToGrid w:val="0"/>
        </w:rPr>
        <w:tab/>
        <w:t>(b)</w:t>
      </w:r>
      <w:r>
        <w:rPr>
          <w:snapToGrid w:val="0"/>
        </w:rPr>
        <w:tab/>
        <w:t>permit, through neglect, the loss of or damage to any life saving appliance carried in the ship; or</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106" w:name="_Toc155177615"/>
      <w:bookmarkStart w:id="107" w:name="_Toc132296296"/>
      <w:r>
        <w:rPr>
          <w:rStyle w:val="CharDivNo"/>
        </w:rPr>
        <w:t>Division 12</w:t>
      </w:r>
      <w:r>
        <w:rPr>
          <w:snapToGrid w:val="0"/>
        </w:rPr>
        <w:t> — </w:t>
      </w:r>
      <w:r>
        <w:rPr>
          <w:rStyle w:val="CharDivText"/>
        </w:rPr>
        <w:t>Fire appliances</w:t>
      </w:r>
      <w:bookmarkEnd w:id="106"/>
      <w:bookmarkEnd w:id="107"/>
    </w:p>
    <w:p>
      <w:pPr>
        <w:pStyle w:val="Heading5"/>
        <w:rPr>
          <w:snapToGrid w:val="0"/>
        </w:rPr>
      </w:pPr>
      <w:bookmarkStart w:id="108" w:name="_Toc155177616"/>
      <w:bookmarkStart w:id="109" w:name="_Toc132296297"/>
      <w:r>
        <w:rPr>
          <w:rStyle w:val="CharSectno"/>
        </w:rPr>
        <w:t>41</w:t>
      </w:r>
      <w:r>
        <w:rPr>
          <w:snapToGrid w:val="0"/>
        </w:rPr>
        <w:t>.</w:t>
      </w:r>
      <w:r>
        <w:rPr>
          <w:snapToGrid w:val="0"/>
        </w:rPr>
        <w:tab/>
        <w:t>Regulations in respect of fire appliances</w:t>
      </w:r>
      <w:bookmarkEnd w:id="108"/>
      <w:bookmarkEnd w:id="109"/>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 and</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110" w:name="_Toc155177617"/>
      <w:bookmarkStart w:id="111" w:name="_Toc132296298"/>
      <w:r>
        <w:rPr>
          <w:rStyle w:val="CharSectno"/>
        </w:rPr>
        <w:t>42</w:t>
      </w:r>
      <w:r>
        <w:rPr>
          <w:snapToGrid w:val="0"/>
        </w:rPr>
        <w:t>.</w:t>
      </w:r>
      <w:r>
        <w:rPr>
          <w:snapToGrid w:val="0"/>
        </w:rPr>
        <w:tab/>
        <w:t>Offences as to fire appliances</w:t>
      </w:r>
      <w:bookmarkEnd w:id="110"/>
      <w:bookmarkEnd w:id="111"/>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 or</w:t>
      </w:r>
    </w:p>
    <w:p>
      <w:pPr>
        <w:pStyle w:val="Indenta"/>
        <w:rPr>
          <w:snapToGrid w:val="0"/>
        </w:rPr>
      </w:pPr>
      <w:r>
        <w:rPr>
          <w:snapToGrid w:val="0"/>
        </w:rPr>
        <w:tab/>
        <w:t>(b)</w:t>
      </w:r>
      <w:r>
        <w:rPr>
          <w:snapToGrid w:val="0"/>
        </w:rPr>
        <w:tab/>
        <w:t>permit, through neglect, the loss of or damage to any fire appliance carried in the ship; or</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112" w:name="_Toc155177618"/>
      <w:bookmarkStart w:id="113" w:name="_Toc132296299"/>
      <w:r>
        <w:rPr>
          <w:rStyle w:val="CharDivNo"/>
        </w:rPr>
        <w:t>Division 13</w:t>
      </w:r>
      <w:r>
        <w:rPr>
          <w:snapToGrid w:val="0"/>
        </w:rPr>
        <w:t> — </w:t>
      </w:r>
      <w:r>
        <w:rPr>
          <w:rStyle w:val="CharDivText"/>
        </w:rPr>
        <w:t>Radio equipment</w:t>
      </w:r>
      <w:bookmarkEnd w:id="112"/>
      <w:bookmarkEnd w:id="113"/>
    </w:p>
    <w:p>
      <w:pPr>
        <w:pStyle w:val="Heading5"/>
        <w:rPr>
          <w:snapToGrid w:val="0"/>
        </w:rPr>
      </w:pPr>
      <w:bookmarkStart w:id="114" w:name="_Toc155177619"/>
      <w:bookmarkStart w:id="115" w:name="_Toc132296300"/>
      <w:r>
        <w:rPr>
          <w:rStyle w:val="CharSectno"/>
        </w:rPr>
        <w:t>43</w:t>
      </w:r>
      <w:r>
        <w:rPr>
          <w:snapToGrid w:val="0"/>
        </w:rPr>
        <w:t>.</w:t>
      </w:r>
      <w:r>
        <w:rPr>
          <w:snapToGrid w:val="0"/>
        </w:rPr>
        <w:tab/>
        <w:t>Regulations in respect of radio equipment</w:t>
      </w:r>
      <w:bookmarkEnd w:id="114"/>
      <w:bookmarkEnd w:id="115"/>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 and</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 and</w:t>
      </w:r>
    </w:p>
    <w:p>
      <w:pPr>
        <w:pStyle w:val="Indenta"/>
        <w:rPr>
          <w:snapToGrid w:val="0"/>
        </w:rPr>
      </w:pPr>
      <w:r>
        <w:rPr>
          <w:snapToGrid w:val="0"/>
        </w:rPr>
        <w:tab/>
        <w:t>(c)</w:t>
      </w:r>
      <w:r>
        <w:rPr>
          <w:snapToGrid w:val="0"/>
        </w:rPr>
        <w:tab/>
        <w:t>regulating the survey and inspection of radiotelephony and radiotelegraphy installations; and</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 and</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116" w:name="_Toc155177620"/>
      <w:bookmarkStart w:id="117" w:name="_Toc132296301"/>
      <w:r>
        <w:rPr>
          <w:rStyle w:val="CharSectno"/>
        </w:rPr>
        <w:t>44</w:t>
      </w:r>
      <w:r>
        <w:rPr>
          <w:snapToGrid w:val="0"/>
        </w:rPr>
        <w:t>.</w:t>
      </w:r>
      <w:r>
        <w:rPr>
          <w:snapToGrid w:val="0"/>
        </w:rPr>
        <w:tab/>
        <w:t>Offences in respect of radio equipment</w:t>
      </w:r>
      <w:bookmarkEnd w:id="116"/>
      <w:bookmarkEnd w:id="117"/>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118" w:name="_Toc155177621"/>
      <w:bookmarkStart w:id="119" w:name="_Toc132296302"/>
      <w:r>
        <w:rPr>
          <w:rStyle w:val="CharDivNo"/>
        </w:rPr>
        <w:t>Division 14</w:t>
      </w:r>
      <w:r>
        <w:rPr>
          <w:snapToGrid w:val="0"/>
        </w:rPr>
        <w:t> — </w:t>
      </w:r>
      <w:r>
        <w:rPr>
          <w:rStyle w:val="CharDivText"/>
        </w:rPr>
        <w:t>Miscellaneous equipment</w:t>
      </w:r>
      <w:bookmarkEnd w:id="118"/>
      <w:bookmarkEnd w:id="119"/>
    </w:p>
    <w:p>
      <w:pPr>
        <w:pStyle w:val="Heading5"/>
        <w:rPr>
          <w:snapToGrid w:val="0"/>
        </w:rPr>
      </w:pPr>
      <w:bookmarkStart w:id="120" w:name="_Toc155177622"/>
      <w:bookmarkStart w:id="121" w:name="_Toc132296303"/>
      <w:r>
        <w:rPr>
          <w:rStyle w:val="CharSectno"/>
        </w:rPr>
        <w:t>45</w:t>
      </w:r>
      <w:r>
        <w:rPr>
          <w:snapToGrid w:val="0"/>
        </w:rPr>
        <w:t>.</w:t>
      </w:r>
      <w:r>
        <w:rPr>
          <w:snapToGrid w:val="0"/>
        </w:rPr>
        <w:tab/>
        <w:t>Term used: miscellaneous equipment</w:t>
      </w:r>
      <w:bookmarkEnd w:id="120"/>
      <w:bookmarkEnd w:id="121"/>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122" w:name="_Toc155177623"/>
      <w:bookmarkStart w:id="123" w:name="_Toc132296304"/>
      <w:r>
        <w:rPr>
          <w:rStyle w:val="CharSectno"/>
        </w:rPr>
        <w:t>46</w:t>
      </w:r>
      <w:r>
        <w:rPr>
          <w:snapToGrid w:val="0"/>
        </w:rPr>
        <w:t>.</w:t>
      </w:r>
      <w:r>
        <w:rPr>
          <w:snapToGrid w:val="0"/>
        </w:rPr>
        <w:tab/>
        <w:t>Regulations in respect of miscellaneous equipment</w:t>
      </w:r>
      <w:bookmarkEnd w:id="122"/>
      <w:bookmarkEnd w:id="123"/>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124" w:name="_Toc155177624"/>
      <w:bookmarkStart w:id="125" w:name="_Toc132296305"/>
      <w:r>
        <w:rPr>
          <w:rStyle w:val="CharSectno"/>
        </w:rPr>
        <w:t>47</w:t>
      </w:r>
      <w:r>
        <w:rPr>
          <w:snapToGrid w:val="0"/>
        </w:rPr>
        <w:t>.</w:t>
      </w:r>
      <w:r>
        <w:rPr>
          <w:snapToGrid w:val="0"/>
        </w:rPr>
        <w:tab/>
        <w:t>Offences in respect of official logbooks and vessel record books</w:t>
      </w:r>
      <w:bookmarkEnd w:id="124"/>
      <w:bookmarkEnd w:id="12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 or</w:t>
      </w:r>
    </w:p>
    <w:p>
      <w:pPr>
        <w:pStyle w:val="Indenta"/>
        <w:rPr>
          <w:snapToGrid w:val="0"/>
        </w:rPr>
      </w:pPr>
      <w:r>
        <w:rPr>
          <w:snapToGrid w:val="0"/>
        </w:rPr>
        <w:tab/>
        <w:t>(b)</w:t>
      </w:r>
      <w:r>
        <w:rPr>
          <w:snapToGrid w:val="0"/>
        </w:rPr>
        <w:tab/>
        <w:t>wilfully render illegible an entry in an official logbook or vessel record book; or</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126" w:name="_Toc155177625"/>
      <w:bookmarkStart w:id="127" w:name="_Toc132296306"/>
      <w:r>
        <w:rPr>
          <w:rStyle w:val="CharSectno"/>
        </w:rPr>
        <w:t>48</w:t>
      </w:r>
      <w:r>
        <w:rPr>
          <w:snapToGrid w:val="0"/>
        </w:rPr>
        <w:t>.</w:t>
      </w:r>
      <w:r>
        <w:rPr>
          <w:snapToGrid w:val="0"/>
        </w:rPr>
        <w:tab/>
        <w:t>Offences in respect of miscellaneous equipment</w:t>
      </w:r>
      <w:bookmarkEnd w:id="126"/>
      <w:bookmarkEnd w:id="127"/>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128" w:name="_Toc155177626"/>
      <w:bookmarkStart w:id="129" w:name="_Toc132296307"/>
      <w:r>
        <w:rPr>
          <w:rStyle w:val="CharDivNo"/>
        </w:rPr>
        <w:t>Division 15</w:t>
      </w:r>
      <w:r>
        <w:rPr>
          <w:snapToGrid w:val="0"/>
        </w:rPr>
        <w:t> — </w:t>
      </w:r>
      <w:r>
        <w:rPr>
          <w:rStyle w:val="CharDivText"/>
        </w:rPr>
        <w:t>Emergency procedures and safety of navigation</w:t>
      </w:r>
      <w:bookmarkEnd w:id="128"/>
      <w:bookmarkEnd w:id="129"/>
    </w:p>
    <w:p>
      <w:pPr>
        <w:pStyle w:val="Heading5"/>
        <w:rPr>
          <w:snapToGrid w:val="0"/>
        </w:rPr>
      </w:pPr>
      <w:bookmarkStart w:id="130" w:name="_Toc155177627"/>
      <w:bookmarkStart w:id="131" w:name="_Toc132296308"/>
      <w:r>
        <w:rPr>
          <w:rStyle w:val="CharSectno"/>
        </w:rPr>
        <w:t>49</w:t>
      </w:r>
      <w:r>
        <w:rPr>
          <w:snapToGrid w:val="0"/>
        </w:rPr>
        <w:t>.</w:t>
      </w:r>
      <w:r>
        <w:rPr>
          <w:snapToGrid w:val="0"/>
        </w:rPr>
        <w:tab/>
        <w:t>Regulations in respect of emergency procedures and safety of navigation</w:t>
      </w:r>
      <w:bookmarkEnd w:id="130"/>
      <w:bookmarkEnd w:id="131"/>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 and</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 and</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 and</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 and</w:t>
      </w:r>
    </w:p>
    <w:p>
      <w:pPr>
        <w:pStyle w:val="Indenta"/>
        <w:rPr>
          <w:snapToGrid w:val="0"/>
        </w:rPr>
      </w:pPr>
      <w:r>
        <w:rPr>
          <w:snapToGrid w:val="0"/>
        </w:rPr>
        <w:tab/>
        <w:t>(e)</w:t>
      </w:r>
      <w:r>
        <w:rPr>
          <w:snapToGrid w:val="0"/>
        </w:rPr>
        <w:tab/>
        <w:t>regulating the use of automatic pilots; and</w:t>
      </w:r>
    </w:p>
    <w:p>
      <w:pPr>
        <w:pStyle w:val="Indenta"/>
        <w:rPr>
          <w:snapToGrid w:val="0"/>
        </w:rPr>
      </w:pPr>
      <w:r>
        <w:rPr>
          <w:snapToGrid w:val="0"/>
        </w:rPr>
        <w:tab/>
        <w:t>(f)</w:t>
      </w:r>
      <w:r>
        <w:rPr>
          <w:snapToGrid w:val="0"/>
        </w:rPr>
        <w:tab/>
        <w:t>regulating the operation and testing of steering gear and drills in relation to such gear; and</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132" w:name="_Toc155177628"/>
      <w:bookmarkStart w:id="133" w:name="_Toc132296309"/>
      <w:r>
        <w:rPr>
          <w:rStyle w:val="CharSectno"/>
        </w:rPr>
        <w:t>50</w:t>
      </w:r>
      <w:r>
        <w:rPr>
          <w:snapToGrid w:val="0"/>
        </w:rPr>
        <w:t>.</w:t>
      </w:r>
      <w:r>
        <w:rPr>
          <w:snapToGrid w:val="0"/>
        </w:rPr>
        <w:tab/>
        <w:t>Obligation to render assistance</w:t>
      </w:r>
      <w:bookmarkEnd w:id="132"/>
      <w:bookmarkEnd w:id="133"/>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keepNext/>
        <w:rPr>
          <w:snapToGrid w:val="0"/>
        </w:rPr>
      </w:pPr>
      <w:r>
        <w:rPr>
          <w:snapToGrid w:val="0"/>
        </w:rPr>
        <w:tab/>
        <w:t>(b)</w:t>
      </w:r>
      <w:r>
        <w:rPr>
          <w:snapToGrid w:val="0"/>
        </w:rPr>
        <w:tab/>
        <w:t>if he does not proceed to the assistance of the persons in distress, a record of his reasons for not so proceeding,</w:t>
      </w:r>
    </w:p>
    <w:p>
      <w:pPr>
        <w:pStyle w:val="Subsection"/>
        <w:spacing w:before="100"/>
        <w:rPr>
          <w:snapToGrid w:val="0"/>
        </w:rPr>
      </w:pPr>
      <w:r>
        <w:rPr>
          <w:snapToGrid w:val="0"/>
        </w:rPr>
        <w:tab/>
      </w:r>
      <w:r>
        <w:rPr>
          <w:snapToGrid w:val="0"/>
        </w:rPr>
        <w:tab/>
        <w:t>and a record required to be made under this subsection shall be made in the official logbook (if such a book is kept).</w:t>
      </w:r>
    </w:p>
    <w:p>
      <w:pPr>
        <w:pStyle w:val="Penstart"/>
        <w:spacing w:before="60"/>
        <w:rPr>
          <w:snapToGrid w:val="0"/>
        </w:rPr>
      </w:pPr>
      <w:r>
        <w:rPr>
          <w:snapToGrid w:val="0"/>
        </w:rPr>
        <w:tab/>
        <w:t>Penalty: $1 000.</w:t>
      </w:r>
    </w:p>
    <w:p>
      <w:pPr>
        <w:pStyle w:val="Subsection"/>
        <w:spacing w:before="110"/>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spacing w:before="110"/>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spacing w:before="110"/>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spacing w:before="110"/>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spacing w:before="110"/>
        <w:rPr>
          <w:snapToGrid w:val="0"/>
        </w:rPr>
      </w:pPr>
      <w:r>
        <w:rPr>
          <w:snapToGrid w:val="0"/>
        </w:rPr>
        <w:tab/>
        <w:t>(7)</w:t>
      </w:r>
      <w:r>
        <w:rPr>
          <w:snapToGrid w:val="0"/>
        </w:rPr>
        <w:tab/>
        <w:t>Compliance by the master of a ship with this section does not affect his right, or that of any other person, to salvage.</w:t>
      </w:r>
    </w:p>
    <w:p>
      <w:pPr>
        <w:pStyle w:val="Ednotesection"/>
        <w:spacing w:before="180"/>
      </w:pPr>
      <w:r>
        <w:t>[</w:t>
      </w:r>
      <w:r>
        <w:rPr>
          <w:b/>
        </w:rPr>
        <w:t>51.</w:t>
      </w:r>
      <w:r>
        <w:tab/>
        <w:t>Deleted: No. 35 of 1990 s. 10.]</w:t>
      </w:r>
    </w:p>
    <w:p>
      <w:pPr>
        <w:pStyle w:val="Heading5"/>
        <w:spacing w:before="180"/>
        <w:rPr>
          <w:snapToGrid w:val="0"/>
        </w:rPr>
      </w:pPr>
      <w:bookmarkStart w:id="134" w:name="_Toc155177629"/>
      <w:bookmarkStart w:id="135" w:name="_Toc132296310"/>
      <w:r>
        <w:rPr>
          <w:rStyle w:val="CharSectno"/>
        </w:rPr>
        <w:t>52</w:t>
      </w:r>
      <w:r>
        <w:rPr>
          <w:snapToGrid w:val="0"/>
        </w:rPr>
        <w:t>.</w:t>
      </w:r>
      <w:r>
        <w:rPr>
          <w:snapToGrid w:val="0"/>
        </w:rPr>
        <w:tab/>
        <w:t>Duties of masters, mates, marine engineers etc.</w:t>
      </w:r>
      <w:bookmarkEnd w:id="134"/>
      <w:bookmarkEnd w:id="135"/>
    </w:p>
    <w:p>
      <w:pPr>
        <w:pStyle w:val="Subsection"/>
        <w:spacing w:before="120"/>
        <w:rPr>
          <w:snapToGrid w:val="0"/>
        </w:rPr>
      </w:pPr>
      <w:r>
        <w:rPr>
          <w:snapToGrid w:val="0"/>
        </w:rPr>
        <w:tab/>
        <w:t>(1)</w:t>
      </w:r>
      <w:r>
        <w:rPr>
          <w:snapToGrid w:val="0"/>
        </w:rPr>
        <w:tab/>
        <w:t>Whenever a commercial vessel is approaching, berthing at, or leaving a jetty, the certificated master of the vessel shall —</w:t>
      </w:r>
    </w:p>
    <w:p>
      <w:pPr>
        <w:pStyle w:val="Indenta"/>
        <w:spacing w:before="60"/>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No. 35 of 1990 s. 21.]</w:t>
      </w:r>
    </w:p>
    <w:p>
      <w:pPr>
        <w:pStyle w:val="Heading3"/>
      </w:pPr>
      <w:bookmarkStart w:id="136" w:name="_Toc155177630"/>
      <w:bookmarkStart w:id="137" w:name="_Toc132296311"/>
      <w:r>
        <w:rPr>
          <w:rStyle w:val="CharDivNo"/>
        </w:rPr>
        <w:t>Division 16</w:t>
      </w:r>
      <w:r>
        <w:rPr>
          <w:snapToGrid w:val="0"/>
        </w:rPr>
        <w:t> — </w:t>
      </w:r>
      <w:r>
        <w:rPr>
          <w:rStyle w:val="CharDivText"/>
        </w:rPr>
        <w:t>Hire and drive vessels</w:t>
      </w:r>
      <w:bookmarkEnd w:id="136"/>
      <w:bookmarkEnd w:id="137"/>
    </w:p>
    <w:p>
      <w:pPr>
        <w:pStyle w:val="Heading5"/>
        <w:rPr>
          <w:snapToGrid w:val="0"/>
        </w:rPr>
      </w:pPr>
      <w:bookmarkStart w:id="138" w:name="_Toc155177631"/>
      <w:bookmarkStart w:id="139" w:name="_Toc132296312"/>
      <w:r>
        <w:rPr>
          <w:rStyle w:val="CharSectno"/>
        </w:rPr>
        <w:t>53</w:t>
      </w:r>
      <w:r>
        <w:rPr>
          <w:snapToGrid w:val="0"/>
        </w:rPr>
        <w:t>.</w:t>
      </w:r>
      <w:r>
        <w:rPr>
          <w:snapToGrid w:val="0"/>
        </w:rPr>
        <w:tab/>
        <w:t>Terms used</w:t>
      </w:r>
      <w:bookmarkEnd w:id="138"/>
      <w:bookmarkEnd w:id="139"/>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140" w:name="_Toc155177632"/>
      <w:bookmarkStart w:id="141" w:name="_Toc132296313"/>
      <w:r>
        <w:rPr>
          <w:rStyle w:val="CharSectno"/>
        </w:rPr>
        <w:t>54</w:t>
      </w:r>
      <w:r>
        <w:rPr>
          <w:snapToGrid w:val="0"/>
        </w:rPr>
        <w:t>.</w:t>
      </w:r>
      <w:r>
        <w:rPr>
          <w:snapToGrid w:val="0"/>
        </w:rPr>
        <w:tab/>
        <w:t>Regulations in respect of hire and drive vessels</w:t>
      </w:r>
      <w:bookmarkEnd w:id="140"/>
      <w:bookmarkEnd w:id="141"/>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spacing w:before="70"/>
        <w:rPr>
          <w:snapToGrid w:val="0"/>
        </w:rPr>
      </w:pPr>
      <w:r>
        <w:rPr>
          <w:snapToGrid w:val="0"/>
        </w:rPr>
        <w:tab/>
        <w:t>(a)</w:t>
      </w:r>
      <w:r>
        <w:rPr>
          <w:snapToGrid w:val="0"/>
        </w:rPr>
        <w:tab/>
        <w:t>providing for the licensing of owners of hire and drive vessels and for the issue of licences subject to conditions; and</w:t>
      </w:r>
    </w:p>
    <w:p>
      <w:pPr>
        <w:pStyle w:val="Indenta"/>
        <w:spacing w:before="70"/>
        <w:rPr>
          <w:snapToGrid w:val="0"/>
        </w:rPr>
      </w:pPr>
      <w:r>
        <w:rPr>
          <w:snapToGrid w:val="0"/>
        </w:rPr>
        <w:tab/>
        <w:t>(b)</w:t>
      </w:r>
      <w:r>
        <w:rPr>
          <w:snapToGrid w:val="0"/>
        </w:rPr>
        <w:tab/>
        <w:t>providing for the registration and inspection of hire and drive vessels; and</w:t>
      </w:r>
    </w:p>
    <w:p>
      <w:pPr>
        <w:pStyle w:val="Indenta"/>
        <w:spacing w:before="70"/>
        <w:rPr>
          <w:snapToGrid w:val="0"/>
        </w:rPr>
      </w:pPr>
      <w:r>
        <w:rPr>
          <w:snapToGrid w:val="0"/>
        </w:rPr>
        <w:tab/>
        <w:t>(c)</w:t>
      </w:r>
      <w:r>
        <w:rPr>
          <w:snapToGrid w:val="0"/>
        </w:rPr>
        <w:tab/>
        <w:t>prescribing the duties of owners and hirers of hire and drive vessels; and</w:t>
      </w:r>
    </w:p>
    <w:p>
      <w:pPr>
        <w:pStyle w:val="Indenta"/>
        <w:spacing w:before="70"/>
        <w:rPr>
          <w:snapToGrid w:val="0"/>
        </w:rPr>
      </w:pPr>
      <w:r>
        <w:rPr>
          <w:snapToGrid w:val="0"/>
        </w:rPr>
        <w:tab/>
        <w:t>(d)</w:t>
      </w:r>
      <w:r>
        <w:rPr>
          <w:snapToGrid w:val="0"/>
        </w:rPr>
        <w:tab/>
        <w:t>prescribing requirements for hire and drive vessels including requirements as to maintenance and the provision of equipment; and</w:t>
      </w:r>
    </w:p>
    <w:p>
      <w:pPr>
        <w:pStyle w:val="Indenta"/>
        <w:spacing w:before="70"/>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spacing w:before="70"/>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142" w:name="_Toc155177633"/>
      <w:bookmarkStart w:id="143" w:name="_Toc132296314"/>
      <w:r>
        <w:rPr>
          <w:rStyle w:val="CharSectno"/>
        </w:rPr>
        <w:t>55</w:t>
      </w:r>
      <w:r>
        <w:rPr>
          <w:snapToGrid w:val="0"/>
        </w:rPr>
        <w:t>.</w:t>
      </w:r>
      <w:r>
        <w:rPr>
          <w:snapToGrid w:val="0"/>
        </w:rPr>
        <w:tab/>
        <w:t>Penalty for unlawful hiring out of vessel</w:t>
      </w:r>
      <w:bookmarkEnd w:id="142"/>
      <w:bookmarkEnd w:id="143"/>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144" w:name="_Toc155177634"/>
      <w:bookmarkStart w:id="145" w:name="_Toc132296315"/>
      <w:r>
        <w:rPr>
          <w:rStyle w:val="CharSectno"/>
        </w:rPr>
        <w:t>56</w:t>
      </w:r>
      <w:r>
        <w:rPr>
          <w:snapToGrid w:val="0"/>
        </w:rPr>
        <w:t>.</w:t>
      </w:r>
      <w:r>
        <w:rPr>
          <w:snapToGrid w:val="0"/>
        </w:rPr>
        <w:tab/>
        <w:t>Penalty for fraudulently procuring use or hire</w:t>
      </w:r>
      <w:bookmarkEnd w:id="144"/>
      <w:bookmarkEnd w:id="145"/>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146" w:name="_Toc155177635"/>
      <w:bookmarkStart w:id="147" w:name="_Toc132296316"/>
      <w:r>
        <w:rPr>
          <w:rStyle w:val="CharPartNo"/>
        </w:rPr>
        <w:t>Part III</w:t>
      </w:r>
      <w:r>
        <w:rPr>
          <w:rStyle w:val="CharDivNo"/>
        </w:rPr>
        <w:t> </w:t>
      </w:r>
      <w:r>
        <w:t>—</w:t>
      </w:r>
      <w:r>
        <w:rPr>
          <w:rStyle w:val="CharDivText"/>
        </w:rPr>
        <w:t> </w:t>
      </w:r>
      <w:r>
        <w:rPr>
          <w:rStyle w:val="CharPartText"/>
        </w:rPr>
        <w:t>Miscellaneous marine powers and duties</w:t>
      </w:r>
      <w:bookmarkEnd w:id="146"/>
      <w:bookmarkEnd w:id="147"/>
    </w:p>
    <w:p>
      <w:pPr>
        <w:pStyle w:val="Heading5"/>
        <w:rPr>
          <w:snapToGrid w:val="0"/>
        </w:rPr>
      </w:pPr>
      <w:bookmarkStart w:id="148" w:name="_Toc155177636"/>
      <w:bookmarkStart w:id="149" w:name="_Toc132296317"/>
      <w:r>
        <w:rPr>
          <w:rStyle w:val="CharSectno"/>
        </w:rPr>
        <w:t>57</w:t>
      </w:r>
      <w:r>
        <w:rPr>
          <w:snapToGrid w:val="0"/>
        </w:rPr>
        <w:t>.</w:t>
      </w:r>
      <w:r>
        <w:rPr>
          <w:snapToGrid w:val="0"/>
        </w:rPr>
        <w:tab/>
        <w:t>General powers to stop and search vessels</w:t>
      </w:r>
      <w:bookmarkEnd w:id="148"/>
      <w:bookmarkEnd w:id="149"/>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 and</w:t>
      </w:r>
    </w:p>
    <w:p>
      <w:pPr>
        <w:pStyle w:val="Indenta"/>
        <w:rPr>
          <w:snapToGrid w:val="0"/>
        </w:rPr>
      </w:pPr>
      <w:r>
        <w:rPr>
          <w:snapToGrid w:val="0"/>
        </w:rPr>
        <w:tab/>
        <w:t>(b)</w:t>
      </w:r>
      <w:r>
        <w:rPr>
          <w:snapToGrid w:val="0"/>
        </w:rPr>
        <w:tab/>
        <w:t>inspect any boats, equipment, or materials on board or belonging to any such vessel; and</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 and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150" w:name="_Toc155177637"/>
      <w:bookmarkStart w:id="151" w:name="_Toc132296318"/>
      <w:r>
        <w:rPr>
          <w:rStyle w:val="CharSectno"/>
        </w:rPr>
        <w:t>58</w:t>
      </w:r>
      <w:r>
        <w:rPr>
          <w:snapToGrid w:val="0"/>
        </w:rPr>
        <w:t>.</w:t>
      </w:r>
      <w:r>
        <w:rPr>
          <w:snapToGrid w:val="0"/>
        </w:rPr>
        <w:tab/>
        <w:t>Power to inspect logs and muster crew</w:t>
      </w:r>
      <w:bookmarkEnd w:id="150"/>
      <w:bookmarkEnd w:id="151"/>
    </w:p>
    <w:p>
      <w:pPr>
        <w:pStyle w:val="Subsection"/>
        <w:spacing w:before="120"/>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spacing w:before="60"/>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 and</w:t>
      </w:r>
    </w:p>
    <w:p>
      <w:pPr>
        <w:pStyle w:val="Indenta"/>
        <w:spacing w:before="60"/>
        <w:rPr>
          <w:snapToGrid w:val="0"/>
        </w:rPr>
      </w:pPr>
      <w:r>
        <w:rPr>
          <w:snapToGrid w:val="0"/>
        </w:rPr>
        <w:tab/>
        <w:t>(b)</w:t>
      </w:r>
      <w:r>
        <w:rPr>
          <w:snapToGrid w:val="0"/>
        </w:rPr>
        <w:tab/>
        <w:t>require the master of a commercial vessel to produce a list of all persons on board his ship; and</w:t>
      </w:r>
    </w:p>
    <w:p>
      <w:pPr>
        <w:pStyle w:val="Indenta"/>
        <w:spacing w:before="60"/>
        <w:rPr>
          <w:snapToGrid w:val="0"/>
        </w:rPr>
      </w:pPr>
      <w:r>
        <w:rPr>
          <w:snapToGrid w:val="0"/>
        </w:rPr>
        <w:tab/>
        <w:t>(c)</w:t>
      </w:r>
      <w:r>
        <w:rPr>
          <w:snapToGrid w:val="0"/>
        </w:rPr>
        <w:tab/>
        <w:t>take copies of such logbooks and documents or of any part thereof; and</w:t>
      </w:r>
    </w:p>
    <w:p>
      <w:pPr>
        <w:pStyle w:val="Indenta"/>
        <w:spacing w:before="60"/>
        <w:rPr>
          <w:snapToGrid w:val="0"/>
        </w:rPr>
      </w:pPr>
      <w:r>
        <w:rPr>
          <w:snapToGrid w:val="0"/>
        </w:rPr>
        <w:tab/>
        <w:t>(d)</w:t>
      </w:r>
      <w:r>
        <w:rPr>
          <w:snapToGrid w:val="0"/>
        </w:rPr>
        <w:tab/>
        <w:t>muster the crew of any such ship; and</w:t>
      </w:r>
    </w:p>
    <w:p>
      <w:pPr>
        <w:pStyle w:val="Indenta"/>
        <w:spacing w:before="60"/>
        <w:rPr>
          <w:snapToGrid w:val="0"/>
        </w:rPr>
      </w:pPr>
      <w:r>
        <w:rPr>
          <w:snapToGrid w:val="0"/>
        </w:rPr>
        <w:tab/>
        <w:t>(e)</w:t>
      </w:r>
      <w:r>
        <w:rPr>
          <w:snapToGrid w:val="0"/>
        </w:rPr>
        <w:tab/>
        <w:t>summon the master to appear and give any explanation concerning such ship or her crew and such logs and documents.</w:t>
      </w:r>
    </w:p>
    <w:p>
      <w:pPr>
        <w:pStyle w:val="Subsection"/>
        <w:spacing w:before="120"/>
        <w:rPr>
          <w:snapToGrid w:val="0"/>
        </w:rPr>
      </w:pPr>
      <w:r>
        <w:rPr>
          <w:snapToGrid w:val="0"/>
        </w:rPr>
        <w:tab/>
        <w:t>(2)</w:t>
      </w:r>
      <w:r>
        <w:rPr>
          <w:snapToGrid w:val="0"/>
        </w:rPr>
        <w:tab/>
        <w:t>A person who —</w:t>
      </w:r>
    </w:p>
    <w:p>
      <w:pPr>
        <w:pStyle w:val="Indenta"/>
        <w:spacing w:before="60"/>
        <w:rPr>
          <w:snapToGrid w:val="0"/>
        </w:rPr>
      </w:pPr>
      <w:r>
        <w:rPr>
          <w:snapToGrid w:val="0"/>
        </w:rPr>
        <w:tab/>
        <w:t>(a)</w:t>
      </w:r>
      <w:r>
        <w:rPr>
          <w:snapToGrid w:val="0"/>
        </w:rPr>
        <w:tab/>
        <w:t>upon requisition made under subsection (1) refuses or neglects to produce or to permit inspection and copying of any logbook or other document; or</w:t>
      </w:r>
    </w:p>
    <w:p>
      <w:pPr>
        <w:pStyle w:val="Indenta"/>
        <w:spacing w:before="60"/>
        <w:rPr>
          <w:snapToGrid w:val="0"/>
        </w:rPr>
      </w:pPr>
      <w:r>
        <w:rPr>
          <w:snapToGrid w:val="0"/>
        </w:rPr>
        <w:tab/>
        <w:t>(b)</w:t>
      </w:r>
      <w:r>
        <w:rPr>
          <w:snapToGrid w:val="0"/>
        </w:rPr>
        <w:tab/>
        <w:t>impedes any mustering of the crew; or</w:t>
      </w:r>
    </w:p>
    <w:p>
      <w:pPr>
        <w:pStyle w:val="Indenta"/>
        <w:spacing w:before="60"/>
        <w:rPr>
          <w:snapToGrid w:val="0"/>
        </w:rPr>
      </w:pPr>
      <w:r>
        <w:rPr>
          <w:snapToGrid w:val="0"/>
        </w:rPr>
        <w:tab/>
        <w:t>(c)</w:t>
      </w:r>
      <w:r>
        <w:rPr>
          <w:snapToGrid w:val="0"/>
        </w:rPr>
        <w:tab/>
        <w:t>refuses or neglects to give any explanation which he is required to give under subsection (1); or</w:t>
      </w:r>
    </w:p>
    <w:p>
      <w:pPr>
        <w:pStyle w:val="Indenta"/>
        <w:spacing w:before="60"/>
        <w:rPr>
          <w:snapToGrid w:val="0"/>
        </w:rPr>
      </w:pPr>
      <w:r>
        <w:rPr>
          <w:snapToGrid w:val="0"/>
        </w:rPr>
        <w:tab/>
        <w:t>(d)</w:t>
      </w:r>
      <w:r>
        <w:rPr>
          <w:snapToGrid w:val="0"/>
        </w:rPr>
        <w:tab/>
        <w:t>knowingly misleads or deceives any person authorised by subsection (1) to require an explanation,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spacing w:before="180"/>
        <w:rPr>
          <w:snapToGrid w:val="0"/>
        </w:rPr>
      </w:pPr>
      <w:bookmarkStart w:id="152" w:name="_Toc155177638"/>
      <w:bookmarkStart w:id="153" w:name="_Toc132296319"/>
      <w:r>
        <w:rPr>
          <w:rStyle w:val="CharSectno"/>
        </w:rPr>
        <w:t>58A</w:t>
      </w:r>
      <w:r>
        <w:rPr>
          <w:snapToGrid w:val="0"/>
        </w:rPr>
        <w:t>.</w:t>
      </w:r>
      <w:r>
        <w:rPr>
          <w:snapToGrid w:val="0"/>
        </w:rPr>
        <w:tab/>
        <w:t>Compensation in respect of false distress signals</w:t>
      </w:r>
      <w:bookmarkEnd w:id="152"/>
      <w:bookmarkEnd w:id="153"/>
    </w:p>
    <w:p>
      <w:pPr>
        <w:pStyle w:val="Subsection"/>
        <w:spacing w:before="120"/>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No. 35 of 1990 s. 11.]</w:t>
      </w:r>
    </w:p>
    <w:p>
      <w:pPr>
        <w:pStyle w:val="Heading5"/>
        <w:rPr>
          <w:snapToGrid w:val="0"/>
        </w:rPr>
      </w:pPr>
      <w:bookmarkStart w:id="154" w:name="_Toc155177639"/>
      <w:bookmarkStart w:id="155" w:name="_Toc132296320"/>
      <w:r>
        <w:rPr>
          <w:rStyle w:val="CharSectno"/>
        </w:rPr>
        <w:t>58B</w:t>
      </w:r>
      <w:r>
        <w:rPr>
          <w:snapToGrid w:val="0"/>
        </w:rPr>
        <w:t>.</w:t>
      </w:r>
      <w:r>
        <w:rPr>
          <w:snapToGrid w:val="0"/>
        </w:rPr>
        <w:tab/>
        <w:t>Offence to take unsafe ship to sea</w:t>
      </w:r>
      <w:bookmarkEnd w:id="154"/>
      <w:bookmarkEnd w:id="155"/>
    </w:p>
    <w:p>
      <w:pPr>
        <w:pStyle w:val="Subsection"/>
        <w:spacing w:before="140"/>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It is a defence in a prosecution for an offence against subsection (1) to show —</w:t>
      </w:r>
    </w:p>
    <w:p>
      <w:pPr>
        <w:pStyle w:val="Indenta"/>
        <w:spacing w:before="60"/>
        <w:rPr>
          <w:snapToGrid w:val="0"/>
        </w:rPr>
      </w:pPr>
      <w:r>
        <w:rPr>
          <w:snapToGrid w:val="0"/>
        </w:rPr>
        <w:tab/>
        <w:t>(a)</w:t>
      </w:r>
      <w:r>
        <w:rPr>
          <w:snapToGrid w:val="0"/>
        </w:rPr>
        <w:tab/>
        <w:t>that the person charged used all reasonable means to ensure that the vessel was not an unsafe ship; or</w:t>
      </w:r>
    </w:p>
    <w:p>
      <w:pPr>
        <w:pStyle w:val="Indenta"/>
        <w:spacing w:before="60"/>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spacing w:before="130"/>
        <w:rPr>
          <w:snapToGrid w:val="0"/>
        </w:rPr>
      </w:pPr>
      <w:r>
        <w:rPr>
          <w:snapToGrid w:val="0"/>
        </w:rPr>
        <w:tab/>
        <w:t>(3)</w:t>
      </w:r>
      <w:r>
        <w:rPr>
          <w:snapToGrid w:val="0"/>
        </w:rPr>
        <w:tab/>
        <w:t>The fact that an unsafe ship has been detained under section 61 is not a bar to proceedings under this section.</w:t>
      </w:r>
    </w:p>
    <w:p>
      <w:pPr>
        <w:pStyle w:val="Subsection"/>
        <w:spacing w:before="130"/>
        <w:rPr>
          <w:snapToGrid w:val="0"/>
        </w:rPr>
      </w:pPr>
      <w:r>
        <w:rPr>
          <w:snapToGrid w:val="0"/>
        </w:rPr>
        <w:tab/>
        <w:t>(4)</w:t>
      </w:r>
      <w:r>
        <w:rPr>
          <w:snapToGrid w:val="0"/>
        </w:rPr>
        <w:tab/>
        <w:t>A vessel is an unsafe ship for the purposes of this section if by reason of —</w:t>
      </w:r>
    </w:p>
    <w:p>
      <w:pPr>
        <w:pStyle w:val="Indenta"/>
        <w:spacing w:before="60"/>
        <w:rPr>
          <w:snapToGrid w:val="0"/>
        </w:rPr>
      </w:pPr>
      <w:r>
        <w:rPr>
          <w:snapToGrid w:val="0"/>
        </w:rPr>
        <w:tab/>
        <w:t>(a)</w:t>
      </w:r>
      <w:r>
        <w:rPr>
          <w:snapToGrid w:val="0"/>
        </w:rPr>
        <w:tab/>
        <w:t>the defective condition of a part of the vessel; or</w:t>
      </w:r>
    </w:p>
    <w:p>
      <w:pPr>
        <w:pStyle w:val="Indenta"/>
        <w:spacing w:before="60"/>
        <w:rPr>
          <w:snapToGrid w:val="0"/>
        </w:rPr>
      </w:pPr>
      <w:r>
        <w:rPr>
          <w:snapToGrid w:val="0"/>
        </w:rPr>
        <w:tab/>
        <w:t>(b)</w:t>
      </w:r>
      <w:r>
        <w:rPr>
          <w:snapToGrid w:val="0"/>
        </w:rPr>
        <w:tab/>
        <w:t>the overloading or improper loading of the vessel; or</w:t>
      </w:r>
    </w:p>
    <w:p>
      <w:pPr>
        <w:pStyle w:val="Indenta"/>
        <w:spacing w:before="60"/>
        <w:rPr>
          <w:snapToGrid w:val="0"/>
        </w:rPr>
      </w:pPr>
      <w:r>
        <w:rPr>
          <w:snapToGrid w:val="0"/>
        </w:rPr>
        <w:tab/>
        <w:t>(c)</w:t>
      </w:r>
      <w:r>
        <w:rPr>
          <w:snapToGrid w:val="0"/>
        </w:rPr>
        <w:tab/>
        <w:t>the undermanning of the vessel,</w:t>
      </w:r>
    </w:p>
    <w:p>
      <w:pPr>
        <w:pStyle w:val="Subsection"/>
        <w:spacing w:before="120"/>
        <w:rPr>
          <w:snapToGrid w:val="0"/>
        </w:rPr>
      </w:pPr>
      <w:r>
        <w:rPr>
          <w:snapToGrid w:val="0"/>
        </w:rPr>
        <w:tab/>
      </w:r>
      <w:r>
        <w:rPr>
          <w:snapToGrid w:val="0"/>
        </w:rPr>
        <w:tab/>
        <w:t>the vessel is unfit to proceed on its proposed voyage without risk of injury or danger to human life.</w:t>
      </w:r>
    </w:p>
    <w:p>
      <w:pPr>
        <w:pStyle w:val="Subsection"/>
        <w:spacing w:before="140"/>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No. 35 of 1990 s. 11.]</w:t>
      </w:r>
    </w:p>
    <w:p>
      <w:pPr>
        <w:pStyle w:val="Heading5"/>
        <w:rPr>
          <w:snapToGrid w:val="0"/>
        </w:rPr>
      </w:pPr>
      <w:bookmarkStart w:id="156" w:name="_Toc155177640"/>
      <w:bookmarkStart w:id="157" w:name="_Toc132296321"/>
      <w:r>
        <w:rPr>
          <w:rStyle w:val="CharSectno"/>
        </w:rPr>
        <w:t>59</w:t>
      </w:r>
      <w:r>
        <w:rPr>
          <w:snapToGrid w:val="0"/>
        </w:rPr>
        <w:t>.</w:t>
      </w:r>
      <w:r>
        <w:rPr>
          <w:snapToGrid w:val="0"/>
        </w:rPr>
        <w:tab/>
        <w:t>Safe navigation</w:t>
      </w:r>
      <w:bookmarkEnd w:id="156"/>
      <w:bookmarkEnd w:id="157"/>
    </w:p>
    <w:p>
      <w:pPr>
        <w:pStyle w:val="Subsection"/>
        <w:spacing w:before="14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158" w:name="_Toc155177641"/>
      <w:bookmarkStart w:id="159" w:name="_Toc132296322"/>
      <w:r>
        <w:rPr>
          <w:rStyle w:val="CharSectno"/>
        </w:rPr>
        <w:t>60</w:t>
      </w:r>
      <w:r>
        <w:rPr>
          <w:snapToGrid w:val="0"/>
        </w:rPr>
        <w:t>.</w:t>
      </w:r>
      <w:r>
        <w:rPr>
          <w:snapToGrid w:val="0"/>
        </w:rPr>
        <w:tab/>
        <w:t>Penalty for unlawfully assuming control</w:t>
      </w:r>
      <w:bookmarkEnd w:id="158"/>
      <w:bookmarkEnd w:id="159"/>
    </w:p>
    <w:p>
      <w:pPr>
        <w:pStyle w:val="Subsection"/>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160" w:name="_Toc155177642"/>
      <w:bookmarkStart w:id="161" w:name="_Toc132296323"/>
      <w:r>
        <w:rPr>
          <w:rStyle w:val="CharSectno"/>
        </w:rPr>
        <w:t>61</w:t>
      </w:r>
      <w:r>
        <w:rPr>
          <w:snapToGrid w:val="0"/>
        </w:rPr>
        <w:t>.</w:t>
      </w:r>
      <w:r>
        <w:rPr>
          <w:snapToGrid w:val="0"/>
        </w:rPr>
        <w:tab/>
        <w:t>Power to detain unsafe ships</w:t>
      </w:r>
      <w:bookmarkEnd w:id="160"/>
      <w:bookmarkEnd w:id="161"/>
    </w:p>
    <w:p>
      <w:pPr>
        <w:pStyle w:val="Subsection"/>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 and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 and</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 and</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 and</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 and</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No 35 of 1990 s. 21.]</w:t>
      </w:r>
    </w:p>
    <w:p>
      <w:pPr>
        <w:pStyle w:val="Heading5"/>
        <w:rPr>
          <w:snapToGrid w:val="0"/>
        </w:rPr>
      </w:pPr>
      <w:bookmarkStart w:id="162" w:name="_Toc155177643"/>
      <w:bookmarkStart w:id="163" w:name="_Toc132296324"/>
      <w:r>
        <w:rPr>
          <w:rStyle w:val="CharSectno"/>
        </w:rPr>
        <w:t>62</w:t>
      </w:r>
      <w:r>
        <w:rPr>
          <w:snapToGrid w:val="0"/>
        </w:rPr>
        <w:t>.</w:t>
      </w:r>
      <w:r>
        <w:rPr>
          <w:snapToGrid w:val="0"/>
        </w:rPr>
        <w:tab/>
        <w:t>Enforcing detention of ship</w:t>
      </w:r>
      <w:bookmarkEnd w:id="162"/>
      <w:bookmarkEnd w:id="163"/>
    </w:p>
    <w:p>
      <w:pPr>
        <w:pStyle w:val="Subsection"/>
        <w:rPr>
          <w:snapToGrid w:val="0"/>
        </w:rPr>
      </w:pPr>
      <w:r>
        <w:rPr>
          <w:snapToGrid w:val="0"/>
        </w:rPr>
        <w:tab/>
        <w:t>(1)</w:t>
      </w:r>
      <w:r>
        <w:rPr>
          <w:snapToGrid w:val="0"/>
        </w:rPr>
        <w:tab/>
        <w:t>Where under this Act a ship is authorised or ordered to be detained, any official of the Department may detain the ship.</w:t>
      </w:r>
    </w:p>
    <w:p>
      <w:pPr>
        <w:pStyle w:val="Subsection"/>
        <w:rPr>
          <w:snapToGrid w:val="0"/>
        </w:rPr>
      </w:pPr>
      <w:r>
        <w:rPr>
          <w:snapToGrid w:val="0"/>
          <w:spacing w:val="-4"/>
        </w:rPr>
        <w:tab/>
        <w:t>(2)</w:t>
      </w:r>
      <w:r>
        <w:rPr>
          <w:snapToGrid w:val="0"/>
          <w:spacing w:val="-4"/>
        </w:rPr>
        <w:tab/>
      </w:r>
      <w:r>
        <w:rPr>
          <w:snapToGrid w:val="0"/>
        </w:rPr>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rPr>
          <w:snapToGrid w:val="0"/>
        </w:rPr>
      </w:pPr>
      <w:r>
        <w:rPr>
          <w:snapToGrid w:val="0"/>
          <w:spacing w:val="-4"/>
        </w:rPr>
        <w:tab/>
        <w:t>(3)</w:t>
      </w:r>
      <w:r>
        <w:rPr>
          <w:snapToGrid w:val="0"/>
          <w:spacing w:val="-4"/>
        </w:rPr>
        <w:tab/>
      </w:r>
      <w:r>
        <w:rPr>
          <w:snapToGrid w:val="0"/>
        </w:rPr>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ind w:left="890" w:hanging="890"/>
      </w:pPr>
      <w:r>
        <w:tab/>
        <w:t>[Section 62 amended: No. 92 of 1994 s. 42.]</w:t>
      </w:r>
    </w:p>
    <w:p>
      <w:pPr>
        <w:pStyle w:val="Heading5"/>
        <w:rPr>
          <w:snapToGrid w:val="0"/>
        </w:rPr>
      </w:pPr>
      <w:bookmarkStart w:id="164" w:name="_Toc155177644"/>
      <w:bookmarkStart w:id="165" w:name="_Toc132296325"/>
      <w:r>
        <w:rPr>
          <w:rStyle w:val="CharSectno"/>
        </w:rPr>
        <w:t>63</w:t>
      </w:r>
      <w:r>
        <w:rPr>
          <w:snapToGrid w:val="0"/>
        </w:rPr>
        <w:t>.</w:t>
      </w:r>
      <w:r>
        <w:rPr>
          <w:snapToGrid w:val="0"/>
        </w:rPr>
        <w:tab/>
        <w:t>Power to order vessel to return to port</w:t>
      </w:r>
      <w:bookmarkEnd w:id="164"/>
      <w:bookmarkEnd w:id="165"/>
    </w:p>
    <w:p>
      <w:pPr>
        <w:pStyle w:val="Subsection"/>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spacing w:before="100"/>
        <w:rPr>
          <w:snapToGrid w:val="0"/>
        </w:rPr>
      </w:pPr>
      <w:r>
        <w:rPr>
          <w:snapToGrid w:val="0"/>
        </w:rPr>
        <w:tab/>
      </w:r>
      <w:r>
        <w:rPr>
          <w:snapToGrid w:val="0"/>
        </w:rPr>
        <w:tab/>
      </w:r>
      <w:r>
        <w:rPr>
          <w:snapToGrid w:val="0"/>
          <w:spacing w:val="-4"/>
        </w:rPr>
        <w:t>and</w:t>
      </w:r>
    </w:p>
    <w:p>
      <w:pPr>
        <w:pStyle w:val="Indenta"/>
        <w:spacing w:before="100"/>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spacing w:before="100"/>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 or</w:t>
      </w:r>
    </w:p>
    <w:p>
      <w:pPr>
        <w:pStyle w:val="Indenta"/>
        <w:spacing w:before="100"/>
        <w:rPr>
          <w:snapToGrid w:val="0"/>
        </w:rPr>
      </w:pPr>
      <w:r>
        <w:rPr>
          <w:snapToGrid w:val="0"/>
        </w:rPr>
        <w:tab/>
        <w:t>(b)</w:t>
      </w:r>
      <w:r>
        <w:rPr>
          <w:snapToGrid w:val="0"/>
        </w:rPr>
        <w:tab/>
        <w:t>that there is not in force in relation to the vessel a licence, permit, or certificate required under this Act or a valid exemption or dispensation; or</w:t>
      </w:r>
    </w:p>
    <w:p>
      <w:pPr>
        <w:pStyle w:val="Indenta"/>
        <w:spacing w:before="100"/>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spacing w:before="100"/>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 or</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166" w:name="_Toc155177645"/>
      <w:bookmarkStart w:id="167" w:name="_Toc132296326"/>
      <w:r>
        <w:rPr>
          <w:rStyle w:val="CharSectno"/>
        </w:rPr>
        <w:t>64</w:t>
      </w:r>
      <w:r>
        <w:rPr>
          <w:snapToGrid w:val="0"/>
        </w:rPr>
        <w:t>.</w:t>
      </w:r>
      <w:r>
        <w:rPr>
          <w:snapToGrid w:val="0"/>
        </w:rPr>
        <w:tab/>
        <w:t>Duties in case of collision, casualty etc.</w:t>
      </w:r>
      <w:bookmarkEnd w:id="166"/>
      <w:bookmarkEnd w:id="167"/>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rPr>
          <w:snapToGrid w:val="0"/>
        </w:rPr>
      </w:pPr>
      <w:r>
        <w:rPr>
          <w:snapToGrid w:val="0"/>
          <w:spacing w:val="-4"/>
        </w:rPr>
        <w:tab/>
        <w:t>(b)</w:t>
      </w:r>
      <w:r>
        <w:rPr>
          <w:snapToGrid w:val="0"/>
          <w:spacing w:val="-4"/>
        </w:rPr>
        <w:tab/>
      </w:r>
      <w:r>
        <w:rPr>
          <w:snapToGrid w:val="0"/>
        </w:rPr>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rPr>
      </w:pPr>
      <w:r>
        <w:rPr>
          <w:snapToGrid w:val="0"/>
          <w:spacing w:val="-4"/>
        </w:rPr>
        <w:tab/>
        <w:t>(3)</w:t>
      </w:r>
      <w:r>
        <w:rPr>
          <w:snapToGrid w:val="0"/>
          <w:spacing w:val="-4"/>
        </w:rPr>
        <w:tab/>
      </w:r>
      <w:r>
        <w:rPr>
          <w:snapToGrid w:val="0"/>
        </w:rPr>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 and</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rPr>
      </w:pPr>
      <w:r>
        <w:rPr>
          <w:snapToGrid w:val="0"/>
          <w:spacing w:val="-4"/>
        </w:rPr>
        <w:tab/>
        <w:t>(c)</w:t>
      </w:r>
      <w:r>
        <w:rPr>
          <w:snapToGrid w:val="0"/>
          <w:spacing w:val="-4"/>
        </w:rPr>
        <w:tab/>
      </w:r>
      <w:r>
        <w:rPr>
          <w:snapToGrid w:val="0"/>
        </w:rPr>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No. 35 of 1990 s. 21; No. 8 of 2009 s. 137(2).]</w:t>
      </w:r>
    </w:p>
    <w:p>
      <w:pPr>
        <w:pStyle w:val="Heading5"/>
        <w:keepLines w:val="0"/>
        <w:rPr>
          <w:snapToGrid w:val="0"/>
        </w:rPr>
      </w:pPr>
      <w:bookmarkStart w:id="168" w:name="_Toc155177646"/>
      <w:bookmarkStart w:id="169" w:name="_Toc132296327"/>
      <w:r>
        <w:rPr>
          <w:rStyle w:val="CharSectno"/>
        </w:rPr>
        <w:t>65</w:t>
      </w:r>
      <w:r>
        <w:rPr>
          <w:snapToGrid w:val="0"/>
        </w:rPr>
        <w:t>.</w:t>
      </w:r>
      <w:r>
        <w:rPr>
          <w:snapToGrid w:val="0"/>
        </w:rPr>
        <w:tab/>
        <w:t>Mooring licences</w:t>
      </w:r>
      <w:bookmarkEnd w:id="168"/>
      <w:bookmarkEnd w:id="169"/>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170" w:name="_Toc155177647"/>
      <w:bookmarkStart w:id="171" w:name="_Toc132296328"/>
      <w:r>
        <w:rPr>
          <w:rStyle w:val="CharSectno"/>
        </w:rPr>
        <w:t>66</w:t>
      </w:r>
      <w:r>
        <w:rPr>
          <w:snapToGrid w:val="0"/>
        </w:rPr>
        <w:t>.</w:t>
      </w:r>
      <w:r>
        <w:rPr>
          <w:snapToGrid w:val="0"/>
        </w:rPr>
        <w:tab/>
        <w:t>Closure of navigable waters</w:t>
      </w:r>
      <w:bookmarkEnd w:id="170"/>
      <w:bookmarkEnd w:id="171"/>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 and</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 and</w:t>
      </w:r>
    </w:p>
    <w:p>
      <w:pPr>
        <w:pStyle w:val="Indenta"/>
        <w:rPr>
          <w:snapToGrid w:val="0"/>
        </w:rPr>
      </w:pPr>
      <w:r>
        <w:rPr>
          <w:snapToGrid w:val="0"/>
        </w:rPr>
        <w:tab/>
        <w:t>(c)</w:t>
      </w:r>
      <w:r>
        <w:rPr>
          <w:snapToGrid w:val="0"/>
        </w:rPr>
        <w:tab/>
        <w:t>may be varied, renewed or cancelled by subsequent order so made; and</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 and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No. 35 of 1990 s. 13 and 21; No. 78 of 1995 s. 137.]</w:t>
      </w:r>
    </w:p>
    <w:p>
      <w:pPr>
        <w:pStyle w:val="Heading5"/>
        <w:rPr>
          <w:snapToGrid w:val="0"/>
        </w:rPr>
      </w:pPr>
      <w:bookmarkStart w:id="172" w:name="_Toc155177648"/>
      <w:bookmarkStart w:id="173" w:name="_Toc132296329"/>
      <w:r>
        <w:rPr>
          <w:rStyle w:val="CharSectno"/>
        </w:rPr>
        <w:t>67</w:t>
      </w:r>
      <w:r>
        <w:rPr>
          <w:snapToGrid w:val="0"/>
        </w:rPr>
        <w:t>.</w:t>
      </w:r>
      <w:r>
        <w:rPr>
          <w:snapToGrid w:val="0"/>
        </w:rPr>
        <w:tab/>
        <w:t>Limiting speed of vessels</w:t>
      </w:r>
      <w:bookmarkEnd w:id="172"/>
      <w:bookmarkEnd w:id="173"/>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 and</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to vessels generally or to a particular vessel or class of vessels; and</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No. 35 of 1990 s. 21.]</w:t>
      </w:r>
    </w:p>
    <w:p>
      <w:pPr>
        <w:pStyle w:val="Heading5"/>
        <w:rPr>
          <w:snapToGrid w:val="0"/>
        </w:rPr>
      </w:pPr>
      <w:bookmarkStart w:id="174" w:name="_Toc155177649"/>
      <w:bookmarkStart w:id="175" w:name="_Toc132296330"/>
      <w:r>
        <w:rPr>
          <w:rStyle w:val="CharSectno"/>
        </w:rPr>
        <w:t>68</w:t>
      </w:r>
      <w:r>
        <w:rPr>
          <w:snapToGrid w:val="0"/>
        </w:rPr>
        <w:t>.</w:t>
      </w:r>
      <w:r>
        <w:rPr>
          <w:snapToGrid w:val="0"/>
        </w:rPr>
        <w:tab/>
        <w:t>Speed measuring equipment</w:t>
      </w:r>
      <w:bookmarkEnd w:id="174"/>
      <w:bookmarkEnd w:id="17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176" w:name="_Toc155177650"/>
      <w:bookmarkStart w:id="177" w:name="_Toc132296331"/>
      <w:r>
        <w:rPr>
          <w:rStyle w:val="CharSectno"/>
        </w:rPr>
        <w:t>69</w:t>
      </w:r>
      <w:r>
        <w:rPr>
          <w:snapToGrid w:val="0"/>
        </w:rPr>
        <w:t>.</w:t>
      </w:r>
      <w:r>
        <w:rPr>
          <w:snapToGrid w:val="0"/>
        </w:rPr>
        <w:tab/>
        <w:t>Offences relating to hatches</w:t>
      </w:r>
      <w:bookmarkEnd w:id="176"/>
      <w:bookmarkEnd w:id="17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178" w:name="_Toc155177651"/>
      <w:bookmarkStart w:id="179" w:name="_Toc132296332"/>
      <w:r>
        <w:rPr>
          <w:rStyle w:val="CharSectno"/>
        </w:rPr>
        <w:t>70</w:t>
      </w:r>
      <w:r>
        <w:rPr>
          <w:snapToGrid w:val="0"/>
        </w:rPr>
        <w:t>.</w:t>
      </w:r>
      <w:r>
        <w:rPr>
          <w:snapToGrid w:val="0"/>
        </w:rPr>
        <w:tab/>
        <w:t>Offence of being on board a ship unlawfully</w:t>
      </w:r>
      <w:bookmarkEnd w:id="178"/>
      <w:bookmarkEnd w:id="179"/>
    </w:p>
    <w:p>
      <w:pPr>
        <w:pStyle w:val="Subsection"/>
        <w:spacing w:before="120"/>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spacing w:before="100"/>
        <w:ind w:left="890" w:hanging="890"/>
      </w:pPr>
      <w:r>
        <w:tab/>
        <w:t>[Section 70 amended: No. 35 of 1990 s. 21.]</w:t>
      </w:r>
    </w:p>
    <w:p>
      <w:pPr>
        <w:pStyle w:val="Heading5"/>
        <w:spacing w:before="200"/>
        <w:rPr>
          <w:snapToGrid w:val="0"/>
        </w:rPr>
      </w:pPr>
      <w:bookmarkStart w:id="180" w:name="_Toc155177652"/>
      <w:bookmarkStart w:id="181" w:name="_Toc132296333"/>
      <w:r>
        <w:rPr>
          <w:rStyle w:val="CharSectno"/>
        </w:rPr>
        <w:t>71</w:t>
      </w:r>
      <w:r>
        <w:rPr>
          <w:snapToGrid w:val="0"/>
        </w:rPr>
        <w:t>.</w:t>
      </w:r>
      <w:r>
        <w:rPr>
          <w:snapToGrid w:val="0"/>
        </w:rPr>
        <w:tab/>
        <w:t>Removal of vessels constituting hazards or obstructions</w:t>
      </w:r>
      <w:bookmarkEnd w:id="180"/>
      <w:bookmarkEnd w:id="181"/>
    </w:p>
    <w:p>
      <w:pPr>
        <w:pStyle w:val="Subsection"/>
        <w:spacing w:before="120"/>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within such period, being not less than 7 days after the date of service or publication of that notice, as is specified in that notice from all navigable waters or to a place specified in that notice.</w:t>
      </w:r>
    </w:p>
    <w:p>
      <w:pPr>
        <w:pStyle w:val="Subsection"/>
        <w:spacing w:before="120"/>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spacing w:before="120"/>
      </w:pPr>
      <w:r>
        <w:tab/>
        <w:t>(3)</w:t>
      </w:r>
      <w:r>
        <w:tab/>
        <w:t>The cost of removal under subsection (2) is a debt due to the Crown and a first charge in priority to all other claims on the navigational hazard.</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pPr>
      <w:r>
        <w:tab/>
        <w:t>(4B)</w:t>
      </w:r>
      <w:r>
        <w:tab/>
        <w:t xml:space="preserve">The chief executive officer may recover the cost of removal under subsection (2) by — </w:t>
      </w:r>
    </w:p>
    <w:p>
      <w:pPr>
        <w:pStyle w:val="Indenta"/>
      </w:pPr>
      <w:r>
        <w:tab/>
        <w:t>(a)</w:t>
      </w:r>
      <w:r>
        <w:tab/>
        <w:t>action in a court of competent jurisdiction against the owner of the navigational hazard; or</w:t>
      </w:r>
    </w:p>
    <w:p>
      <w:pPr>
        <w:pStyle w:val="Indenta"/>
      </w:pPr>
      <w:r>
        <w:tab/>
        <w:t>(b)</w:t>
      </w:r>
      <w:r>
        <w:tab/>
        <w:t>selling or causing to be sold the navigational hazard.</w:t>
      </w:r>
    </w:p>
    <w:p>
      <w:pPr>
        <w:pStyle w:val="Subsection"/>
      </w:pPr>
      <w:r>
        <w:tab/>
        <w:t>(4C)</w:t>
      </w:r>
      <w:r>
        <w:tab/>
        <w:t>If under subsection (4B)(b) any navigational hazard is sold in good faith to a person and the person takes the property in good faith, the person receives good title to the navigational hazard against every other person including its true owner.</w:t>
      </w:r>
    </w:p>
    <w:p>
      <w:pPr>
        <w:pStyle w:val="Subsection"/>
        <w:rPr>
          <w:snapToGrid w:val="0"/>
        </w:rPr>
      </w:pPr>
      <w:r>
        <w:rPr>
          <w:snapToGrid w:val="0"/>
        </w:rPr>
        <w:tab/>
        <w:t>(4)</w:t>
      </w:r>
      <w:r>
        <w:rPr>
          <w:snapToGrid w:val="0"/>
        </w:rPr>
        <w:tab/>
        <w:t xml:space="preserve">The proceeds of a sale referred to in </w:t>
      </w:r>
      <w:r>
        <w:t xml:space="preserve">subsection (4B)(b) </w:t>
      </w:r>
      <w:r>
        <w:rPr>
          <w:snapToGrid w:val="0"/>
        </w:rPr>
        <w:t>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No. 35 of 1990 s. 21; No. 6 of 1993 s. 11; No. 49 of 1996 s. 64; No. 77 of 2006 s. 4; No. 42 of 2011 s. 112.]</w:t>
      </w:r>
    </w:p>
    <w:p>
      <w:pPr>
        <w:pStyle w:val="Heading5"/>
        <w:rPr>
          <w:snapToGrid w:val="0"/>
        </w:rPr>
      </w:pPr>
      <w:bookmarkStart w:id="182" w:name="_Toc155177653"/>
      <w:bookmarkStart w:id="183" w:name="_Toc132296334"/>
      <w:r>
        <w:rPr>
          <w:rStyle w:val="CharSectno"/>
        </w:rPr>
        <w:t>72</w:t>
      </w:r>
      <w:r>
        <w:rPr>
          <w:snapToGrid w:val="0"/>
        </w:rPr>
        <w:t>.</w:t>
      </w:r>
      <w:r>
        <w:rPr>
          <w:snapToGrid w:val="0"/>
        </w:rPr>
        <w:tab/>
        <w:t>Offences in relation to disorderly persons on passenger ships</w:t>
      </w:r>
      <w:bookmarkEnd w:id="182"/>
      <w:bookmarkEnd w:id="18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 or</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 or</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 or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 or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 or</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 or</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 or</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 or</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184" w:name="_Toc155177654"/>
      <w:bookmarkStart w:id="185" w:name="_Toc132296335"/>
      <w:r>
        <w:rPr>
          <w:rStyle w:val="CharSectno"/>
        </w:rPr>
        <w:t>73</w:t>
      </w:r>
      <w:r>
        <w:rPr>
          <w:snapToGrid w:val="0"/>
        </w:rPr>
        <w:t>.</w:t>
      </w:r>
      <w:r>
        <w:rPr>
          <w:snapToGrid w:val="0"/>
        </w:rPr>
        <w:tab/>
        <w:t>Offences in relation to interference with machinery or obstruction of crew</w:t>
      </w:r>
      <w:bookmarkEnd w:id="184"/>
      <w:bookmarkEnd w:id="185"/>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186" w:name="_Toc155177655"/>
      <w:bookmarkStart w:id="187" w:name="_Toc132296336"/>
      <w:r>
        <w:rPr>
          <w:rStyle w:val="CharSectno"/>
        </w:rPr>
        <w:t>74</w:t>
      </w:r>
      <w:r>
        <w:rPr>
          <w:snapToGrid w:val="0"/>
        </w:rPr>
        <w:t>.</w:t>
      </w:r>
      <w:r>
        <w:rPr>
          <w:snapToGrid w:val="0"/>
        </w:rPr>
        <w:tab/>
        <w:t>Penalty for refusing to give name and address etc.</w:t>
      </w:r>
      <w:bookmarkEnd w:id="186"/>
      <w:bookmarkEnd w:id="187"/>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188" w:name="_Toc155177656"/>
      <w:bookmarkStart w:id="189" w:name="_Toc132296337"/>
      <w:r>
        <w:rPr>
          <w:rStyle w:val="CharSectno"/>
        </w:rPr>
        <w:t>75</w:t>
      </w:r>
      <w:r>
        <w:rPr>
          <w:snapToGrid w:val="0"/>
        </w:rPr>
        <w:t>.</w:t>
      </w:r>
      <w:r>
        <w:rPr>
          <w:snapToGrid w:val="0"/>
        </w:rPr>
        <w:tab/>
        <w:t>Arrest of offenders on passenger ships</w:t>
      </w:r>
      <w:bookmarkEnd w:id="188"/>
      <w:bookmarkEnd w:id="189"/>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190" w:name="_Toc155177657"/>
      <w:bookmarkStart w:id="191" w:name="_Toc132296338"/>
      <w:r>
        <w:rPr>
          <w:rStyle w:val="CharPartNo"/>
        </w:rPr>
        <w:t>Part IV</w:t>
      </w:r>
      <w:r>
        <w:t> — </w:t>
      </w:r>
      <w:r>
        <w:rPr>
          <w:rStyle w:val="CharPartText"/>
        </w:rPr>
        <w:t>International Conventions</w:t>
      </w:r>
      <w:bookmarkEnd w:id="190"/>
      <w:bookmarkEnd w:id="191"/>
    </w:p>
    <w:p>
      <w:pPr>
        <w:pStyle w:val="Heading3"/>
        <w:spacing w:before="280"/>
      </w:pPr>
      <w:bookmarkStart w:id="192" w:name="_Toc155177658"/>
      <w:bookmarkStart w:id="193" w:name="_Toc132296339"/>
      <w:r>
        <w:rPr>
          <w:rStyle w:val="CharDivNo"/>
        </w:rPr>
        <w:t>Division 1</w:t>
      </w:r>
      <w:r>
        <w:rPr>
          <w:snapToGrid w:val="0"/>
        </w:rPr>
        <w:t> — </w:t>
      </w:r>
      <w:r>
        <w:rPr>
          <w:rStyle w:val="CharDivText"/>
        </w:rPr>
        <w:t>General</w:t>
      </w:r>
      <w:bookmarkEnd w:id="192"/>
      <w:bookmarkEnd w:id="193"/>
    </w:p>
    <w:p>
      <w:pPr>
        <w:pStyle w:val="Heading5"/>
        <w:spacing w:before="240"/>
        <w:rPr>
          <w:snapToGrid w:val="0"/>
        </w:rPr>
      </w:pPr>
      <w:bookmarkStart w:id="194" w:name="_Toc155177659"/>
      <w:bookmarkStart w:id="195" w:name="_Toc132296340"/>
      <w:r>
        <w:rPr>
          <w:rStyle w:val="CharSectno"/>
        </w:rPr>
        <w:t>76</w:t>
      </w:r>
      <w:r>
        <w:rPr>
          <w:snapToGrid w:val="0"/>
        </w:rPr>
        <w:t>.</w:t>
      </w:r>
      <w:r>
        <w:rPr>
          <w:snapToGrid w:val="0"/>
        </w:rPr>
        <w:tab/>
        <w:t>Terms used</w:t>
      </w:r>
      <w:bookmarkEnd w:id="194"/>
      <w:bookmarkEnd w:id="195"/>
    </w:p>
    <w:p>
      <w:pPr>
        <w:pStyle w:val="Subsection"/>
        <w:spacing w:before="180"/>
        <w:rPr>
          <w:snapToGrid w:val="0"/>
        </w:rPr>
      </w:pPr>
      <w:r>
        <w:rPr>
          <w:snapToGrid w:val="0"/>
        </w:rPr>
        <w:tab/>
      </w:r>
      <w:r>
        <w:rPr>
          <w:snapToGrid w:val="0"/>
        </w:rPr>
        <w:tab/>
        <w:t>In this Part, unless the contrary intention appears —</w:t>
      </w:r>
    </w:p>
    <w:p>
      <w:pPr>
        <w:pStyle w:val="Defstart"/>
        <w:spacing w:before="120"/>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spacing w:before="120"/>
      </w:pPr>
      <w:r>
        <w:rPr>
          <w:b/>
        </w:rPr>
        <w:tab/>
      </w:r>
      <w:r>
        <w:rPr>
          <w:rStyle w:val="CharDefText"/>
        </w:rPr>
        <w:t>container</w:t>
      </w:r>
      <w:r>
        <w:t xml:space="preserve"> has the same meaning as in the Container Convention;</w:t>
      </w:r>
    </w:p>
    <w:p>
      <w:pPr>
        <w:pStyle w:val="Defstart"/>
        <w:spacing w:before="120"/>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spacing w:before="120"/>
      </w:pPr>
      <w:r>
        <w:tab/>
        <w:t>(a)</w:t>
      </w:r>
      <w:r>
        <w:tab/>
        <w:t>any amendment of the Convention, other than an amendment not accepted by Australia, made under Article IX of the Convention; and</w:t>
      </w:r>
    </w:p>
    <w:p>
      <w:pPr>
        <w:pStyle w:val="Defpara"/>
        <w:spacing w:before="120"/>
      </w:pPr>
      <w:r>
        <w:tab/>
        <w:t>(b)</w:t>
      </w:r>
      <w:r>
        <w:tab/>
        <w:t>any amendment of the annexes to the Convention, other than an amendment objected to by Australia, made under Article X of the Convention;</w:t>
      </w:r>
    </w:p>
    <w:p>
      <w:pPr>
        <w:pStyle w:val="Defstart"/>
        <w:spacing w:before="120"/>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spacing w:before="120"/>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196" w:name="_Toc155177660"/>
      <w:bookmarkStart w:id="197" w:name="_Toc132296341"/>
      <w:r>
        <w:rPr>
          <w:rStyle w:val="CharSectno"/>
        </w:rPr>
        <w:t>77</w:t>
      </w:r>
      <w:r>
        <w:rPr>
          <w:snapToGrid w:val="0"/>
        </w:rPr>
        <w:t>.</w:t>
      </w:r>
      <w:r>
        <w:rPr>
          <w:snapToGrid w:val="0"/>
        </w:rPr>
        <w:tab/>
        <w:t>Regulations under this Part</w:t>
      </w:r>
      <w:bookmarkEnd w:id="196"/>
      <w:bookmarkEnd w:id="197"/>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spacing w:before="60"/>
        <w:rPr>
          <w:snapToGrid w:val="0"/>
        </w:rPr>
      </w:pPr>
      <w:r>
        <w:rPr>
          <w:snapToGrid w:val="0"/>
        </w:rPr>
        <w:tab/>
        <w:t>(a)</w:t>
      </w:r>
      <w:r>
        <w:rPr>
          <w:snapToGrid w:val="0"/>
        </w:rPr>
        <w:tab/>
        <w:t>the provisions of any Act, or of any regulations, as in force at a particular time or as in force from time to time; or</w:t>
      </w:r>
    </w:p>
    <w:p>
      <w:pPr>
        <w:pStyle w:val="Indenta"/>
        <w:spacing w:before="60"/>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spacing w:before="100"/>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spacing w:before="80"/>
        <w:ind w:left="890" w:hanging="890"/>
      </w:pPr>
      <w:r>
        <w:tab/>
        <w:t>[Section 77 amended: No. 78 of 1995 s. 147.]</w:t>
      </w:r>
    </w:p>
    <w:p>
      <w:pPr>
        <w:pStyle w:val="Heading5"/>
        <w:spacing w:before="180"/>
        <w:rPr>
          <w:snapToGrid w:val="0"/>
        </w:rPr>
      </w:pPr>
      <w:bookmarkStart w:id="198" w:name="_Toc155177661"/>
      <w:bookmarkStart w:id="199" w:name="_Toc132296342"/>
      <w:r>
        <w:rPr>
          <w:rStyle w:val="CharSectno"/>
        </w:rPr>
        <w:t>78</w:t>
      </w:r>
      <w:r>
        <w:rPr>
          <w:snapToGrid w:val="0"/>
        </w:rPr>
        <w:t>.</w:t>
      </w:r>
      <w:r>
        <w:rPr>
          <w:snapToGrid w:val="0"/>
        </w:rPr>
        <w:tab/>
        <w:t>Regulations giving effect to Conventions: discretion of Governor and Minister</w:t>
      </w:r>
      <w:bookmarkEnd w:id="198"/>
      <w:bookmarkEnd w:id="199"/>
    </w:p>
    <w:p>
      <w:pPr>
        <w:pStyle w:val="Subsection"/>
        <w:spacing w:before="110"/>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if so what, action should be taken under the Convention, be construed as an authority to the Governor to make by regulation such provision (if any) with respect to the matter in question as the Governor in the exercise of that discretion thinks proper.</w:t>
      </w:r>
    </w:p>
    <w:p>
      <w:pPr>
        <w:pStyle w:val="Subsection"/>
        <w:spacing w:before="110"/>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200" w:name="_Toc155177662"/>
      <w:bookmarkStart w:id="201" w:name="_Toc132296343"/>
      <w:r>
        <w:rPr>
          <w:rStyle w:val="CharDivNo"/>
        </w:rPr>
        <w:t>Division 2</w:t>
      </w:r>
      <w:r>
        <w:rPr>
          <w:snapToGrid w:val="0"/>
        </w:rPr>
        <w:t> — </w:t>
      </w:r>
      <w:r>
        <w:rPr>
          <w:rStyle w:val="CharDivText"/>
        </w:rPr>
        <w:t>Prevention of Collisions Convention</w:t>
      </w:r>
      <w:bookmarkEnd w:id="200"/>
      <w:bookmarkEnd w:id="201"/>
    </w:p>
    <w:p>
      <w:pPr>
        <w:pStyle w:val="Heading5"/>
        <w:rPr>
          <w:snapToGrid w:val="0"/>
        </w:rPr>
      </w:pPr>
      <w:bookmarkStart w:id="202" w:name="_Toc155177663"/>
      <w:bookmarkStart w:id="203" w:name="_Toc132296344"/>
      <w:r>
        <w:rPr>
          <w:rStyle w:val="CharSectno"/>
        </w:rPr>
        <w:t>79</w:t>
      </w:r>
      <w:r>
        <w:rPr>
          <w:snapToGrid w:val="0"/>
        </w:rPr>
        <w:t>.</w:t>
      </w:r>
      <w:r>
        <w:rPr>
          <w:snapToGrid w:val="0"/>
        </w:rPr>
        <w:tab/>
        <w:t>Regulations giving effect to Prevention of Collisions Convention</w:t>
      </w:r>
      <w:bookmarkEnd w:id="202"/>
      <w:bookmarkEnd w:id="203"/>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204" w:name="_Toc155177664"/>
      <w:bookmarkStart w:id="205" w:name="_Toc132296345"/>
      <w:r>
        <w:rPr>
          <w:rStyle w:val="CharDivNo"/>
        </w:rPr>
        <w:t>Division 3</w:t>
      </w:r>
      <w:r>
        <w:rPr>
          <w:snapToGrid w:val="0"/>
        </w:rPr>
        <w:t> — </w:t>
      </w:r>
      <w:r>
        <w:rPr>
          <w:rStyle w:val="CharDivText"/>
        </w:rPr>
        <w:t>Container Convention</w:t>
      </w:r>
      <w:bookmarkEnd w:id="204"/>
      <w:bookmarkEnd w:id="205"/>
    </w:p>
    <w:p>
      <w:pPr>
        <w:pStyle w:val="Heading5"/>
        <w:rPr>
          <w:snapToGrid w:val="0"/>
        </w:rPr>
      </w:pPr>
      <w:bookmarkStart w:id="206" w:name="_Toc155177665"/>
      <w:bookmarkStart w:id="207" w:name="_Toc132296346"/>
      <w:r>
        <w:rPr>
          <w:rStyle w:val="CharSectno"/>
        </w:rPr>
        <w:t>80</w:t>
      </w:r>
      <w:r>
        <w:rPr>
          <w:snapToGrid w:val="0"/>
        </w:rPr>
        <w:t>.</w:t>
      </w:r>
      <w:r>
        <w:rPr>
          <w:snapToGrid w:val="0"/>
        </w:rPr>
        <w:tab/>
        <w:t>Regulations giving effect to Container Convention</w:t>
      </w:r>
      <w:bookmarkEnd w:id="206"/>
      <w:bookmarkEnd w:id="207"/>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208" w:name="_Toc155177666"/>
      <w:bookmarkStart w:id="209" w:name="_Toc132296347"/>
      <w:r>
        <w:rPr>
          <w:rStyle w:val="CharSectno"/>
        </w:rPr>
        <w:t>81</w:t>
      </w:r>
      <w:r>
        <w:rPr>
          <w:snapToGrid w:val="0"/>
        </w:rPr>
        <w:t>.</w:t>
      </w:r>
      <w:r>
        <w:rPr>
          <w:snapToGrid w:val="0"/>
        </w:rPr>
        <w:tab/>
        <w:t>Safety requirements and tests not required or permitted by the Container Convention not to be imposed</w:t>
      </w:r>
      <w:bookmarkEnd w:id="208"/>
      <w:bookmarkEnd w:id="209"/>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210" w:name="_Toc155177667"/>
      <w:bookmarkStart w:id="211" w:name="_Toc132296348"/>
      <w:r>
        <w:rPr>
          <w:rStyle w:val="CharDivNo"/>
        </w:rPr>
        <w:t>Division 4</w:t>
      </w:r>
      <w:r>
        <w:rPr>
          <w:snapToGrid w:val="0"/>
        </w:rPr>
        <w:t> — </w:t>
      </w:r>
      <w:r>
        <w:rPr>
          <w:rStyle w:val="CharDivText"/>
        </w:rPr>
        <w:t>Limitation Convention and limitation provisions</w:t>
      </w:r>
      <w:bookmarkEnd w:id="210"/>
      <w:bookmarkEnd w:id="211"/>
    </w:p>
    <w:p>
      <w:pPr>
        <w:pStyle w:val="Heading5"/>
        <w:rPr>
          <w:snapToGrid w:val="0"/>
        </w:rPr>
      </w:pPr>
      <w:bookmarkStart w:id="212" w:name="_Toc155177668"/>
      <w:bookmarkStart w:id="213" w:name="_Toc132296349"/>
      <w:r>
        <w:rPr>
          <w:rStyle w:val="CharSectno"/>
        </w:rPr>
        <w:t>82</w:t>
      </w:r>
      <w:r>
        <w:rPr>
          <w:snapToGrid w:val="0"/>
        </w:rPr>
        <w:t>.</w:t>
      </w:r>
      <w:r>
        <w:rPr>
          <w:snapToGrid w:val="0"/>
        </w:rPr>
        <w:tab/>
        <w:t>Interpretation</w:t>
      </w:r>
      <w:bookmarkEnd w:id="212"/>
      <w:bookmarkEnd w:id="213"/>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214" w:name="_Toc155177669"/>
      <w:bookmarkStart w:id="215" w:name="_Toc132296350"/>
      <w:r>
        <w:rPr>
          <w:rStyle w:val="CharSectno"/>
        </w:rPr>
        <w:t>83</w:t>
      </w:r>
      <w:r>
        <w:rPr>
          <w:snapToGrid w:val="0"/>
        </w:rPr>
        <w:t>.</w:t>
      </w:r>
      <w:r>
        <w:rPr>
          <w:snapToGrid w:val="0"/>
        </w:rPr>
        <w:tab/>
        <w:t>Application</w:t>
      </w:r>
      <w:bookmarkEnd w:id="214"/>
      <w:bookmarkEnd w:id="215"/>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216" w:name="_Toc155177670"/>
      <w:bookmarkStart w:id="217" w:name="_Toc132296351"/>
      <w:r>
        <w:rPr>
          <w:rStyle w:val="CharSectno"/>
        </w:rPr>
        <w:t>84</w:t>
      </w:r>
      <w:r>
        <w:rPr>
          <w:snapToGrid w:val="0"/>
        </w:rPr>
        <w:t>.</w:t>
      </w:r>
      <w:r>
        <w:rPr>
          <w:snapToGrid w:val="0"/>
        </w:rPr>
        <w:tab/>
        <w:t>Provisions of Limitation Convention having force of law</w:t>
      </w:r>
      <w:bookmarkEnd w:id="216"/>
      <w:bookmarkEnd w:id="217"/>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and</w:t>
      </w:r>
    </w:p>
    <w:p>
      <w:pPr>
        <w:pStyle w:val="Indenta"/>
        <w:rPr>
          <w:snapToGrid w:val="0"/>
        </w:rPr>
      </w:pPr>
      <w:r>
        <w:rPr>
          <w:snapToGrid w:val="0"/>
        </w:rPr>
        <w:tab/>
        <w:t>(b)</w:t>
      </w:r>
      <w:r>
        <w:rPr>
          <w:snapToGrid w:val="0"/>
        </w:rPr>
        <w:tab/>
        <w:t>an Australian fishing vessel within the meaning of section 6 of that Act proceeding on a voyage other than an overseas voyage; and</w:t>
      </w:r>
    </w:p>
    <w:p>
      <w:pPr>
        <w:pStyle w:val="Indenta"/>
        <w:rPr>
          <w:snapToGrid w:val="0"/>
        </w:rPr>
      </w:pPr>
      <w:r>
        <w:rPr>
          <w:snapToGrid w:val="0"/>
        </w:rPr>
        <w:tab/>
        <w:t>(c)</w:t>
      </w:r>
      <w:r>
        <w:rPr>
          <w:snapToGrid w:val="0"/>
        </w:rPr>
        <w:tab/>
        <w:t>an inland waterways vessel within the meaning of section 6 of that Act; and</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218" w:name="_Toc155177671"/>
      <w:bookmarkStart w:id="219" w:name="_Toc132296352"/>
      <w:r>
        <w:rPr>
          <w:rStyle w:val="CharSectno"/>
        </w:rPr>
        <w:t>85</w:t>
      </w:r>
      <w:r>
        <w:rPr>
          <w:snapToGrid w:val="0"/>
        </w:rPr>
        <w:t>.</w:t>
      </w:r>
      <w:r>
        <w:rPr>
          <w:snapToGrid w:val="0"/>
        </w:rPr>
        <w:tab/>
        <w:t>Limitation in relation to non</w:t>
      </w:r>
      <w:r>
        <w:rPr>
          <w:snapToGrid w:val="0"/>
        </w:rPr>
        <w:noBreakHyphen/>
        <w:t>seagoing ferries</w:t>
      </w:r>
      <w:bookmarkEnd w:id="218"/>
      <w:bookmarkEnd w:id="219"/>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220" w:name="_Toc155177672"/>
      <w:bookmarkStart w:id="221" w:name="_Toc132296353"/>
      <w:r>
        <w:rPr>
          <w:rStyle w:val="CharSectno"/>
        </w:rPr>
        <w:t>86</w:t>
      </w:r>
      <w:r>
        <w:rPr>
          <w:snapToGrid w:val="0"/>
        </w:rPr>
        <w:t>.</w:t>
      </w:r>
      <w:r>
        <w:rPr>
          <w:snapToGrid w:val="0"/>
        </w:rPr>
        <w:tab/>
        <w:t>Application to determine liability</w:t>
      </w:r>
      <w:bookmarkEnd w:id="220"/>
      <w:bookmarkEnd w:id="221"/>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222" w:name="_Toc155177673"/>
      <w:bookmarkStart w:id="223" w:name="_Toc132296354"/>
      <w:r>
        <w:rPr>
          <w:rStyle w:val="CharSectno"/>
        </w:rPr>
        <w:t>87</w:t>
      </w:r>
      <w:r>
        <w:rPr>
          <w:snapToGrid w:val="0"/>
        </w:rPr>
        <w:t>.</w:t>
      </w:r>
      <w:r>
        <w:rPr>
          <w:snapToGrid w:val="0"/>
        </w:rPr>
        <w:tab/>
        <w:t>Regulations giving effect to Limitation Convention</w:t>
      </w:r>
      <w:bookmarkEnd w:id="222"/>
      <w:bookmarkEnd w:id="223"/>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224" w:name="_Toc155177674"/>
      <w:bookmarkStart w:id="225" w:name="_Toc132296355"/>
      <w:r>
        <w:rPr>
          <w:rStyle w:val="CharSectno"/>
        </w:rPr>
        <w:t>88</w:t>
      </w:r>
      <w:r>
        <w:rPr>
          <w:snapToGrid w:val="0"/>
        </w:rPr>
        <w:t>.</w:t>
      </w:r>
      <w:r>
        <w:rPr>
          <w:snapToGrid w:val="0"/>
        </w:rPr>
        <w:tab/>
        <w:t>Ship owner not to be liable in certain cases of loss of, or damage to, goods</w:t>
      </w:r>
      <w:bookmarkEnd w:id="224"/>
      <w:bookmarkEnd w:id="225"/>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226" w:name="_Toc155177675"/>
      <w:bookmarkStart w:id="227" w:name="_Toc132296356"/>
      <w:r>
        <w:rPr>
          <w:rStyle w:val="CharSectno"/>
        </w:rPr>
        <w:t>89</w:t>
      </w:r>
      <w:r>
        <w:rPr>
          <w:snapToGrid w:val="0"/>
        </w:rPr>
        <w:t>.</w:t>
      </w:r>
      <w:r>
        <w:rPr>
          <w:snapToGrid w:val="0"/>
        </w:rPr>
        <w:tab/>
        <w:t>Ship owner not entitled to limit liability in respect of claims by crew etc.</w:t>
      </w:r>
      <w:bookmarkEnd w:id="226"/>
      <w:bookmarkEnd w:id="227"/>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228" w:name="_Toc155177676"/>
      <w:bookmarkStart w:id="229" w:name="_Toc132296357"/>
      <w:r>
        <w:rPr>
          <w:rStyle w:val="CharDivNo"/>
        </w:rPr>
        <w:t>Division 5</w:t>
      </w:r>
      <w:r>
        <w:rPr>
          <w:snapToGrid w:val="0"/>
        </w:rPr>
        <w:t> — </w:t>
      </w:r>
      <w:r>
        <w:rPr>
          <w:rStyle w:val="CharDivText"/>
        </w:rPr>
        <w:t>Safety Convention</w:t>
      </w:r>
      <w:bookmarkEnd w:id="228"/>
      <w:bookmarkEnd w:id="229"/>
    </w:p>
    <w:p>
      <w:pPr>
        <w:pStyle w:val="Heading5"/>
        <w:rPr>
          <w:snapToGrid w:val="0"/>
        </w:rPr>
      </w:pPr>
      <w:bookmarkStart w:id="230" w:name="_Toc155177677"/>
      <w:bookmarkStart w:id="231" w:name="_Toc132296358"/>
      <w:r>
        <w:rPr>
          <w:rStyle w:val="CharSectno"/>
        </w:rPr>
        <w:t>90</w:t>
      </w:r>
      <w:r>
        <w:rPr>
          <w:snapToGrid w:val="0"/>
        </w:rPr>
        <w:t>.</w:t>
      </w:r>
      <w:r>
        <w:rPr>
          <w:snapToGrid w:val="0"/>
        </w:rPr>
        <w:tab/>
        <w:t>Regulations giving effect to Safety Convention</w:t>
      </w:r>
      <w:bookmarkEnd w:id="230"/>
      <w:bookmarkEnd w:id="231"/>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within the meaning of section 6 of that Act proceeding on a voyage other than an overseas voyage; or</w:t>
      </w:r>
    </w:p>
    <w:p>
      <w:pPr>
        <w:pStyle w:val="Indenta"/>
        <w:rPr>
          <w:snapToGrid w:val="0"/>
        </w:rPr>
      </w:pPr>
      <w:r>
        <w:rPr>
          <w:snapToGrid w:val="0"/>
        </w:rPr>
        <w:tab/>
        <w:t>(c)</w:t>
      </w:r>
      <w:r>
        <w:rPr>
          <w:snapToGrid w:val="0"/>
        </w:rPr>
        <w:tab/>
        <w:t>an inland waterways vessel within the meaning of section 6 of that Act; or</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232" w:name="_Toc155177678"/>
      <w:bookmarkStart w:id="233" w:name="_Toc132296359"/>
      <w:r>
        <w:rPr>
          <w:rStyle w:val="CharPartNo"/>
        </w:rPr>
        <w:t>Part V</w:t>
      </w:r>
      <w:r>
        <w:rPr>
          <w:rStyle w:val="CharDivNo"/>
        </w:rPr>
        <w:t> </w:t>
      </w:r>
      <w:r>
        <w:t>—</w:t>
      </w:r>
      <w:r>
        <w:rPr>
          <w:rStyle w:val="CharDivText"/>
        </w:rPr>
        <w:t> </w:t>
      </w:r>
      <w:r>
        <w:rPr>
          <w:rStyle w:val="CharPartText"/>
        </w:rPr>
        <w:t>Carriage of dangerous goods</w:t>
      </w:r>
      <w:bookmarkEnd w:id="232"/>
      <w:bookmarkEnd w:id="233"/>
    </w:p>
    <w:p>
      <w:pPr>
        <w:pStyle w:val="Heading5"/>
        <w:rPr>
          <w:snapToGrid w:val="0"/>
        </w:rPr>
      </w:pPr>
      <w:bookmarkStart w:id="234" w:name="_Toc155177679"/>
      <w:bookmarkStart w:id="235" w:name="_Toc132296360"/>
      <w:r>
        <w:rPr>
          <w:rStyle w:val="CharSectno"/>
        </w:rPr>
        <w:t>91</w:t>
      </w:r>
      <w:r>
        <w:rPr>
          <w:snapToGrid w:val="0"/>
        </w:rPr>
        <w:t>.</w:t>
      </w:r>
      <w:r>
        <w:rPr>
          <w:snapToGrid w:val="0"/>
        </w:rPr>
        <w:tab/>
        <w:t>Restriction on carriage of dangerous goods</w:t>
      </w:r>
      <w:bookmarkEnd w:id="234"/>
      <w:bookmarkEnd w:id="235"/>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No. 7 of 2004 s. 70.]</w:t>
      </w:r>
    </w:p>
    <w:p>
      <w:pPr>
        <w:pStyle w:val="Heading5"/>
        <w:rPr>
          <w:snapToGrid w:val="0"/>
        </w:rPr>
      </w:pPr>
      <w:bookmarkStart w:id="236" w:name="_Toc155177680"/>
      <w:bookmarkStart w:id="237" w:name="_Toc132296361"/>
      <w:r>
        <w:rPr>
          <w:rStyle w:val="CharSectno"/>
        </w:rPr>
        <w:t>92</w:t>
      </w:r>
      <w:r>
        <w:rPr>
          <w:snapToGrid w:val="0"/>
        </w:rPr>
        <w:t>.</w:t>
      </w:r>
      <w:r>
        <w:rPr>
          <w:snapToGrid w:val="0"/>
        </w:rPr>
        <w:tab/>
        <w:t>Penalty for misdescription of goods and sender</w:t>
      </w:r>
      <w:bookmarkEnd w:id="236"/>
      <w:bookmarkEnd w:id="237"/>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Footnotesection"/>
      </w:pPr>
      <w:r>
        <w:tab/>
        <w:t>[Section 92: Correction: Gazette 26 Jul 2013 p. 3354.]</w:t>
      </w:r>
    </w:p>
    <w:p>
      <w:pPr>
        <w:pStyle w:val="Heading5"/>
        <w:rPr>
          <w:snapToGrid w:val="0"/>
        </w:rPr>
      </w:pPr>
      <w:bookmarkStart w:id="238" w:name="_Toc155177681"/>
      <w:bookmarkStart w:id="239" w:name="_Toc132296362"/>
      <w:r>
        <w:rPr>
          <w:rStyle w:val="CharSectno"/>
        </w:rPr>
        <w:t>93</w:t>
      </w:r>
      <w:r>
        <w:rPr>
          <w:snapToGrid w:val="0"/>
        </w:rPr>
        <w:t>.</w:t>
      </w:r>
      <w:r>
        <w:rPr>
          <w:snapToGrid w:val="0"/>
        </w:rPr>
        <w:tab/>
        <w:t>Powers of owner or master as to dangerous goods</w:t>
      </w:r>
      <w:bookmarkEnd w:id="238"/>
      <w:bookmarkEnd w:id="239"/>
    </w:p>
    <w:p>
      <w:pPr>
        <w:pStyle w:val="Subsection"/>
        <w:rPr>
          <w:snapToGrid w:val="0"/>
        </w:rPr>
      </w:pPr>
      <w:r>
        <w:rPr>
          <w:snapToGrid w:val="0"/>
        </w:rPr>
        <w:tab/>
        <w:t>(1)</w:t>
      </w:r>
      <w:r>
        <w:rPr>
          <w:snapToGrid w:val="0"/>
        </w:rPr>
        <w:tab/>
        <w:t>The owner or master of any ship may refuse to take on board at any port in the State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240" w:name="_Toc155177682"/>
      <w:bookmarkStart w:id="241" w:name="_Toc132296363"/>
      <w:r>
        <w:rPr>
          <w:rStyle w:val="CharSectno"/>
        </w:rPr>
        <w:t>94</w:t>
      </w:r>
      <w:r>
        <w:rPr>
          <w:snapToGrid w:val="0"/>
        </w:rPr>
        <w:t>.</w:t>
      </w:r>
      <w:r>
        <w:rPr>
          <w:snapToGrid w:val="0"/>
        </w:rPr>
        <w:tab/>
        <w:t>Forfeiture of dangerous goods</w:t>
      </w:r>
      <w:bookmarkEnd w:id="240"/>
      <w:bookmarkEnd w:id="241"/>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242" w:name="_Toc155177683"/>
      <w:bookmarkStart w:id="243" w:name="_Toc132296364"/>
      <w:r>
        <w:rPr>
          <w:rStyle w:val="CharSectno"/>
        </w:rPr>
        <w:t>95</w:t>
      </w:r>
      <w:r>
        <w:rPr>
          <w:snapToGrid w:val="0"/>
        </w:rPr>
        <w:t>.</w:t>
      </w:r>
      <w:r>
        <w:rPr>
          <w:snapToGrid w:val="0"/>
        </w:rPr>
        <w:tab/>
        <w:t>Minister may prohibit carriage of cargo</w:t>
      </w:r>
      <w:bookmarkEnd w:id="242"/>
      <w:bookmarkEnd w:id="243"/>
    </w:p>
    <w:p>
      <w:pPr>
        <w:pStyle w:val="Subsection"/>
        <w:spacing w:before="14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rPr>
          <w:snapToGrid w:val="0"/>
        </w:rPr>
      </w:pPr>
      <w:bookmarkStart w:id="244" w:name="_Toc155177684"/>
      <w:bookmarkStart w:id="245" w:name="_Toc132296365"/>
      <w:r>
        <w:rPr>
          <w:rStyle w:val="CharSectno"/>
        </w:rPr>
        <w:t>96</w:t>
      </w:r>
      <w:r>
        <w:rPr>
          <w:snapToGrid w:val="0"/>
        </w:rPr>
        <w:t>.</w:t>
      </w:r>
      <w:r>
        <w:rPr>
          <w:snapToGrid w:val="0"/>
        </w:rPr>
        <w:tab/>
        <w:t>Regulations as to dangerous goods</w:t>
      </w:r>
      <w:bookmarkEnd w:id="244"/>
      <w:bookmarkEnd w:id="245"/>
    </w:p>
    <w:p>
      <w:pPr>
        <w:pStyle w:val="Subsection"/>
        <w:spacing w:before="14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 and</w:t>
      </w:r>
    </w:p>
    <w:p>
      <w:pPr>
        <w:pStyle w:val="Indenta"/>
        <w:rPr>
          <w:snapToGrid w:val="0"/>
        </w:rPr>
      </w:pPr>
      <w:r>
        <w:rPr>
          <w:snapToGrid w:val="0"/>
        </w:rPr>
        <w:tab/>
        <w:t>(b)</w:t>
      </w:r>
      <w:r>
        <w:rPr>
          <w:snapToGrid w:val="0"/>
        </w:rPr>
        <w:tab/>
        <w:t>the quantities of dangerous goods that may be carried from any port in the State in such ships; and</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rPr>
          <w:snapToGrid w:val="0"/>
        </w:rPr>
      </w:pPr>
      <w:bookmarkStart w:id="246" w:name="_Toc155177685"/>
      <w:bookmarkStart w:id="247" w:name="_Toc132296366"/>
      <w:r>
        <w:rPr>
          <w:rStyle w:val="CharSectno"/>
        </w:rPr>
        <w:t>97</w:t>
      </w:r>
      <w:r>
        <w:rPr>
          <w:snapToGrid w:val="0"/>
        </w:rPr>
        <w:t>.</w:t>
      </w:r>
      <w:r>
        <w:rPr>
          <w:snapToGrid w:val="0"/>
        </w:rPr>
        <w:tab/>
        <w:t>Explosives on passenger ships</w:t>
      </w:r>
      <w:bookmarkEnd w:id="246"/>
      <w:bookmarkEnd w:id="247"/>
    </w:p>
    <w:p>
      <w:pPr>
        <w:pStyle w:val="Subsection"/>
        <w:spacing w:before="14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4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No. 35 of 1990 s. 21.]</w:t>
      </w:r>
    </w:p>
    <w:p>
      <w:pPr>
        <w:pStyle w:val="Heading2"/>
      </w:pPr>
      <w:bookmarkStart w:id="248" w:name="_Toc155177686"/>
      <w:bookmarkStart w:id="249" w:name="_Toc132296367"/>
      <w:r>
        <w:rPr>
          <w:rStyle w:val="CharPartNo"/>
        </w:rPr>
        <w:t>Part VI</w:t>
      </w:r>
      <w:r>
        <w:rPr>
          <w:rStyle w:val="CharDivNo"/>
        </w:rPr>
        <w:t> </w:t>
      </w:r>
      <w:r>
        <w:t>—</w:t>
      </w:r>
      <w:r>
        <w:rPr>
          <w:rStyle w:val="CharDivText"/>
        </w:rPr>
        <w:t> </w:t>
      </w:r>
      <w:r>
        <w:rPr>
          <w:rStyle w:val="CharPartText"/>
        </w:rPr>
        <w:t>Pleasure vessels</w:t>
      </w:r>
      <w:bookmarkEnd w:id="248"/>
      <w:bookmarkEnd w:id="249"/>
    </w:p>
    <w:p>
      <w:pPr>
        <w:pStyle w:val="Heading5"/>
        <w:rPr>
          <w:snapToGrid w:val="0"/>
        </w:rPr>
      </w:pPr>
      <w:bookmarkStart w:id="250" w:name="_Toc155177687"/>
      <w:bookmarkStart w:id="251" w:name="_Toc132296368"/>
      <w:r>
        <w:rPr>
          <w:rStyle w:val="CharSectno"/>
        </w:rPr>
        <w:t>98</w:t>
      </w:r>
      <w:r>
        <w:rPr>
          <w:snapToGrid w:val="0"/>
        </w:rPr>
        <w:t>.</w:t>
      </w:r>
      <w:r>
        <w:rPr>
          <w:snapToGrid w:val="0"/>
        </w:rPr>
        <w:tab/>
        <w:t>Terms used</w:t>
      </w:r>
      <w:bookmarkEnd w:id="250"/>
      <w:bookmarkEnd w:id="251"/>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No. 35 of 1990 s. 21.]</w:t>
      </w:r>
    </w:p>
    <w:p>
      <w:pPr>
        <w:pStyle w:val="Heading5"/>
        <w:rPr>
          <w:snapToGrid w:val="0"/>
        </w:rPr>
      </w:pPr>
      <w:bookmarkStart w:id="252" w:name="_Toc155177688"/>
      <w:bookmarkStart w:id="253" w:name="_Toc132296369"/>
      <w:r>
        <w:rPr>
          <w:rStyle w:val="CharSectno"/>
        </w:rPr>
        <w:t>99</w:t>
      </w:r>
      <w:r>
        <w:rPr>
          <w:snapToGrid w:val="0"/>
        </w:rPr>
        <w:t>.</w:t>
      </w:r>
      <w:r>
        <w:rPr>
          <w:snapToGrid w:val="0"/>
        </w:rPr>
        <w:tab/>
        <w:t>Regulations in respect of pleasure vessels</w:t>
      </w:r>
      <w:bookmarkEnd w:id="252"/>
      <w:bookmarkEnd w:id="253"/>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 and</w:t>
      </w:r>
    </w:p>
    <w:p>
      <w:pPr>
        <w:pStyle w:val="Indenta"/>
        <w:rPr>
          <w:snapToGrid w:val="0"/>
        </w:rPr>
      </w:pPr>
      <w:r>
        <w:rPr>
          <w:snapToGrid w:val="0"/>
        </w:rPr>
        <w:tab/>
        <w:t>(b)</w:t>
      </w:r>
      <w:r>
        <w:rPr>
          <w:snapToGrid w:val="0"/>
        </w:rPr>
        <w:tab/>
        <w:t>prohibiting the navigation of pleasure vessels that cannot safely be navigated; and</w:t>
      </w:r>
    </w:p>
    <w:p>
      <w:pPr>
        <w:pStyle w:val="Indenta"/>
        <w:rPr>
          <w:snapToGrid w:val="0"/>
        </w:rPr>
      </w:pPr>
      <w:r>
        <w:rPr>
          <w:snapToGrid w:val="0"/>
        </w:rPr>
        <w:tab/>
        <w:t>(c)</w:t>
      </w:r>
      <w:r>
        <w:rPr>
          <w:snapToGrid w:val="0"/>
        </w:rPr>
        <w:tab/>
        <w:t>regulating the maintenance and repair of pleasure vessels; and</w:t>
      </w:r>
    </w:p>
    <w:p>
      <w:pPr>
        <w:pStyle w:val="Indenta"/>
        <w:rPr>
          <w:snapToGrid w:val="0"/>
        </w:rPr>
      </w:pPr>
      <w:r>
        <w:rPr>
          <w:snapToGrid w:val="0"/>
        </w:rPr>
        <w:tab/>
        <w:t>(d)</w:t>
      </w:r>
      <w:r>
        <w:rPr>
          <w:snapToGrid w:val="0"/>
        </w:rPr>
        <w:tab/>
        <w:t>prescribing the equipment to be provided on pleasure vessels and for the use and maintenance of such equipment; and</w:t>
      </w:r>
    </w:p>
    <w:p>
      <w:pPr>
        <w:pStyle w:val="Indenta"/>
        <w:rPr>
          <w:snapToGrid w:val="0"/>
        </w:rPr>
      </w:pPr>
      <w:r>
        <w:rPr>
          <w:snapToGrid w:val="0"/>
        </w:rPr>
        <w:tab/>
        <w:t>(e)</w:t>
      </w:r>
      <w:r>
        <w:rPr>
          <w:snapToGrid w:val="0"/>
        </w:rPr>
        <w:tab/>
        <w:t>providing for the inspection of pleasure vessels and their equipment; and</w:t>
      </w:r>
    </w:p>
    <w:p>
      <w:pPr>
        <w:pStyle w:val="Indenta"/>
        <w:rPr>
          <w:snapToGrid w:val="0"/>
        </w:rPr>
      </w:pPr>
      <w:r>
        <w:rPr>
          <w:snapToGrid w:val="0"/>
        </w:rPr>
        <w:tab/>
        <w:t>(f)</w:t>
      </w:r>
      <w:r>
        <w:rPr>
          <w:snapToGrid w:val="0"/>
        </w:rPr>
        <w:tab/>
        <w:t>regulating noise, fumes and smoke arising from the operation of pleasure vessels; and</w:t>
      </w:r>
    </w:p>
    <w:p>
      <w:pPr>
        <w:pStyle w:val="Indenta"/>
        <w:rPr>
          <w:snapToGrid w:val="0"/>
        </w:rPr>
      </w:pPr>
      <w:r>
        <w:rPr>
          <w:snapToGrid w:val="0"/>
        </w:rPr>
        <w:tab/>
        <w:t>(g)</w:t>
      </w:r>
      <w:r>
        <w:rPr>
          <w:snapToGrid w:val="0"/>
        </w:rPr>
        <w:tab/>
        <w:t>prescribing the age of persons who may be in charge of pleasure vessels, or pleasure vessels of any class; and</w:t>
      </w:r>
    </w:p>
    <w:p>
      <w:pPr>
        <w:pStyle w:val="Indenta"/>
        <w:rPr>
          <w:snapToGrid w:val="0"/>
        </w:rPr>
      </w:pPr>
      <w:r>
        <w:rPr>
          <w:snapToGrid w:val="0"/>
        </w:rPr>
        <w:tab/>
        <w:t>(h)</w:t>
      </w:r>
      <w:r>
        <w:rPr>
          <w:snapToGrid w:val="0"/>
        </w:rPr>
        <w:tab/>
        <w:t>providing for the manning of pleasure vessels, generally or in respect of journeys of specified durations; and</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 and</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No. 35 of 1990 s. 14 and 21.]</w:t>
      </w:r>
    </w:p>
    <w:p>
      <w:pPr>
        <w:pStyle w:val="Heading2"/>
      </w:pPr>
      <w:bookmarkStart w:id="254" w:name="_Toc155177689"/>
      <w:bookmarkStart w:id="255" w:name="_Toc132296370"/>
      <w:r>
        <w:rPr>
          <w:rStyle w:val="CharPartNo"/>
        </w:rPr>
        <w:t>Part VII</w:t>
      </w:r>
      <w:r>
        <w:t> — </w:t>
      </w:r>
      <w:r>
        <w:rPr>
          <w:rStyle w:val="CharPartText"/>
        </w:rPr>
        <w:t>Investigations and inquiries</w:t>
      </w:r>
      <w:bookmarkEnd w:id="254"/>
      <w:bookmarkEnd w:id="255"/>
    </w:p>
    <w:p>
      <w:pPr>
        <w:pStyle w:val="Heading3"/>
      </w:pPr>
      <w:bookmarkStart w:id="256" w:name="_Toc155177690"/>
      <w:bookmarkStart w:id="257" w:name="_Toc132296371"/>
      <w:r>
        <w:rPr>
          <w:rStyle w:val="CharDivNo"/>
        </w:rPr>
        <w:t>Division 1</w:t>
      </w:r>
      <w:r>
        <w:rPr>
          <w:snapToGrid w:val="0"/>
        </w:rPr>
        <w:t> — </w:t>
      </w:r>
      <w:r>
        <w:rPr>
          <w:rStyle w:val="CharDivText"/>
        </w:rPr>
        <w:t>General</w:t>
      </w:r>
      <w:bookmarkEnd w:id="256"/>
      <w:bookmarkEnd w:id="257"/>
    </w:p>
    <w:p>
      <w:pPr>
        <w:pStyle w:val="Heading5"/>
        <w:rPr>
          <w:snapToGrid w:val="0"/>
        </w:rPr>
      </w:pPr>
      <w:bookmarkStart w:id="258" w:name="_Toc155177691"/>
      <w:bookmarkStart w:id="259" w:name="_Toc132296372"/>
      <w:r>
        <w:rPr>
          <w:rStyle w:val="CharSectno"/>
        </w:rPr>
        <w:t>100</w:t>
      </w:r>
      <w:r>
        <w:rPr>
          <w:snapToGrid w:val="0"/>
        </w:rPr>
        <w:t>.</w:t>
      </w:r>
      <w:r>
        <w:rPr>
          <w:snapToGrid w:val="0"/>
        </w:rPr>
        <w:tab/>
        <w:t>Application</w:t>
      </w:r>
      <w:bookmarkEnd w:id="258"/>
      <w:bookmarkEnd w:id="259"/>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260" w:name="_Toc155177692"/>
      <w:bookmarkStart w:id="261" w:name="_Toc132296373"/>
      <w:r>
        <w:rPr>
          <w:rStyle w:val="CharDivNo"/>
        </w:rPr>
        <w:t>Division 2</w:t>
      </w:r>
      <w:r>
        <w:rPr>
          <w:snapToGrid w:val="0"/>
        </w:rPr>
        <w:t> — </w:t>
      </w:r>
      <w:r>
        <w:rPr>
          <w:rStyle w:val="CharDivText"/>
        </w:rPr>
        <w:t>Preliminary investigations and powers</w:t>
      </w:r>
      <w:bookmarkEnd w:id="260"/>
      <w:bookmarkEnd w:id="261"/>
    </w:p>
    <w:p>
      <w:pPr>
        <w:pStyle w:val="Heading5"/>
        <w:rPr>
          <w:snapToGrid w:val="0"/>
        </w:rPr>
      </w:pPr>
      <w:bookmarkStart w:id="262" w:name="_Toc155177693"/>
      <w:bookmarkStart w:id="263" w:name="_Toc132296374"/>
      <w:r>
        <w:rPr>
          <w:rStyle w:val="CharSectno"/>
        </w:rPr>
        <w:t>101</w:t>
      </w:r>
      <w:r>
        <w:rPr>
          <w:snapToGrid w:val="0"/>
        </w:rPr>
        <w:t>.</w:t>
      </w:r>
      <w:r>
        <w:rPr>
          <w:snapToGrid w:val="0"/>
        </w:rPr>
        <w:tab/>
        <w:t>Preliminary inquiries and reports</w:t>
      </w:r>
      <w:bookmarkEnd w:id="262"/>
      <w:bookmarkEnd w:id="263"/>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 and</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No. 35 of 1990 s. 21.]</w:t>
      </w:r>
    </w:p>
    <w:p>
      <w:pPr>
        <w:pStyle w:val="Heading5"/>
        <w:rPr>
          <w:snapToGrid w:val="0"/>
        </w:rPr>
      </w:pPr>
      <w:bookmarkStart w:id="264" w:name="_Toc155177694"/>
      <w:bookmarkStart w:id="265" w:name="_Toc132296375"/>
      <w:r>
        <w:rPr>
          <w:rStyle w:val="CharSectno"/>
        </w:rPr>
        <w:t>102</w:t>
      </w:r>
      <w:r>
        <w:rPr>
          <w:snapToGrid w:val="0"/>
        </w:rPr>
        <w:t>.</w:t>
      </w:r>
      <w:r>
        <w:rPr>
          <w:snapToGrid w:val="0"/>
        </w:rPr>
        <w:tab/>
        <w:t>Powers of investigators and inspectors</w:t>
      </w:r>
      <w:bookmarkEnd w:id="264"/>
      <w:bookmarkEnd w:id="265"/>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 and</w:t>
      </w:r>
    </w:p>
    <w:p>
      <w:pPr>
        <w:pStyle w:val="Indenta"/>
        <w:rPr>
          <w:snapToGrid w:val="0"/>
        </w:rPr>
      </w:pPr>
      <w:r>
        <w:rPr>
          <w:snapToGrid w:val="0"/>
        </w:rPr>
        <w:tab/>
        <w:t>(b)</w:t>
      </w:r>
      <w:r>
        <w:rPr>
          <w:snapToGrid w:val="0"/>
        </w:rPr>
        <w:tab/>
        <w:t>enter and inspect any premises the entry or inspection of which appears necessary to him; and</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 and</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266" w:name="_Toc155177695"/>
      <w:bookmarkStart w:id="267" w:name="_Toc132296376"/>
      <w:r>
        <w:rPr>
          <w:rStyle w:val="CharSectno"/>
        </w:rPr>
        <w:t>103</w:t>
      </w:r>
      <w:r>
        <w:rPr>
          <w:snapToGrid w:val="0"/>
        </w:rPr>
        <w:t>.</w:t>
      </w:r>
      <w:r>
        <w:rPr>
          <w:snapToGrid w:val="0"/>
        </w:rPr>
        <w:tab/>
        <w:t>Formal investigation by Court</w:t>
      </w:r>
      <w:bookmarkEnd w:id="266"/>
      <w:bookmarkEnd w:id="267"/>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No. 35 of 1990 s. 21.]</w:t>
      </w:r>
    </w:p>
    <w:p>
      <w:pPr>
        <w:pStyle w:val="Heading3"/>
      </w:pPr>
      <w:bookmarkStart w:id="268" w:name="_Toc155177696"/>
      <w:bookmarkStart w:id="269" w:name="_Toc132296377"/>
      <w:r>
        <w:rPr>
          <w:rStyle w:val="CharDivNo"/>
        </w:rPr>
        <w:t>Division 3</w:t>
      </w:r>
      <w:r>
        <w:rPr>
          <w:snapToGrid w:val="0"/>
        </w:rPr>
        <w:t> — </w:t>
      </w:r>
      <w:r>
        <w:rPr>
          <w:rStyle w:val="CharDivText"/>
        </w:rPr>
        <w:t>Courts of Marine Inquiry</w:t>
      </w:r>
      <w:bookmarkEnd w:id="268"/>
      <w:bookmarkEnd w:id="269"/>
    </w:p>
    <w:p>
      <w:pPr>
        <w:pStyle w:val="Heading5"/>
        <w:rPr>
          <w:snapToGrid w:val="0"/>
        </w:rPr>
      </w:pPr>
      <w:bookmarkStart w:id="270" w:name="_Toc155177697"/>
      <w:bookmarkStart w:id="271" w:name="_Toc132296378"/>
      <w:r>
        <w:rPr>
          <w:snapToGrid w:val="0"/>
        </w:rPr>
        <w:t>104.</w:t>
      </w:r>
      <w:r>
        <w:rPr>
          <w:snapToGrid w:val="0"/>
        </w:rPr>
        <w:tab/>
        <w:t>Governor may establish Court of Marine Inquiry</w:t>
      </w:r>
      <w:bookmarkEnd w:id="270"/>
      <w:bookmarkEnd w:id="271"/>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tab/>
        <w:t>(5)</w:t>
      </w:r>
      <w:r>
        <w:tab/>
        <w:t xml:space="preserve">Subject to section 109(4) sections 15, 16, 35 and 36 and Part 3 Division 2 of the </w:t>
      </w:r>
      <w:r>
        <w:rPr>
          <w:i/>
        </w:rPr>
        <w:t xml:space="preserve">Magistrates Court Act 2004 </w:t>
      </w:r>
      <w:r>
        <w:t>apply to and in relation to a Court of Marine Inquiry and its officers in the same way as they apply to and in relation to the Magistrates Court and its officers.</w:t>
      </w:r>
    </w:p>
    <w:p>
      <w:pPr>
        <w:pStyle w:val="Footnotesection"/>
      </w:pPr>
      <w:r>
        <w:tab/>
        <w:t>[Section 104 inserted: No. 59 of 2004 s. 141; amended: No. 8 of 2009 s. 137(3).]</w:t>
      </w:r>
    </w:p>
    <w:p>
      <w:pPr>
        <w:pStyle w:val="Heading5"/>
        <w:rPr>
          <w:snapToGrid w:val="0"/>
        </w:rPr>
      </w:pPr>
      <w:bookmarkStart w:id="272" w:name="_Toc155177698"/>
      <w:bookmarkStart w:id="273" w:name="_Toc132296379"/>
      <w:r>
        <w:rPr>
          <w:rStyle w:val="CharSectno"/>
        </w:rPr>
        <w:t>105</w:t>
      </w:r>
      <w:r>
        <w:rPr>
          <w:snapToGrid w:val="0"/>
        </w:rPr>
        <w:t>.</w:t>
      </w:r>
      <w:r>
        <w:rPr>
          <w:snapToGrid w:val="0"/>
        </w:rPr>
        <w:tab/>
        <w:t>Magistrates and assessors to sit</w:t>
      </w:r>
      <w:bookmarkEnd w:id="272"/>
      <w:bookmarkEnd w:id="273"/>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No. 59 of 2004 s. 141.]</w:t>
      </w:r>
    </w:p>
    <w:p>
      <w:pPr>
        <w:pStyle w:val="Heading5"/>
        <w:rPr>
          <w:snapToGrid w:val="0"/>
        </w:rPr>
      </w:pPr>
      <w:bookmarkStart w:id="274" w:name="_Toc155177699"/>
      <w:bookmarkStart w:id="275" w:name="_Toc132296380"/>
      <w:r>
        <w:rPr>
          <w:rStyle w:val="CharSectno"/>
        </w:rPr>
        <w:t>106</w:t>
      </w:r>
      <w:r>
        <w:rPr>
          <w:snapToGrid w:val="0"/>
        </w:rPr>
        <w:t>.</w:t>
      </w:r>
      <w:r>
        <w:rPr>
          <w:snapToGrid w:val="0"/>
        </w:rPr>
        <w:tab/>
        <w:t>Assessors</w:t>
      </w:r>
      <w:bookmarkEnd w:id="274"/>
      <w:bookmarkEnd w:id="275"/>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No. 35 of 1990 s. 21.]</w:t>
      </w:r>
    </w:p>
    <w:p>
      <w:pPr>
        <w:pStyle w:val="Heading5"/>
        <w:spacing w:before="180"/>
        <w:rPr>
          <w:rStyle w:val="CharSectno"/>
        </w:rPr>
      </w:pPr>
      <w:bookmarkStart w:id="276" w:name="_Toc155177700"/>
      <w:bookmarkStart w:id="277" w:name="_Toc132296381"/>
      <w:r>
        <w:rPr>
          <w:rStyle w:val="CharSectno"/>
        </w:rPr>
        <w:t>107</w:t>
      </w:r>
      <w:r>
        <w:rPr>
          <w:snapToGrid w:val="0"/>
        </w:rPr>
        <w:t>.</w:t>
      </w:r>
      <w:r>
        <w:rPr>
          <w:rStyle w:val="CharSectno"/>
        </w:rPr>
        <w:tab/>
      </w:r>
      <w:r>
        <w:rPr>
          <w:snapToGrid w:val="0"/>
        </w:rPr>
        <w:t>Officers of Court of Marine Inquiry</w:t>
      </w:r>
      <w:bookmarkEnd w:id="276"/>
      <w:bookmarkEnd w:id="277"/>
    </w:p>
    <w:p>
      <w:pPr>
        <w:pStyle w:val="Subsection"/>
        <w:spacing w:before="120"/>
      </w:pPr>
      <w:r>
        <w:tab/>
      </w:r>
      <w:r>
        <w:tab/>
        <w:t>Officers of the Magistrates Court shall be officers of Courts of Marine Inquiry.</w:t>
      </w:r>
    </w:p>
    <w:p>
      <w:pPr>
        <w:pStyle w:val="Footnotesection"/>
      </w:pPr>
      <w:r>
        <w:tab/>
        <w:t>[Section 107 inserted: No. 59 of 2004 s. 141.]</w:t>
      </w:r>
    </w:p>
    <w:p>
      <w:pPr>
        <w:pStyle w:val="Heading5"/>
        <w:spacing w:before="180"/>
        <w:rPr>
          <w:snapToGrid w:val="0"/>
        </w:rPr>
      </w:pPr>
      <w:bookmarkStart w:id="278" w:name="_Toc155177701"/>
      <w:bookmarkStart w:id="279" w:name="_Toc132296382"/>
      <w:r>
        <w:rPr>
          <w:rStyle w:val="CharSectno"/>
        </w:rPr>
        <w:t>108</w:t>
      </w:r>
      <w:r>
        <w:rPr>
          <w:snapToGrid w:val="0"/>
        </w:rPr>
        <w:t>.</w:t>
      </w:r>
      <w:r>
        <w:rPr>
          <w:snapToGrid w:val="0"/>
        </w:rPr>
        <w:tab/>
        <w:t>Rules of Court</w:t>
      </w:r>
      <w:bookmarkEnd w:id="278"/>
      <w:bookmarkEnd w:id="279"/>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spacing w:before="70"/>
        <w:rPr>
          <w:snapToGrid w:val="0"/>
        </w:rPr>
      </w:pPr>
      <w:r>
        <w:rPr>
          <w:snapToGrid w:val="0"/>
        </w:rPr>
        <w:tab/>
        <w:t>(a)</w:t>
      </w:r>
      <w:r>
        <w:rPr>
          <w:snapToGrid w:val="0"/>
        </w:rPr>
        <w:tab/>
        <w:t>providing for sittings of the Court; and</w:t>
      </w:r>
    </w:p>
    <w:p>
      <w:pPr>
        <w:pStyle w:val="Indenta"/>
        <w:spacing w:before="70"/>
        <w:rPr>
          <w:snapToGrid w:val="0"/>
        </w:rPr>
      </w:pPr>
      <w:r>
        <w:rPr>
          <w:snapToGrid w:val="0"/>
        </w:rPr>
        <w:tab/>
        <w:t>(b)</w:t>
      </w:r>
      <w:r>
        <w:rPr>
          <w:snapToGrid w:val="0"/>
        </w:rPr>
        <w:tab/>
        <w:t>in respect of appeals before the Court, providing for security for costs and damages to be given; and</w:t>
      </w:r>
    </w:p>
    <w:p>
      <w:pPr>
        <w:pStyle w:val="Indenta"/>
        <w:spacing w:before="70"/>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No. 59 of 2004 s. 141.]</w:t>
      </w:r>
    </w:p>
    <w:p>
      <w:pPr>
        <w:pStyle w:val="Heading3"/>
      </w:pPr>
      <w:bookmarkStart w:id="280" w:name="_Toc155177702"/>
      <w:bookmarkStart w:id="281" w:name="_Toc132296383"/>
      <w:r>
        <w:rPr>
          <w:rStyle w:val="CharDivNo"/>
        </w:rPr>
        <w:t>Division 4</w:t>
      </w:r>
      <w:r>
        <w:rPr>
          <w:snapToGrid w:val="0"/>
        </w:rPr>
        <w:t> — </w:t>
      </w:r>
      <w:r>
        <w:rPr>
          <w:rStyle w:val="CharDivText"/>
        </w:rPr>
        <w:t>The powers and duties of Courts of Marine Inquiry</w:t>
      </w:r>
      <w:bookmarkEnd w:id="280"/>
      <w:bookmarkEnd w:id="281"/>
    </w:p>
    <w:p>
      <w:pPr>
        <w:pStyle w:val="Heading5"/>
        <w:spacing w:before="180"/>
        <w:rPr>
          <w:snapToGrid w:val="0"/>
        </w:rPr>
      </w:pPr>
      <w:bookmarkStart w:id="282" w:name="_Toc155177703"/>
      <w:bookmarkStart w:id="283" w:name="_Toc132296384"/>
      <w:r>
        <w:rPr>
          <w:rStyle w:val="CharSectno"/>
        </w:rPr>
        <w:t>109</w:t>
      </w:r>
      <w:r>
        <w:rPr>
          <w:snapToGrid w:val="0"/>
        </w:rPr>
        <w:t>.</w:t>
      </w:r>
      <w:r>
        <w:rPr>
          <w:snapToGrid w:val="0"/>
        </w:rPr>
        <w:tab/>
        <w:t>Functions of Court of Marine Inquiry</w:t>
      </w:r>
      <w:bookmarkEnd w:id="282"/>
      <w:bookmarkEnd w:id="283"/>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284" w:name="_Toc155177704"/>
      <w:bookmarkStart w:id="285" w:name="_Toc132296385"/>
      <w:r>
        <w:rPr>
          <w:rStyle w:val="CharSectno"/>
        </w:rPr>
        <w:t>110</w:t>
      </w:r>
      <w:r>
        <w:rPr>
          <w:snapToGrid w:val="0"/>
        </w:rPr>
        <w:t>.</w:t>
      </w:r>
      <w:r>
        <w:rPr>
          <w:snapToGrid w:val="0"/>
        </w:rPr>
        <w:tab/>
        <w:t>Powers and duties in respect of unsafe ships</w:t>
      </w:r>
      <w:bookmarkEnd w:id="284"/>
      <w:bookmarkEnd w:id="285"/>
    </w:p>
    <w:p>
      <w:pPr>
        <w:pStyle w:val="Subsection"/>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rPr>
          <w:snapToGrid w:val="0"/>
        </w:rPr>
      </w:pPr>
      <w:r>
        <w:rPr>
          <w:snapToGrid w:val="0"/>
        </w:rPr>
        <w:tab/>
        <w:t>(2)</w:t>
      </w:r>
      <w:r>
        <w:rPr>
          <w:snapToGrid w:val="0"/>
        </w:rPr>
        <w:tab/>
        <w:t>The Court may appoint a competent person or persons to survey the ship and report to the Court.</w:t>
      </w:r>
    </w:p>
    <w:p>
      <w:pPr>
        <w:pStyle w:val="Subsection"/>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No. 47 of 1993 s. 33(2).]</w:t>
      </w:r>
    </w:p>
    <w:p>
      <w:pPr>
        <w:pStyle w:val="Heading5"/>
        <w:rPr>
          <w:snapToGrid w:val="0"/>
        </w:rPr>
      </w:pPr>
      <w:bookmarkStart w:id="286" w:name="_Toc155177705"/>
      <w:bookmarkStart w:id="287" w:name="_Toc132296386"/>
      <w:r>
        <w:rPr>
          <w:rStyle w:val="CharSectno"/>
        </w:rPr>
        <w:t>111</w:t>
      </w:r>
      <w:r>
        <w:rPr>
          <w:snapToGrid w:val="0"/>
        </w:rPr>
        <w:t>.</w:t>
      </w:r>
      <w:r>
        <w:rPr>
          <w:snapToGrid w:val="0"/>
        </w:rPr>
        <w:tab/>
        <w:t>Presiding magistrate and procedure</w:t>
      </w:r>
      <w:bookmarkEnd w:id="286"/>
      <w:bookmarkEnd w:id="287"/>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288" w:name="_Toc155177706"/>
      <w:bookmarkStart w:id="289" w:name="_Toc132296387"/>
      <w:r>
        <w:rPr>
          <w:rStyle w:val="CharSectno"/>
        </w:rPr>
        <w:t>112</w:t>
      </w:r>
      <w:r>
        <w:rPr>
          <w:snapToGrid w:val="0"/>
        </w:rPr>
        <w:t>.</w:t>
      </w:r>
      <w:r>
        <w:rPr>
          <w:snapToGrid w:val="0"/>
        </w:rPr>
        <w:tab/>
        <w:t>Power of Court to suspend or cancel certificate</w:t>
      </w:r>
      <w:bookmarkEnd w:id="288"/>
      <w:bookmarkEnd w:id="289"/>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rPr>
          <w:snapToGrid w:val="0"/>
        </w:rPr>
      </w:pPr>
      <w:bookmarkStart w:id="290" w:name="_Toc155177707"/>
      <w:bookmarkStart w:id="291" w:name="_Toc132296388"/>
      <w:r>
        <w:rPr>
          <w:rStyle w:val="CharSectno"/>
        </w:rPr>
        <w:t>113</w:t>
      </w:r>
      <w:r>
        <w:rPr>
          <w:snapToGrid w:val="0"/>
        </w:rPr>
        <w:t>.</w:t>
      </w:r>
      <w:r>
        <w:rPr>
          <w:snapToGrid w:val="0"/>
        </w:rPr>
        <w:tab/>
        <w:t>Rehearing</w:t>
      </w:r>
      <w:bookmarkEnd w:id="290"/>
      <w:bookmarkEnd w:id="291"/>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292" w:name="_Toc155177708"/>
      <w:bookmarkStart w:id="293" w:name="_Toc132296389"/>
      <w:r>
        <w:rPr>
          <w:rStyle w:val="CharPartNo"/>
        </w:rPr>
        <w:t>Part VIII</w:t>
      </w:r>
      <w:r>
        <w:rPr>
          <w:rStyle w:val="CharDivNo"/>
        </w:rPr>
        <w:t> </w:t>
      </w:r>
      <w:r>
        <w:t>—</w:t>
      </w:r>
      <w:r>
        <w:rPr>
          <w:rStyle w:val="CharDivText"/>
        </w:rPr>
        <w:t> </w:t>
      </w:r>
      <w:r>
        <w:rPr>
          <w:rStyle w:val="CharPartText"/>
        </w:rPr>
        <w:t>Supplementary and administrative provisions</w:t>
      </w:r>
      <w:bookmarkEnd w:id="292"/>
      <w:bookmarkEnd w:id="293"/>
    </w:p>
    <w:p>
      <w:pPr>
        <w:pStyle w:val="Heading5"/>
        <w:rPr>
          <w:snapToGrid w:val="0"/>
        </w:rPr>
      </w:pPr>
      <w:bookmarkStart w:id="294" w:name="_Toc155177709"/>
      <w:bookmarkStart w:id="295" w:name="_Toc132296390"/>
      <w:r>
        <w:rPr>
          <w:rStyle w:val="CharSectno"/>
        </w:rPr>
        <w:t>114</w:t>
      </w:r>
      <w:r>
        <w:rPr>
          <w:snapToGrid w:val="0"/>
        </w:rPr>
        <w:t>.</w:t>
      </w:r>
      <w:r>
        <w:rPr>
          <w:snapToGrid w:val="0"/>
        </w:rPr>
        <w:tab/>
        <w:t>Powers in relation to regulations</w:t>
      </w:r>
      <w:bookmarkEnd w:id="294"/>
      <w:bookmarkEnd w:id="29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 and</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 and</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 and</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so as to confer on a specified person or body or a specified class of person or body a discretionary authority; and</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No. 35 of 1990 s. 21.]</w:t>
      </w:r>
    </w:p>
    <w:p>
      <w:pPr>
        <w:pStyle w:val="Heading5"/>
        <w:rPr>
          <w:snapToGrid w:val="0"/>
        </w:rPr>
      </w:pPr>
      <w:bookmarkStart w:id="296" w:name="_Toc155177710"/>
      <w:bookmarkStart w:id="297" w:name="_Toc132296391"/>
      <w:r>
        <w:rPr>
          <w:rStyle w:val="CharSectno"/>
        </w:rPr>
        <w:t>115</w:t>
      </w:r>
      <w:r>
        <w:rPr>
          <w:snapToGrid w:val="0"/>
        </w:rPr>
        <w:t>.</w:t>
      </w:r>
      <w:r>
        <w:rPr>
          <w:snapToGrid w:val="0"/>
        </w:rPr>
        <w:tab/>
        <w:t>Regulations may adopt codes etc.</w:t>
      </w:r>
      <w:bookmarkEnd w:id="296"/>
      <w:bookmarkEnd w:id="297"/>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 and</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spacing w:before="60"/>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spacing w:before="100"/>
        <w:ind w:left="890" w:hanging="890"/>
      </w:pPr>
      <w:r>
        <w:tab/>
        <w:t>[Section 115 amended: No. 35 of 1990 s. 21; No. 74 of 2003 s. 130.]</w:t>
      </w:r>
    </w:p>
    <w:p>
      <w:pPr>
        <w:pStyle w:val="Heading5"/>
        <w:rPr>
          <w:snapToGrid w:val="0"/>
        </w:rPr>
      </w:pPr>
      <w:bookmarkStart w:id="298" w:name="_Toc155177711"/>
      <w:bookmarkStart w:id="299" w:name="_Toc132296392"/>
      <w:r>
        <w:rPr>
          <w:rStyle w:val="CharSectno"/>
        </w:rPr>
        <w:t>115A</w:t>
      </w:r>
      <w:r>
        <w:rPr>
          <w:snapToGrid w:val="0"/>
        </w:rPr>
        <w:t>.</w:t>
      </w:r>
      <w:r>
        <w:rPr>
          <w:snapToGrid w:val="0"/>
        </w:rPr>
        <w:tab/>
        <w:t>Exemptions and equivalents</w:t>
      </w:r>
      <w:bookmarkEnd w:id="298"/>
      <w:bookmarkEnd w:id="299"/>
    </w:p>
    <w:p>
      <w:pPr>
        <w:pStyle w:val="Subsection"/>
        <w:spacing w:before="150"/>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spacing w:before="150"/>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spacing w:before="150"/>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No. 35 of 1990 s. 15.]</w:t>
      </w:r>
    </w:p>
    <w:p>
      <w:pPr>
        <w:pStyle w:val="Heading5"/>
        <w:rPr>
          <w:snapToGrid w:val="0"/>
        </w:rPr>
      </w:pPr>
      <w:bookmarkStart w:id="300" w:name="_Toc155177712"/>
      <w:bookmarkStart w:id="301" w:name="_Toc132296393"/>
      <w:r>
        <w:rPr>
          <w:rStyle w:val="CharSectno"/>
        </w:rPr>
        <w:t>116</w:t>
      </w:r>
      <w:r>
        <w:rPr>
          <w:snapToGrid w:val="0"/>
        </w:rPr>
        <w:t>.</w:t>
      </w:r>
      <w:r>
        <w:rPr>
          <w:snapToGrid w:val="0"/>
        </w:rPr>
        <w:tab/>
        <w:t>Minister may delegate</w:t>
      </w:r>
      <w:bookmarkEnd w:id="300"/>
      <w:bookmarkEnd w:id="301"/>
    </w:p>
    <w:p>
      <w:pPr>
        <w:pStyle w:val="Subsection"/>
        <w:rPr>
          <w:snapToGrid w:val="0"/>
        </w:rPr>
      </w:pPr>
      <w:r>
        <w:rPr>
          <w:snapToGrid w:val="0"/>
        </w:rPr>
        <w:tab/>
        <w:t>(1)</w:t>
      </w:r>
      <w:r>
        <w:rPr>
          <w:snapToGrid w:val="0"/>
        </w:rPr>
        <w:tab/>
        <w:t>The Minister or the chief executive officer, as the case may be, (</w:t>
      </w:r>
      <w:r>
        <w:t xml:space="preserve">the </w:t>
      </w:r>
      <w:r>
        <w:rPr>
          <w:rStyle w:val="CharDefText"/>
        </w:rPr>
        <w:t>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No. 35 of 1990 s. 16.]</w:t>
      </w:r>
    </w:p>
    <w:p>
      <w:pPr>
        <w:pStyle w:val="Heading5"/>
        <w:rPr>
          <w:snapToGrid w:val="0"/>
        </w:rPr>
      </w:pPr>
      <w:bookmarkStart w:id="302" w:name="_Toc155177713"/>
      <w:bookmarkStart w:id="303" w:name="_Toc132296394"/>
      <w:r>
        <w:rPr>
          <w:rStyle w:val="CharSectno"/>
        </w:rPr>
        <w:t>117</w:t>
      </w:r>
      <w:r>
        <w:rPr>
          <w:snapToGrid w:val="0"/>
        </w:rPr>
        <w:t>.</w:t>
      </w:r>
      <w:r>
        <w:rPr>
          <w:snapToGrid w:val="0"/>
        </w:rPr>
        <w:tab/>
        <w:t>Appointment of inspectors and authorised officers</w:t>
      </w:r>
      <w:bookmarkEnd w:id="302"/>
      <w:bookmarkEnd w:id="303"/>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No. 35 of 1990 s. 17 and 21.]</w:t>
      </w:r>
    </w:p>
    <w:p>
      <w:pPr>
        <w:pStyle w:val="Heading5"/>
        <w:rPr>
          <w:snapToGrid w:val="0"/>
        </w:rPr>
      </w:pPr>
      <w:bookmarkStart w:id="304" w:name="_Toc155177714"/>
      <w:bookmarkStart w:id="305" w:name="_Toc132296395"/>
      <w:r>
        <w:rPr>
          <w:rStyle w:val="CharSectno"/>
        </w:rPr>
        <w:t>118</w:t>
      </w:r>
      <w:r>
        <w:rPr>
          <w:snapToGrid w:val="0"/>
        </w:rPr>
        <w:t>.</w:t>
      </w:r>
      <w:r>
        <w:rPr>
          <w:snapToGrid w:val="0"/>
        </w:rPr>
        <w:tab/>
        <w:t>Certificate of appointment</w:t>
      </w:r>
      <w:bookmarkEnd w:id="304"/>
      <w:bookmarkEnd w:id="305"/>
    </w:p>
    <w:p>
      <w:pPr>
        <w:pStyle w:val="Subsection"/>
        <w:rPr>
          <w:snapToGrid w:val="0"/>
        </w:rPr>
      </w:pPr>
      <w:r>
        <w:tab/>
        <w:t>(1)</w:t>
      </w:r>
      <w:r>
        <w:tab/>
        <w:t>The chief</w:t>
      </w:r>
      <w:r>
        <w:rPr>
          <w:snapToGrid w:val="0"/>
        </w:rPr>
        <w:t xml:space="preserve">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Subsection"/>
      </w:pPr>
      <w:r>
        <w:tab/>
        <w:t>(2)</w:t>
      </w:r>
      <w:r>
        <w:tab/>
        <w:t>In the case of an inspector, the certificate issued under subsection (1) is also to specify any functions that the inspector has under other enactments by virtue of being an inspector.</w:t>
      </w:r>
    </w:p>
    <w:p>
      <w:pPr>
        <w:pStyle w:val="Footnotesection"/>
      </w:pPr>
      <w:r>
        <w:tab/>
        <w:t>[Section 118 amended: No. 35 of 1990 s. 21; No. 2 of 2019 s. 63.]</w:t>
      </w:r>
    </w:p>
    <w:p>
      <w:pPr>
        <w:pStyle w:val="Heading5"/>
        <w:rPr>
          <w:snapToGrid w:val="0"/>
        </w:rPr>
      </w:pPr>
      <w:bookmarkStart w:id="306" w:name="_Toc155177715"/>
      <w:bookmarkStart w:id="307" w:name="_Toc132296396"/>
      <w:r>
        <w:rPr>
          <w:rStyle w:val="CharSectno"/>
        </w:rPr>
        <w:t>119</w:t>
      </w:r>
      <w:r>
        <w:rPr>
          <w:snapToGrid w:val="0"/>
        </w:rPr>
        <w:t>.</w:t>
      </w:r>
      <w:r>
        <w:rPr>
          <w:snapToGrid w:val="0"/>
        </w:rPr>
        <w:tab/>
        <w:t>Penalty for obstruction</w:t>
      </w:r>
      <w:bookmarkEnd w:id="306"/>
      <w:bookmarkEnd w:id="307"/>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308" w:name="_Toc155177716"/>
      <w:bookmarkStart w:id="309" w:name="_Toc132296397"/>
      <w:r>
        <w:rPr>
          <w:rStyle w:val="CharSectno"/>
        </w:rPr>
        <w:t>120</w:t>
      </w:r>
      <w:r>
        <w:rPr>
          <w:snapToGrid w:val="0"/>
        </w:rPr>
        <w:t>.</w:t>
      </w:r>
      <w:r>
        <w:rPr>
          <w:snapToGrid w:val="0"/>
        </w:rPr>
        <w:tab/>
        <w:t>Penalty for false declarations etc.</w:t>
      </w:r>
      <w:bookmarkEnd w:id="308"/>
      <w:bookmarkEnd w:id="309"/>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310" w:name="_Toc155177717"/>
      <w:bookmarkStart w:id="311" w:name="_Toc132296398"/>
      <w:r>
        <w:rPr>
          <w:rStyle w:val="CharSectno"/>
        </w:rPr>
        <w:t>120A</w:t>
      </w:r>
      <w:r>
        <w:rPr>
          <w:snapToGrid w:val="0"/>
        </w:rPr>
        <w:t>.</w:t>
      </w:r>
      <w:r>
        <w:rPr>
          <w:snapToGrid w:val="0"/>
        </w:rPr>
        <w:tab/>
        <w:t>Inspector may request name and address</w:t>
      </w:r>
      <w:bookmarkEnd w:id="310"/>
      <w:bookmarkEnd w:id="311"/>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No. 35 of 1990 s. 18.]</w:t>
      </w:r>
    </w:p>
    <w:p>
      <w:pPr>
        <w:pStyle w:val="Heading5"/>
        <w:rPr>
          <w:snapToGrid w:val="0"/>
        </w:rPr>
      </w:pPr>
      <w:bookmarkStart w:id="312" w:name="_Toc155177718"/>
      <w:bookmarkStart w:id="313" w:name="_Toc132296399"/>
      <w:r>
        <w:rPr>
          <w:rStyle w:val="CharSectno"/>
        </w:rPr>
        <w:t>121</w:t>
      </w:r>
      <w:r>
        <w:rPr>
          <w:snapToGrid w:val="0"/>
        </w:rPr>
        <w:t>.</w:t>
      </w:r>
      <w:r>
        <w:rPr>
          <w:snapToGrid w:val="0"/>
        </w:rPr>
        <w:tab/>
        <w:t>Offences in connection with certificates, licences etc.</w:t>
      </w:r>
      <w:bookmarkEnd w:id="312"/>
      <w:bookmarkEnd w:id="313"/>
    </w:p>
    <w:p>
      <w:pPr>
        <w:pStyle w:val="Subsection"/>
        <w:keepNext/>
        <w:rPr>
          <w:snapToGrid w:val="0"/>
        </w:rPr>
      </w:pPr>
      <w:r>
        <w:rPr>
          <w:snapToGrid w:val="0"/>
        </w:rPr>
        <w:tab/>
        <w:t>(1)</w:t>
      </w:r>
      <w:r>
        <w:rPr>
          <w:snapToGrid w:val="0"/>
        </w:rPr>
        <w:tab/>
        <w:t>A person shall not —</w:t>
      </w:r>
    </w:p>
    <w:p>
      <w:pPr>
        <w:pStyle w:val="Indenta"/>
        <w:keepNext/>
        <w:rPr>
          <w:snapToGrid w:val="0"/>
        </w:rPr>
      </w:pPr>
      <w:r>
        <w:rPr>
          <w:snapToGrid w:val="0"/>
        </w:rPr>
        <w:tab/>
        <w:t>(a)</w:t>
      </w:r>
      <w:r>
        <w:rPr>
          <w:snapToGrid w:val="0"/>
        </w:rPr>
        <w:tab/>
        <w:t>knowingly make a false representation for the purpose of obtaining a certificate, licence, permit, exemption or dispensation either for himself or for another person; or</w:t>
      </w:r>
    </w:p>
    <w:p>
      <w:pPr>
        <w:pStyle w:val="Indenta"/>
        <w:rPr>
          <w:snapToGrid w:val="0"/>
        </w:rPr>
      </w:pPr>
      <w:r>
        <w:rPr>
          <w:snapToGrid w:val="0"/>
        </w:rPr>
        <w:tab/>
        <w:t>(b)</w:t>
      </w:r>
      <w:r>
        <w:rPr>
          <w:snapToGrid w:val="0"/>
        </w:rPr>
        <w:tab/>
        <w:t>forge or fraudulently alter a certificate, licence, permit, exemption or dispensation; or</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314" w:name="_Toc155177719"/>
      <w:bookmarkStart w:id="315" w:name="_Toc132296400"/>
      <w:r>
        <w:rPr>
          <w:rStyle w:val="CharSectno"/>
        </w:rPr>
        <w:t>122</w:t>
      </w:r>
      <w:r>
        <w:rPr>
          <w:snapToGrid w:val="0"/>
        </w:rPr>
        <w:t>.</w:t>
      </w:r>
      <w:r>
        <w:rPr>
          <w:snapToGrid w:val="0"/>
        </w:rPr>
        <w:tab/>
        <w:t>Liability of chief executive officer and owner for costs and compensation</w:t>
      </w:r>
      <w:bookmarkEnd w:id="314"/>
      <w:bookmarkEnd w:id="315"/>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No. 35 of 1990 s. 21.]</w:t>
      </w:r>
    </w:p>
    <w:p>
      <w:pPr>
        <w:pStyle w:val="Heading5"/>
        <w:rPr>
          <w:snapToGrid w:val="0"/>
        </w:rPr>
      </w:pPr>
      <w:bookmarkStart w:id="316" w:name="_Toc155177720"/>
      <w:bookmarkStart w:id="317" w:name="_Toc132296401"/>
      <w:r>
        <w:rPr>
          <w:rStyle w:val="CharSectno"/>
        </w:rPr>
        <w:t>123</w:t>
      </w:r>
      <w:r>
        <w:rPr>
          <w:snapToGrid w:val="0"/>
        </w:rPr>
        <w:t>.</w:t>
      </w:r>
      <w:r>
        <w:rPr>
          <w:snapToGrid w:val="0"/>
        </w:rPr>
        <w:tab/>
        <w:t>Complainant may be ordered to give security</w:t>
      </w:r>
      <w:bookmarkEnd w:id="316"/>
      <w:bookmarkEnd w:id="317"/>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No. 35 of 1990 s. 21.]</w:t>
      </w:r>
    </w:p>
    <w:p>
      <w:pPr>
        <w:pStyle w:val="Heading5"/>
        <w:rPr>
          <w:snapToGrid w:val="0"/>
        </w:rPr>
      </w:pPr>
      <w:bookmarkStart w:id="318" w:name="_Toc155177721"/>
      <w:bookmarkStart w:id="319" w:name="_Toc132296402"/>
      <w:r>
        <w:rPr>
          <w:rStyle w:val="CharSectno"/>
        </w:rPr>
        <w:t>124</w:t>
      </w:r>
      <w:r>
        <w:rPr>
          <w:snapToGrid w:val="0"/>
        </w:rPr>
        <w:t>.</w:t>
      </w:r>
      <w:r>
        <w:rPr>
          <w:snapToGrid w:val="0"/>
        </w:rPr>
        <w:tab/>
        <w:t>Immunity of Minister and officials</w:t>
      </w:r>
      <w:bookmarkEnd w:id="318"/>
      <w:bookmarkEnd w:id="319"/>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No. 35 of 1990 s. 21.]</w:t>
      </w:r>
    </w:p>
    <w:p>
      <w:pPr>
        <w:pStyle w:val="Heading2"/>
      </w:pPr>
      <w:bookmarkStart w:id="320" w:name="_Toc155177722"/>
      <w:bookmarkStart w:id="321" w:name="_Toc132296403"/>
      <w:r>
        <w:rPr>
          <w:rStyle w:val="CharPartNo"/>
        </w:rPr>
        <w:t>Part IX</w:t>
      </w:r>
      <w:r>
        <w:rPr>
          <w:rStyle w:val="CharDivNo"/>
        </w:rPr>
        <w:t> </w:t>
      </w:r>
      <w:r>
        <w:t>—</w:t>
      </w:r>
      <w:r>
        <w:rPr>
          <w:rStyle w:val="CharDivText"/>
        </w:rPr>
        <w:t> </w:t>
      </w:r>
      <w:r>
        <w:rPr>
          <w:rStyle w:val="CharPartText"/>
        </w:rPr>
        <w:t>Legal proceedings</w:t>
      </w:r>
      <w:bookmarkEnd w:id="320"/>
      <w:bookmarkEnd w:id="321"/>
    </w:p>
    <w:p>
      <w:pPr>
        <w:pStyle w:val="Heading5"/>
        <w:rPr>
          <w:snapToGrid w:val="0"/>
        </w:rPr>
      </w:pPr>
      <w:bookmarkStart w:id="322" w:name="_Toc155177723"/>
      <w:bookmarkStart w:id="323" w:name="_Toc132296404"/>
      <w:r>
        <w:rPr>
          <w:rStyle w:val="CharSectno"/>
        </w:rPr>
        <w:t>125</w:t>
      </w:r>
      <w:r>
        <w:rPr>
          <w:snapToGrid w:val="0"/>
        </w:rPr>
        <w:t>.</w:t>
      </w:r>
      <w:r>
        <w:rPr>
          <w:snapToGrid w:val="0"/>
        </w:rPr>
        <w:tab/>
        <w:t>Evidence of documents and proof of signature</w:t>
      </w:r>
      <w:bookmarkEnd w:id="322"/>
      <w:bookmarkEnd w:id="323"/>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No. 35 of 1990 s. 21.]</w:t>
      </w:r>
    </w:p>
    <w:p>
      <w:pPr>
        <w:pStyle w:val="Heading5"/>
        <w:rPr>
          <w:snapToGrid w:val="0"/>
        </w:rPr>
      </w:pPr>
      <w:bookmarkStart w:id="324" w:name="_Toc155177724"/>
      <w:bookmarkStart w:id="325" w:name="_Toc132296405"/>
      <w:r>
        <w:rPr>
          <w:rStyle w:val="CharSectno"/>
        </w:rPr>
        <w:t>125A</w:t>
      </w:r>
      <w:r>
        <w:rPr>
          <w:snapToGrid w:val="0"/>
        </w:rPr>
        <w:t>.</w:t>
      </w:r>
      <w:r>
        <w:rPr>
          <w:snapToGrid w:val="0"/>
        </w:rPr>
        <w:tab/>
        <w:t>Limitation period for prosecutions</w:t>
      </w:r>
      <w:bookmarkEnd w:id="324"/>
      <w:bookmarkEnd w:id="325"/>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No. 84 of 2004 s. 80.]</w:t>
      </w:r>
    </w:p>
    <w:p>
      <w:pPr>
        <w:pStyle w:val="Heading5"/>
        <w:rPr>
          <w:snapToGrid w:val="0"/>
        </w:rPr>
      </w:pPr>
      <w:bookmarkStart w:id="326" w:name="_Toc155177725"/>
      <w:bookmarkStart w:id="327" w:name="_Toc132296406"/>
      <w:r>
        <w:rPr>
          <w:rStyle w:val="CharSectno"/>
        </w:rPr>
        <w:t>126</w:t>
      </w:r>
      <w:r>
        <w:rPr>
          <w:snapToGrid w:val="0"/>
        </w:rPr>
        <w:t>.</w:t>
      </w:r>
      <w:r>
        <w:rPr>
          <w:snapToGrid w:val="0"/>
        </w:rPr>
        <w:tab/>
        <w:t>Admissibility of documents in evidence</w:t>
      </w:r>
      <w:bookmarkEnd w:id="326"/>
      <w:bookmarkEnd w:id="327"/>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spacing w:before="120"/>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328" w:name="_Toc155177726"/>
      <w:bookmarkStart w:id="329" w:name="_Toc132296407"/>
      <w:r>
        <w:rPr>
          <w:rStyle w:val="CharSectno"/>
        </w:rPr>
        <w:t>127</w:t>
      </w:r>
      <w:r>
        <w:rPr>
          <w:snapToGrid w:val="0"/>
        </w:rPr>
        <w:t>.</w:t>
      </w:r>
      <w:r>
        <w:rPr>
          <w:snapToGrid w:val="0"/>
        </w:rPr>
        <w:tab/>
        <w:t>Service of summons and process</w:t>
      </w:r>
      <w:bookmarkEnd w:id="328"/>
      <w:bookmarkEnd w:id="329"/>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No. 55 of 2004 s. 1312.]</w:t>
      </w:r>
    </w:p>
    <w:p>
      <w:pPr>
        <w:pStyle w:val="Heading5"/>
        <w:rPr>
          <w:snapToGrid w:val="0"/>
        </w:rPr>
      </w:pPr>
      <w:bookmarkStart w:id="330" w:name="_Toc155177727"/>
      <w:bookmarkStart w:id="331" w:name="_Toc132296408"/>
      <w:r>
        <w:rPr>
          <w:rStyle w:val="CharSectno"/>
        </w:rPr>
        <w:t>128</w:t>
      </w:r>
      <w:r>
        <w:rPr>
          <w:snapToGrid w:val="0"/>
        </w:rPr>
        <w:t>.</w:t>
      </w:r>
      <w:r>
        <w:rPr>
          <w:snapToGrid w:val="0"/>
        </w:rPr>
        <w:tab/>
        <w:t>Service of notice where no master</w:t>
      </w:r>
      <w:bookmarkEnd w:id="330"/>
      <w:bookmarkEnd w:id="331"/>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332" w:name="_Toc155177728"/>
      <w:bookmarkStart w:id="333" w:name="_Toc132296409"/>
      <w:r>
        <w:rPr>
          <w:rStyle w:val="CharSectno"/>
        </w:rPr>
        <w:t>129</w:t>
      </w:r>
      <w:r>
        <w:rPr>
          <w:snapToGrid w:val="0"/>
        </w:rPr>
        <w:t>.</w:t>
      </w:r>
      <w:r>
        <w:rPr>
          <w:snapToGrid w:val="0"/>
        </w:rPr>
        <w:tab/>
        <w:t>Averment as to ownership of vessel</w:t>
      </w:r>
      <w:bookmarkEnd w:id="332"/>
      <w:bookmarkEnd w:id="333"/>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 or</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No. 84 of 2004 s. 80.]</w:t>
      </w:r>
    </w:p>
    <w:p>
      <w:pPr>
        <w:pStyle w:val="Heading5"/>
        <w:spacing w:before="180"/>
        <w:rPr>
          <w:snapToGrid w:val="0"/>
        </w:rPr>
      </w:pPr>
      <w:bookmarkStart w:id="334" w:name="_Toc155177729"/>
      <w:bookmarkStart w:id="335" w:name="_Toc132296410"/>
      <w:r>
        <w:rPr>
          <w:rStyle w:val="CharSectno"/>
        </w:rPr>
        <w:t>130</w:t>
      </w:r>
      <w:r>
        <w:rPr>
          <w:snapToGrid w:val="0"/>
        </w:rPr>
        <w:t>.</w:t>
      </w:r>
      <w:r>
        <w:rPr>
          <w:snapToGrid w:val="0"/>
        </w:rPr>
        <w:tab/>
        <w:t>Averment as to membership of crew</w:t>
      </w:r>
      <w:bookmarkEnd w:id="334"/>
      <w:bookmarkEnd w:id="335"/>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No. 84 of 2004 s. 80.]</w:t>
      </w:r>
    </w:p>
    <w:p>
      <w:pPr>
        <w:pStyle w:val="Heading5"/>
        <w:spacing w:before="180"/>
        <w:rPr>
          <w:snapToGrid w:val="0"/>
        </w:rPr>
      </w:pPr>
      <w:bookmarkStart w:id="336" w:name="_Toc155177730"/>
      <w:bookmarkStart w:id="337" w:name="_Toc132296411"/>
      <w:r>
        <w:rPr>
          <w:rStyle w:val="CharSectno"/>
        </w:rPr>
        <w:t>131</w:t>
      </w:r>
      <w:r>
        <w:rPr>
          <w:snapToGrid w:val="0"/>
        </w:rPr>
        <w:t>.</w:t>
      </w:r>
      <w:r>
        <w:rPr>
          <w:snapToGrid w:val="0"/>
        </w:rPr>
        <w:tab/>
        <w:t>Place where act committed</w:t>
      </w:r>
      <w:bookmarkEnd w:id="336"/>
      <w:bookmarkEnd w:id="337"/>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338" w:name="_Toc155177731"/>
      <w:bookmarkStart w:id="339" w:name="_Toc132296412"/>
      <w:r>
        <w:rPr>
          <w:rStyle w:val="CharSectno"/>
        </w:rPr>
        <w:t>132</w:t>
      </w:r>
      <w:r>
        <w:rPr>
          <w:snapToGrid w:val="0"/>
        </w:rPr>
        <w:t>.</w:t>
      </w:r>
      <w:r>
        <w:rPr>
          <w:snapToGrid w:val="0"/>
        </w:rPr>
        <w:tab/>
        <w:t>Proceedings by way of infringement notice</w:t>
      </w:r>
      <w:bookmarkEnd w:id="338"/>
      <w:bookmarkEnd w:id="339"/>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spacing w:before="120"/>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spacing w:before="70"/>
        <w:rPr>
          <w:snapToGrid w:val="0"/>
        </w:rPr>
      </w:pPr>
      <w:r>
        <w:rPr>
          <w:snapToGrid w:val="0"/>
        </w:rPr>
        <w:tab/>
        <w:t>(a)</w:t>
      </w:r>
      <w:r>
        <w:rPr>
          <w:snapToGrid w:val="0"/>
        </w:rPr>
        <w:tab/>
        <w:t>may decline; or</w:t>
      </w:r>
    </w:p>
    <w:p>
      <w:pPr>
        <w:pStyle w:val="Indenta"/>
        <w:spacing w:before="70"/>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spacing w:before="120"/>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tab/>
        <w:t>(5A)</w:t>
      </w:r>
      <w:r>
        <w:tab/>
      </w:r>
      <w:r>
        <w:rPr>
          <w:snapToGrid w:val="0"/>
        </w:rPr>
        <w:t>An authorised person may not withdraw an infringement notice under subsection (5) if the authorised person served the infringement notice.</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keepNext/>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No. 47 of 1993 s. 33(2); No. 32 of 1994 s. 19; No. 84 of 2004 s. 80; No. 2 of 2019 s 64.]</w:t>
      </w:r>
    </w:p>
    <w:p>
      <w:pPr>
        <w:pStyle w:val="Heading5"/>
        <w:spacing w:before="180"/>
        <w:rPr>
          <w:snapToGrid w:val="0"/>
        </w:rPr>
      </w:pPr>
      <w:bookmarkStart w:id="340" w:name="_Toc155177732"/>
      <w:bookmarkStart w:id="341" w:name="_Toc132296413"/>
      <w:r>
        <w:rPr>
          <w:rStyle w:val="CharSectno"/>
        </w:rPr>
        <w:t>133</w:t>
      </w:r>
      <w:r>
        <w:rPr>
          <w:snapToGrid w:val="0"/>
        </w:rPr>
        <w:t>.</w:t>
      </w:r>
      <w:r>
        <w:rPr>
          <w:snapToGrid w:val="0"/>
        </w:rPr>
        <w:tab/>
        <w:t>Onus on owner to identify person in charge of vessel</w:t>
      </w:r>
      <w:bookmarkEnd w:id="340"/>
      <w:bookmarkEnd w:id="341"/>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keepNext/>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keepNext/>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person who was in charge of the vessel</w:t>
      </w:r>
      <w:r>
        <w:t xml:space="preserve"> includes the person who was the driver, master, possessor, skipper, owner or user of the vessel or the person causing, permitting or suffering the vessel to be navigated, as the case requires.</w:t>
      </w:r>
    </w:p>
    <w:p>
      <w:pPr>
        <w:pStyle w:val="Heading5"/>
        <w:rPr>
          <w:snapToGrid w:val="0"/>
        </w:rPr>
      </w:pPr>
      <w:bookmarkStart w:id="342" w:name="_Toc155177733"/>
      <w:bookmarkStart w:id="343" w:name="_Toc132296414"/>
      <w:r>
        <w:rPr>
          <w:rStyle w:val="CharSectno"/>
        </w:rPr>
        <w:t>134</w:t>
      </w:r>
      <w:r>
        <w:rPr>
          <w:snapToGrid w:val="0"/>
        </w:rPr>
        <w:t>.</w:t>
      </w:r>
      <w:r>
        <w:rPr>
          <w:snapToGrid w:val="0"/>
        </w:rPr>
        <w:tab/>
        <w:t>Production of proof of identity by authorised person</w:t>
      </w:r>
      <w:bookmarkEnd w:id="342"/>
      <w:bookmarkEnd w:id="343"/>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No. 35 of 1990 s. 21.]</w:t>
      </w:r>
    </w:p>
    <w:p>
      <w:pPr>
        <w:pStyle w:val="Heading2"/>
      </w:pPr>
      <w:bookmarkStart w:id="344" w:name="_Toc155177734"/>
      <w:bookmarkStart w:id="345" w:name="_Toc132296415"/>
      <w:r>
        <w:rPr>
          <w:rStyle w:val="CharPartNo"/>
        </w:rPr>
        <w:t>Part X</w:t>
      </w:r>
      <w:r>
        <w:rPr>
          <w:rStyle w:val="CharDivNo"/>
        </w:rPr>
        <w:t> </w:t>
      </w:r>
      <w:r>
        <w:t>—</w:t>
      </w:r>
      <w:r>
        <w:rPr>
          <w:rStyle w:val="CharDivText"/>
        </w:rPr>
        <w:t> </w:t>
      </w:r>
      <w:r>
        <w:rPr>
          <w:rStyle w:val="CharPartText"/>
        </w:rPr>
        <w:t>Repeal and transitional</w:t>
      </w:r>
      <w:bookmarkEnd w:id="344"/>
      <w:bookmarkEnd w:id="345"/>
    </w:p>
    <w:p>
      <w:pPr>
        <w:pStyle w:val="Heading5"/>
        <w:rPr>
          <w:snapToGrid w:val="0"/>
        </w:rPr>
      </w:pPr>
      <w:bookmarkStart w:id="346" w:name="_Toc155177735"/>
      <w:bookmarkStart w:id="347" w:name="_Toc132296416"/>
      <w:r>
        <w:rPr>
          <w:rStyle w:val="CharSectno"/>
        </w:rPr>
        <w:t>135</w:t>
      </w:r>
      <w:r>
        <w:rPr>
          <w:snapToGrid w:val="0"/>
        </w:rPr>
        <w:t>.</w:t>
      </w:r>
      <w:r>
        <w:rPr>
          <w:snapToGrid w:val="0"/>
        </w:rPr>
        <w:tab/>
        <w:t>Repeals</w:t>
      </w:r>
      <w:bookmarkEnd w:id="346"/>
      <w:bookmarkEnd w:id="347"/>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r>
        <w:rPr>
          <w:rStyle w:val="CharDefText"/>
        </w:rPr>
        <w:t>Merchant Shipping Act</w:t>
      </w:r>
      <w:r>
        <w:rPr>
          <w:snapToGrid w:val="0"/>
        </w:rPr>
        <w:t xml:space="preserve"> 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348" w:name="_Toc155177736"/>
      <w:bookmarkStart w:id="349" w:name="_Toc132296417"/>
      <w:r>
        <w:rPr>
          <w:rStyle w:val="CharSchNo"/>
        </w:rPr>
        <w:t>Schedule 1</w:t>
      </w:r>
      <w:r>
        <w:t> — </w:t>
      </w:r>
      <w:r>
        <w:rPr>
          <w:rStyle w:val="CharSchText"/>
        </w:rPr>
        <w:t>Container Convention</w:t>
      </w:r>
      <w:bookmarkEnd w:id="348"/>
      <w:bookmarkEnd w:id="349"/>
    </w:p>
    <w:p>
      <w:pPr>
        <w:pStyle w:val="yShoulderClause"/>
        <w:rPr>
          <w:snapToGrid w:val="0"/>
        </w:rPr>
      </w:pPr>
      <w:r>
        <w:rPr>
          <w:snapToGrid w:val="0"/>
        </w:rPr>
        <w:t>[s. 76]</w:t>
      </w:r>
    </w:p>
    <w:p>
      <w:pPr>
        <w:pStyle w:val="yFootnoteheading"/>
      </w:pPr>
      <w:r>
        <w:tab/>
        <w:t>[Heading amended: No. 19 of 2010 s. 4.]</w:t>
      </w:r>
    </w:p>
    <w:p>
      <w:pPr>
        <w:pStyle w:val="yMiscellaneousHeading"/>
        <w:rPr>
          <w:b/>
          <w:bCs/>
          <w:sz w:val="24"/>
          <w:szCs w:val="22"/>
        </w:rPr>
      </w:pPr>
      <w:r>
        <w:rPr>
          <w:b/>
          <w:bCs/>
          <w:sz w:val="24"/>
          <w:szCs w:val="22"/>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570"/>
        </w:tabs>
        <w:rPr>
          <w:snapToGrid w:val="0"/>
        </w:rPr>
      </w:pPr>
      <w:r>
        <w:rPr>
          <w:snapToGrid w:val="0"/>
        </w:rPr>
        <w:t>1.</w:t>
      </w:r>
      <w:r>
        <w:rPr>
          <w:snapToGrid w:val="0"/>
        </w:rPr>
        <w:tab/>
        <w:t>“Container” means an article of transport equipment:</w:t>
      </w:r>
    </w:p>
    <w:p>
      <w:pPr>
        <w:pStyle w:val="yIndenta"/>
        <w:tabs>
          <w:tab w:val="clear" w:pos="1332"/>
          <w:tab w:val="clear" w:pos="1616"/>
          <w:tab w:val="right" w:pos="1026"/>
        </w:tabs>
        <w:ind w:left="1311" w:hanging="1311"/>
        <w:rPr>
          <w:snapToGrid w:val="0"/>
        </w:rPr>
      </w:pPr>
      <w:r>
        <w:rPr>
          <w:snapToGrid w:val="0"/>
        </w:rPr>
        <w:tab/>
        <w:t>(a)</w:t>
      </w:r>
      <w:r>
        <w:rPr>
          <w:snapToGrid w:val="0"/>
        </w:rPr>
        <w:tab/>
        <w:t>of a permanent character and accordingly strong enough to be suitable for repeated use;</w:t>
      </w:r>
    </w:p>
    <w:p>
      <w:pPr>
        <w:pStyle w:val="yIndenta"/>
        <w:tabs>
          <w:tab w:val="clear" w:pos="1332"/>
          <w:tab w:val="clear" w:pos="1616"/>
          <w:tab w:val="right" w:pos="1026"/>
        </w:tabs>
        <w:ind w:left="1311" w:hanging="1311"/>
        <w:rPr>
          <w:snapToGrid w:val="0"/>
        </w:rPr>
      </w:pPr>
      <w:r>
        <w:rPr>
          <w:snapToGrid w:val="0"/>
        </w:rPr>
        <w:tab/>
        <w:t>(b)</w:t>
      </w:r>
      <w:r>
        <w:rPr>
          <w:snapToGrid w:val="0"/>
        </w:rPr>
        <w:tab/>
        <w:t>specially designed to facilitate the transport of goods, by one or more modes of transport, without intermediate reloading;</w:t>
      </w:r>
    </w:p>
    <w:p>
      <w:pPr>
        <w:pStyle w:val="yIndenta"/>
        <w:tabs>
          <w:tab w:val="clear" w:pos="1332"/>
          <w:tab w:val="clear" w:pos="1616"/>
          <w:tab w:val="right" w:pos="1026"/>
        </w:tabs>
        <w:ind w:left="1311" w:hanging="1311"/>
        <w:rPr>
          <w:snapToGrid w:val="0"/>
        </w:rPr>
      </w:pPr>
      <w:r>
        <w:rPr>
          <w:snapToGrid w:val="0"/>
        </w:rPr>
        <w:tab/>
        <w:t>(c)</w:t>
      </w:r>
      <w:r>
        <w:rPr>
          <w:snapToGrid w:val="0"/>
        </w:rPr>
        <w:tab/>
        <w:t>designed to be secured and/or readily handled, having corner fittings for these purposes;</w:t>
      </w:r>
    </w:p>
    <w:p>
      <w:pPr>
        <w:pStyle w:val="yIndenta"/>
        <w:tabs>
          <w:tab w:val="clear" w:pos="1332"/>
          <w:tab w:val="clear" w:pos="1616"/>
          <w:tab w:val="right" w:pos="1026"/>
        </w:tabs>
        <w:ind w:left="1311" w:hanging="1311"/>
        <w:rPr>
          <w:snapToGrid w:val="0"/>
        </w:rPr>
      </w:pPr>
      <w:r>
        <w:rPr>
          <w:snapToGrid w:val="0"/>
        </w:rPr>
        <w:tab/>
        <w:t>(d)</w:t>
      </w:r>
      <w:r>
        <w:rPr>
          <w:snapToGrid w:val="0"/>
        </w:rPr>
        <w:tab/>
        <w:t>of a size such that the area enclosed by the four outer bottom corners is either:</w:t>
      </w:r>
    </w:p>
    <w:p>
      <w:pPr>
        <w:pStyle w:val="yIndenti0"/>
        <w:tabs>
          <w:tab w:val="clear" w:pos="2041"/>
          <w:tab w:val="clear" w:pos="2325"/>
          <w:tab w:val="right" w:pos="1710"/>
        </w:tabs>
        <w:ind w:left="1995" w:hanging="1995"/>
        <w:rPr>
          <w:snapToGrid w:val="0"/>
        </w:rPr>
      </w:pPr>
      <w:r>
        <w:rPr>
          <w:snapToGrid w:val="0"/>
        </w:rPr>
        <w:tab/>
        <w:t>(i)</w:t>
      </w:r>
      <w:r>
        <w:rPr>
          <w:snapToGrid w:val="0"/>
        </w:rPr>
        <w:tab/>
        <w:t>at least 14 sq. m. (150 sq. ft.) or</w:t>
      </w:r>
    </w:p>
    <w:p>
      <w:pPr>
        <w:pStyle w:val="yIndenti0"/>
        <w:tabs>
          <w:tab w:val="clear" w:pos="2041"/>
          <w:tab w:val="clear" w:pos="2325"/>
          <w:tab w:val="right" w:pos="1710"/>
        </w:tabs>
        <w:ind w:left="1995" w:hanging="1995"/>
        <w:rPr>
          <w:snapToGrid w:val="0"/>
        </w:rPr>
      </w:pPr>
      <w:r>
        <w:rPr>
          <w:snapToGrid w:val="0"/>
        </w:rPr>
        <w:tab/>
        <w:t>(ii)</w:t>
      </w:r>
      <w:r>
        <w:rPr>
          <w:snapToGrid w:val="0"/>
        </w:rPr>
        <w:tab/>
        <w:t>at least 7 sq. m. (75 sq. ft.) if it is fitted with top corner fittings;</w:t>
      </w:r>
    </w:p>
    <w:p>
      <w:pPr>
        <w:pStyle w:val="yMiscellaneousBody"/>
        <w:ind w:left="570" w:hanging="570"/>
        <w:rPr>
          <w:snapToGrid w:val="0"/>
        </w:rPr>
      </w:pPr>
      <w:r>
        <w:rPr>
          <w:snapToGrid w:val="0"/>
        </w:rPr>
        <w:tab/>
        <w:t>the term “container” includes neither vehicles nor packaging; however, containers when carried on chassis are included.</w:t>
      </w:r>
    </w:p>
    <w:p>
      <w:pPr>
        <w:pStyle w:val="yMiscellaneousBody"/>
        <w:ind w:left="570" w:hanging="570"/>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spacing w:before="150"/>
        <w:ind w:left="573" w:hanging="573"/>
        <w:rPr>
          <w:snapToGrid w:val="0"/>
        </w:rPr>
      </w:pPr>
      <w:r>
        <w:rPr>
          <w:snapToGrid w:val="0"/>
        </w:rPr>
        <w:t>3.</w:t>
      </w:r>
      <w:r>
        <w:rPr>
          <w:snapToGrid w:val="0"/>
        </w:rPr>
        <w:tab/>
        <w:t>“Administration” means the Government of a Contracting Party under whose authority containers are approved.</w:t>
      </w:r>
    </w:p>
    <w:p>
      <w:pPr>
        <w:pStyle w:val="yMiscellaneousBody"/>
        <w:spacing w:before="150"/>
        <w:ind w:left="573" w:hanging="573"/>
        <w:rPr>
          <w:snapToGrid w:val="0"/>
        </w:rPr>
      </w:pPr>
      <w:r>
        <w:rPr>
          <w:snapToGrid w:val="0"/>
        </w:rPr>
        <w:t>4.</w:t>
      </w:r>
      <w:r>
        <w:rPr>
          <w:snapToGrid w:val="0"/>
        </w:rPr>
        <w:tab/>
        <w:t>“Approved” means approved by the Administration.</w:t>
      </w:r>
    </w:p>
    <w:p>
      <w:pPr>
        <w:pStyle w:val="yMiscellaneousBody"/>
        <w:spacing w:before="150"/>
        <w:ind w:left="573" w:hanging="573"/>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spacing w:before="150"/>
        <w:ind w:left="573" w:hanging="573"/>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spacing w:before="150"/>
        <w:ind w:left="573" w:hanging="573"/>
        <w:rPr>
          <w:snapToGrid w:val="0"/>
        </w:rPr>
      </w:pPr>
      <w:r>
        <w:rPr>
          <w:snapToGrid w:val="0"/>
        </w:rPr>
        <w:t>7.</w:t>
      </w:r>
      <w:r>
        <w:rPr>
          <w:snapToGrid w:val="0"/>
        </w:rPr>
        <w:tab/>
        <w:t>“Cargo” means any goods, wares, merchandise and articles of every kind whatsoever carried in the containers.</w:t>
      </w:r>
    </w:p>
    <w:p>
      <w:pPr>
        <w:pStyle w:val="yMiscellaneousBody"/>
        <w:spacing w:before="150"/>
        <w:ind w:left="573" w:hanging="573"/>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spacing w:before="150"/>
        <w:ind w:left="573" w:hanging="573"/>
        <w:rPr>
          <w:snapToGrid w:val="0"/>
        </w:rPr>
      </w:pPr>
      <w:r>
        <w:rPr>
          <w:snapToGrid w:val="0"/>
        </w:rPr>
        <w:t>9.</w:t>
      </w:r>
      <w:r>
        <w:rPr>
          <w:snapToGrid w:val="0"/>
        </w:rPr>
        <w:tab/>
        <w:t>“Existing container” means a container which is not a new container.</w:t>
      </w:r>
    </w:p>
    <w:p>
      <w:pPr>
        <w:pStyle w:val="yMiscellaneousBody"/>
        <w:spacing w:before="150"/>
        <w:ind w:left="573" w:hanging="573"/>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spacing w:before="150"/>
        <w:ind w:left="573" w:hanging="573"/>
        <w:rPr>
          <w:snapToGrid w:val="0"/>
        </w:rPr>
      </w:pPr>
      <w:r>
        <w:rPr>
          <w:snapToGrid w:val="0"/>
        </w:rPr>
        <w:t>11.</w:t>
      </w:r>
      <w:r>
        <w:rPr>
          <w:snapToGrid w:val="0"/>
        </w:rPr>
        <w:tab/>
        <w:t>“Type of container” means the design type approved by the Administration.</w:t>
      </w:r>
    </w:p>
    <w:p>
      <w:pPr>
        <w:pStyle w:val="yMiscellaneousBody"/>
        <w:spacing w:before="150"/>
        <w:ind w:left="573" w:hanging="573"/>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spacing w:before="150"/>
        <w:ind w:left="573" w:hanging="573"/>
        <w:rPr>
          <w:snapToGrid w:val="0"/>
        </w:rPr>
      </w:pPr>
      <w:r>
        <w:rPr>
          <w:snapToGrid w:val="0"/>
        </w:rPr>
        <w:t>13.</w:t>
      </w:r>
      <w:r>
        <w:rPr>
          <w:snapToGrid w:val="0"/>
        </w:rPr>
        <w:tab/>
        <w:t>“Prototype” means a container representative of those manufactured or to be manufactured in a design type series.</w:t>
      </w:r>
    </w:p>
    <w:p>
      <w:pPr>
        <w:pStyle w:val="yMiscellaneousBody"/>
        <w:spacing w:before="150"/>
        <w:ind w:left="573" w:hanging="573"/>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spacing w:before="150"/>
        <w:ind w:left="573" w:hanging="573"/>
        <w:rPr>
          <w:snapToGrid w:val="0"/>
        </w:rPr>
      </w:pPr>
      <w:r>
        <w:rPr>
          <w:snapToGrid w:val="0"/>
        </w:rPr>
        <w:t>15.</w:t>
      </w:r>
      <w:r>
        <w:rPr>
          <w:snapToGrid w:val="0"/>
        </w:rPr>
        <w:tab/>
        <w:t>“Tare Weight” means the weight of the empty container including permanently affixed ancillary equipment.</w:t>
      </w:r>
    </w:p>
    <w:p>
      <w:pPr>
        <w:pStyle w:val="yMiscellaneousBody"/>
        <w:spacing w:before="150"/>
        <w:ind w:left="573" w:hanging="573"/>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rPr>
          <w:snapToGrid w:val="0"/>
        </w:rPr>
      </w:pPr>
      <w:r>
        <w:rPr>
          <w:snapToGrid w:val="0"/>
        </w:rPr>
        <w:t>ARTICLE III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ind w:left="570" w:hanging="570"/>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ind w:left="570" w:hanging="570"/>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ind w:left="570" w:hanging="570"/>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ind w:left="570" w:hanging="570"/>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ind w:left="570" w:hanging="570"/>
        <w:rPr>
          <w:snapToGrid w:val="0"/>
        </w:rPr>
      </w:pPr>
      <w:r>
        <w:rPr>
          <w:snapToGrid w:val="0"/>
        </w:rPr>
        <w:t>3.</w:t>
      </w:r>
      <w:r>
        <w:rPr>
          <w:snapToGrid w:val="0"/>
        </w:rPr>
        <w:tab/>
        <w:t>Application for approval may be made to the Administration of any Contracting Party.</w:t>
      </w:r>
    </w:p>
    <w:p>
      <w:pPr>
        <w:pStyle w:val="yMiscellaneousBody"/>
        <w:ind w:left="570" w:hanging="570"/>
        <w:rPr>
          <w:snapToGrid w:val="0"/>
        </w:rPr>
      </w:pPr>
      <w:r>
        <w:rPr>
          <w:snapToGrid w:val="0"/>
        </w:rPr>
        <w:t>4.</w:t>
      </w:r>
      <w:r>
        <w:rPr>
          <w:snapToGrid w:val="0"/>
        </w:rPr>
        <w:tab/>
        <w:t>Every container shall be maintained in a safe condition in accordance with the provisions of Annex I.</w:t>
      </w:r>
    </w:p>
    <w:p>
      <w:pPr>
        <w:pStyle w:val="yMiscellaneousBody"/>
        <w:ind w:left="570" w:hanging="570"/>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rPr>
          <w:snapToGrid w:val="0"/>
        </w:rPr>
      </w:pPr>
      <w:r>
        <w:rPr>
          <w:snapToGrid w:val="0"/>
        </w:rPr>
        <w:t>ARTICLE V</w:t>
      </w:r>
    </w:p>
    <w:p>
      <w:pPr>
        <w:pStyle w:val="yMiscellaneousHeading"/>
        <w:rPr>
          <w:i/>
          <w:snapToGrid w:val="0"/>
        </w:rPr>
      </w:pPr>
      <w:r>
        <w:rPr>
          <w:i/>
          <w:snapToGrid w:val="0"/>
        </w:rPr>
        <w:t>Acceptance of Approval</w:t>
      </w:r>
    </w:p>
    <w:p>
      <w:pPr>
        <w:pStyle w:val="yMiscellaneousBody"/>
        <w:ind w:left="570" w:hanging="570"/>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ind w:left="570" w:hanging="570"/>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rPr>
          <w:snapToGrid w:val="0"/>
        </w:rPr>
      </w:pPr>
      <w:r>
        <w:rPr>
          <w:snapToGrid w:val="0"/>
        </w:rPr>
        <w:t>ARTICLE VI</w:t>
      </w:r>
    </w:p>
    <w:p>
      <w:pPr>
        <w:pStyle w:val="yMiscellaneousHeading"/>
        <w:rPr>
          <w:i/>
          <w:snapToGrid w:val="0"/>
        </w:rPr>
      </w:pPr>
      <w:r>
        <w:rPr>
          <w:i/>
          <w:snapToGrid w:val="0"/>
        </w:rPr>
        <w:t>Control</w:t>
      </w:r>
    </w:p>
    <w:p>
      <w:pPr>
        <w:pStyle w:val="yMiscellaneousBody"/>
        <w:ind w:left="570" w:hanging="570"/>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ind w:left="570" w:hanging="570"/>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ind w:left="570" w:hanging="570"/>
        <w:rPr>
          <w:snapToGrid w:val="0"/>
        </w:rPr>
      </w:pPr>
      <w:r>
        <w:rPr>
          <w:snapToGrid w:val="0"/>
        </w:rPr>
        <w:t>2.</w:t>
      </w:r>
      <w:r>
        <w:rPr>
          <w:snapToGrid w:val="0"/>
        </w:rPr>
        <w:tab/>
        <w:t>The present Convention is subject to ratification, acceptance or approval by States which have signed it.</w:t>
      </w:r>
    </w:p>
    <w:p>
      <w:pPr>
        <w:pStyle w:val="yMiscellaneousBody"/>
        <w:ind w:left="570" w:hanging="570"/>
        <w:rPr>
          <w:snapToGrid w:val="0"/>
        </w:rPr>
      </w:pPr>
      <w:r>
        <w:rPr>
          <w:snapToGrid w:val="0"/>
        </w:rPr>
        <w:t>3.</w:t>
      </w:r>
      <w:r>
        <w:rPr>
          <w:snapToGrid w:val="0"/>
        </w:rPr>
        <w:tab/>
        <w:t>The present Convention shall remain open for accession by any State referred to in paragraph 1.</w:t>
      </w:r>
    </w:p>
    <w:p>
      <w:pPr>
        <w:pStyle w:val="yMiscellaneousBody"/>
        <w:ind w:left="570" w:hanging="570"/>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rPr>
          <w:snapToGrid w:val="0"/>
        </w:rPr>
      </w:pPr>
      <w:r>
        <w:rPr>
          <w:snapToGrid w:val="0"/>
        </w:rPr>
        <w:t>ARTICLE VIII</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ind w:left="570" w:hanging="570"/>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ind w:left="570" w:hanging="570"/>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tabs>
          <w:tab w:val="clear" w:pos="1332"/>
          <w:tab w:val="clear" w:pos="1616"/>
          <w:tab w:val="right" w:pos="1026"/>
        </w:tabs>
        <w:ind w:left="1311" w:hanging="1311"/>
        <w:rPr>
          <w:snapToGrid w:val="0"/>
        </w:rPr>
      </w:pPr>
      <w:r>
        <w:rPr>
          <w:snapToGrid w:val="0"/>
        </w:rPr>
        <w:tab/>
        <w:t>(a)</w:t>
      </w:r>
      <w:r>
        <w:rPr>
          <w:snapToGrid w:val="0"/>
        </w:rPr>
        <w:tab/>
        <w:t>be considered as a Party to the Convention as amended; and</w:t>
      </w:r>
    </w:p>
    <w:p>
      <w:pPr>
        <w:pStyle w:val="yIndenta"/>
        <w:tabs>
          <w:tab w:val="clear" w:pos="1332"/>
          <w:tab w:val="clear" w:pos="1616"/>
          <w:tab w:val="right" w:pos="1026"/>
        </w:tabs>
        <w:ind w:left="1311" w:hanging="1311"/>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ind w:left="570" w:hanging="570"/>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ind w:left="570" w:hanging="570"/>
        <w:rPr>
          <w:snapToGrid w:val="0"/>
        </w:rPr>
      </w:pPr>
      <w:r>
        <w:rPr>
          <w:snapToGrid w:val="0"/>
        </w:rPr>
        <w:t>2.</w:t>
      </w:r>
      <w:r>
        <w:rPr>
          <w:snapToGrid w:val="0"/>
        </w:rPr>
        <w:tab/>
        <w:t>Amendment after consideration in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tabs>
          <w:tab w:val="clear" w:pos="1332"/>
          <w:tab w:val="clear" w:pos="1616"/>
          <w:tab w:val="right" w:pos="1026"/>
        </w:tabs>
        <w:ind w:left="1311" w:hanging="1311"/>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tabs>
          <w:tab w:val="clear" w:pos="1332"/>
          <w:tab w:val="clear" w:pos="1616"/>
          <w:tab w:val="right" w:pos="1026"/>
        </w:tabs>
        <w:ind w:left="1311" w:hanging="1311"/>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ind w:left="570" w:hanging="570"/>
        <w:rPr>
          <w:snapToGrid w:val="0"/>
        </w:rPr>
      </w:pPr>
      <w:r>
        <w:rPr>
          <w:snapToGrid w:val="0"/>
        </w:rPr>
        <w:t>3.</w:t>
      </w:r>
      <w:r>
        <w:rPr>
          <w:snapToGrid w:val="0"/>
        </w:rPr>
        <w:tab/>
        <w:t>Amendment by a Conference:</w:t>
      </w:r>
    </w:p>
    <w:p>
      <w:pPr>
        <w:pStyle w:val="yMiscellaneousBody"/>
        <w:ind w:left="570" w:hanging="570"/>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ind w:left="570" w:hanging="570"/>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ind w:left="570" w:hanging="570"/>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ind w:left="570" w:hanging="570"/>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ind w:left="570" w:hanging="570"/>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ind w:left="570" w:hanging="570"/>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rPr>
          <w:snapToGrid w:val="0"/>
        </w:rPr>
      </w:pPr>
      <w:r>
        <w:rPr>
          <w:snapToGrid w:val="0"/>
        </w:rPr>
        <w:t>ARTICLE XIII</w:t>
      </w:r>
    </w:p>
    <w:p>
      <w:pPr>
        <w:pStyle w:val="yMiscellaneousHeading"/>
        <w:rPr>
          <w:i/>
          <w:snapToGrid w:val="0"/>
        </w:rPr>
      </w:pPr>
      <w:r>
        <w:rPr>
          <w:i/>
          <w:snapToGrid w:val="0"/>
        </w:rPr>
        <w:t>Settlement of Disputes</w:t>
      </w:r>
    </w:p>
    <w:p>
      <w:pPr>
        <w:pStyle w:val="yMiscellaneousBody"/>
        <w:ind w:left="570" w:hanging="570"/>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ind w:left="570" w:hanging="570"/>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ind w:left="570" w:hanging="570"/>
        <w:rPr>
          <w:snapToGrid w:val="0"/>
        </w:rPr>
      </w:pPr>
      <w:r>
        <w:rPr>
          <w:snapToGrid w:val="0"/>
        </w:rPr>
        <w:t>3.</w:t>
      </w:r>
      <w:r>
        <w:rPr>
          <w:snapToGrid w:val="0"/>
        </w:rPr>
        <w:tab/>
        <w:t>The arbitration tribunal shall determine its own rules of procedure.</w:t>
      </w:r>
    </w:p>
    <w:p>
      <w:pPr>
        <w:pStyle w:val="yMiscellaneousBody"/>
        <w:ind w:left="570" w:hanging="570"/>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ind w:left="570" w:hanging="570"/>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rPr>
          <w:snapToGrid w:val="0"/>
        </w:rPr>
      </w:pPr>
      <w:r>
        <w:rPr>
          <w:snapToGrid w:val="0"/>
        </w:rPr>
        <w:t>ARTICLE XIV</w:t>
      </w:r>
    </w:p>
    <w:p>
      <w:pPr>
        <w:pStyle w:val="yMiscellaneousHeading"/>
        <w:rPr>
          <w:i/>
          <w:snapToGrid w:val="0"/>
        </w:rPr>
      </w:pPr>
      <w:r>
        <w:rPr>
          <w:i/>
          <w:snapToGrid w:val="0"/>
        </w:rPr>
        <w:t>Reservations</w:t>
      </w:r>
    </w:p>
    <w:p>
      <w:pPr>
        <w:pStyle w:val="yMiscellaneousBody"/>
        <w:ind w:left="570" w:hanging="570"/>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ind w:left="570" w:hanging="570"/>
        <w:rPr>
          <w:snapToGrid w:val="0"/>
        </w:rPr>
      </w:pPr>
      <w:r>
        <w:rPr>
          <w:snapToGrid w:val="0"/>
        </w:rPr>
        <w:t>2.</w:t>
      </w:r>
      <w:r>
        <w:rPr>
          <w:snapToGrid w:val="0"/>
        </w:rPr>
        <w:tab/>
        <w:t>Any reservations made in accordance with paragraph 1:</w:t>
      </w:r>
    </w:p>
    <w:p>
      <w:pPr>
        <w:pStyle w:val="yIndenta"/>
        <w:tabs>
          <w:tab w:val="clear" w:pos="1332"/>
          <w:tab w:val="clear" w:pos="1616"/>
          <w:tab w:val="right" w:pos="1026"/>
        </w:tabs>
        <w:ind w:left="1311" w:hanging="1311"/>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tabs>
          <w:tab w:val="clear" w:pos="1332"/>
          <w:tab w:val="clear" w:pos="1616"/>
          <w:tab w:val="right" w:pos="1026"/>
        </w:tabs>
        <w:ind w:left="1311" w:hanging="1311"/>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ind w:left="570" w:hanging="570"/>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signatures, ratifications, acceptances, approvals and accessions under article VII;</w:t>
      </w:r>
    </w:p>
    <w:p>
      <w:pPr>
        <w:pStyle w:val="yIndenta"/>
        <w:tabs>
          <w:tab w:val="clear" w:pos="1332"/>
          <w:tab w:val="clear" w:pos="1616"/>
          <w:tab w:val="right" w:pos="1026"/>
        </w:tabs>
        <w:ind w:left="1311" w:hanging="1311"/>
        <w:rPr>
          <w:snapToGrid w:val="0"/>
        </w:rPr>
      </w:pPr>
      <w:r>
        <w:rPr>
          <w:snapToGrid w:val="0"/>
        </w:rPr>
        <w:tab/>
        <w:t>(b)</w:t>
      </w:r>
      <w:r>
        <w:rPr>
          <w:snapToGrid w:val="0"/>
        </w:rPr>
        <w:tab/>
        <w:t>the dates of entry into force of the present Convention in accordance with article VIII;</w:t>
      </w:r>
    </w:p>
    <w:p>
      <w:pPr>
        <w:pStyle w:val="yIndenta"/>
        <w:tabs>
          <w:tab w:val="clear" w:pos="1332"/>
          <w:tab w:val="clear" w:pos="1616"/>
          <w:tab w:val="right" w:pos="1026"/>
        </w:tabs>
        <w:ind w:left="1311" w:hanging="1311"/>
        <w:rPr>
          <w:snapToGrid w:val="0"/>
        </w:rPr>
      </w:pPr>
      <w:r>
        <w:rPr>
          <w:snapToGrid w:val="0"/>
        </w:rPr>
        <w:tab/>
        <w:t>(c)</w:t>
      </w:r>
      <w:r>
        <w:rPr>
          <w:snapToGrid w:val="0"/>
        </w:rPr>
        <w:tab/>
        <w:t>the date of entry into force of amendments to the present Convention in accordance with articles IX and X;</w:t>
      </w:r>
    </w:p>
    <w:p>
      <w:pPr>
        <w:pStyle w:val="yIndenta"/>
        <w:tabs>
          <w:tab w:val="clear" w:pos="1332"/>
          <w:tab w:val="clear" w:pos="1616"/>
          <w:tab w:val="right" w:pos="1026"/>
        </w:tabs>
        <w:ind w:left="1311" w:hanging="1311"/>
        <w:rPr>
          <w:snapToGrid w:val="0"/>
        </w:rPr>
      </w:pPr>
      <w:r>
        <w:rPr>
          <w:snapToGrid w:val="0"/>
        </w:rPr>
        <w:tab/>
        <w:t>(d)</w:t>
      </w:r>
      <w:r>
        <w:rPr>
          <w:snapToGrid w:val="0"/>
        </w:rPr>
        <w:tab/>
        <w:t>denunciations under article XI;</w:t>
      </w:r>
    </w:p>
    <w:p>
      <w:pPr>
        <w:pStyle w:val="yIndenta"/>
        <w:tabs>
          <w:tab w:val="clear" w:pos="1332"/>
          <w:tab w:val="clear" w:pos="1616"/>
          <w:tab w:val="right" w:pos="1026"/>
        </w:tabs>
        <w:ind w:left="1311" w:hanging="1311"/>
        <w:rPr>
          <w:snapToGrid w:val="0"/>
        </w:rPr>
      </w:pPr>
      <w:r>
        <w:rPr>
          <w:snapToGrid w:val="0"/>
        </w:rPr>
        <w:tab/>
        <w:t>(e)</w:t>
      </w:r>
      <w:r>
        <w:rPr>
          <w:snapToGrid w:val="0"/>
        </w:rPr>
        <w:tab/>
        <w:t>the termination of the present Convention under article XII.</w:t>
      </w:r>
    </w:p>
    <w:p>
      <w:pPr>
        <w:pStyle w:val="yMiscellaneousHeading"/>
        <w:spacing w:before="30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rPr>
          <w:b/>
          <w:bCs/>
        </w:rPr>
      </w:pPr>
      <w:r>
        <w:rPr>
          <w:b/>
          <w:bCs/>
        </w:rPr>
        <w:t>Regulation 1</w:t>
      </w:r>
    </w:p>
    <w:p>
      <w:pPr>
        <w:pStyle w:val="yMiscellaneousHeading"/>
        <w:rPr>
          <w:i/>
          <w:snapToGrid w:val="0"/>
        </w:rPr>
      </w:pPr>
      <w:r>
        <w:rPr>
          <w:i/>
          <w:snapToGrid w:val="0"/>
        </w:rPr>
        <w:t>Safety Approval Plate</w:t>
      </w:r>
    </w:p>
    <w:p>
      <w:pPr>
        <w:pStyle w:val="yMiscellaneousBody"/>
        <w:spacing w:before="140"/>
        <w:ind w:left="570" w:hanging="570"/>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tabs>
          <w:tab w:val="clear" w:pos="1332"/>
          <w:tab w:val="clear" w:pos="1616"/>
          <w:tab w:val="right" w:pos="1026"/>
        </w:tabs>
        <w:ind w:left="1311" w:hanging="1311"/>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tabs>
          <w:tab w:val="clear" w:pos="1332"/>
          <w:tab w:val="clear" w:pos="1616"/>
          <w:tab w:val="left" w:pos="1311"/>
        </w:tabs>
        <w:ind w:left="1767" w:hanging="1767"/>
        <w:rPr>
          <w:snapToGrid w:val="0"/>
        </w:rPr>
      </w:pPr>
      <w:r>
        <w:rPr>
          <w:snapToGrid w:val="0"/>
        </w:rPr>
        <w:tab/>
        <w:t>“CSC SAFETY APPROVAL”</w:t>
      </w:r>
    </w:p>
    <w:p>
      <w:pPr>
        <w:pStyle w:val="yIndenta"/>
        <w:tabs>
          <w:tab w:val="clear" w:pos="1332"/>
          <w:tab w:val="clear" w:pos="1616"/>
          <w:tab w:val="left" w:pos="1311"/>
        </w:tabs>
        <w:ind w:left="1767" w:hanging="1767"/>
        <w:rPr>
          <w:snapToGrid w:val="0"/>
        </w:rPr>
      </w:pPr>
      <w:r>
        <w:rPr>
          <w:snapToGrid w:val="0"/>
        </w:rPr>
        <w:tab/>
        <w:t>Country of approval and approval reference</w:t>
      </w:r>
    </w:p>
    <w:p>
      <w:pPr>
        <w:pStyle w:val="yIndenta"/>
        <w:tabs>
          <w:tab w:val="clear" w:pos="1332"/>
          <w:tab w:val="clear" w:pos="1616"/>
          <w:tab w:val="left" w:pos="1311"/>
        </w:tabs>
        <w:ind w:left="1767" w:hanging="1767"/>
        <w:rPr>
          <w:snapToGrid w:val="0"/>
        </w:rPr>
      </w:pPr>
      <w:r>
        <w:rPr>
          <w:snapToGrid w:val="0"/>
        </w:rPr>
        <w:tab/>
        <w:t>Date (month and year) of manufacture</w:t>
      </w:r>
    </w:p>
    <w:p>
      <w:pPr>
        <w:pStyle w:val="yIndenta"/>
        <w:tabs>
          <w:tab w:val="clear" w:pos="1332"/>
          <w:tab w:val="clear" w:pos="1616"/>
          <w:tab w:val="left" w:pos="1311"/>
        </w:tabs>
        <w:ind w:left="1767" w:hanging="1767"/>
        <w:rPr>
          <w:snapToGrid w:val="0"/>
        </w:rPr>
      </w:pPr>
      <w:r>
        <w:rPr>
          <w:snapToGrid w:val="0"/>
        </w:rPr>
        <w:tab/>
        <w:t>Manufacturer’s identification number of the container or, in the case of existing containers for which that number is unknown, the number allotted by the Administration</w:t>
      </w:r>
    </w:p>
    <w:p>
      <w:pPr>
        <w:pStyle w:val="yIndenta"/>
        <w:tabs>
          <w:tab w:val="clear" w:pos="1332"/>
          <w:tab w:val="clear" w:pos="1616"/>
          <w:tab w:val="left" w:pos="1311"/>
        </w:tabs>
        <w:ind w:left="1767" w:hanging="1767"/>
        <w:rPr>
          <w:snapToGrid w:val="0"/>
        </w:rPr>
      </w:pPr>
      <w:r>
        <w:rPr>
          <w:snapToGrid w:val="0"/>
        </w:rPr>
        <w:tab/>
        <w:t>Maximum operating gross weight (kilogrammes and lbs)</w:t>
      </w:r>
    </w:p>
    <w:p>
      <w:pPr>
        <w:pStyle w:val="yIndenta"/>
        <w:tabs>
          <w:tab w:val="clear" w:pos="1332"/>
          <w:tab w:val="clear" w:pos="1616"/>
          <w:tab w:val="left" w:pos="1311"/>
        </w:tabs>
        <w:ind w:left="1767" w:hanging="1767"/>
        <w:rPr>
          <w:snapToGrid w:val="0"/>
        </w:rPr>
      </w:pPr>
      <w:r>
        <w:rPr>
          <w:snapToGrid w:val="0"/>
        </w:rPr>
        <w:tab/>
        <w:t>Allowable stacking weight for 1.8 g (kilogrammes and lbs)</w:t>
      </w:r>
    </w:p>
    <w:p>
      <w:pPr>
        <w:pStyle w:val="yIndenta"/>
        <w:tabs>
          <w:tab w:val="clear" w:pos="1332"/>
          <w:tab w:val="clear" w:pos="1616"/>
          <w:tab w:val="left" w:pos="1311"/>
        </w:tabs>
        <w:ind w:left="1767" w:hanging="1767"/>
        <w:rPr>
          <w:snapToGrid w:val="0"/>
        </w:rPr>
      </w:pPr>
      <w:r>
        <w:rPr>
          <w:snapToGrid w:val="0"/>
        </w:rPr>
        <w:tab/>
        <w:t>Transverse racking test load value (kilogrammes and lbs).</w:t>
      </w:r>
    </w:p>
    <w:p>
      <w:pPr>
        <w:pStyle w:val="yIndenta"/>
        <w:tabs>
          <w:tab w:val="clear" w:pos="1332"/>
          <w:tab w:val="clear" w:pos="1616"/>
          <w:tab w:val="right" w:pos="1026"/>
        </w:tabs>
        <w:ind w:left="1311" w:hanging="1311"/>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ind w:left="570" w:hanging="570"/>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ind w:left="570" w:hanging="570"/>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rPr>
          <w:b/>
          <w:snapToGrid w:val="0"/>
        </w:rPr>
      </w:pPr>
      <w:r>
        <w:rPr>
          <w:b/>
          <w:bCs/>
        </w:rPr>
        <w:t>Regulation</w:t>
      </w:r>
      <w:r>
        <w:rPr>
          <w:b/>
          <w:snapToGrid w:val="0"/>
        </w:rPr>
        <w:t> 2</w:t>
      </w:r>
    </w:p>
    <w:p>
      <w:pPr>
        <w:pStyle w:val="yMiscellaneousHeading"/>
        <w:rPr>
          <w:i/>
          <w:snapToGrid w:val="0"/>
        </w:rPr>
      </w:pPr>
      <w:r>
        <w:rPr>
          <w:i/>
          <w:snapToGrid w:val="0"/>
        </w:rPr>
        <w:t>Maintenance</w:t>
      </w:r>
    </w:p>
    <w:p>
      <w:pPr>
        <w:pStyle w:val="yMiscellaneousBody"/>
        <w:ind w:left="570" w:hanging="570"/>
        <w:rPr>
          <w:snapToGrid w:val="0"/>
        </w:rPr>
      </w:pPr>
      <w:r>
        <w:rPr>
          <w:snapToGrid w:val="0"/>
        </w:rPr>
        <w:t>1.</w:t>
      </w:r>
      <w:r>
        <w:rPr>
          <w:snapToGrid w:val="0"/>
        </w:rPr>
        <w:tab/>
        <w:t>The owner of the container shall be responsible for maintaining it in safe condition.</w:t>
      </w:r>
    </w:p>
    <w:p>
      <w:pPr>
        <w:pStyle w:val="yMiscellaneousBody"/>
        <w:ind w:left="570" w:hanging="570"/>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ind w:left="570" w:hanging="570"/>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ind w:left="570" w:hanging="570"/>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ind w:left="570" w:hanging="570"/>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rPr>
          <w:b/>
          <w:snapToGrid w:val="0"/>
        </w:rPr>
      </w:pPr>
      <w:r>
        <w:rPr>
          <w:b/>
          <w:bCs/>
        </w:rPr>
        <w:t>Regulation</w:t>
      </w:r>
      <w:r>
        <w:rPr>
          <w:b/>
          <w:snapToGrid w:val="0"/>
        </w:rPr>
        <w:t>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rPr>
          <w:b/>
          <w:snapToGrid w:val="0"/>
        </w:rPr>
      </w:pPr>
      <w:r>
        <w:rPr>
          <w:b/>
          <w:bCs/>
        </w:rPr>
        <w:t>Regulation</w:t>
      </w:r>
      <w:r>
        <w:rPr>
          <w:b/>
          <w:snapToGrid w:val="0"/>
        </w:rPr>
        <w:t>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rPr>
          <w:snapToGrid w:val="0"/>
        </w:rPr>
      </w:pPr>
      <w:r>
        <w:rPr>
          <w:b/>
          <w:bCs/>
        </w:rPr>
        <w:t>Regulation</w:t>
      </w:r>
      <w:r>
        <w:rPr>
          <w:b/>
          <w:snapToGrid w:val="0"/>
        </w:rPr>
        <w:t> 5</w:t>
      </w:r>
    </w:p>
    <w:p>
      <w:pPr>
        <w:pStyle w:val="yMiscellaneousHeading"/>
        <w:rPr>
          <w:i/>
          <w:snapToGrid w:val="0"/>
        </w:rPr>
      </w:pPr>
      <w:r>
        <w:rPr>
          <w:i/>
          <w:snapToGrid w:val="0"/>
        </w:rPr>
        <w:t>Provisions for Approval by Design Type</w:t>
      </w:r>
    </w:p>
    <w:p>
      <w:pPr>
        <w:pStyle w:val="yMiscellaneousBody"/>
        <w:ind w:left="570" w:hanging="570"/>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ind w:left="570" w:hanging="570"/>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keepNext/>
        <w:ind w:left="570" w:hanging="570"/>
        <w:rPr>
          <w:snapToGrid w:val="0"/>
        </w:rPr>
      </w:pPr>
      <w:r>
        <w:rPr>
          <w:snapToGrid w:val="0"/>
        </w:rPr>
        <w:t>3.</w:t>
      </w:r>
      <w:r>
        <w:rPr>
          <w:snapToGrid w:val="0"/>
        </w:rPr>
        <w:tab/>
        <w:t>The application shall also be accompanied by an assurance from the manufacturer that he will:</w:t>
      </w:r>
    </w:p>
    <w:p>
      <w:pPr>
        <w:pStyle w:val="yIndenta"/>
        <w:tabs>
          <w:tab w:val="clear" w:pos="1332"/>
          <w:tab w:val="clear" w:pos="1616"/>
          <w:tab w:val="right" w:pos="1026"/>
        </w:tabs>
        <w:ind w:left="1311" w:hanging="1311"/>
        <w:rPr>
          <w:snapToGrid w:val="0"/>
        </w:rPr>
      </w:pPr>
      <w:r>
        <w:rPr>
          <w:snapToGrid w:val="0"/>
        </w:rPr>
        <w:tab/>
        <w:t>(a)</w:t>
      </w:r>
      <w:r>
        <w:rPr>
          <w:snapToGrid w:val="0"/>
        </w:rPr>
        <w:tab/>
        <w:t>produce to the Administration such containers of the design type concerned as the Administration may wish to examine;</w:t>
      </w:r>
    </w:p>
    <w:p>
      <w:pPr>
        <w:pStyle w:val="yIndenta"/>
        <w:tabs>
          <w:tab w:val="clear" w:pos="1332"/>
          <w:tab w:val="clear" w:pos="1616"/>
          <w:tab w:val="right" w:pos="1026"/>
        </w:tabs>
        <w:ind w:left="1311" w:hanging="1311"/>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tabs>
          <w:tab w:val="clear" w:pos="1332"/>
          <w:tab w:val="clear" w:pos="1616"/>
          <w:tab w:val="right" w:pos="1026"/>
        </w:tabs>
        <w:ind w:left="1311" w:hanging="1311"/>
        <w:rPr>
          <w:snapToGrid w:val="0"/>
        </w:rPr>
      </w:pPr>
      <w:r>
        <w:rPr>
          <w:snapToGrid w:val="0"/>
        </w:rPr>
        <w:tab/>
        <w:t>(c)</w:t>
      </w:r>
      <w:r>
        <w:rPr>
          <w:snapToGrid w:val="0"/>
        </w:rPr>
        <w:tab/>
        <w:t>affix the Safety Approval Plate to each container in the design type series and to no others;</w:t>
      </w:r>
    </w:p>
    <w:p>
      <w:pPr>
        <w:pStyle w:val="yIndenta"/>
        <w:tabs>
          <w:tab w:val="clear" w:pos="1332"/>
          <w:tab w:val="clear" w:pos="1616"/>
          <w:tab w:val="right" w:pos="1026"/>
        </w:tabs>
        <w:ind w:left="1311" w:hanging="1311"/>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ind w:left="570" w:hanging="570"/>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ind w:left="570" w:hanging="570"/>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rPr>
          <w:b/>
          <w:snapToGrid w:val="0"/>
        </w:rPr>
      </w:pPr>
      <w:r>
        <w:rPr>
          <w:b/>
          <w:bCs/>
        </w:rPr>
        <w:t>Regulation</w:t>
      </w:r>
      <w:r>
        <w:rPr>
          <w:b/>
          <w:snapToGrid w:val="0"/>
        </w:rPr>
        <w:t>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rPr>
          <w:snapToGrid w:val="0"/>
        </w:rPr>
      </w:pPr>
      <w:r>
        <w:rPr>
          <w:b/>
          <w:bCs/>
        </w:rPr>
        <w:t>Regulation</w:t>
      </w:r>
      <w:r>
        <w:rPr>
          <w:b/>
          <w:snapToGrid w:val="0"/>
        </w:rPr>
        <w:t>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rPr>
          <w:b/>
          <w:snapToGrid w:val="0"/>
        </w:rPr>
      </w:pPr>
      <w:r>
        <w:rPr>
          <w:b/>
          <w:bCs/>
        </w:rPr>
        <w:t>Regulation</w:t>
      </w:r>
      <w:r>
        <w:rPr>
          <w:b/>
          <w:snapToGrid w:val="0"/>
        </w:rPr>
        <w:t>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rPr>
          <w:b/>
          <w:snapToGrid w:val="0"/>
        </w:rPr>
      </w:pPr>
      <w:r>
        <w:rPr>
          <w:b/>
          <w:bCs/>
        </w:rPr>
        <w:t>Regulation</w:t>
      </w:r>
      <w:r>
        <w:rPr>
          <w:b/>
          <w:snapToGrid w:val="0"/>
        </w:rPr>
        <w:t> 9</w:t>
      </w:r>
    </w:p>
    <w:p>
      <w:pPr>
        <w:pStyle w:val="yMiscellaneousHeading"/>
        <w:rPr>
          <w:i/>
          <w:snapToGrid w:val="0"/>
        </w:rPr>
      </w:pPr>
      <w:r>
        <w:rPr>
          <w:i/>
          <w:snapToGrid w:val="0"/>
        </w:rPr>
        <w:t>Approval of Existing Containers</w:t>
      </w:r>
    </w:p>
    <w:p>
      <w:pPr>
        <w:pStyle w:val="yMiscellaneousBody"/>
        <w:ind w:left="570" w:hanging="570"/>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tabs>
          <w:tab w:val="clear" w:pos="1332"/>
          <w:tab w:val="clear" w:pos="1616"/>
          <w:tab w:val="right" w:pos="1026"/>
        </w:tabs>
        <w:ind w:left="1311" w:hanging="1311"/>
        <w:rPr>
          <w:snapToGrid w:val="0"/>
        </w:rPr>
      </w:pPr>
      <w:r>
        <w:rPr>
          <w:snapToGrid w:val="0"/>
        </w:rPr>
        <w:tab/>
        <w:t>(a)</w:t>
      </w:r>
      <w:r>
        <w:rPr>
          <w:snapToGrid w:val="0"/>
        </w:rPr>
        <w:tab/>
        <w:t>date and place of manufacture;</w:t>
      </w:r>
    </w:p>
    <w:p>
      <w:pPr>
        <w:pStyle w:val="yIndenta"/>
        <w:tabs>
          <w:tab w:val="clear" w:pos="1332"/>
          <w:tab w:val="clear" w:pos="1616"/>
          <w:tab w:val="right" w:pos="1026"/>
        </w:tabs>
        <w:ind w:left="1311" w:hanging="1311"/>
        <w:rPr>
          <w:snapToGrid w:val="0"/>
        </w:rPr>
      </w:pPr>
      <w:r>
        <w:rPr>
          <w:snapToGrid w:val="0"/>
        </w:rPr>
        <w:tab/>
        <w:t>(b)</w:t>
      </w:r>
      <w:r>
        <w:rPr>
          <w:snapToGrid w:val="0"/>
        </w:rPr>
        <w:tab/>
        <w:t>manufacturer’s identification number of the container if available;</w:t>
      </w:r>
    </w:p>
    <w:p>
      <w:pPr>
        <w:pStyle w:val="yIndenta"/>
        <w:tabs>
          <w:tab w:val="clear" w:pos="1332"/>
          <w:tab w:val="clear" w:pos="1616"/>
          <w:tab w:val="right" w:pos="1026"/>
        </w:tabs>
        <w:ind w:left="1311" w:hanging="1311"/>
        <w:rPr>
          <w:snapToGrid w:val="0"/>
        </w:rPr>
      </w:pPr>
      <w:r>
        <w:rPr>
          <w:snapToGrid w:val="0"/>
        </w:rPr>
        <w:tab/>
        <w:t>(c)</w:t>
      </w:r>
      <w:r>
        <w:rPr>
          <w:snapToGrid w:val="0"/>
        </w:rPr>
        <w:tab/>
        <w:t>maximum operating gross weight capability;</w:t>
      </w:r>
    </w:p>
    <w:p>
      <w:pPr>
        <w:pStyle w:val="yIndenta"/>
        <w:tabs>
          <w:tab w:val="clear" w:pos="1332"/>
          <w:tab w:val="clear" w:pos="1616"/>
          <w:tab w:val="right" w:pos="1026"/>
          <w:tab w:val="right" w:pos="1710"/>
        </w:tabs>
        <w:ind w:left="1995" w:hanging="1995"/>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tabs>
          <w:tab w:val="clear" w:pos="2041"/>
          <w:tab w:val="clear" w:pos="2325"/>
          <w:tab w:val="right" w:pos="1710"/>
        </w:tabs>
        <w:ind w:left="1995" w:hanging="1995"/>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tabs>
          <w:tab w:val="clear" w:pos="2041"/>
          <w:tab w:val="clear" w:pos="2325"/>
          <w:tab w:val="right" w:pos="1710"/>
        </w:tabs>
        <w:ind w:left="1995" w:hanging="1995"/>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tabs>
          <w:tab w:val="clear" w:pos="1332"/>
          <w:tab w:val="clear" w:pos="1616"/>
          <w:tab w:val="right" w:pos="1026"/>
        </w:tabs>
        <w:ind w:left="1311" w:hanging="1311"/>
        <w:rPr>
          <w:snapToGrid w:val="0"/>
        </w:rPr>
      </w:pPr>
      <w:r>
        <w:rPr>
          <w:snapToGrid w:val="0"/>
        </w:rPr>
        <w:tab/>
        <w:t>(e)</w:t>
      </w:r>
      <w:r>
        <w:rPr>
          <w:snapToGrid w:val="0"/>
        </w:rPr>
        <w:tab/>
        <w:t>allowable stacking weight for 1.8 g (kilogrammes and lbs); and</w:t>
      </w:r>
    </w:p>
    <w:p>
      <w:pPr>
        <w:pStyle w:val="yIndenta"/>
        <w:tabs>
          <w:tab w:val="clear" w:pos="1332"/>
          <w:tab w:val="clear" w:pos="1616"/>
          <w:tab w:val="right" w:pos="1026"/>
        </w:tabs>
        <w:ind w:left="1311" w:hanging="1311"/>
        <w:rPr>
          <w:snapToGrid w:val="0"/>
        </w:rPr>
      </w:pPr>
      <w:r>
        <w:rPr>
          <w:snapToGrid w:val="0"/>
        </w:rPr>
        <w:tab/>
        <w:t>(f)</w:t>
      </w:r>
      <w:r>
        <w:rPr>
          <w:snapToGrid w:val="0"/>
        </w:rPr>
        <w:tab/>
        <w:t>such other data as required for the Safety Approval Plate,</w:t>
      </w:r>
    </w:p>
    <w:p>
      <w:pPr>
        <w:pStyle w:val="yMiscellaneousBody"/>
        <w:ind w:left="570" w:hanging="570"/>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ind w:left="570" w:hanging="570"/>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NAm"/>
              <w:spacing w:before="0"/>
              <w:jc w:val="center"/>
            </w:pPr>
            <w:r>
              <w:t>CSC SAFETY APPROVAL</w:t>
            </w:r>
          </w:p>
          <w:p>
            <w:pPr>
              <w:pStyle w:val="yTableNAm"/>
              <w:spacing w:before="0"/>
              <w:rPr>
                <w:sz w:val="16"/>
              </w:rPr>
            </w:pPr>
            <w:r>
              <w:rPr>
                <w:sz w:val="16"/>
              </w:rPr>
              <w:t xml:space="preserve">1 . . . . . . . . [GB </w:t>
            </w:r>
            <w:r>
              <w:rPr>
                <w:sz w:val="16"/>
              </w:rPr>
              <w:noBreakHyphen/>
              <w:t xml:space="preserve"> L/749/2/7/75]</w:t>
            </w:r>
          </w:p>
          <w:p>
            <w:pPr>
              <w:pStyle w:val="yTableNAm"/>
              <w:spacing w:before="0"/>
              <w:rPr>
                <w:sz w:val="16"/>
              </w:rPr>
            </w:pPr>
            <w:r>
              <w:rPr>
                <w:sz w:val="16"/>
              </w:rPr>
              <w:t>2 . . . . . . . . DATE MANUFACTURED . . . . . . . . . . . . . . . . . . . . . . . . . . . .</w:t>
            </w:r>
          </w:p>
          <w:p>
            <w:pPr>
              <w:pStyle w:val="yTableNAm"/>
              <w:spacing w:before="0"/>
              <w:rPr>
                <w:sz w:val="16"/>
              </w:rPr>
            </w:pPr>
            <w:r>
              <w:rPr>
                <w:sz w:val="16"/>
              </w:rPr>
              <w:t>3 . . . . . . . . IDENTIFICATION No. . . . . . . . . . . . . . . . . . . . . . . . . . . . . . . .</w:t>
            </w:r>
          </w:p>
          <w:p>
            <w:pPr>
              <w:pStyle w:val="yTableNAm"/>
              <w:spacing w:before="0"/>
              <w:rPr>
                <w:sz w:val="16"/>
              </w:rPr>
            </w:pPr>
            <w:r>
              <w:rPr>
                <w:sz w:val="16"/>
              </w:rPr>
              <w:t>4 . . . . . . . . MAXIMUM GROSS WEIGHT. . . . .  . . . kg  . . . . . . . . . . . . lb</w:t>
            </w:r>
          </w:p>
          <w:p>
            <w:pPr>
              <w:pStyle w:val="yTableNAm"/>
              <w:spacing w:before="0"/>
              <w:rPr>
                <w:sz w:val="16"/>
              </w:rPr>
            </w:pPr>
            <w:r>
              <w:rPr>
                <w:sz w:val="16"/>
              </w:rPr>
              <w:t>5 . . . . . . . . ALLOWABLE STACKING WEIGHT . . . FOR 1.8 g. .kg . . lb</w:t>
            </w:r>
          </w:p>
          <w:p>
            <w:pPr>
              <w:pStyle w:val="yTableNAm"/>
              <w:spacing w:before="0"/>
              <w:rPr>
                <w:sz w:val="16"/>
              </w:rPr>
            </w:pPr>
            <w:r>
              <w:rPr>
                <w:sz w:val="16"/>
              </w:rPr>
              <w:t>6 . . . . . . . . RACKING TEST LOAD VALUE . . . . . . . . kg . . . . . . . . . . . lb</w:t>
            </w:r>
          </w:p>
          <w:p>
            <w:pPr>
              <w:pStyle w:val="yTableNAm"/>
              <w:spacing w:before="0"/>
              <w:rPr>
                <w:sz w:val="16"/>
              </w:rPr>
            </w:pPr>
            <w:r>
              <w:rPr>
                <w:sz w:val="16"/>
              </w:rPr>
              <w:t>7 . . . . . . . .</w:t>
            </w:r>
          </w:p>
          <w:p>
            <w:pPr>
              <w:pStyle w:val="yTableNAm"/>
              <w:spacing w:before="0"/>
              <w:rPr>
                <w:sz w:val="16"/>
              </w:rPr>
            </w:pPr>
            <w:r>
              <w:rPr>
                <w:sz w:val="16"/>
              </w:rPr>
              <w:t>8 . . . . . . . .</w:t>
            </w:r>
          </w:p>
          <w:p>
            <w:pPr>
              <w:pStyle w:val="yTableNAm"/>
              <w:spacing w:before="0"/>
              <w:rPr>
                <w:sz w:val="16"/>
              </w:rPr>
            </w:pPr>
            <w:r>
              <w:rPr>
                <w:sz w:val="16"/>
              </w:rPr>
              <w:t>9 . . . . . . . .</w:t>
            </w:r>
          </w:p>
        </w:tc>
        <w:tc>
          <w:tcPr>
            <w:tcW w:w="567" w:type="dxa"/>
            <w:tcBorders>
              <w:top w:val="single" w:sz="4" w:space="0" w:color="auto"/>
              <w:left w:val="nil"/>
              <w:bottom w:val="nil"/>
            </w:tcBorders>
          </w:tcPr>
          <w:p>
            <w:pPr>
              <w:pStyle w:val="yTableNAm"/>
              <w:spacing w:before="0"/>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03.5pt" fillcolor="window">
                  <v:imagedata r:id="rId20" o:title=""/>
                </v:shape>
              </w:pict>
            </w:r>
          </w:p>
        </w:tc>
      </w:tr>
      <w:tr>
        <w:trPr>
          <w:cantSplit/>
        </w:trPr>
        <w:tc>
          <w:tcPr>
            <w:tcW w:w="6237" w:type="dxa"/>
            <w:gridSpan w:val="2"/>
            <w:tcBorders>
              <w:top w:val="nil"/>
              <w:bottom w:val="single" w:sz="4" w:space="0" w:color="auto"/>
            </w:tcBorders>
          </w:tcPr>
          <w:p>
            <w:pPr>
              <w:pStyle w:val="yTableNAm"/>
              <w:spacing w:before="0"/>
              <w:rPr>
                <w:sz w:val="16"/>
              </w:rPr>
            </w:pPr>
            <w:r>
              <w:rPr>
                <w:noProof/>
                <w:sz w:val="16"/>
              </w:rPr>
              <w:drawing>
                <wp:inline distT="0" distB="0" distL="0" distR="0">
                  <wp:extent cx="1654175" cy="79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4175" cy="79375"/>
                          </a:xfrm>
                          <a:prstGeom prst="rect">
                            <a:avLst/>
                          </a:prstGeom>
                          <a:noFill/>
                          <a:ln>
                            <a:noFill/>
                          </a:ln>
                        </pic:spPr>
                      </pic:pic>
                    </a:graphicData>
                  </a:graphic>
                </wp:inline>
              </w:drawing>
            </w:r>
            <w:r>
              <w:rPr>
                <w:sz w:val="16"/>
              </w:rPr>
              <w:t xml:space="preserve">  ≥ 200 mm  </w:t>
            </w:r>
            <w:r>
              <w:rPr>
                <w:noProof/>
                <w:sz w:val="16"/>
              </w:rPr>
              <w:drawing>
                <wp:inline distT="0" distB="0" distL="0" distR="0">
                  <wp:extent cx="1566545"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6545" cy="79375"/>
                          </a:xfrm>
                          <a:prstGeom prst="rect">
                            <a:avLst/>
                          </a:prstGeom>
                          <a:noFill/>
                          <a:ln>
                            <a:noFill/>
                          </a:ln>
                        </pic:spPr>
                      </pic:pic>
                    </a:graphicData>
                  </a:graphic>
                </wp:inline>
              </w:drawing>
            </w:r>
          </w:p>
        </w:tc>
      </w:tr>
    </w:tbl>
    <w:p>
      <w:pPr>
        <w:pStyle w:val="yMiscellaneousBody"/>
        <w:ind w:left="570" w:hanging="570"/>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ind w:left="570" w:hanging="570"/>
        <w:rPr>
          <w:snapToGrid w:val="0"/>
        </w:rPr>
      </w:pPr>
      <w:r>
        <w:rPr>
          <w:snapToGrid w:val="0"/>
        </w:rPr>
        <w:t>2.</w:t>
      </w:r>
      <w:r>
        <w:rPr>
          <w:snapToGrid w:val="0"/>
        </w:rPr>
        <w:tab/>
        <w:t>Date (month and year) of manufacture.</w:t>
      </w:r>
    </w:p>
    <w:p>
      <w:pPr>
        <w:pStyle w:val="yMiscellaneousBody"/>
        <w:ind w:left="570" w:hanging="570"/>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ind w:left="570" w:hanging="570"/>
        <w:rPr>
          <w:snapToGrid w:val="0"/>
        </w:rPr>
      </w:pPr>
      <w:r>
        <w:rPr>
          <w:snapToGrid w:val="0"/>
        </w:rPr>
        <w:t>4.</w:t>
      </w:r>
      <w:r>
        <w:rPr>
          <w:snapToGrid w:val="0"/>
        </w:rPr>
        <w:tab/>
        <w:t>Maximum Operating Gross Weight (kilogrammes and lbs.).</w:t>
      </w:r>
    </w:p>
    <w:p>
      <w:pPr>
        <w:pStyle w:val="yMiscellaneousBody"/>
        <w:ind w:left="570" w:hanging="570"/>
        <w:rPr>
          <w:snapToGrid w:val="0"/>
        </w:rPr>
      </w:pPr>
      <w:r>
        <w:rPr>
          <w:snapToGrid w:val="0"/>
        </w:rPr>
        <w:t>5.</w:t>
      </w:r>
      <w:r>
        <w:rPr>
          <w:snapToGrid w:val="0"/>
        </w:rPr>
        <w:tab/>
        <w:t>Allowable Stacking Weight for 1.8 g (kilogrammes and lbs.).</w:t>
      </w:r>
    </w:p>
    <w:p>
      <w:pPr>
        <w:pStyle w:val="yMiscellaneousBody"/>
        <w:ind w:left="570" w:hanging="570"/>
        <w:rPr>
          <w:snapToGrid w:val="0"/>
        </w:rPr>
      </w:pPr>
      <w:r>
        <w:rPr>
          <w:snapToGrid w:val="0"/>
        </w:rPr>
        <w:t>6.</w:t>
      </w:r>
      <w:r>
        <w:rPr>
          <w:snapToGrid w:val="0"/>
        </w:rPr>
        <w:tab/>
        <w:t>Transverse Racking Test Load Value (kilogrammes and lbs.).</w:t>
      </w:r>
    </w:p>
    <w:p>
      <w:pPr>
        <w:pStyle w:val="yMiscellaneousBody"/>
        <w:ind w:left="570" w:hanging="570"/>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ind w:left="570" w:hanging="570"/>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ind w:left="570" w:hanging="570"/>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rPr>
          <w:b/>
          <w:bCs/>
        </w:rPr>
      </w:pPr>
      <w:r>
        <w:rPr>
          <w:b/>
          <w:bCs/>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tabs>
          <w:tab w:val="clear" w:pos="1332"/>
          <w:tab w:val="clear" w:pos="1616"/>
          <w:tab w:val="right" w:pos="1026"/>
        </w:tabs>
        <w:ind w:left="1311" w:hanging="1311"/>
        <w:rPr>
          <w:snapToGrid w:val="0"/>
        </w:rPr>
      </w:pPr>
      <w:r>
        <w:rPr>
          <w:snapToGrid w:val="0"/>
        </w:rPr>
        <w:tab/>
        <w:t>(a)</w:t>
      </w:r>
      <w:r>
        <w:rPr>
          <w:snapToGrid w:val="0"/>
        </w:rPr>
        <w:tab/>
        <w:t>the container will so be restrained that it is not subjected to forces in excess of those for which it has been designed;</w:t>
      </w:r>
    </w:p>
    <w:p>
      <w:pPr>
        <w:pStyle w:val="yIndenta"/>
        <w:tabs>
          <w:tab w:val="clear" w:pos="1332"/>
          <w:tab w:val="clear" w:pos="1616"/>
          <w:tab w:val="right" w:pos="1026"/>
        </w:tabs>
        <w:ind w:left="1311" w:hanging="1311"/>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rPr>
          <w:b/>
          <w:snapToGrid w:val="0"/>
        </w:rPr>
      </w:pPr>
      <w:r>
        <w:rPr>
          <w:b/>
          <w:bCs/>
        </w:rPr>
        <w:t>Construction</w:t>
      </w:r>
    </w:p>
    <w:p>
      <w:pPr>
        <w:pStyle w:val="yMiscellaneousBody"/>
        <w:ind w:left="570" w:hanging="570"/>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ind w:left="570" w:hanging="570"/>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ind w:left="570" w:hanging="570"/>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jc w:val="left"/>
        <w:rPr>
          <w:b/>
          <w:snapToGrid w:val="0"/>
        </w:rPr>
      </w:pPr>
      <w:r>
        <w:rPr>
          <w:b/>
          <w:snapToGrid w:val="0"/>
        </w:rPr>
        <w:t xml:space="preserve">Test loads and </w:t>
      </w:r>
      <w:r>
        <w:rPr>
          <w:b/>
          <w:bCs/>
        </w:rPr>
        <w:t>test</w:t>
      </w:r>
      <w:r>
        <w:rPr>
          <w:b/>
          <w:snapToGrid w:val="0"/>
        </w:rPr>
        <w:t xml:space="preserve">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64"/>
        <w:gridCol w:w="13"/>
        <w:gridCol w:w="4253"/>
      </w:tblGrid>
      <w:tr>
        <w:trPr>
          <w:tblHeader/>
        </w:trPr>
        <w:tc>
          <w:tcPr>
            <w:tcW w:w="2964" w:type="dxa"/>
            <w:tcBorders>
              <w:top w:val="single" w:sz="4" w:space="0" w:color="auto"/>
              <w:bottom w:val="single" w:sz="4" w:space="0" w:color="auto"/>
              <w:right w:val="single" w:sz="4" w:space="0" w:color="auto"/>
            </w:tcBorders>
          </w:tcPr>
          <w:p>
            <w:pPr>
              <w:pStyle w:val="yTableNAm"/>
              <w:ind w:right="-84"/>
              <w:rPr>
                <w:b/>
                <w:sz w:val="20"/>
              </w:rPr>
            </w:pPr>
            <w:r>
              <w:rPr>
                <w:b/>
                <w:sz w:val="20"/>
              </w:rPr>
              <w:t>Test loadings and applied forces</w:t>
            </w:r>
          </w:p>
        </w:tc>
        <w:tc>
          <w:tcPr>
            <w:tcW w:w="4266" w:type="dxa"/>
            <w:gridSpan w:val="2"/>
            <w:tcBorders>
              <w:top w:val="single" w:sz="4" w:space="0" w:color="auto"/>
              <w:left w:val="nil"/>
              <w:bottom w:val="single" w:sz="4" w:space="0" w:color="auto"/>
            </w:tcBorders>
          </w:tcPr>
          <w:p>
            <w:pPr>
              <w:pStyle w:val="yTableNAm"/>
              <w:rPr>
                <w:b/>
                <w:sz w:val="20"/>
              </w:rPr>
            </w:pPr>
            <w:r>
              <w:rPr>
                <w:b/>
                <w:sz w:val="20"/>
              </w:rPr>
              <w:t>Test procedures</w:t>
            </w:r>
          </w:p>
        </w:tc>
      </w:tr>
      <w:tr>
        <w:trPr>
          <w:cantSplit/>
        </w:trPr>
        <w:tc>
          <w:tcPr>
            <w:tcW w:w="7230" w:type="dxa"/>
            <w:gridSpan w:val="3"/>
          </w:tcPr>
          <w:p>
            <w:pPr>
              <w:pStyle w:val="yTableNAm"/>
              <w:jc w:val="center"/>
              <w:rPr>
                <w:sz w:val="20"/>
              </w:rPr>
            </w:pPr>
            <w:r>
              <w:rPr>
                <w:sz w:val="20"/>
              </w:rPr>
              <w:t>1. LIFTING</w:t>
            </w:r>
          </w:p>
          <w:p>
            <w:pPr>
              <w:pStyle w:val="yTableNAm"/>
              <w:rPr>
                <w:sz w:val="20"/>
              </w:rPr>
            </w:pPr>
            <w:r>
              <w:rPr>
                <w:snapToGrid w:val="0"/>
                <w:sz w:val="2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3"/>
          </w:tcPr>
          <w:p>
            <w:pPr>
              <w:pStyle w:val="yTableNAm"/>
              <w:jc w:val="center"/>
              <w:rPr>
                <w:b/>
                <w:snapToGrid w:val="0"/>
                <w:sz w:val="20"/>
              </w:rPr>
            </w:pPr>
            <w:r>
              <w:rPr>
                <w:b/>
                <w:snapToGrid w:val="0"/>
                <w:sz w:val="20"/>
              </w:rPr>
              <w:t>(A) Lifting from corner fittings</w:t>
            </w:r>
          </w:p>
        </w:tc>
      </w:tr>
      <w:tr>
        <w:trPr>
          <w:cantSplit/>
        </w:trPr>
        <w:tc>
          <w:tcPr>
            <w:tcW w:w="2964" w:type="dxa"/>
            <w:tcBorders>
              <w:right w:val="single" w:sz="4" w:space="0" w:color="auto"/>
            </w:tcBorders>
          </w:tcPr>
          <w:p>
            <w:pPr>
              <w:pStyle w:val="yTableNAm"/>
              <w:rPr>
                <w:sz w:val="20"/>
              </w:rPr>
            </w:pPr>
            <w:r>
              <w:rPr>
                <w:sz w:val="20"/>
              </w:rPr>
              <w:t>Internal loading:</w:t>
            </w:r>
          </w:p>
        </w:tc>
        <w:tc>
          <w:tcPr>
            <w:tcW w:w="4266" w:type="dxa"/>
            <w:gridSpan w:val="2"/>
            <w:tcBorders>
              <w:left w:val="nil"/>
            </w:tcBorders>
          </w:tcPr>
          <w:p>
            <w:pPr>
              <w:pStyle w:val="yTableNAm"/>
              <w:rPr>
                <w:sz w:val="20"/>
              </w:rPr>
            </w:pPr>
            <w:r>
              <w:rPr>
                <w:sz w:val="20"/>
              </w:rPr>
              <w:t>(i)</w:t>
            </w:r>
            <w:r>
              <w:rPr>
                <w:sz w:val="20"/>
              </w:rPr>
              <w:tab/>
              <w:t>Lifting from top corner fittings:</w:t>
            </w:r>
          </w:p>
        </w:tc>
      </w:tr>
      <w:tr>
        <w:trPr>
          <w:cantSplit/>
        </w:trPr>
        <w:tc>
          <w:tcPr>
            <w:tcW w:w="2964" w:type="dxa"/>
            <w:tcBorders>
              <w:right w:val="single" w:sz="4" w:space="0" w:color="auto"/>
            </w:tcBorders>
          </w:tcPr>
          <w:p>
            <w:pPr>
              <w:pStyle w:val="yTableNAm"/>
              <w:rPr>
                <w:sz w:val="20"/>
              </w:rPr>
            </w:pPr>
            <w:r>
              <w:rPr>
                <w:sz w:val="20"/>
              </w:rPr>
              <w:t>A uniformly distributed load such that the combined weight of container and test load is equal to 2R.</w:t>
            </w:r>
          </w:p>
        </w:tc>
        <w:tc>
          <w:tcPr>
            <w:tcW w:w="4266" w:type="dxa"/>
            <w:gridSpan w:val="2"/>
            <w:tcBorders>
              <w:left w:val="nil"/>
            </w:tcBorders>
          </w:tcPr>
          <w:p>
            <w:pPr>
              <w:pStyle w:val="yTableNAm"/>
              <w:ind w:left="567" w:hanging="567"/>
              <w:rPr>
                <w:sz w:val="20"/>
              </w:rPr>
            </w:pPr>
            <w:r>
              <w:rPr>
                <w:sz w:val="20"/>
              </w:rPr>
              <w:tab/>
              <w:t>Containers greater than 3,000 mm (10 ft.) (nominal) in length shall have lifting forces applied vertically at all four top corner fittings.</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Containers of 3,000 mm (10 ft.) (nominal) in length or less shall have lifting forces applied at all four top corner fittings, in such a way that the angle between each lifting device and the vertical shall be 30°.</w:t>
            </w:r>
          </w:p>
        </w:tc>
      </w:tr>
      <w:tr>
        <w:trPr>
          <w:cantSplit/>
        </w:trPr>
        <w:tc>
          <w:tcPr>
            <w:tcW w:w="2964" w:type="dxa"/>
            <w:tcBorders>
              <w:right w:val="single" w:sz="4" w:space="0" w:color="auto"/>
            </w:tcBorders>
          </w:tcPr>
          <w:p>
            <w:pPr>
              <w:pStyle w:val="yTableNAm"/>
              <w:keepNext/>
              <w:rPr>
                <w:sz w:val="20"/>
              </w:rPr>
            </w:pPr>
            <w:r>
              <w:rPr>
                <w:sz w:val="20"/>
              </w:rPr>
              <w:t>Externally applied forces:</w:t>
            </w:r>
          </w:p>
        </w:tc>
        <w:tc>
          <w:tcPr>
            <w:tcW w:w="4266" w:type="dxa"/>
            <w:gridSpan w:val="2"/>
            <w:tcBorders>
              <w:left w:val="nil"/>
            </w:tcBorders>
          </w:tcPr>
          <w:p>
            <w:pPr>
              <w:pStyle w:val="yTableNAm"/>
              <w:keepNext/>
              <w:rPr>
                <w:sz w:val="20"/>
              </w:rPr>
            </w:pPr>
            <w:r>
              <w:rPr>
                <w:sz w:val="20"/>
              </w:rPr>
              <w:t>(ii)</w:t>
            </w:r>
            <w:r>
              <w:rPr>
                <w:sz w:val="20"/>
              </w:rPr>
              <w:tab/>
              <w:t>Lifting from bottom corner fittings:</w:t>
            </w:r>
          </w:p>
        </w:tc>
      </w:tr>
      <w:tr>
        <w:trPr>
          <w:cantSplit/>
        </w:trPr>
        <w:tc>
          <w:tcPr>
            <w:tcW w:w="2964" w:type="dxa"/>
            <w:tcBorders>
              <w:right w:val="single" w:sz="4" w:space="0" w:color="auto"/>
            </w:tcBorders>
          </w:tcPr>
          <w:p>
            <w:pPr>
              <w:pStyle w:val="yTableNAm"/>
              <w:rPr>
                <w:sz w:val="20"/>
              </w:rPr>
            </w:pPr>
            <w:r>
              <w:rPr>
                <w:sz w:val="20"/>
              </w:rPr>
              <w:t>Such as to lift the combined weight of 2R in the manner prescribed (under the heading TEST PROCEDURES).</w:t>
            </w:r>
          </w:p>
        </w:tc>
        <w:tc>
          <w:tcPr>
            <w:tcW w:w="4266" w:type="dxa"/>
            <w:gridSpan w:val="2"/>
            <w:tcBorders>
              <w:left w:val="nil"/>
            </w:tcBorders>
          </w:tcPr>
          <w:p>
            <w:pPr>
              <w:pStyle w:val="yTableNAm"/>
              <w:ind w:left="567" w:hanging="567"/>
              <w:rPr>
                <w:sz w:val="20"/>
              </w:rPr>
            </w:pPr>
            <w:r>
              <w:rPr>
                <w:sz w:val="20"/>
              </w:rPr>
              <w:tab/>
              <w:t>Containers shall have lifting forces applied in such a manner that the lifting devices bear on the bottom corner fittings only. The lifting forces shall be applied at angles to the horizontal of:</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30° for containers of length 12,000 mm (40 ft.) (nominal) or greater;</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37° for containers of length 9,000 mm (30 ft.) (nominal) and up to but not including 12,000 mm (40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45° for containers of length 6,000 mm (20 ft.) (nominal) and up to but not including 9,000 mm (30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60° for containers of less than 6,000 mm (20 ft.) (nominal).</w:t>
            </w:r>
          </w:p>
        </w:tc>
      </w:tr>
      <w:tr>
        <w:trPr>
          <w:cantSplit/>
        </w:trPr>
        <w:tc>
          <w:tcPr>
            <w:tcW w:w="7230" w:type="dxa"/>
            <w:gridSpan w:val="3"/>
          </w:tcPr>
          <w:p>
            <w:pPr>
              <w:pStyle w:val="yTableNAm"/>
              <w:jc w:val="center"/>
              <w:rPr>
                <w:b/>
                <w:sz w:val="20"/>
              </w:rPr>
            </w:pPr>
            <w:r>
              <w:rPr>
                <w:b/>
                <w:snapToGrid w:val="0"/>
                <w:sz w:val="20"/>
              </w:rPr>
              <w:t>(B) Lifting by any other additional methods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r>
              <w:rPr>
                <w:sz w:val="20"/>
              </w:rPr>
              <w:t>(i)</w:t>
            </w:r>
            <w:r>
              <w:rPr>
                <w:sz w:val="20"/>
              </w:rPr>
              <w:tab/>
              <w:t>Lifting from fork lift pockets: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1.25 R.</w:t>
            </w:r>
          </w:p>
          <w:p>
            <w:pPr>
              <w:pStyle w:val="yTableNAm"/>
              <w:rPr>
                <w:sz w:val="20"/>
              </w:rPr>
            </w:pPr>
            <w:r>
              <w:rPr>
                <w:sz w:val="20"/>
              </w:rPr>
              <w:t>Externally applied forces:</w:t>
            </w:r>
          </w:p>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ind w:left="567" w:hanging="567"/>
              <w:rPr>
                <w:sz w:val="20"/>
              </w:rPr>
            </w:pPr>
            <w:r>
              <w:rPr>
                <w:sz w:val="20"/>
              </w:rP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ind w:left="567" w:hanging="567"/>
              <w:rPr>
                <w:sz w:val="20"/>
              </w:rPr>
            </w:pPr>
            <w:r>
              <w:rPr>
                <w:sz w:val="20"/>
              </w:rPr>
              <w:t>(ii)</w:t>
            </w:r>
            <w:r>
              <w:rPr>
                <w:sz w:val="20"/>
              </w:rPr>
              <w:tab/>
              <w:t>Lifting from grappler arm positions: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containers and test load is equal to 1.25 R.</w:t>
            </w:r>
          </w:p>
        </w:tc>
        <w:tc>
          <w:tcPr>
            <w:tcW w:w="4253" w:type="dxa"/>
            <w:tcBorders>
              <w:left w:val="nil"/>
            </w:tcBorders>
          </w:tcPr>
          <w:p>
            <w:pPr>
              <w:pStyle w:val="yTableNAm"/>
              <w:ind w:left="567" w:hanging="567"/>
              <w:rPr>
                <w:sz w:val="20"/>
              </w:rPr>
            </w:pPr>
            <w:r>
              <w:rPr>
                <w:sz w:val="20"/>
              </w:rP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(iii)</w:t>
            </w:r>
            <w:r>
              <w:rPr>
                <w:sz w:val="20"/>
              </w:rPr>
              <w:tab/>
              <w:t>Other Methods</w:t>
            </w:r>
          </w:p>
          <w:p>
            <w:pPr>
              <w:pStyle w:val="yTableNAm"/>
              <w:spacing w:before="80"/>
              <w:ind w:left="567" w:hanging="567"/>
              <w:rPr>
                <w:sz w:val="20"/>
              </w:rPr>
            </w:pPr>
            <w:r>
              <w:rPr>
                <w:sz w:val="20"/>
              </w:rPr>
              <w:tab/>
              <w:t>Where containers are designed to be lifted in the loaded condition by any method not mentioned in (A) or (B)(i) and (ii) they shall also be tested with the INTERNAL LOADING AND EXTERNALLY APPLIED FORCES representative of the acceleration conditions appropriate to that method.</w:t>
            </w:r>
          </w:p>
        </w:tc>
      </w:tr>
      <w:tr>
        <w:trPr>
          <w:cantSplit/>
        </w:trPr>
        <w:tc>
          <w:tcPr>
            <w:tcW w:w="7230" w:type="dxa"/>
            <w:gridSpan w:val="3"/>
          </w:tcPr>
          <w:p>
            <w:pPr>
              <w:pStyle w:val="yTableNAm"/>
              <w:spacing w:before="240"/>
              <w:jc w:val="center"/>
              <w:rPr>
                <w:sz w:val="20"/>
              </w:rPr>
            </w:pPr>
            <w:r>
              <w:rPr>
                <w:sz w:val="20"/>
              </w:rPr>
              <w:t>2. STACKING</w:t>
            </w:r>
          </w:p>
          <w:p>
            <w:pPr>
              <w:pStyle w:val="yTableNAm"/>
              <w:spacing w:before="80"/>
              <w:ind w:left="567" w:hanging="567"/>
              <w:rPr>
                <w:snapToGrid w:val="0"/>
                <w:sz w:val="20"/>
              </w:rPr>
            </w:pPr>
            <w:r>
              <w:rPr>
                <w:snapToGrid w:val="0"/>
                <w:sz w:val="20"/>
              </w:rPr>
              <w:t>1.</w:t>
            </w:r>
            <w:r>
              <w:rPr>
                <w:snapToGrid w:val="0"/>
                <w:sz w:val="2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TableNAm"/>
              <w:spacing w:before="80"/>
              <w:ind w:left="567" w:hanging="567"/>
              <w:rPr>
                <w:sz w:val="20"/>
              </w:rPr>
            </w:pPr>
            <w:r>
              <w:rPr>
                <w:snapToGrid w:val="0"/>
                <w:sz w:val="20"/>
              </w:rPr>
              <w:t>2.</w:t>
            </w:r>
            <w:r>
              <w:rPr>
                <w:snapToGrid w:val="0"/>
                <w:sz w:val="2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1.8 R.</w:t>
            </w:r>
          </w:p>
        </w:tc>
        <w:tc>
          <w:tcPr>
            <w:tcW w:w="4253" w:type="dxa"/>
            <w:tcBorders>
              <w:left w:val="nil"/>
            </w:tcBorders>
          </w:tcPr>
          <w:p>
            <w:pPr>
              <w:pStyle w:val="yTableNAm"/>
              <w:rPr>
                <w:sz w:val="20"/>
              </w:rPr>
            </w:pPr>
            <w:r>
              <w:rPr>
                <w:sz w:val="20"/>
              </w:rP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gridSpan w:val="2"/>
            <w:tcBorders>
              <w:right w:val="single" w:sz="4" w:space="0" w:color="auto"/>
            </w:tcBorders>
          </w:tcPr>
          <w:p>
            <w:pPr>
              <w:pStyle w:val="yTableNAm"/>
              <w:keepNext/>
              <w:rPr>
                <w:sz w:val="20"/>
              </w:rPr>
            </w:pPr>
            <w:r>
              <w:rPr>
                <w:sz w:val="20"/>
              </w:rPr>
              <w:t>Externally applied force:</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each of the four top corner fittings to a vertical downward force equal to ¼ x 1.8 x the allowable superimposed static stacking weight.</w:t>
            </w:r>
          </w:p>
        </w:tc>
        <w:tc>
          <w:tcPr>
            <w:tcW w:w="4253" w:type="dxa"/>
            <w:tcBorders>
              <w:left w:val="nil"/>
            </w:tcBorders>
          </w:tcPr>
          <w:p>
            <w:pPr>
              <w:pStyle w:val="yTableNAm"/>
              <w:rPr>
                <w:sz w:val="20"/>
              </w:rPr>
            </w:pPr>
            <w:r>
              <w:rPr>
                <w:sz w:val="20"/>
              </w:rP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3"/>
          </w:tcPr>
          <w:p>
            <w:pPr>
              <w:pStyle w:val="yTableNAm"/>
              <w:jc w:val="center"/>
              <w:rPr>
                <w:sz w:val="20"/>
              </w:rPr>
            </w:pPr>
            <w:r>
              <w:rPr>
                <w:snapToGrid w:val="0"/>
                <w:sz w:val="20"/>
              </w:rPr>
              <w:t>3. CONCENTRATED LOADS</w:t>
            </w:r>
          </w:p>
        </w:tc>
      </w:tr>
      <w:tr>
        <w:trPr>
          <w:cantSplit/>
        </w:trPr>
        <w:tc>
          <w:tcPr>
            <w:tcW w:w="7230" w:type="dxa"/>
            <w:gridSpan w:val="3"/>
          </w:tcPr>
          <w:p>
            <w:pPr>
              <w:pStyle w:val="yTableNAm"/>
              <w:jc w:val="center"/>
              <w:rPr>
                <w:b/>
                <w:snapToGrid w:val="0"/>
                <w:sz w:val="20"/>
              </w:rPr>
            </w:pPr>
            <w:r>
              <w:rPr>
                <w:b/>
                <w:snapToGrid w:val="0"/>
                <w:sz w:val="20"/>
              </w:rPr>
              <w:t>(a) On roof</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concentrated load of 300 kg (660 lb.) uniformly distributed over an area of 600 mm x 300 mm (24 in. x 12 in.).</w:t>
            </w:r>
          </w:p>
        </w:tc>
        <w:tc>
          <w:tcPr>
            <w:tcW w:w="4253" w:type="dxa"/>
            <w:tcBorders>
              <w:left w:val="nil"/>
            </w:tcBorders>
          </w:tcPr>
          <w:p>
            <w:pPr>
              <w:pStyle w:val="yTableNAm"/>
              <w:rPr>
                <w:sz w:val="20"/>
              </w:rPr>
            </w:pPr>
            <w:r>
              <w:rPr>
                <w:sz w:val="20"/>
              </w:rPr>
              <w:t>The EXTERNALLY APPLIED FORCES shall be applied vertically downwards to the outer surface of the weakest area of the roof of the container.</w:t>
            </w:r>
          </w:p>
        </w:tc>
      </w:tr>
      <w:tr>
        <w:trPr>
          <w:cantSplit/>
        </w:trPr>
        <w:tc>
          <w:tcPr>
            <w:tcW w:w="7230" w:type="dxa"/>
            <w:gridSpan w:val="3"/>
          </w:tcPr>
          <w:p>
            <w:pPr>
              <w:pStyle w:val="yTableNAm"/>
              <w:jc w:val="center"/>
              <w:rPr>
                <w:b/>
                <w:sz w:val="20"/>
              </w:rPr>
            </w:pPr>
            <w:r>
              <w:rPr>
                <w:b/>
                <w:snapToGrid w:val="0"/>
                <w:sz w:val="20"/>
              </w:rPr>
              <w:t>(b) On floor</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Two concentrated loads each of 2,730 kg (6,000 lb.) and each applied to the container floor through a contact area of 142 cm</w:t>
            </w:r>
            <w:r>
              <w:rPr>
                <w:sz w:val="20"/>
                <w:vertAlign w:val="superscript"/>
              </w:rPr>
              <w:t>2</w:t>
            </w:r>
            <w:r>
              <w:rPr>
                <w:sz w:val="20"/>
              </w:rPr>
              <w:t xml:space="preserve"> (22 sq in.).</w:t>
            </w:r>
          </w:p>
        </w:tc>
        <w:tc>
          <w:tcPr>
            <w:tcW w:w="4253" w:type="dxa"/>
            <w:tcBorders>
              <w:left w:val="nil"/>
            </w:tcBorders>
          </w:tcPr>
          <w:p>
            <w:pPr>
              <w:pStyle w:val="yTableNAm"/>
              <w:rPr>
                <w:sz w:val="20"/>
              </w:rPr>
            </w:pPr>
            <w:r>
              <w:rPr>
                <w:sz w:val="20"/>
              </w:rPr>
              <w:t>The test should be made with the container resting on four level supports under its four bottom corners in such a manner that the base structure of the container is free to deflect.</w:t>
            </w:r>
          </w:p>
        </w:tc>
      </w:tr>
      <w:t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A testing device loaded to a weight of 5,460 kg (12,000 lb.) that is 2,730 kg (6,000 lb.) on each of two surfaces having, when loaded, a total contact area of 284 cm</w:t>
            </w:r>
            <w:r>
              <w:rPr>
                <w:sz w:val="20"/>
                <w:vertAlign w:val="superscript"/>
              </w:rPr>
              <w:t xml:space="preserve">2 </w:t>
            </w:r>
            <w:r>
              <w:rPr>
                <w:sz w:val="20"/>
              </w:rPr>
              <w:t>(44 sq in.) that is 142 cm</w:t>
            </w:r>
            <w:r>
              <w:rPr>
                <w:sz w:val="20"/>
                <w:vertAlign w:val="superscript"/>
              </w:rPr>
              <w:t xml:space="preserve">2 </w:t>
            </w:r>
            <w:r>
              <w:rPr>
                <w:sz w:val="20"/>
              </w:rPr>
              <w:t>(22 sq in.) on each surface, the surface width being 180 mm (7 in.) spaced 760 mm (30 in.) apart, centre to centre, should be manoeuvred over the entire floor area of the container.</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spacing w:before="240"/>
              <w:jc w:val="center"/>
              <w:rPr>
                <w:sz w:val="20"/>
              </w:rPr>
            </w:pPr>
            <w:r>
              <w:rPr>
                <w:snapToGrid w:val="0"/>
                <w:sz w:val="20"/>
              </w:rPr>
              <w:t>4. TRANSVERSE RACKING</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r>
              <w:rPr>
                <w:sz w:val="20"/>
              </w:rPr>
              <w:t>The container in tare condition shall be placed on four level supports one under each bottom corner and shall be restrained against lateral and vertical movement by means of anchor devices so arranged that the lateral restraint is provided only at the bottom corners diagonally opposite to those at which the forces are applied.</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Such as to rack the end structures of the container sideways.  The forces shall be equal to those for which the container was designed.</w:t>
            </w:r>
          </w:p>
        </w:tc>
        <w:tc>
          <w:tcPr>
            <w:tcW w:w="4253" w:type="dxa"/>
            <w:tcBorders>
              <w:left w:val="nil"/>
            </w:tcBorders>
          </w:tcPr>
          <w:p>
            <w:pPr>
              <w:pStyle w:val="yTableNAm"/>
              <w:rPr>
                <w:sz w:val="20"/>
              </w:rPr>
            </w:pPr>
            <w:r>
              <w:rPr>
                <w:sz w:val="20"/>
              </w:rP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3"/>
          </w:tcPr>
          <w:p>
            <w:pPr>
              <w:pStyle w:val="yTableNAm"/>
              <w:spacing w:before="240"/>
              <w:jc w:val="center"/>
              <w:rPr>
                <w:snapToGrid w:val="0"/>
                <w:sz w:val="20"/>
              </w:rPr>
            </w:pPr>
            <w:r>
              <w:rPr>
                <w:snapToGrid w:val="0"/>
                <w:sz w:val="20"/>
              </w:rPr>
              <w:t>5. LONGITUDINAL RESTRAINT (STATIC TEST)</w:t>
            </w:r>
          </w:p>
          <w:p>
            <w:pPr>
              <w:pStyle w:val="yTableNAm"/>
              <w:rPr>
                <w:sz w:val="20"/>
              </w:rPr>
            </w:pPr>
            <w:r>
              <w:rPr>
                <w:snapToGrid w:val="0"/>
                <w:sz w:val="20"/>
              </w:rPr>
              <w:t>When designing and constructing containers, it must be borne in mind that containers, when carried by inland modes of transport may sustain accelerations of 2 g applied horizontally in a longitudinal direction.</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uniformly distributed load, such that the combined weight of a container and test load is equal to the maximum operating gross weight or rating, R.</w:t>
            </w:r>
          </w:p>
        </w:tc>
        <w:tc>
          <w:tcPr>
            <w:tcW w:w="4253" w:type="dxa"/>
            <w:tcBorders>
              <w:left w:val="nil"/>
            </w:tcBorders>
          </w:tcPr>
          <w:p>
            <w:pPr>
              <w:pStyle w:val="yTableNAm"/>
              <w:rPr>
                <w:sz w:val="20"/>
              </w:rPr>
            </w:pPr>
            <w:r>
              <w:rPr>
                <w:sz w:val="20"/>
              </w:rPr>
              <w:t>The container having the prescribed INTERNAL LOADING shall be restrained longitudinally by securing the two bottom corner fittings or equivalent corner structures at one end to suitable anchor points.</w:t>
            </w:r>
          </w:p>
        </w:tc>
      </w:tr>
      <w:t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keepNext/>
              <w:rPr>
                <w:sz w:val="20"/>
              </w:rPr>
            </w:pPr>
            <w:r>
              <w:rPr>
                <w:sz w:val="20"/>
              </w:rP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NAm"/>
              <w:keepNext/>
              <w:rPr>
                <w:sz w:val="20"/>
              </w:rPr>
            </w:pPr>
            <w:r>
              <w:rPr>
                <w:sz w:val="20"/>
              </w:rPr>
              <w:t>The EXTERNALLY APPLIED FORCES shall be applied first towards and then away from the anchor points. Each side of the container shall be tested.</w:t>
            </w:r>
          </w:p>
        </w:tc>
      </w:tr>
      <w:tr>
        <w:trPr>
          <w:cantSplit/>
        </w:trPr>
        <w:tc>
          <w:tcPr>
            <w:tcW w:w="7230" w:type="dxa"/>
            <w:gridSpan w:val="3"/>
          </w:tcPr>
          <w:p>
            <w:pPr>
              <w:pStyle w:val="yTableNAm"/>
              <w:spacing w:before="240"/>
              <w:jc w:val="center"/>
              <w:rPr>
                <w:snapToGrid w:val="0"/>
                <w:sz w:val="20"/>
              </w:rPr>
            </w:pPr>
            <w:r>
              <w:rPr>
                <w:snapToGrid w:val="0"/>
                <w:sz w:val="20"/>
              </w:rPr>
              <w:t>6. END</w:t>
            </w:r>
            <w:r>
              <w:rPr>
                <w:snapToGrid w:val="0"/>
                <w:sz w:val="20"/>
              </w:rPr>
              <w:noBreakHyphen/>
              <w:t>WALLS</w:t>
            </w:r>
          </w:p>
          <w:p>
            <w:pPr>
              <w:pStyle w:val="yTableNAm"/>
              <w:rPr>
                <w:sz w:val="20"/>
              </w:rPr>
            </w:pPr>
            <w:r>
              <w:rPr>
                <w:snapToGrid w:val="0"/>
                <w:sz w:val="20"/>
              </w:rPr>
              <w:t>The end</w:t>
            </w:r>
            <w:r>
              <w:rPr>
                <w:snapToGrid w:val="0"/>
                <w:sz w:val="20"/>
              </w:rPr>
              <w:noBreakHyphen/>
              <w:t>walls should be capable of withstanding a load of not less than 0.4 times the maximum permissible payload. If, however, the end</w:t>
            </w:r>
            <w:r>
              <w:rPr>
                <w:snapToGrid w:val="0"/>
                <w:sz w:val="2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the inside of an end</w:t>
            </w:r>
            <w:r>
              <w:rPr>
                <w:sz w:val="20"/>
              </w:rPr>
              <w:noBreakHyphen/>
              <w:t>wall to a uniformly distributed load of 0.4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ends of a container shall be tested except where the ends are identical only one end need be tested.  The end</w:t>
            </w:r>
            <w:r>
              <w:rPr>
                <w:sz w:val="20"/>
              </w:rPr>
              <w:noBreakHyphen/>
              <w:t>walls of containers which do not have open sides or side doors may be tested separately or simultaneously.</w:t>
            </w: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The end</w:t>
            </w:r>
            <w:r>
              <w:rPr>
                <w:sz w:val="20"/>
              </w:rPr>
              <w:noBreakHyphen/>
              <w:t>walls of containers which do have open sides or side doors should be tested separately. When the ends are tested separately the reactions to the forces applied to the end</w:t>
            </w:r>
            <w:r>
              <w:rPr>
                <w:sz w:val="20"/>
              </w:rPr>
              <w:noBreakHyphen/>
              <w:t>wall shall be confined to the base structure of the container.</w:t>
            </w:r>
          </w:p>
        </w:tc>
      </w:tr>
      <w:tr>
        <w:trPr>
          <w:cantSplit/>
        </w:trP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jc w:val="center"/>
              <w:rPr>
                <w:snapToGrid w:val="0"/>
                <w:sz w:val="20"/>
              </w:rPr>
            </w:pPr>
            <w:r>
              <w:rPr>
                <w:snapToGrid w:val="0"/>
                <w:sz w:val="20"/>
              </w:rPr>
              <w:t>7. SIDE</w:t>
            </w:r>
            <w:r>
              <w:rPr>
                <w:snapToGrid w:val="0"/>
                <w:sz w:val="20"/>
              </w:rPr>
              <w:noBreakHyphen/>
              <w:t>WALLS</w:t>
            </w:r>
          </w:p>
          <w:p>
            <w:pPr>
              <w:pStyle w:val="yTableNAm"/>
              <w:keepNext/>
              <w:rPr>
                <w:sz w:val="20"/>
              </w:rPr>
            </w:pPr>
            <w:r>
              <w:rPr>
                <w:snapToGrid w:val="0"/>
                <w:sz w:val="20"/>
              </w:rPr>
              <w:t>The side</w:t>
            </w:r>
            <w:r>
              <w:rPr>
                <w:snapToGrid w:val="0"/>
                <w:sz w:val="20"/>
              </w:rPr>
              <w:noBreakHyphen/>
              <w:t>walls should be capable of withstanding a load of not less than 0.6 times the maximum permissible payload. If, however, the side</w:t>
            </w:r>
            <w:r>
              <w:rPr>
                <w:snapToGrid w:val="0"/>
                <w:sz w:val="2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rPr>
                <w:sz w:val="20"/>
              </w:rPr>
            </w:pPr>
            <w:r>
              <w:rPr>
                <w:sz w:val="20"/>
              </w:rPr>
              <w:t>Such as to subject the inside of a side</w:t>
            </w:r>
            <w:r>
              <w:rPr>
                <w:sz w:val="20"/>
              </w:rPr>
              <w:noBreakHyphen/>
              <w:t>wall to a uniformly distributed load of 0.6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sides of a container shall be tested except where the sides are identical only one side need be tested. Side</w:t>
            </w:r>
            <w:r>
              <w:rPr>
                <w:sz w:val="20"/>
              </w:rPr>
              <w:noBreakHyphen/>
              <w:t>walls shall be 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bl>
    <w:p>
      <w:pPr>
        <w:pStyle w:val="yScheduleHeading"/>
      </w:pPr>
      <w:bookmarkStart w:id="350" w:name="_Toc155177737"/>
      <w:bookmarkStart w:id="351" w:name="_Toc132296418"/>
      <w:r>
        <w:rPr>
          <w:rStyle w:val="CharSchNo"/>
        </w:rPr>
        <w:t>Schedule 2</w:t>
      </w:r>
      <w:r>
        <w:t> — </w:t>
      </w:r>
      <w:r>
        <w:rPr>
          <w:rStyle w:val="CharSchText"/>
        </w:rPr>
        <w:t>Limitation Convention</w:t>
      </w:r>
      <w:bookmarkEnd w:id="350"/>
      <w:bookmarkEnd w:id="351"/>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rPr>
          <w:snapToGrid w:val="0"/>
        </w:rPr>
      </w:pPr>
      <w:r>
        <w:rPr>
          <w:snapToGrid w:val="0"/>
        </w:rPr>
        <w:t>ARTICLE 1</w:t>
      </w:r>
    </w:p>
    <w:p>
      <w:pPr>
        <w:pStyle w:val="yMiscellaneousBody"/>
        <w:ind w:left="570" w:hanging="570"/>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ind w:left="570" w:hanging="570"/>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ind w:left="570" w:hanging="570"/>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ind w:left="570" w:hanging="570"/>
        <w:rPr>
          <w:snapToGrid w:val="0"/>
        </w:rPr>
      </w:pPr>
      <w:r>
        <w:rPr>
          <w:snapToGrid w:val="0"/>
        </w:rPr>
        <w:t>(4)</w:t>
      </w:r>
      <w:r>
        <w:rPr>
          <w:snapToGrid w:val="0"/>
        </w:rPr>
        <w:tab/>
        <w:t>Nothing in this Article shall apply:</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ind w:left="570" w:hanging="570"/>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ind w:left="570" w:hanging="570"/>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ind w:left="570" w:hanging="570"/>
        <w:rPr>
          <w:snapToGrid w:val="0"/>
        </w:rPr>
      </w:pPr>
      <w:r>
        <w:rPr>
          <w:snapToGrid w:val="0"/>
        </w:rPr>
        <w:t>(7)</w:t>
      </w:r>
      <w:r>
        <w:rPr>
          <w:snapToGrid w:val="0"/>
        </w:rPr>
        <w:tab/>
        <w:t>The act of invoking limitation of liability shall not constitute an admission of liability.</w:t>
      </w:r>
    </w:p>
    <w:p>
      <w:pPr>
        <w:pStyle w:val="yMiscellaneousHeading"/>
        <w:spacing w:before="300"/>
        <w:rPr>
          <w:snapToGrid w:val="0"/>
        </w:rPr>
      </w:pPr>
      <w:r>
        <w:rPr>
          <w:snapToGrid w:val="0"/>
        </w:rPr>
        <w:t>ARTICLE 2</w:t>
      </w:r>
    </w:p>
    <w:p>
      <w:pPr>
        <w:pStyle w:val="yMiscellaneousBody"/>
        <w:ind w:left="570" w:hanging="570"/>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ind w:left="570" w:hanging="570"/>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ind w:left="570" w:hanging="570"/>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ind w:left="570" w:hanging="570"/>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rPr>
          <w:snapToGrid w:val="0"/>
        </w:rPr>
      </w:pPr>
      <w:r>
        <w:rPr>
          <w:snapToGrid w:val="0"/>
        </w:rPr>
        <w:t>ARTICLE 3</w:t>
      </w:r>
    </w:p>
    <w:p>
      <w:pPr>
        <w:pStyle w:val="yMiscellaneousBody"/>
        <w:ind w:left="570" w:hanging="570"/>
        <w:rPr>
          <w:snapToGrid w:val="0"/>
        </w:rPr>
      </w:pPr>
      <w:r>
        <w:rPr>
          <w:snapToGrid w:val="0"/>
        </w:rPr>
        <w:t>(1)</w:t>
      </w:r>
      <w:r>
        <w:rPr>
          <w:snapToGrid w:val="0"/>
        </w:rPr>
        <w:tab/>
        <w:t>The amounts to which the owner of a ship may limit his liability under Article 1 shall be: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ind w:left="570" w:hanging="570"/>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ind w:left="570" w:hanging="570"/>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ind w:left="570" w:hanging="570"/>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ind w:left="570" w:hanging="570"/>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ind w:left="570" w:hanging="570"/>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ind w:left="570" w:hanging="570"/>
        <w:rPr>
          <w:snapToGrid w:val="0"/>
        </w:rPr>
      </w:pPr>
      <w:r>
        <w:rPr>
          <w:snapToGrid w:val="0"/>
        </w:rPr>
        <w:t>(7)</w:t>
      </w:r>
      <w:r>
        <w:rPr>
          <w:snapToGrid w:val="0"/>
        </w:rPr>
        <w:tab/>
        <w:t>For the purpose of this convention tonnage shall be calculated as follows:</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all other ships there shall be taken the net tonnage.</w:t>
      </w:r>
    </w:p>
    <w:p>
      <w:pPr>
        <w:pStyle w:val="yMiscellaneousHeading"/>
        <w:spacing w:before="30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rPr>
          <w:snapToGrid w:val="0"/>
        </w:rPr>
      </w:pPr>
      <w:r>
        <w:rPr>
          <w:snapToGrid w:val="0"/>
        </w:rPr>
        <w:t>ARTICLE 5</w:t>
      </w:r>
    </w:p>
    <w:p>
      <w:pPr>
        <w:pStyle w:val="yMiscellaneousBody"/>
        <w:ind w:left="570" w:hanging="570"/>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ind w:left="570" w:hanging="570"/>
        <w:rPr>
          <w:snapToGrid w:val="0"/>
        </w:rPr>
      </w:pPr>
      <w:r>
        <w:rPr>
          <w:snapToGrid w:val="0"/>
        </w:rPr>
        <w:t>(2)</w:t>
      </w:r>
      <w:r>
        <w:rPr>
          <w:snapToGrid w:val="0"/>
        </w:rPr>
        <w:tab/>
        <w:t>Where, in circumstances mentioned in paragraph (1) of this Article, bail or other security has already been given:</w:t>
      </w:r>
    </w:p>
    <w:p>
      <w:pPr>
        <w:pStyle w:val="yIndenta"/>
        <w:tabs>
          <w:tab w:val="clear" w:pos="1332"/>
          <w:tab w:val="clear" w:pos="1616"/>
          <w:tab w:val="right" w:pos="1026"/>
        </w:tabs>
        <w:ind w:left="1311" w:hanging="1311"/>
        <w:rPr>
          <w:snapToGrid w:val="0"/>
        </w:rPr>
      </w:pPr>
      <w:r>
        <w:rPr>
          <w:snapToGrid w:val="0"/>
        </w:rPr>
        <w:tab/>
        <w:t>(a)</w:t>
      </w:r>
      <w:r>
        <w:rPr>
          <w:snapToGrid w:val="0"/>
        </w:rPr>
        <w:tab/>
        <w:t>at the port where the accident giving rise to the claim occurred;</w:t>
      </w:r>
    </w:p>
    <w:p>
      <w:pPr>
        <w:pStyle w:val="yIndenta"/>
        <w:tabs>
          <w:tab w:val="clear" w:pos="1332"/>
          <w:tab w:val="clear" w:pos="1616"/>
          <w:tab w:val="right" w:pos="1026"/>
        </w:tabs>
        <w:ind w:left="1311" w:hanging="1311"/>
        <w:rPr>
          <w:snapToGrid w:val="0"/>
        </w:rPr>
      </w:pPr>
      <w:r>
        <w:rPr>
          <w:snapToGrid w:val="0"/>
        </w:rPr>
        <w:tab/>
        <w:t>(b)</w:t>
      </w:r>
      <w:r>
        <w:rPr>
          <w:snapToGrid w:val="0"/>
        </w:rPr>
        <w:tab/>
        <w:t>at the first port of call after the accident if the accident did not occur in a port;</w:t>
      </w:r>
    </w:p>
    <w:p>
      <w:pPr>
        <w:pStyle w:val="yIndenta"/>
        <w:tabs>
          <w:tab w:val="clear" w:pos="1332"/>
          <w:tab w:val="clear" w:pos="1616"/>
          <w:tab w:val="right" w:pos="1026"/>
        </w:tabs>
        <w:ind w:left="1311" w:hanging="1311"/>
        <w:rPr>
          <w:snapToGrid w:val="0"/>
        </w:rPr>
      </w:pPr>
      <w:r>
        <w:rPr>
          <w:snapToGrid w:val="0"/>
        </w:rPr>
        <w:tab/>
        <w:t>(c)</w:t>
      </w:r>
      <w:r>
        <w:rPr>
          <w:snapToGrid w:val="0"/>
        </w:rPr>
        <w:tab/>
        <w:t>at the port of disembarkation or discharge if the claim is a personal claim or relates to damage to cargo;</w:t>
      </w:r>
    </w:p>
    <w:p>
      <w:pPr>
        <w:pStyle w:val="yMiscellaneousBody"/>
        <w:ind w:left="570" w:hanging="570"/>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ind w:left="570" w:hanging="570"/>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ind w:left="570" w:hanging="570"/>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ind w:left="570" w:hanging="570"/>
        <w:rPr>
          <w:snapToGrid w:val="0"/>
        </w:rPr>
      </w:pPr>
      <w:r>
        <w:rPr>
          <w:snapToGrid w:val="0"/>
        </w:rPr>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rPr>
          <w:snapToGrid w:val="0"/>
        </w:rPr>
      </w:pPr>
      <w:r>
        <w:rPr>
          <w:snapToGrid w:val="0"/>
        </w:rPr>
        <w:t>ARTICLE 6</w:t>
      </w:r>
    </w:p>
    <w:p>
      <w:pPr>
        <w:pStyle w:val="yMiscellaneousBody"/>
        <w:ind w:left="570" w:hanging="570"/>
        <w:rPr>
          <w:snapToGrid w:val="0"/>
        </w:rPr>
      </w:pPr>
      <w:r>
        <w:rPr>
          <w:snapToGrid w:val="0"/>
        </w:rPr>
        <w:t>(1)</w:t>
      </w:r>
      <w:r>
        <w:rPr>
          <w:snapToGrid w:val="0"/>
        </w:rPr>
        <w:tab/>
        <w:t>In this Convention the liability of the shipowner includes the liability of the ship herself.</w:t>
      </w:r>
    </w:p>
    <w:p>
      <w:pPr>
        <w:pStyle w:val="yMiscellaneousBody"/>
        <w:ind w:left="570" w:hanging="570"/>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ind w:left="570" w:hanging="570"/>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rPr>
          <w:snapToGrid w:val="0"/>
        </w:rPr>
      </w:pPr>
      <w:r>
        <w:rPr>
          <w:snapToGrid w:val="0"/>
        </w:rPr>
        <w:t>ARTICLE 11</w:t>
      </w:r>
    </w:p>
    <w:p>
      <w:pPr>
        <w:pStyle w:val="yMiscellaneousBody"/>
        <w:ind w:left="570" w:hanging="570"/>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ind w:left="570" w:hanging="570"/>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rPr>
          <w:snapToGrid w:val="0"/>
        </w:rPr>
      </w:pPr>
      <w:r>
        <w:rPr>
          <w:snapToGrid w:val="0"/>
        </w:rPr>
        <w:t>ARTICLE 14</w:t>
      </w:r>
    </w:p>
    <w:p>
      <w:pPr>
        <w:pStyle w:val="yMiscellaneousBody"/>
        <w:ind w:left="570" w:hanging="570"/>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ind w:left="570" w:hanging="570"/>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ind w:left="570" w:hanging="570"/>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rPr>
          <w:snapToGrid w:val="0"/>
        </w:rPr>
      </w:pPr>
      <w:r>
        <w:rPr>
          <w:snapToGrid w:val="0"/>
        </w:rPr>
        <w:t>PROTOCOL OF SIGNATURE</w:t>
      </w:r>
    </w:p>
    <w:p>
      <w:pPr>
        <w:pStyle w:val="yMiscellaneousBody"/>
        <w:ind w:left="570" w:hanging="570"/>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ind w:left="570" w:hanging="570"/>
        <w:rPr>
          <w:snapToGrid w:val="0"/>
        </w:rPr>
      </w:pPr>
      <w:r>
        <w:rPr>
          <w:snapToGrid w:val="0"/>
        </w:rPr>
        <w:t>(2)</w:t>
      </w:r>
      <w:r>
        <w:rPr>
          <w:snapToGrid w:val="0"/>
        </w:rPr>
        <w:tab/>
        <w:t>The following are the only reservations admissible: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Reservation of the right to exclude the application of Article 1 paragraph (1)(c).</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pPr>
      <w:bookmarkStart w:id="352" w:name="_Toc155177738"/>
      <w:bookmarkStart w:id="353" w:name="_Toc132296419"/>
      <w:r>
        <w:rPr>
          <w:rStyle w:val="CharSchNo"/>
        </w:rPr>
        <w:t>Schedule 3</w:t>
      </w:r>
      <w:r>
        <w:t> — </w:t>
      </w:r>
      <w:r>
        <w:rPr>
          <w:rStyle w:val="CharSchText"/>
        </w:rPr>
        <w:t>Prevention of Collisions Convention</w:t>
      </w:r>
      <w:bookmarkEnd w:id="352"/>
      <w:bookmarkEnd w:id="353"/>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ind w:left="570" w:hanging="570"/>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rPr>
          <w:snapToGrid w:val="0"/>
        </w:rPr>
      </w:pPr>
      <w:r>
        <w:rPr>
          <w:snapToGrid w:val="0"/>
        </w:rPr>
        <w:t>ARTICLE III</w:t>
      </w:r>
    </w:p>
    <w:p>
      <w:pPr>
        <w:pStyle w:val="yMiscellaneousHeading"/>
        <w:rPr>
          <w:i/>
          <w:snapToGrid w:val="0"/>
        </w:rPr>
      </w:pPr>
      <w:r>
        <w:rPr>
          <w:i/>
          <w:snapToGrid w:val="0"/>
        </w:rPr>
        <w:t>Territorial Application</w:t>
      </w:r>
    </w:p>
    <w:p>
      <w:pPr>
        <w:pStyle w:val="yMiscellaneousBody"/>
        <w:ind w:left="570" w:hanging="570"/>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ind w:left="570" w:hanging="570"/>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ind w:left="570" w:hanging="570"/>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ind w:left="570" w:hanging="570"/>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rPr>
          <w:snapToGrid w:val="0"/>
        </w:rPr>
      </w:pPr>
      <w:r>
        <w:rPr>
          <w:snapToGrid w:val="0"/>
        </w:rPr>
        <w:t>ARTICLE IV</w:t>
      </w:r>
    </w:p>
    <w:p>
      <w:pPr>
        <w:pStyle w:val="yMiscellaneousHeading"/>
        <w:rPr>
          <w:i/>
          <w:snapToGrid w:val="0"/>
        </w:rPr>
      </w:pPr>
      <w:r>
        <w:rPr>
          <w:i/>
          <w:snapToGrid w:val="0"/>
        </w:rPr>
        <w:t>Entry into force</w:t>
      </w:r>
    </w:p>
    <w:p>
      <w:pPr>
        <w:pStyle w:val="yIndenta"/>
        <w:tabs>
          <w:tab w:val="clear" w:pos="1332"/>
          <w:tab w:val="clear" w:pos="1616"/>
          <w:tab w:val="right" w:pos="1026"/>
        </w:tabs>
        <w:ind w:left="1311" w:hanging="1311"/>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tabs>
          <w:tab w:val="clear" w:pos="1332"/>
          <w:tab w:val="clear" w:pos="1616"/>
          <w:tab w:val="right" w:pos="1026"/>
        </w:tabs>
        <w:ind w:left="1311" w:hanging="1311"/>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ind w:left="570" w:hanging="570"/>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ind w:left="570" w:hanging="570"/>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ind w:left="570" w:hanging="570"/>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ind w:left="570" w:hanging="570"/>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ind w:left="570" w:hanging="570"/>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rPr>
          <w:snapToGrid w:val="0"/>
        </w:rPr>
      </w:pPr>
      <w:r>
        <w:rPr>
          <w:snapToGrid w:val="0"/>
        </w:rPr>
        <w:t>ARTICLE V</w:t>
      </w:r>
    </w:p>
    <w:p>
      <w:pPr>
        <w:pStyle w:val="yMiscellaneousHeading"/>
        <w:rPr>
          <w:i/>
          <w:snapToGrid w:val="0"/>
        </w:rPr>
      </w:pPr>
      <w:r>
        <w:rPr>
          <w:i/>
          <w:snapToGrid w:val="0"/>
        </w:rPr>
        <w:t>Revision Conference</w:t>
      </w:r>
    </w:p>
    <w:p>
      <w:pPr>
        <w:pStyle w:val="yMiscellaneousBody"/>
        <w:ind w:left="570" w:hanging="570"/>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ind w:left="570" w:hanging="570"/>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rPr>
          <w:snapToGrid w:val="0"/>
        </w:rPr>
      </w:pPr>
      <w:r>
        <w:rPr>
          <w:snapToGrid w:val="0"/>
        </w:rPr>
        <w:t>ARTICLE VI</w:t>
      </w:r>
    </w:p>
    <w:p>
      <w:pPr>
        <w:pStyle w:val="yMiscellaneousHeading"/>
        <w:rPr>
          <w:i/>
          <w:snapToGrid w:val="0"/>
        </w:rPr>
      </w:pPr>
      <w:r>
        <w:rPr>
          <w:i/>
          <w:snapToGrid w:val="0"/>
        </w:rPr>
        <w:t>Amendments to the Regulations</w:t>
      </w:r>
    </w:p>
    <w:p>
      <w:pPr>
        <w:pStyle w:val="yMiscellaneousBody"/>
        <w:ind w:left="570" w:hanging="570"/>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ind w:left="570" w:hanging="570"/>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ind w:left="570" w:hanging="570"/>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ind w:left="570" w:hanging="570"/>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rPr>
          <w:snapToGrid w:val="0"/>
        </w:rPr>
      </w:pPr>
      <w:r>
        <w:rPr>
          <w:snapToGrid w:val="0"/>
        </w:rPr>
        <w:t>ARTICLE VII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ind w:left="570" w:hanging="570"/>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rPr>
          <w:snapToGrid w:val="0"/>
        </w:rPr>
      </w:pPr>
      <w:r>
        <w:rPr>
          <w:snapToGrid w:val="0"/>
        </w:rPr>
        <w:t>ARTICLE VIII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ind w:left="570" w:hanging="570"/>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rPr>
          <w:snapToGrid w:val="0"/>
        </w:rPr>
      </w:pPr>
      <w:r>
        <w:rPr>
          <w:snapToGrid w:val="0"/>
        </w:rPr>
        <w:t>PART A — GENERAL</w:t>
      </w:r>
    </w:p>
    <w:p>
      <w:pPr>
        <w:pStyle w:val="yMiscellaneousHeading"/>
        <w:spacing w:before="300"/>
        <w:rPr>
          <w:snapToGrid w:val="0"/>
        </w:rPr>
      </w:pPr>
      <w:r>
        <w:rPr>
          <w:snapToGrid w:val="0"/>
        </w:rPr>
        <w:t>RULE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ind w:left="570" w:hanging="570"/>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ind w:left="570" w:hanging="570"/>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ind w:left="570" w:hanging="570"/>
        <w:rPr>
          <w:snapToGrid w:val="0"/>
        </w:rPr>
      </w:pPr>
      <w:r>
        <w:rPr>
          <w:snapToGrid w:val="0"/>
        </w:rPr>
        <w:t>(d)</w:t>
      </w:r>
      <w:r>
        <w:rPr>
          <w:snapToGrid w:val="0"/>
        </w:rPr>
        <w:tab/>
        <w:t>Traffic separation schemes may be adopted by the Organization for the purpose of these Rules.</w:t>
      </w:r>
    </w:p>
    <w:p>
      <w:pPr>
        <w:pStyle w:val="yMiscellaneousBody"/>
        <w:ind w:left="570" w:hanging="570"/>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ind w:left="570" w:hanging="570"/>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ind w:left="570" w:hanging="570"/>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tabs>
          <w:tab w:val="clear" w:pos="1332"/>
          <w:tab w:val="clear" w:pos="1616"/>
          <w:tab w:val="right" w:pos="1026"/>
        </w:tabs>
        <w:ind w:left="1311" w:hanging="1311"/>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tabs>
          <w:tab w:val="clear" w:pos="1332"/>
          <w:tab w:val="clear" w:pos="1616"/>
          <w:tab w:val="right" w:pos="1026"/>
        </w:tabs>
        <w:ind w:left="1311" w:hanging="1311"/>
        <w:rPr>
          <w:snapToGrid w:val="0"/>
        </w:rPr>
      </w:pPr>
      <w:r>
        <w:rPr>
          <w:snapToGrid w:val="0"/>
        </w:rPr>
        <w:tab/>
        <w:t>(b)</w:t>
      </w:r>
      <w:r>
        <w:rPr>
          <w:snapToGrid w:val="0"/>
        </w:rPr>
        <w:tab/>
        <w:t>The term “power</w:t>
      </w:r>
      <w:r>
        <w:rPr>
          <w:snapToGrid w:val="0"/>
        </w:rPr>
        <w:noBreakHyphen/>
        <w:t>driven vessel” means any vessel propelled by machinery.</w:t>
      </w:r>
    </w:p>
    <w:p>
      <w:pPr>
        <w:pStyle w:val="yIndenta"/>
        <w:tabs>
          <w:tab w:val="clear" w:pos="1332"/>
          <w:tab w:val="clear" w:pos="1616"/>
          <w:tab w:val="right" w:pos="1026"/>
        </w:tabs>
        <w:ind w:left="1311" w:hanging="1311"/>
        <w:rPr>
          <w:snapToGrid w:val="0"/>
        </w:rPr>
      </w:pPr>
      <w:r>
        <w:rPr>
          <w:snapToGrid w:val="0"/>
        </w:rPr>
        <w:tab/>
        <w:t>(c)</w:t>
      </w:r>
      <w:r>
        <w:rPr>
          <w:snapToGrid w:val="0"/>
        </w:rPr>
        <w:tab/>
        <w:t>The term “sailing vessel” means any vessel under sail provided that propelling machinery, if fitted, is not being used.</w:t>
      </w:r>
    </w:p>
    <w:p>
      <w:pPr>
        <w:pStyle w:val="yIndenta"/>
        <w:tabs>
          <w:tab w:val="clear" w:pos="1332"/>
          <w:tab w:val="clear" w:pos="1616"/>
          <w:tab w:val="right" w:pos="1026"/>
        </w:tabs>
        <w:ind w:left="1311" w:hanging="1311"/>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tabs>
          <w:tab w:val="clear" w:pos="1332"/>
          <w:tab w:val="clear" w:pos="1616"/>
          <w:tab w:val="right" w:pos="1026"/>
        </w:tabs>
        <w:ind w:left="1311" w:hanging="1311"/>
        <w:rPr>
          <w:snapToGrid w:val="0"/>
        </w:rPr>
      </w:pPr>
      <w:r>
        <w:rPr>
          <w:snapToGrid w:val="0"/>
        </w:rPr>
        <w:tab/>
        <w:t>(e)</w:t>
      </w:r>
      <w:r>
        <w:rPr>
          <w:snapToGrid w:val="0"/>
        </w:rPr>
        <w:tab/>
        <w:t>The word “seaplane” includes any aircraft designed to manoeuvre on the water.</w:t>
      </w:r>
    </w:p>
    <w:p>
      <w:pPr>
        <w:pStyle w:val="yIndenta"/>
        <w:tabs>
          <w:tab w:val="clear" w:pos="1332"/>
          <w:tab w:val="clear" w:pos="1616"/>
          <w:tab w:val="right" w:pos="1026"/>
        </w:tabs>
        <w:ind w:left="1311" w:hanging="1311"/>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r>
      <w:r>
        <w:rPr>
          <w:snapToGrid w:val="0"/>
        </w:rPr>
        <w:tab/>
        <w:t>The following vessels shall be regarded as vessels restricted in their ability to manoeuvre:</w:t>
      </w:r>
    </w:p>
    <w:p>
      <w:pPr>
        <w:pStyle w:val="yIndenti0"/>
        <w:tabs>
          <w:tab w:val="clear" w:pos="2041"/>
          <w:tab w:val="clear" w:pos="2325"/>
          <w:tab w:val="right" w:pos="1710"/>
        </w:tabs>
        <w:ind w:left="1995" w:hanging="1995"/>
        <w:rPr>
          <w:snapToGrid w:val="0"/>
        </w:rPr>
      </w:pPr>
      <w:r>
        <w:rPr>
          <w:snapToGrid w:val="0"/>
        </w:rPr>
        <w:tab/>
        <w:t>(i)</w:t>
      </w:r>
      <w:r>
        <w:rPr>
          <w:snapToGrid w:val="0"/>
        </w:rPr>
        <w:tab/>
        <w:t>a vessel engaged in laying, servicing or picking up a navigation mark, submarine cable or pipeline;</w:t>
      </w:r>
    </w:p>
    <w:p>
      <w:pPr>
        <w:pStyle w:val="yIndenti0"/>
        <w:tabs>
          <w:tab w:val="clear" w:pos="2041"/>
          <w:tab w:val="clear" w:pos="2325"/>
          <w:tab w:val="right" w:pos="1710"/>
        </w:tabs>
        <w:ind w:left="1995" w:hanging="1995"/>
        <w:rPr>
          <w:snapToGrid w:val="0"/>
        </w:rPr>
      </w:pPr>
      <w:r>
        <w:rPr>
          <w:snapToGrid w:val="0"/>
        </w:rPr>
        <w:tab/>
        <w:t>(ii)</w:t>
      </w:r>
      <w:r>
        <w:rPr>
          <w:snapToGrid w:val="0"/>
        </w:rPr>
        <w:tab/>
        <w:t>a vessel engaged in dredging, surveying or underwater operations;</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replenishment or transferring persons, provisions or cargo while underway;</w:t>
      </w:r>
    </w:p>
    <w:p>
      <w:pPr>
        <w:pStyle w:val="yIndenti0"/>
        <w:tabs>
          <w:tab w:val="clear" w:pos="2041"/>
          <w:tab w:val="clear" w:pos="2325"/>
          <w:tab w:val="right" w:pos="1710"/>
        </w:tabs>
        <w:ind w:left="1995" w:hanging="1995"/>
        <w:rPr>
          <w:snapToGrid w:val="0"/>
        </w:rPr>
      </w:pPr>
      <w:r>
        <w:rPr>
          <w:snapToGrid w:val="0"/>
        </w:rPr>
        <w:tab/>
        <w:t>(iv)</w:t>
      </w:r>
      <w:r>
        <w:rPr>
          <w:snapToGrid w:val="0"/>
        </w:rPr>
        <w:tab/>
        <w:t>a vessel engaged in the launching or recovery of aircraft;</w:t>
      </w:r>
    </w:p>
    <w:p>
      <w:pPr>
        <w:pStyle w:val="yIndenti0"/>
        <w:tabs>
          <w:tab w:val="clear" w:pos="2041"/>
          <w:tab w:val="clear" w:pos="2325"/>
          <w:tab w:val="right" w:pos="1710"/>
        </w:tabs>
        <w:ind w:left="1995" w:hanging="1995"/>
        <w:rPr>
          <w:snapToGrid w:val="0"/>
        </w:rPr>
      </w:pPr>
      <w:r>
        <w:rPr>
          <w:snapToGrid w:val="0"/>
        </w:rPr>
        <w:tab/>
        <w:t>(v)</w:t>
      </w:r>
      <w:r>
        <w:rPr>
          <w:snapToGrid w:val="0"/>
        </w:rPr>
        <w:tab/>
        <w:t>a vessel engaged in minesweeping operations;</w:t>
      </w:r>
    </w:p>
    <w:p>
      <w:pPr>
        <w:pStyle w:val="yIndenti0"/>
        <w:tabs>
          <w:tab w:val="clear" w:pos="2041"/>
          <w:tab w:val="clear" w:pos="2325"/>
          <w:tab w:val="right" w:pos="1710"/>
        </w:tabs>
        <w:ind w:left="1995" w:hanging="1995"/>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tabs>
          <w:tab w:val="clear" w:pos="1332"/>
          <w:tab w:val="clear" w:pos="1616"/>
          <w:tab w:val="right" w:pos="1026"/>
        </w:tabs>
        <w:ind w:left="1311" w:hanging="1311"/>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word “underway” means that a vessel is not at anchor, or made fast to the shore, or aground.</w:t>
      </w:r>
    </w:p>
    <w:p>
      <w:pPr>
        <w:pStyle w:val="yIndenta"/>
        <w:tabs>
          <w:tab w:val="clear" w:pos="1332"/>
          <w:tab w:val="clear" w:pos="1616"/>
          <w:tab w:val="right" w:pos="1026"/>
        </w:tabs>
        <w:ind w:left="1311" w:hanging="1311"/>
        <w:rPr>
          <w:snapToGrid w:val="0"/>
        </w:rPr>
      </w:pPr>
      <w:r>
        <w:rPr>
          <w:snapToGrid w:val="0"/>
        </w:rPr>
        <w:tab/>
        <w:t>(j)</w:t>
      </w:r>
      <w:r>
        <w:rPr>
          <w:snapToGrid w:val="0"/>
        </w:rPr>
        <w:tab/>
        <w:t>The words “length” and “breadth” of a vessel mean her length overall and greatest breadth.</w:t>
      </w:r>
    </w:p>
    <w:p>
      <w:pPr>
        <w:pStyle w:val="yIndenta"/>
        <w:tabs>
          <w:tab w:val="clear" w:pos="1332"/>
          <w:tab w:val="clear" w:pos="1616"/>
          <w:tab w:val="right" w:pos="1026"/>
        </w:tabs>
        <w:ind w:left="1311" w:hanging="1311"/>
        <w:rPr>
          <w:snapToGrid w:val="0"/>
        </w:rPr>
      </w:pPr>
      <w:r>
        <w:rPr>
          <w:snapToGrid w:val="0"/>
        </w:rPr>
        <w:tab/>
        <w:t>(k)</w:t>
      </w:r>
      <w:r>
        <w:rPr>
          <w:snapToGrid w:val="0"/>
        </w:rPr>
        <w:tab/>
        <w:t>Vessels shall be deemed to be in sight of one another only when one can be observed visually from the other.</w:t>
      </w:r>
    </w:p>
    <w:p>
      <w:pPr>
        <w:pStyle w:val="yIndenta"/>
        <w:tabs>
          <w:tab w:val="clear" w:pos="1332"/>
          <w:tab w:val="clear" w:pos="1616"/>
          <w:tab w:val="right" w:pos="1026"/>
        </w:tabs>
        <w:ind w:left="1311" w:hanging="1311"/>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tabs>
          <w:tab w:val="clear" w:pos="1332"/>
          <w:tab w:val="clear" w:pos="1616"/>
          <w:tab w:val="right" w:pos="1026"/>
        </w:tabs>
        <w:ind w:left="1311" w:hanging="1311"/>
        <w:rPr>
          <w:snapToGrid w:val="0"/>
        </w:rPr>
      </w:pPr>
      <w:r>
        <w:rPr>
          <w:snapToGrid w:val="0"/>
        </w:rPr>
        <w:tab/>
        <w:t>(a)</w:t>
      </w:r>
      <w:r>
        <w:rPr>
          <w:snapToGrid w:val="0"/>
        </w:rPr>
        <w:tab/>
        <w:t>By all vessels:</w:t>
      </w:r>
    </w:p>
    <w:p>
      <w:pPr>
        <w:pStyle w:val="yIndenti0"/>
        <w:tabs>
          <w:tab w:val="clear" w:pos="2041"/>
          <w:tab w:val="clear" w:pos="2325"/>
          <w:tab w:val="right" w:pos="1710"/>
        </w:tabs>
        <w:ind w:left="1995" w:hanging="1995"/>
        <w:rPr>
          <w:snapToGrid w:val="0"/>
        </w:rPr>
      </w:pPr>
      <w:r>
        <w:rPr>
          <w:snapToGrid w:val="0"/>
        </w:rPr>
        <w:tab/>
        <w:t>(i)</w:t>
      </w:r>
      <w:r>
        <w:rPr>
          <w:snapToGrid w:val="0"/>
        </w:rPr>
        <w:tab/>
        <w:t>the state of visibility;</w:t>
      </w:r>
    </w:p>
    <w:p>
      <w:pPr>
        <w:pStyle w:val="yIndenti0"/>
        <w:tabs>
          <w:tab w:val="clear" w:pos="2041"/>
          <w:tab w:val="clear" w:pos="2325"/>
          <w:tab w:val="right" w:pos="1710"/>
        </w:tabs>
        <w:ind w:left="1995" w:hanging="1995"/>
        <w:rPr>
          <w:snapToGrid w:val="0"/>
        </w:rPr>
      </w:pPr>
      <w:r>
        <w:rPr>
          <w:snapToGrid w:val="0"/>
        </w:rPr>
        <w:tab/>
        <w:t>(ii)</w:t>
      </w:r>
      <w:r>
        <w:rPr>
          <w:snapToGrid w:val="0"/>
        </w:rPr>
        <w:tab/>
        <w:t>the traffic density including concentrations of fishing vessels or any other vessels;</w:t>
      </w:r>
    </w:p>
    <w:p>
      <w:pPr>
        <w:pStyle w:val="yIndenti0"/>
        <w:tabs>
          <w:tab w:val="clear" w:pos="2041"/>
          <w:tab w:val="clear" w:pos="2325"/>
          <w:tab w:val="right" w:pos="1710"/>
        </w:tabs>
        <w:ind w:left="1995" w:hanging="1995"/>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tabs>
          <w:tab w:val="clear" w:pos="2041"/>
          <w:tab w:val="clear" w:pos="2325"/>
          <w:tab w:val="right" w:pos="1710"/>
        </w:tabs>
        <w:ind w:left="1995" w:hanging="1995"/>
        <w:rPr>
          <w:snapToGrid w:val="0"/>
        </w:rPr>
      </w:pPr>
      <w:r>
        <w:rPr>
          <w:snapToGrid w:val="0"/>
        </w:rPr>
        <w:tab/>
        <w:t>(iv)</w:t>
      </w:r>
      <w:r>
        <w:rPr>
          <w:snapToGrid w:val="0"/>
        </w:rPr>
        <w:tab/>
        <w:t>at night the presence of background light such as from shore lights or from back scatter of her own lights;</w:t>
      </w:r>
    </w:p>
    <w:p>
      <w:pPr>
        <w:pStyle w:val="yIndenti0"/>
        <w:tabs>
          <w:tab w:val="clear" w:pos="2041"/>
          <w:tab w:val="clear" w:pos="2325"/>
          <w:tab w:val="right" w:pos="1710"/>
        </w:tabs>
        <w:ind w:left="1995" w:hanging="1995"/>
        <w:rPr>
          <w:snapToGrid w:val="0"/>
        </w:rPr>
      </w:pPr>
      <w:r>
        <w:rPr>
          <w:snapToGrid w:val="0"/>
        </w:rPr>
        <w:tab/>
        <w:t>(v)</w:t>
      </w:r>
      <w:r>
        <w:rPr>
          <w:snapToGrid w:val="0"/>
        </w:rPr>
        <w:tab/>
        <w:t>the state of wind, sea and current, and the proximity of navigational hazards;</w:t>
      </w:r>
    </w:p>
    <w:p>
      <w:pPr>
        <w:pStyle w:val="yIndenti0"/>
        <w:tabs>
          <w:tab w:val="clear" w:pos="2041"/>
          <w:tab w:val="clear" w:pos="2325"/>
          <w:tab w:val="right" w:pos="1710"/>
        </w:tabs>
        <w:ind w:left="1995" w:hanging="1995"/>
        <w:rPr>
          <w:snapToGrid w:val="0"/>
        </w:rPr>
      </w:pPr>
      <w:r>
        <w:rPr>
          <w:snapToGrid w:val="0"/>
        </w:rPr>
        <w:tab/>
        <w:t>(vi)</w:t>
      </w:r>
      <w:r>
        <w:rPr>
          <w:snapToGrid w:val="0"/>
        </w:rPr>
        <w:tab/>
        <w:t>the draught in relation to the available depth of water.</w:t>
      </w:r>
    </w:p>
    <w:p>
      <w:pPr>
        <w:pStyle w:val="yIndenta"/>
        <w:tabs>
          <w:tab w:val="clear" w:pos="1332"/>
          <w:tab w:val="clear" w:pos="1616"/>
          <w:tab w:val="right" w:pos="1026"/>
        </w:tabs>
        <w:ind w:left="1311" w:hanging="1311"/>
        <w:rPr>
          <w:snapToGrid w:val="0"/>
        </w:rPr>
      </w:pPr>
      <w:r>
        <w:rPr>
          <w:snapToGrid w:val="0"/>
        </w:rPr>
        <w:tab/>
        <w:t>(b)</w:t>
      </w:r>
      <w:r>
        <w:rPr>
          <w:snapToGrid w:val="0"/>
        </w:rPr>
        <w:tab/>
        <w:t>Additionally, by vessels with operational radar:</w:t>
      </w:r>
    </w:p>
    <w:p>
      <w:pPr>
        <w:pStyle w:val="yIndenti0"/>
        <w:tabs>
          <w:tab w:val="clear" w:pos="2041"/>
          <w:tab w:val="clear" w:pos="2325"/>
          <w:tab w:val="right" w:pos="1710"/>
        </w:tabs>
        <w:ind w:left="1995" w:hanging="1995"/>
        <w:rPr>
          <w:snapToGrid w:val="0"/>
        </w:rPr>
      </w:pPr>
      <w:r>
        <w:rPr>
          <w:snapToGrid w:val="0"/>
        </w:rPr>
        <w:tab/>
        <w:t>(i)</w:t>
      </w:r>
      <w:r>
        <w:rPr>
          <w:snapToGrid w:val="0"/>
        </w:rPr>
        <w:tab/>
        <w:t>the characteristics, efficiency and limitations of the radar equipment;</w:t>
      </w:r>
    </w:p>
    <w:p>
      <w:pPr>
        <w:pStyle w:val="yIndenti0"/>
        <w:tabs>
          <w:tab w:val="clear" w:pos="2041"/>
          <w:tab w:val="clear" w:pos="2325"/>
          <w:tab w:val="right" w:pos="1710"/>
        </w:tabs>
        <w:ind w:left="1995" w:hanging="1995"/>
        <w:rPr>
          <w:snapToGrid w:val="0"/>
        </w:rPr>
      </w:pPr>
      <w:r>
        <w:rPr>
          <w:snapToGrid w:val="0"/>
        </w:rPr>
        <w:tab/>
        <w:t>(ii)</w:t>
      </w:r>
      <w:r>
        <w:rPr>
          <w:snapToGrid w:val="0"/>
        </w:rPr>
        <w:tab/>
        <w:t>any constraints imposed by the radar range scale in use;</w:t>
      </w:r>
    </w:p>
    <w:p>
      <w:pPr>
        <w:pStyle w:val="yIndenti0"/>
        <w:tabs>
          <w:tab w:val="clear" w:pos="2041"/>
          <w:tab w:val="clear" w:pos="2325"/>
          <w:tab w:val="right" w:pos="1710"/>
        </w:tabs>
        <w:ind w:left="1995" w:hanging="1995"/>
        <w:rPr>
          <w:snapToGrid w:val="0"/>
        </w:rPr>
      </w:pPr>
      <w:r>
        <w:rPr>
          <w:snapToGrid w:val="0"/>
        </w:rPr>
        <w:tab/>
        <w:t>(iii)</w:t>
      </w:r>
      <w:r>
        <w:rPr>
          <w:snapToGrid w:val="0"/>
        </w:rPr>
        <w:tab/>
        <w:t>the effect on radar detection of the sea state, weather and other sources of interference;</w:t>
      </w:r>
    </w:p>
    <w:p>
      <w:pPr>
        <w:pStyle w:val="yIndenti0"/>
        <w:tabs>
          <w:tab w:val="clear" w:pos="2041"/>
          <w:tab w:val="clear" w:pos="2325"/>
          <w:tab w:val="right" w:pos="1710"/>
        </w:tabs>
        <w:ind w:left="1995" w:hanging="1995"/>
        <w:rPr>
          <w:snapToGrid w:val="0"/>
        </w:rPr>
      </w:pPr>
      <w:r>
        <w:rPr>
          <w:snapToGrid w:val="0"/>
        </w:rPr>
        <w:tab/>
        <w:t>(iv)</w:t>
      </w:r>
      <w:r>
        <w:rPr>
          <w:snapToGrid w:val="0"/>
        </w:rPr>
        <w:tab/>
        <w:t>the possibility that small vessels, ice and other floating objects may not be detected by radar at an adequate range;</w:t>
      </w:r>
    </w:p>
    <w:p>
      <w:pPr>
        <w:pStyle w:val="yIndenti0"/>
        <w:tabs>
          <w:tab w:val="clear" w:pos="2041"/>
          <w:tab w:val="clear" w:pos="2325"/>
          <w:tab w:val="right" w:pos="1710"/>
        </w:tabs>
        <w:ind w:left="1995" w:hanging="1995"/>
        <w:rPr>
          <w:snapToGrid w:val="0"/>
        </w:rPr>
      </w:pPr>
      <w:r>
        <w:rPr>
          <w:snapToGrid w:val="0"/>
        </w:rPr>
        <w:tab/>
        <w:t>(v)</w:t>
      </w:r>
      <w:r>
        <w:rPr>
          <w:snapToGrid w:val="0"/>
        </w:rPr>
        <w:tab/>
        <w:t>the number, location and movement of vessels detected by radar;</w:t>
      </w:r>
    </w:p>
    <w:p>
      <w:pPr>
        <w:pStyle w:val="yIndenti0"/>
        <w:tabs>
          <w:tab w:val="clear" w:pos="2041"/>
          <w:tab w:val="clear" w:pos="2325"/>
          <w:tab w:val="right" w:pos="1710"/>
        </w:tabs>
        <w:ind w:left="1995" w:hanging="1995"/>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rPr>
          <w:snapToGrid w:val="0"/>
        </w:rPr>
      </w:pPr>
      <w:r>
        <w:rPr>
          <w:snapToGrid w:val="0"/>
        </w:rPr>
        <w:t>RULE 7</w:t>
      </w:r>
    </w:p>
    <w:p>
      <w:pPr>
        <w:pStyle w:val="yMiscellaneousHeading"/>
        <w:rPr>
          <w:i/>
          <w:snapToGrid w:val="0"/>
        </w:rPr>
      </w:pPr>
      <w:r>
        <w:rPr>
          <w:i/>
          <w:snapToGrid w:val="0"/>
        </w:rPr>
        <w:t>Risk of Collision</w:t>
      </w:r>
    </w:p>
    <w:p>
      <w:pPr>
        <w:pStyle w:val="yMiscellaneousBody"/>
        <w:ind w:left="570" w:hanging="570"/>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ind w:left="570" w:hanging="570"/>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ind w:left="570" w:hanging="570"/>
        <w:rPr>
          <w:snapToGrid w:val="0"/>
        </w:rPr>
      </w:pPr>
      <w:r>
        <w:rPr>
          <w:snapToGrid w:val="0"/>
        </w:rPr>
        <w:t>(c)</w:t>
      </w:r>
      <w:r>
        <w:rPr>
          <w:snapToGrid w:val="0"/>
        </w:rPr>
        <w:tab/>
        <w:t>Assumptions shall not be made on the basis of scanty information, especially scanty radar information.</w:t>
      </w:r>
    </w:p>
    <w:p>
      <w:pPr>
        <w:pStyle w:val="yMiscellaneousBody"/>
        <w:ind w:left="570" w:hanging="570"/>
        <w:rPr>
          <w:snapToGrid w:val="0"/>
        </w:rPr>
      </w:pPr>
      <w:r>
        <w:rPr>
          <w:snapToGrid w:val="0"/>
        </w:rPr>
        <w:t>(d)</w:t>
      </w:r>
      <w:r>
        <w:rPr>
          <w:snapToGrid w:val="0"/>
        </w:rPr>
        <w:tab/>
        <w:t>In determining if risk of collision exists the following considerations shall be among those taken into account:</w:t>
      </w:r>
    </w:p>
    <w:p>
      <w:pPr>
        <w:pStyle w:val="yIndenta"/>
        <w:tabs>
          <w:tab w:val="clear" w:pos="1332"/>
          <w:tab w:val="clear" w:pos="1616"/>
          <w:tab w:val="right" w:pos="1026"/>
        </w:tabs>
        <w:ind w:left="1311" w:hanging="1311"/>
        <w:rPr>
          <w:snapToGrid w:val="0"/>
        </w:rPr>
      </w:pPr>
      <w:r>
        <w:rPr>
          <w:snapToGrid w:val="0"/>
        </w:rPr>
        <w:tab/>
        <w:t>(i)</w:t>
      </w:r>
      <w:r>
        <w:rPr>
          <w:snapToGrid w:val="0"/>
        </w:rPr>
        <w:tab/>
        <w:t>such risk shall be deemed to exist if the compass bearing of an approaching vessel does not appreciably change;</w:t>
      </w:r>
    </w:p>
    <w:p>
      <w:pPr>
        <w:pStyle w:val="yIndenta"/>
        <w:tabs>
          <w:tab w:val="clear" w:pos="1332"/>
          <w:tab w:val="clear" w:pos="1616"/>
          <w:tab w:val="right" w:pos="1026"/>
        </w:tabs>
        <w:ind w:left="1311" w:hanging="1311"/>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rPr>
          <w:snapToGrid w:val="0"/>
        </w:rPr>
      </w:pPr>
      <w:r>
        <w:rPr>
          <w:snapToGrid w:val="0"/>
        </w:rPr>
        <w:t>RULE 8</w:t>
      </w:r>
    </w:p>
    <w:p>
      <w:pPr>
        <w:pStyle w:val="yMiscellaneousHeading"/>
        <w:rPr>
          <w:i/>
          <w:snapToGrid w:val="0"/>
        </w:rPr>
      </w:pPr>
      <w:r>
        <w:rPr>
          <w:i/>
          <w:snapToGrid w:val="0"/>
        </w:rPr>
        <w:t>Action to avoid collision</w:t>
      </w:r>
    </w:p>
    <w:p>
      <w:pPr>
        <w:pStyle w:val="yMiscellaneousBody"/>
        <w:ind w:left="570" w:hanging="570"/>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ind w:left="570" w:hanging="570"/>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ind w:left="570" w:hanging="570"/>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ind w:left="570" w:hanging="570"/>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ind w:left="570" w:hanging="570"/>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rPr>
          <w:snapToGrid w:val="0"/>
        </w:rPr>
      </w:pPr>
      <w:r>
        <w:rPr>
          <w:snapToGrid w:val="0"/>
        </w:rPr>
        <w:t>RULE 9</w:t>
      </w:r>
    </w:p>
    <w:p>
      <w:pPr>
        <w:pStyle w:val="yMiscellaneousHeading"/>
        <w:rPr>
          <w:i/>
          <w:snapToGrid w:val="0"/>
        </w:rPr>
      </w:pPr>
      <w:r>
        <w:rPr>
          <w:i/>
          <w:snapToGrid w:val="0"/>
        </w:rPr>
        <w:t>Narrow channels</w:t>
      </w:r>
    </w:p>
    <w:p>
      <w:pPr>
        <w:pStyle w:val="yMiscellaneousBody"/>
        <w:ind w:left="570" w:hanging="570"/>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ind w:left="570" w:hanging="570"/>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ind w:left="570" w:hanging="570"/>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ind w:left="570" w:hanging="570"/>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tabs>
          <w:tab w:val="clear" w:pos="1332"/>
          <w:tab w:val="clear" w:pos="1616"/>
          <w:tab w:val="right" w:pos="1026"/>
        </w:tabs>
        <w:ind w:left="1311" w:hanging="1311"/>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tabs>
          <w:tab w:val="clear" w:pos="1332"/>
          <w:tab w:val="clear" w:pos="1616"/>
          <w:tab w:val="right" w:pos="1026"/>
        </w:tabs>
        <w:ind w:left="1311" w:hanging="1311"/>
        <w:rPr>
          <w:snapToGrid w:val="0"/>
        </w:rPr>
      </w:pPr>
      <w:r>
        <w:rPr>
          <w:snapToGrid w:val="0"/>
        </w:rPr>
        <w:tab/>
        <w:t>(ii)</w:t>
      </w:r>
      <w:r>
        <w:rPr>
          <w:snapToGrid w:val="0"/>
        </w:rPr>
        <w:tab/>
        <w:t>This Rule does not relieve the overtaking vessel of her obligation under Rule 13.</w:t>
      </w:r>
    </w:p>
    <w:p>
      <w:pPr>
        <w:pStyle w:val="yMiscellaneousBody"/>
        <w:ind w:left="570" w:hanging="570"/>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ind w:left="570" w:hanging="570"/>
        <w:rPr>
          <w:snapToGrid w:val="0"/>
        </w:rPr>
      </w:pPr>
      <w:r>
        <w:rPr>
          <w:snapToGrid w:val="0"/>
        </w:rPr>
        <w:t>(g)</w:t>
      </w:r>
      <w:r>
        <w:rPr>
          <w:snapToGrid w:val="0"/>
        </w:rPr>
        <w:tab/>
        <w:t>Any vessel shall, if the circumstances of the case admit, avoid anchoring in a narrow channel.</w:t>
      </w:r>
    </w:p>
    <w:p>
      <w:pPr>
        <w:pStyle w:val="yMiscellaneousHeading"/>
        <w:spacing w:before="300"/>
        <w:rPr>
          <w:snapToGrid w:val="0"/>
        </w:rPr>
      </w:pPr>
      <w:r>
        <w:rPr>
          <w:snapToGrid w:val="0"/>
        </w:rPr>
        <w:t>RULE 10</w:t>
      </w:r>
    </w:p>
    <w:p>
      <w:pPr>
        <w:pStyle w:val="yMiscellaneousHeading"/>
        <w:rPr>
          <w:i/>
          <w:snapToGrid w:val="0"/>
        </w:rPr>
      </w:pPr>
      <w:r>
        <w:rPr>
          <w:i/>
          <w:snapToGrid w:val="0"/>
        </w:rPr>
        <w:t>Traffic separation schemes</w:t>
      </w:r>
    </w:p>
    <w:p>
      <w:pPr>
        <w:pStyle w:val="yMiscellaneousBody"/>
        <w:ind w:left="570" w:hanging="570"/>
        <w:rPr>
          <w:snapToGrid w:val="0"/>
        </w:rPr>
      </w:pPr>
      <w:r>
        <w:rPr>
          <w:snapToGrid w:val="0"/>
        </w:rPr>
        <w:t>(a)</w:t>
      </w:r>
      <w:r>
        <w:rPr>
          <w:snapToGrid w:val="0"/>
        </w:rPr>
        <w:tab/>
        <w:t>This Rule applies to traffic separation schemes adopted by the Organization.</w:t>
      </w:r>
    </w:p>
    <w:p>
      <w:pPr>
        <w:pStyle w:val="yMiscellaneousBody"/>
        <w:ind w:left="570" w:hanging="570"/>
        <w:rPr>
          <w:snapToGrid w:val="0"/>
        </w:rPr>
      </w:pPr>
      <w:r>
        <w:rPr>
          <w:snapToGrid w:val="0"/>
        </w:rPr>
        <w:t>(b)</w:t>
      </w:r>
      <w:r>
        <w:rPr>
          <w:snapToGrid w:val="0"/>
        </w:rPr>
        <w:tab/>
        <w:t>A vessel using a traffic separation scheme shall:</w:t>
      </w:r>
    </w:p>
    <w:p>
      <w:pPr>
        <w:pStyle w:val="yIndenta"/>
        <w:tabs>
          <w:tab w:val="clear" w:pos="1332"/>
          <w:tab w:val="clear" w:pos="1616"/>
          <w:tab w:val="right" w:pos="1026"/>
        </w:tabs>
        <w:ind w:left="1311" w:hanging="1311"/>
        <w:rPr>
          <w:snapToGrid w:val="0"/>
        </w:rPr>
      </w:pPr>
      <w:r>
        <w:rPr>
          <w:snapToGrid w:val="0"/>
        </w:rPr>
        <w:tab/>
        <w:t>(i)</w:t>
      </w:r>
      <w:r>
        <w:rPr>
          <w:snapToGrid w:val="0"/>
        </w:rPr>
        <w:tab/>
        <w:t>proceed in the appropriate traffic lane in the general direction of traffic flow for that lane;</w:t>
      </w:r>
    </w:p>
    <w:p>
      <w:pPr>
        <w:pStyle w:val="yIndenta"/>
        <w:tabs>
          <w:tab w:val="clear" w:pos="1332"/>
          <w:tab w:val="clear" w:pos="1616"/>
          <w:tab w:val="right" w:pos="1026"/>
        </w:tabs>
        <w:ind w:left="1311" w:hanging="1311"/>
        <w:rPr>
          <w:snapToGrid w:val="0"/>
        </w:rPr>
      </w:pPr>
      <w:r>
        <w:rPr>
          <w:snapToGrid w:val="0"/>
        </w:rPr>
        <w:tab/>
        <w:t>(ii)</w:t>
      </w:r>
      <w:r>
        <w:rPr>
          <w:snapToGrid w:val="0"/>
        </w:rPr>
        <w:tab/>
        <w:t>so far as practicable keep clear of a traffic separation line or separation zone;</w:t>
      </w:r>
    </w:p>
    <w:p>
      <w:pPr>
        <w:pStyle w:val="yIndenta"/>
        <w:tabs>
          <w:tab w:val="clear" w:pos="1332"/>
          <w:tab w:val="clear" w:pos="1616"/>
          <w:tab w:val="right" w:pos="1026"/>
        </w:tabs>
        <w:ind w:left="1311" w:hanging="1311"/>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ind w:left="570" w:hanging="570"/>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ind w:left="570" w:hanging="570"/>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ind w:left="570" w:hanging="570"/>
        <w:rPr>
          <w:snapToGrid w:val="0"/>
        </w:rPr>
      </w:pPr>
      <w:r>
        <w:rPr>
          <w:snapToGrid w:val="0"/>
        </w:rPr>
        <w:t>(e)</w:t>
      </w:r>
      <w:r>
        <w:rPr>
          <w:snapToGrid w:val="0"/>
        </w:rPr>
        <w:tab/>
        <w:t>A vessel, other than a crossing vessel, shall not normally enter a separation zone or cross a separation line except:</w:t>
      </w:r>
    </w:p>
    <w:p>
      <w:pPr>
        <w:pStyle w:val="yIndenta"/>
        <w:tabs>
          <w:tab w:val="clear" w:pos="1332"/>
          <w:tab w:val="clear" w:pos="1616"/>
          <w:tab w:val="right" w:pos="1026"/>
        </w:tabs>
        <w:ind w:left="1311" w:hanging="1311"/>
        <w:rPr>
          <w:snapToGrid w:val="0"/>
        </w:rPr>
      </w:pPr>
      <w:r>
        <w:rPr>
          <w:snapToGrid w:val="0"/>
        </w:rPr>
        <w:tab/>
        <w:t>(i)</w:t>
      </w:r>
      <w:r>
        <w:rPr>
          <w:snapToGrid w:val="0"/>
        </w:rPr>
        <w:tab/>
        <w:t>in cases of emergency to avoid immediate danger;</w:t>
      </w:r>
    </w:p>
    <w:p>
      <w:pPr>
        <w:pStyle w:val="yIndenta"/>
        <w:tabs>
          <w:tab w:val="clear" w:pos="1332"/>
          <w:tab w:val="clear" w:pos="1616"/>
          <w:tab w:val="right" w:pos="1026"/>
        </w:tabs>
        <w:ind w:left="1311" w:hanging="1311"/>
        <w:rPr>
          <w:snapToGrid w:val="0"/>
        </w:rPr>
      </w:pPr>
      <w:r>
        <w:rPr>
          <w:snapToGrid w:val="0"/>
        </w:rPr>
        <w:tab/>
        <w:t>(ii)</w:t>
      </w:r>
      <w:r>
        <w:rPr>
          <w:snapToGrid w:val="0"/>
        </w:rPr>
        <w:tab/>
        <w:t>to engage in fishing within a separation zone.</w:t>
      </w:r>
    </w:p>
    <w:p>
      <w:pPr>
        <w:pStyle w:val="yMiscellaneousBody"/>
        <w:ind w:left="570" w:hanging="570"/>
        <w:rPr>
          <w:snapToGrid w:val="0"/>
        </w:rPr>
      </w:pPr>
      <w:r>
        <w:rPr>
          <w:snapToGrid w:val="0"/>
        </w:rPr>
        <w:t>(f)</w:t>
      </w:r>
      <w:r>
        <w:rPr>
          <w:snapToGrid w:val="0"/>
        </w:rPr>
        <w:tab/>
        <w:t>A vessel navigating in areas near the terminations of traffic separation schemes shall do so with particular caution.</w:t>
      </w:r>
    </w:p>
    <w:p>
      <w:pPr>
        <w:pStyle w:val="yMiscellaneousBody"/>
        <w:ind w:left="570" w:hanging="570"/>
        <w:rPr>
          <w:snapToGrid w:val="0"/>
        </w:rPr>
      </w:pPr>
      <w:r>
        <w:rPr>
          <w:snapToGrid w:val="0"/>
        </w:rPr>
        <w:t>(g)</w:t>
      </w:r>
      <w:r>
        <w:rPr>
          <w:snapToGrid w:val="0"/>
        </w:rPr>
        <w:tab/>
        <w:t>A vessel shall so far as practicable avoid anchoring in a traffic separation scheme or in areas near its terminations.</w:t>
      </w:r>
    </w:p>
    <w:p>
      <w:pPr>
        <w:pStyle w:val="yMiscellaneousBody"/>
        <w:ind w:left="570" w:hanging="570"/>
        <w:rPr>
          <w:snapToGrid w:val="0"/>
        </w:rPr>
      </w:pPr>
      <w:r>
        <w:rPr>
          <w:snapToGrid w:val="0"/>
        </w:rPr>
        <w:t>(h)</w:t>
      </w:r>
      <w:r>
        <w:rPr>
          <w:snapToGrid w:val="0"/>
        </w:rPr>
        <w:tab/>
        <w:t>A vessel not using a traffic separation scheme shall avoid it by as wide a margin as is practicable.</w:t>
      </w:r>
    </w:p>
    <w:p>
      <w:pPr>
        <w:pStyle w:val="yMiscellaneousBody"/>
        <w:ind w:left="570" w:hanging="570"/>
        <w:rPr>
          <w:snapToGrid w:val="0"/>
        </w:rPr>
      </w:pPr>
      <w:r>
        <w:rPr>
          <w:snapToGrid w:val="0"/>
        </w:rPr>
        <w:t>(i)</w:t>
      </w:r>
      <w:r>
        <w:rPr>
          <w:snapToGrid w:val="0"/>
        </w:rPr>
        <w:tab/>
        <w:t>A vessel engaged in fishing shall not impede the passage of any vessel following a traffic lane.</w:t>
      </w:r>
    </w:p>
    <w:p>
      <w:pPr>
        <w:pStyle w:val="yMiscellaneousBody"/>
        <w:ind w:left="570" w:hanging="570"/>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8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rPr>
          <w:snapToGrid w:val="0"/>
        </w:rPr>
      </w:pPr>
      <w:r>
        <w:rPr>
          <w:snapToGrid w:val="0"/>
        </w:rPr>
        <w:t>RULE 12</w:t>
      </w:r>
    </w:p>
    <w:p>
      <w:pPr>
        <w:pStyle w:val="yMiscellaneousHeading"/>
        <w:rPr>
          <w:i/>
          <w:snapToGrid w:val="0"/>
        </w:rPr>
      </w:pPr>
      <w:r>
        <w:rPr>
          <w:i/>
          <w:snapToGrid w:val="0"/>
        </w:rPr>
        <w:t>Sailing vessels</w:t>
      </w:r>
    </w:p>
    <w:p>
      <w:pPr>
        <w:pStyle w:val="yMiscellaneousBody"/>
        <w:ind w:left="570" w:hanging="570"/>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tabs>
          <w:tab w:val="clear" w:pos="1332"/>
          <w:tab w:val="clear" w:pos="1616"/>
          <w:tab w:val="right" w:pos="1026"/>
        </w:tabs>
        <w:ind w:left="1311" w:hanging="1311"/>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tabs>
          <w:tab w:val="clear" w:pos="1332"/>
          <w:tab w:val="clear" w:pos="1616"/>
          <w:tab w:val="right" w:pos="1026"/>
        </w:tabs>
        <w:ind w:left="1311" w:hanging="1311"/>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tabs>
          <w:tab w:val="clear" w:pos="1332"/>
          <w:tab w:val="clear" w:pos="1616"/>
          <w:tab w:val="right" w:pos="1026"/>
        </w:tabs>
        <w:ind w:left="1311" w:hanging="1311"/>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ind w:left="570" w:hanging="570"/>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rPr>
          <w:snapToGrid w:val="0"/>
        </w:rPr>
      </w:pPr>
      <w:r>
        <w:rPr>
          <w:snapToGrid w:val="0"/>
        </w:rPr>
        <w:t>RULE 13</w:t>
      </w:r>
    </w:p>
    <w:p>
      <w:pPr>
        <w:pStyle w:val="yMiscellaneousHeading"/>
        <w:rPr>
          <w:i/>
          <w:snapToGrid w:val="0"/>
        </w:rPr>
      </w:pPr>
      <w:r>
        <w:rPr>
          <w:i/>
          <w:snapToGrid w:val="0"/>
        </w:rPr>
        <w:t>Overtaking</w:t>
      </w:r>
    </w:p>
    <w:p>
      <w:pPr>
        <w:pStyle w:val="yMiscellaneousBody"/>
        <w:ind w:left="570" w:hanging="570"/>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ind w:left="570" w:hanging="570"/>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ind w:left="570" w:hanging="570"/>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ind w:left="570" w:hanging="570"/>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ind w:left="570" w:hanging="570"/>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ind w:left="570" w:hanging="570"/>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ind w:left="570" w:hanging="570"/>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4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4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4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tabs>
          <w:tab w:val="clear" w:pos="1332"/>
          <w:tab w:val="clear" w:pos="1616"/>
          <w:tab w:val="right" w:pos="1026"/>
        </w:tabs>
        <w:ind w:left="1311" w:hanging="1311"/>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tabs>
          <w:tab w:val="clear" w:pos="1332"/>
          <w:tab w:val="clear" w:pos="1616"/>
          <w:tab w:val="right" w:pos="1026"/>
        </w:tabs>
        <w:ind w:left="1311" w:hanging="1311"/>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ind w:left="570" w:hanging="570"/>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keepNext/>
        <w:keepLines/>
        <w:ind w:left="570" w:hanging="570"/>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ind w:left="570" w:hanging="570"/>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4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i0"/>
        <w:tabs>
          <w:tab w:val="clear" w:pos="2041"/>
          <w:tab w:val="clear" w:pos="2325"/>
          <w:tab w:val="right" w:pos="1710"/>
        </w:tabs>
        <w:ind w:left="1995" w:hanging="1995"/>
        <w:rPr>
          <w:snapToGrid w:val="0"/>
        </w:rPr>
      </w:pPr>
      <w:r>
        <w:rPr>
          <w:snapToGrid w:val="0"/>
        </w:rPr>
        <w:tab/>
        <w:t>(iv)</w:t>
      </w:r>
      <w:r>
        <w:rPr>
          <w:snapToGrid w:val="0"/>
        </w:rPr>
        <w:tab/>
        <w:t>a sailing vessel.</w:t>
      </w:r>
    </w:p>
    <w:p>
      <w:pPr>
        <w:pStyle w:val="yIndenta"/>
        <w:tabs>
          <w:tab w:val="clear" w:pos="1332"/>
          <w:tab w:val="clear" w:pos="1616"/>
          <w:tab w:val="right" w:pos="1026"/>
        </w:tabs>
        <w:ind w:left="1311" w:hanging="1311"/>
        <w:rPr>
          <w:snapToGrid w:val="0"/>
        </w:rPr>
      </w:pPr>
      <w:r>
        <w:rPr>
          <w:snapToGrid w:val="0"/>
        </w:rPr>
        <w:tab/>
        <w:t>(b)</w:t>
      </w:r>
      <w:r>
        <w:rPr>
          <w:snapToGrid w:val="0"/>
        </w:rPr>
        <w:tab/>
        <w:t>A sailing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a"/>
        <w:tabs>
          <w:tab w:val="clear" w:pos="1332"/>
          <w:tab w:val="clear" w:pos="1616"/>
          <w:tab w:val="right" w:pos="1026"/>
        </w:tabs>
        <w:ind w:left="1311" w:hanging="1311"/>
        <w:rPr>
          <w:snapToGrid w:val="0"/>
        </w:rPr>
      </w:pPr>
      <w:r>
        <w:rPr>
          <w:snapToGrid w:val="0"/>
        </w:rPr>
        <w:tab/>
        <w:t>(c)</w:t>
      </w:r>
      <w:r>
        <w:rPr>
          <w:snapToGrid w:val="0"/>
        </w:rPr>
        <w:tab/>
        <w:t>A vessel engaged in fishing when underway shall, so far as possible, keep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tabs>
          <w:tab w:val="clear" w:pos="2041"/>
          <w:tab w:val="clear" w:pos="2325"/>
          <w:tab w:val="right" w:pos="1710"/>
        </w:tabs>
        <w:ind w:left="1995" w:hanging="1995"/>
        <w:rPr>
          <w:snapToGrid w:val="0"/>
        </w:rPr>
      </w:pPr>
      <w:r>
        <w:rPr>
          <w:snapToGrid w:val="0"/>
        </w:rPr>
        <w:tab/>
        <w:t>(ii)</w:t>
      </w:r>
      <w:r>
        <w:rPr>
          <w:snapToGrid w:val="0"/>
        </w:rPr>
        <w:tab/>
        <w:t>A vessel constrained by her draught shall navigate with particular caution having full regard to her special condition.</w:t>
      </w:r>
    </w:p>
    <w:p>
      <w:pPr>
        <w:pStyle w:val="yIndenta"/>
        <w:keepNext/>
        <w:keepLines/>
        <w:tabs>
          <w:tab w:val="clear" w:pos="1332"/>
          <w:tab w:val="clear" w:pos="1616"/>
          <w:tab w:val="right" w:pos="1026"/>
        </w:tabs>
        <w:ind w:left="1311" w:hanging="1311"/>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rPr>
          <w:snapToGrid w:val="0"/>
        </w:rPr>
      </w:pPr>
      <w:r>
        <w:rPr>
          <w:snapToGrid w:val="0"/>
        </w:rPr>
        <w:t>SECTION III — CONDUCT OF VESSELS IN RESTRICTED VISIBILITY</w:t>
      </w:r>
    </w:p>
    <w:p>
      <w:pPr>
        <w:pStyle w:val="yMiscellaneousHeading"/>
        <w:spacing w:before="34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ind w:left="570" w:hanging="570"/>
        <w:rPr>
          <w:snapToGrid w:val="0"/>
        </w:rPr>
      </w:pPr>
      <w:r>
        <w:rPr>
          <w:snapToGrid w:val="0"/>
        </w:rPr>
        <w:t>(a)</w:t>
      </w:r>
      <w:r>
        <w:rPr>
          <w:snapToGrid w:val="0"/>
        </w:rPr>
        <w:tab/>
        <w:t>This Rule applies to vessels not in sight of one another when navigating in or near an area of restricted visibility.</w:t>
      </w:r>
    </w:p>
    <w:p>
      <w:pPr>
        <w:pStyle w:val="yMiscellaneousBody"/>
        <w:ind w:left="570" w:hanging="570"/>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ind w:left="570" w:hanging="570"/>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ind w:left="570" w:hanging="570"/>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tabs>
          <w:tab w:val="clear" w:pos="1332"/>
          <w:tab w:val="clear" w:pos="1616"/>
          <w:tab w:val="right" w:pos="1026"/>
        </w:tabs>
        <w:ind w:left="1311" w:hanging="1311"/>
        <w:rPr>
          <w:snapToGrid w:val="0"/>
        </w:rPr>
      </w:pPr>
      <w:r>
        <w:rPr>
          <w:snapToGrid w:val="0"/>
        </w:rPr>
        <w:tab/>
        <w:t>(i)</w:t>
      </w:r>
      <w:r>
        <w:rPr>
          <w:snapToGrid w:val="0"/>
        </w:rPr>
        <w:tab/>
        <w:t>an alteration of course to port for a vessel forward of the beam, other than for a vessel being overtaken;</w:t>
      </w:r>
    </w:p>
    <w:p>
      <w:pPr>
        <w:pStyle w:val="yIndenta"/>
        <w:tabs>
          <w:tab w:val="clear" w:pos="1332"/>
          <w:tab w:val="clear" w:pos="1616"/>
          <w:tab w:val="right" w:pos="1026"/>
        </w:tabs>
        <w:ind w:left="1311" w:hanging="1311"/>
        <w:rPr>
          <w:snapToGrid w:val="0"/>
        </w:rPr>
      </w:pPr>
      <w:r>
        <w:rPr>
          <w:snapToGrid w:val="0"/>
        </w:rPr>
        <w:tab/>
        <w:t>(ii)</w:t>
      </w:r>
      <w:r>
        <w:rPr>
          <w:snapToGrid w:val="0"/>
        </w:rPr>
        <w:tab/>
        <w:t>an alteration of course towards a vessel abeam or abaft the beam.</w:t>
      </w:r>
    </w:p>
    <w:p>
      <w:pPr>
        <w:pStyle w:val="yMiscellaneousBody"/>
        <w:ind w:left="570" w:hanging="570"/>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rPr>
          <w:snapToGrid w:val="0"/>
        </w:rPr>
      </w:pPr>
      <w:r>
        <w:rPr>
          <w:snapToGrid w:val="0"/>
        </w:rPr>
        <w:t>PART C — LIGHTS AND SHAPES</w:t>
      </w:r>
    </w:p>
    <w:p>
      <w:pPr>
        <w:pStyle w:val="yMiscellaneousHeading"/>
        <w:spacing w:before="340"/>
        <w:rPr>
          <w:snapToGrid w:val="0"/>
        </w:rPr>
      </w:pPr>
      <w:r>
        <w:rPr>
          <w:snapToGrid w:val="0"/>
        </w:rPr>
        <w:t>RULE 20</w:t>
      </w:r>
    </w:p>
    <w:p>
      <w:pPr>
        <w:pStyle w:val="yMiscellaneousHeading"/>
        <w:rPr>
          <w:i/>
          <w:snapToGrid w:val="0"/>
        </w:rPr>
      </w:pPr>
      <w:r>
        <w:rPr>
          <w:i/>
          <w:snapToGrid w:val="0"/>
        </w:rPr>
        <w:t>Application</w:t>
      </w:r>
    </w:p>
    <w:p>
      <w:pPr>
        <w:pStyle w:val="yMiscellaneousBody"/>
        <w:keepNext/>
        <w:ind w:left="570" w:hanging="570"/>
        <w:rPr>
          <w:snapToGrid w:val="0"/>
        </w:rPr>
      </w:pPr>
      <w:r>
        <w:rPr>
          <w:snapToGrid w:val="0"/>
        </w:rPr>
        <w:t>(a)</w:t>
      </w:r>
      <w:r>
        <w:rPr>
          <w:snapToGrid w:val="0"/>
        </w:rPr>
        <w:tab/>
        <w:t>Rules in this Part shall be complied with in all weathers.</w:t>
      </w:r>
    </w:p>
    <w:p>
      <w:pPr>
        <w:pStyle w:val="yMiscellaneousBody"/>
        <w:ind w:left="570" w:hanging="570"/>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ind w:left="570" w:hanging="570"/>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ind w:left="570" w:hanging="570"/>
        <w:rPr>
          <w:snapToGrid w:val="0"/>
        </w:rPr>
      </w:pPr>
      <w:r>
        <w:rPr>
          <w:snapToGrid w:val="0"/>
        </w:rPr>
        <w:t>(d)</w:t>
      </w:r>
      <w:r>
        <w:rPr>
          <w:snapToGrid w:val="0"/>
        </w:rPr>
        <w:tab/>
        <w:t>The Rules concerning shapes shall be complied with by day.</w:t>
      </w:r>
    </w:p>
    <w:p>
      <w:pPr>
        <w:pStyle w:val="yMiscellaneousBody"/>
        <w:ind w:left="570" w:hanging="570"/>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rPr>
          <w:snapToGrid w:val="0"/>
        </w:rPr>
      </w:pPr>
      <w:r>
        <w:rPr>
          <w:snapToGrid w:val="0"/>
        </w:rPr>
        <w:t>RULE 21</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ind w:left="570" w:hanging="570"/>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ind w:left="570" w:hanging="570"/>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ind w:left="570" w:hanging="570"/>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ind w:left="570" w:hanging="570"/>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ind w:left="570" w:hanging="570"/>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tabs>
          <w:tab w:val="clear" w:pos="1332"/>
          <w:tab w:val="clear" w:pos="1616"/>
          <w:tab w:val="right" w:pos="1026"/>
        </w:tabs>
        <w:ind w:left="1311" w:hanging="1311"/>
        <w:rPr>
          <w:snapToGrid w:val="0"/>
        </w:rPr>
      </w:pPr>
      <w:r>
        <w:rPr>
          <w:snapToGrid w:val="0"/>
        </w:rPr>
        <w:tab/>
        <w:t>(a)</w:t>
      </w:r>
      <w:r>
        <w:rPr>
          <w:snapToGrid w:val="0"/>
        </w:rPr>
        <w:tab/>
        <w:t>In vessels of 50 metres or more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6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3 miles.</w:t>
      </w:r>
    </w:p>
    <w:p>
      <w:pPr>
        <w:pStyle w:val="yIndenta"/>
        <w:tabs>
          <w:tab w:val="clear" w:pos="1332"/>
          <w:tab w:val="clear" w:pos="1616"/>
          <w:tab w:val="right" w:pos="1026"/>
        </w:tabs>
        <w:ind w:left="1311" w:hanging="1311"/>
        <w:rPr>
          <w:snapToGrid w:val="0"/>
        </w:rPr>
      </w:pPr>
      <w:r>
        <w:rPr>
          <w:snapToGrid w:val="0"/>
        </w:rPr>
        <w:tab/>
        <w:t>(b)</w:t>
      </w:r>
      <w:r>
        <w:rPr>
          <w:snapToGrid w:val="0"/>
        </w:rPr>
        <w:tab/>
        <w:t>In vessels of 12 metres or more in length but less than 50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5 miles; except that where the length of the vessel is less than 20 metres, 3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Indenta"/>
        <w:tabs>
          <w:tab w:val="clear" w:pos="1332"/>
          <w:tab w:val="clear" w:pos="1616"/>
          <w:tab w:val="right" w:pos="1026"/>
        </w:tabs>
        <w:ind w:left="1311" w:hanging="1311"/>
        <w:rPr>
          <w:snapToGrid w:val="0"/>
        </w:rPr>
      </w:pPr>
      <w:r>
        <w:rPr>
          <w:snapToGrid w:val="0"/>
        </w:rPr>
        <w:tab/>
        <w:t>(c)</w:t>
      </w:r>
      <w:r>
        <w:rPr>
          <w:snapToGrid w:val="0"/>
        </w:rPr>
        <w:tab/>
        <w:t>In vessels of less than 12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1 mile;</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ind w:left="570" w:hanging="570"/>
        <w:rPr>
          <w:snapToGrid w:val="0"/>
        </w:rPr>
      </w:pPr>
      <w:r>
        <w:rPr>
          <w:snapToGrid w:val="0"/>
        </w:rPr>
        <w:t>(a)</w:t>
      </w:r>
      <w:r>
        <w:rPr>
          <w:snapToGrid w:val="0"/>
        </w:rPr>
        <w:tab/>
        <w:t>A power</w:t>
      </w:r>
      <w:r>
        <w:rPr>
          <w:snapToGrid w:val="0"/>
        </w:rPr>
        <w:noBreakHyphen/>
        <w:t>driven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 masthead light forward;</w:t>
      </w:r>
    </w:p>
    <w:p>
      <w:pPr>
        <w:pStyle w:val="yIndenta"/>
        <w:tabs>
          <w:tab w:val="clear" w:pos="1332"/>
          <w:tab w:val="clear" w:pos="1616"/>
          <w:tab w:val="right" w:pos="1026"/>
        </w:tabs>
        <w:ind w:left="1311" w:hanging="1311"/>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sidelights;</w:t>
      </w:r>
    </w:p>
    <w:p>
      <w:pPr>
        <w:pStyle w:val="yIndenta"/>
        <w:tabs>
          <w:tab w:val="clear" w:pos="1332"/>
          <w:tab w:val="clear" w:pos="1616"/>
          <w:tab w:val="right" w:pos="1026"/>
        </w:tabs>
        <w:ind w:left="1311" w:hanging="1311"/>
        <w:rPr>
          <w:snapToGrid w:val="0"/>
        </w:rPr>
      </w:pPr>
      <w:r>
        <w:rPr>
          <w:snapToGrid w:val="0"/>
        </w:rPr>
        <w:tab/>
        <w:t>(iv)</w:t>
      </w:r>
      <w:r>
        <w:rPr>
          <w:snapToGrid w:val="0"/>
        </w:rPr>
        <w:tab/>
        <w:t>sternlight.</w:t>
      </w:r>
    </w:p>
    <w:p>
      <w:pPr>
        <w:pStyle w:val="yMiscellaneousBody"/>
        <w:ind w:left="570" w:hanging="570"/>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ind w:left="570" w:hanging="570"/>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rPr>
          <w:snapToGrid w:val="0"/>
        </w:rPr>
      </w:pPr>
      <w:r>
        <w:rPr>
          <w:snapToGrid w:val="0"/>
        </w:rPr>
        <w:t>RULE 24</w:t>
      </w:r>
    </w:p>
    <w:p>
      <w:pPr>
        <w:pStyle w:val="yMiscellaneousHeading"/>
        <w:rPr>
          <w:i/>
          <w:snapToGrid w:val="0"/>
        </w:rPr>
      </w:pPr>
      <w:r>
        <w:rPr>
          <w:i/>
          <w:snapToGrid w:val="0"/>
        </w:rPr>
        <w:t>Towing and pushing</w:t>
      </w:r>
    </w:p>
    <w:p>
      <w:pPr>
        <w:pStyle w:val="yMiscellaneousBody"/>
        <w:ind w:left="570" w:hanging="570"/>
        <w:rPr>
          <w:snapToGrid w:val="0"/>
        </w:rPr>
      </w:pPr>
      <w:r>
        <w:rPr>
          <w:snapToGrid w:val="0"/>
        </w:rPr>
        <w:t>(a)</w:t>
      </w:r>
      <w:r>
        <w:rPr>
          <w:snapToGrid w:val="0"/>
        </w:rPr>
        <w:tab/>
        <w:t>A power</w:t>
      </w:r>
      <w:r>
        <w:rPr>
          <w:snapToGrid w:val="0"/>
        </w:rPr>
        <w:noBreakHyphen/>
        <w:t>driven vessel when towing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towing light in a vertical line above the sternlight;</w:t>
      </w:r>
    </w:p>
    <w:p>
      <w:pPr>
        <w:pStyle w:val="yIndenta"/>
        <w:tabs>
          <w:tab w:val="clear" w:pos="1332"/>
          <w:tab w:val="clear" w:pos="1616"/>
          <w:tab w:val="right" w:pos="1026"/>
        </w:tabs>
        <w:ind w:left="1311" w:hanging="1311"/>
        <w:rPr>
          <w:snapToGrid w:val="0"/>
        </w:rPr>
      </w:pPr>
      <w:r>
        <w:rPr>
          <w:snapToGrid w:val="0"/>
        </w:rPr>
        <w:tab/>
        <w:t>(v)</w:t>
      </w:r>
      <w:r>
        <w:rPr>
          <w:snapToGrid w:val="0"/>
        </w:rPr>
        <w:tab/>
        <w:t>when the length of the tow exceeds 200 metres, a diamond shape where it can best be seen.</w:t>
      </w:r>
    </w:p>
    <w:p>
      <w:pPr>
        <w:pStyle w:val="yMiscellaneousBody"/>
        <w:ind w:left="570" w:hanging="570"/>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ind w:left="570" w:hanging="570"/>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MiscellaneousBody"/>
        <w:ind w:left="570" w:hanging="570"/>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ind w:left="570" w:hanging="570"/>
        <w:rPr>
          <w:snapToGrid w:val="0"/>
        </w:rPr>
      </w:pPr>
      <w:r>
        <w:rPr>
          <w:snapToGrid w:val="0"/>
        </w:rPr>
        <w:t>(e)</w:t>
      </w:r>
      <w:r>
        <w:rPr>
          <w:snapToGrid w:val="0"/>
        </w:rPr>
        <w:tab/>
        <w:t>A vessel or object being towed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the length of the tow exceeds 200 metres, a diamond shape where it can best be seen.</w:t>
      </w:r>
    </w:p>
    <w:p>
      <w:pPr>
        <w:pStyle w:val="yMiscellaneousBody"/>
        <w:ind w:left="570" w:hanging="570"/>
        <w:rPr>
          <w:snapToGrid w:val="0"/>
        </w:rPr>
      </w:pPr>
      <w:r>
        <w:rPr>
          <w:snapToGrid w:val="0"/>
        </w:rPr>
        <w:t>(f)</w:t>
      </w:r>
      <w:r>
        <w:rPr>
          <w:snapToGrid w:val="0"/>
        </w:rPr>
        <w:tab/>
        <w:t>Provided that any number of vessels being towed alongside or pushed in a group shall be lighted as one vessel,</w:t>
      </w:r>
    </w:p>
    <w:p>
      <w:pPr>
        <w:pStyle w:val="yIndenta"/>
        <w:tabs>
          <w:tab w:val="clear" w:pos="1332"/>
          <w:tab w:val="clear" w:pos="1616"/>
          <w:tab w:val="right" w:pos="1026"/>
        </w:tabs>
        <w:ind w:left="1311" w:hanging="1311"/>
        <w:rPr>
          <w:snapToGrid w:val="0"/>
        </w:rPr>
      </w:pPr>
      <w:r>
        <w:rPr>
          <w:snapToGrid w:val="0"/>
        </w:rPr>
        <w:tab/>
        <w:t>(i)</w:t>
      </w:r>
      <w:r>
        <w:rPr>
          <w:snapToGrid w:val="0"/>
        </w:rPr>
        <w:tab/>
        <w:t>a vessel being pushed ahead, not being part of a composite unit, shall exhibit at the forward end, sidelights;</w:t>
      </w:r>
    </w:p>
    <w:p>
      <w:pPr>
        <w:pStyle w:val="yIndenta"/>
        <w:tabs>
          <w:tab w:val="clear" w:pos="1332"/>
          <w:tab w:val="clear" w:pos="1616"/>
          <w:tab w:val="right" w:pos="1026"/>
        </w:tabs>
        <w:ind w:left="1311" w:hanging="1311"/>
        <w:rPr>
          <w:snapToGrid w:val="0"/>
        </w:rPr>
      </w:pPr>
      <w:r>
        <w:rPr>
          <w:snapToGrid w:val="0"/>
        </w:rPr>
        <w:tab/>
        <w:t>(ii)</w:t>
      </w:r>
      <w:r>
        <w:rPr>
          <w:snapToGrid w:val="0"/>
        </w:rPr>
        <w:tab/>
        <w:t>a vessel being towed alongside shall exhibit a sternlight and at the forward end, sidelights.</w:t>
      </w:r>
    </w:p>
    <w:p>
      <w:pPr>
        <w:pStyle w:val="yMiscellaneousBody"/>
        <w:ind w:left="570" w:hanging="570"/>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ind w:left="570" w:hanging="570"/>
        <w:rPr>
          <w:snapToGrid w:val="0"/>
        </w:rPr>
      </w:pPr>
      <w:r>
        <w:rPr>
          <w:snapToGrid w:val="0"/>
        </w:rPr>
        <w:t>(a)</w:t>
      </w:r>
      <w:r>
        <w:rPr>
          <w:snapToGrid w:val="0"/>
        </w:rPr>
        <w:tab/>
        <w:t>A sailing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MiscellaneousBody"/>
        <w:ind w:left="570" w:hanging="570"/>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ind w:left="570" w:hanging="570"/>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tabs>
          <w:tab w:val="clear" w:pos="1332"/>
          <w:tab w:val="clear" w:pos="1616"/>
          <w:tab w:val="right" w:pos="1026"/>
        </w:tabs>
        <w:ind w:left="1311" w:hanging="1311"/>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ind w:left="570" w:hanging="570"/>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rPr>
          <w:snapToGrid w:val="0"/>
        </w:rPr>
      </w:pPr>
      <w:r>
        <w:rPr>
          <w:snapToGrid w:val="0"/>
        </w:rPr>
        <w:t>RULE 26</w:t>
      </w:r>
    </w:p>
    <w:p>
      <w:pPr>
        <w:pStyle w:val="yMiscellaneousHeading"/>
        <w:rPr>
          <w:i/>
          <w:snapToGrid w:val="0"/>
        </w:rPr>
      </w:pPr>
      <w:r>
        <w:rPr>
          <w:i/>
          <w:snapToGrid w:val="0"/>
        </w:rPr>
        <w:t>Fishing vessels</w:t>
      </w:r>
    </w:p>
    <w:p>
      <w:pPr>
        <w:pStyle w:val="yMiscellaneousBody"/>
        <w:ind w:left="570" w:hanging="570"/>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ind w:left="570" w:hanging="570"/>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(c)</w:t>
      </w:r>
      <w:r>
        <w:rPr>
          <w:snapToGrid w:val="0"/>
        </w:rPr>
        <w:tab/>
        <w:t>A vessel engaged in fishing, other than trawling,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ind w:left="570" w:hanging="570"/>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ind w:left="570" w:hanging="570"/>
        <w:rPr>
          <w:snapToGrid w:val="0"/>
        </w:rPr>
      </w:pPr>
      <w:r>
        <w:rPr>
          <w:snapToGrid w:val="0"/>
        </w:rPr>
        <w:t>(a)</w:t>
      </w:r>
      <w:r>
        <w:rPr>
          <w:snapToGrid w:val="0"/>
        </w:rPr>
        <w:tab/>
        <w:t>A vessel not under command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tabs>
          <w:tab w:val="clear" w:pos="1332"/>
          <w:tab w:val="clear" w:pos="1616"/>
          <w:tab w:val="right" w:pos="1026"/>
        </w:tabs>
        <w:ind w:left="1311" w:hanging="1311"/>
        <w:rPr>
          <w:snapToGrid w:val="0"/>
        </w:rPr>
      </w:pPr>
      <w:r>
        <w:rPr>
          <w:snapToGrid w:val="0"/>
        </w:rPr>
        <w:tab/>
        <w:t>(ii)</w:t>
      </w:r>
      <w:r>
        <w:rPr>
          <w:snapToGrid w:val="0"/>
        </w:rPr>
        <w:tab/>
        <w:t>two balls or similar shapes in a vertical line where they can best be seen;</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ind w:left="570" w:hanging="570"/>
        <w:rPr>
          <w:snapToGrid w:val="0"/>
        </w:rPr>
      </w:pPr>
      <w:r>
        <w:rPr>
          <w:snapToGrid w:val="0"/>
        </w:rPr>
        <w:t>(b)</w:t>
      </w:r>
      <w:r>
        <w:rPr>
          <w:snapToGrid w:val="0"/>
        </w:rPr>
        <w:tab/>
        <w:t>A vessel restricted in her ability to manoeuvre, except a vessel engaged in minesweeping operations,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tabs>
          <w:tab w:val="clear" w:pos="1332"/>
          <w:tab w:val="clear" w:pos="1616"/>
          <w:tab w:val="right" w:pos="1026"/>
        </w:tabs>
        <w:ind w:left="1311" w:hanging="1311"/>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tabs>
          <w:tab w:val="clear" w:pos="1332"/>
          <w:tab w:val="clear" w:pos="1616"/>
          <w:tab w:val="right" w:pos="1026"/>
        </w:tabs>
        <w:ind w:left="1311" w:hanging="1311"/>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ind w:left="570" w:hanging="570"/>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ind w:left="570" w:hanging="570"/>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tabs>
          <w:tab w:val="clear" w:pos="1332"/>
          <w:tab w:val="clear" w:pos="1616"/>
          <w:tab w:val="right" w:pos="1026"/>
        </w:tabs>
        <w:ind w:left="1311" w:hanging="1311"/>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ind w:left="570" w:hanging="570"/>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ind w:left="570" w:hanging="570"/>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ind w:left="570" w:hanging="570"/>
        <w:rPr>
          <w:snapToGrid w:val="0"/>
        </w:rPr>
      </w:pPr>
      <w:r>
        <w:rPr>
          <w:snapToGrid w:val="0"/>
        </w:rPr>
        <w:t>(g)</w:t>
      </w:r>
      <w:r>
        <w:rPr>
          <w:snapToGrid w:val="0"/>
        </w:rPr>
        <w:tab/>
        <w:t>Vessels of less than 7 metres in length shall not be required to exhibit the lights prescribed in this Rule.</w:t>
      </w:r>
    </w:p>
    <w:p>
      <w:pPr>
        <w:pStyle w:val="yMiscellaneousBody"/>
        <w:ind w:left="570" w:hanging="570"/>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rPr>
          <w:snapToGrid w:val="0"/>
        </w:rPr>
      </w:pPr>
      <w:r>
        <w:rPr>
          <w:snapToGrid w:val="0"/>
        </w:rPr>
        <w:t>RULE 29</w:t>
      </w:r>
    </w:p>
    <w:p>
      <w:pPr>
        <w:pStyle w:val="yMiscellaneousHeading"/>
        <w:rPr>
          <w:i/>
          <w:snapToGrid w:val="0"/>
        </w:rPr>
      </w:pPr>
      <w:r>
        <w:rPr>
          <w:i/>
          <w:snapToGrid w:val="0"/>
        </w:rPr>
        <w:t>Pilot vessels</w:t>
      </w:r>
    </w:p>
    <w:p>
      <w:pPr>
        <w:pStyle w:val="yMiscellaneousBody"/>
        <w:ind w:left="570" w:hanging="570"/>
        <w:rPr>
          <w:snapToGrid w:val="0"/>
        </w:rPr>
      </w:pPr>
      <w:r>
        <w:rPr>
          <w:snapToGrid w:val="0"/>
        </w:rPr>
        <w:t>(a)</w:t>
      </w:r>
      <w:r>
        <w:rPr>
          <w:snapToGrid w:val="0"/>
        </w:rPr>
        <w:tab/>
        <w:t>A vessel engaged on pilotage duty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tabs>
          <w:tab w:val="clear" w:pos="1332"/>
          <w:tab w:val="clear" w:pos="1616"/>
          <w:tab w:val="right" w:pos="1026"/>
        </w:tabs>
        <w:ind w:left="1311" w:hanging="1311"/>
        <w:rPr>
          <w:snapToGrid w:val="0"/>
        </w:rPr>
      </w:pPr>
      <w:r>
        <w:rPr>
          <w:snapToGrid w:val="0"/>
        </w:rPr>
        <w:tab/>
        <w:t>(ii)</w:t>
      </w:r>
      <w:r>
        <w:rPr>
          <w:snapToGrid w:val="0"/>
        </w:rPr>
        <w:tab/>
        <w:t>when underway, in addition, sidelights and 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ind w:left="570" w:hanging="570"/>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ind w:left="570" w:hanging="570"/>
        <w:rPr>
          <w:snapToGrid w:val="0"/>
        </w:rPr>
      </w:pPr>
      <w:r>
        <w:rPr>
          <w:snapToGrid w:val="0"/>
        </w:rPr>
        <w:t>(a)</w:t>
      </w:r>
      <w:r>
        <w:rPr>
          <w:snapToGrid w:val="0"/>
        </w:rPr>
        <w:tab/>
        <w:t>A vessel at anchor shall exhibit where it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in the fore part, an all</w:t>
      </w:r>
      <w:r>
        <w:rPr>
          <w:snapToGrid w:val="0"/>
        </w:rPr>
        <w:noBreakHyphen/>
        <w:t>round white light or one ball;</w:t>
      </w:r>
    </w:p>
    <w:p>
      <w:pPr>
        <w:pStyle w:val="yIndenta"/>
        <w:tabs>
          <w:tab w:val="clear" w:pos="1332"/>
          <w:tab w:val="clear" w:pos="1616"/>
          <w:tab w:val="right" w:pos="1026"/>
        </w:tabs>
        <w:ind w:left="1311" w:hanging="1311"/>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ind w:left="570" w:hanging="570"/>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ind w:left="570" w:hanging="570"/>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ind w:left="570" w:hanging="570"/>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three balls in a vertical line.</w:t>
      </w:r>
    </w:p>
    <w:p>
      <w:pPr>
        <w:pStyle w:val="yMiscellaneousBody"/>
        <w:ind w:left="570" w:hanging="570"/>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rPr>
          <w:snapToGrid w:val="0"/>
        </w:rPr>
      </w:pPr>
      <w:r>
        <w:rPr>
          <w:snapToGrid w:val="0"/>
        </w:rPr>
        <w:t>PART D — SOUND AND LIGHT SIGNALS</w:t>
      </w:r>
    </w:p>
    <w:p>
      <w:pPr>
        <w:pStyle w:val="yMiscellaneousHeading"/>
        <w:spacing w:before="240"/>
        <w:rPr>
          <w:snapToGrid w:val="0"/>
        </w:rPr>
      </w:pPr>
      <w:r>
        <w:rPr>
          <w:snapToGrid w:val="0"/>
        </w:rPr>
        <w:t>RULE 32</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ind w:left="570" w:hanging="570"/>
        <w:rPr>
          <w:snapToGrid w:val="0"/>
        </w:rPr>
      </w:pPr>
      <w:r>
        <w:rPr>
          <w:snapToGrid w:val="0"/>
        </w:rPr>
        <w:t>(b)</w:t>
      </w:r>
      <w:r>
        <w:rPr>
          <w:snapToGrid w:val="0"/>
        </w:rPr>
        <w:tab/>
        <w:t>The term “short blast” means a blast of about one second’s duration.</w:t>
      </w:r>
    </w:p>
    <w:p>
      <w:pPr>
        <w:pStyle w:val="yMiscellaneousBody"/>
        <w:ind w:left="570" w:hanging="570"/>
        <w:rPr>
          <w:snapToGrid w:val="0"/>
        </w:rPr>
      </w:pPr>
      <w:r>
        <w:rPr>
          <w:snapToGrid w:val="0"/>
        </w:rPr>
        <w:t>(c)</w:t>
      </w:r>
      <w:r>
        <w:rPr>
          <w:snapToGrid w:val="0"/>
        </w:rPr>
        <w:tab/>
        <w:t>The term “prolonged blast” means a blast of from four to six seconds’ duration.</w:t>
      </w:r>
    </w:p>
    <w:p>
      <w:pPr>
        <w:pStyle w:val="yMiscellaneousHeading"/>
        <w:spacing w:before="240"/>
        <w:rPr>
          <w:snapToGrid w:val="0"/>
        </w:rPr>
      </w:pPr>
      <w:r>
        <w:rPr>
          <w:snapToGrid w:val="0"/>
        </w:rPr>
        <w:t>RULE 33</w:t>
      </w:r>
    </w:p>
    <w:p>
      <w:pPr>
        <w:pStyle w:val="yMiscellaneousHeading"/>
        <w:rPr>
          <w:i/>
          <w:snapToGrid w:val="0"/>
        </w:rPr>
      </w:pPr>
      <w:r>
        <w:rPr>
          <w:i/>
          <w:snapToGrid w:val="0"/>
        </w:rPr>
        <w:t>Equipment for sound signals</w:t>
      </w:r>
    </w:p>
    <w:p>
      <w:pPr>
        <w:pStyle w:val="yMiscellaneousBody"/>
        <w:ind w:left="570" w:hanging="570"/>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ind w:left="570" w:hanging="570"/>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rPr>
          <w:snapToGrid w:val="0"/>
        </w:rPr>
      </w:pPr>
      <w:r>
        <w:rPr>
          <w:snapToGrid w:val="0"/>
        </w:rPr>
        <w:t>RULE 34</w:t>
      </w:r>
    </w:p>
    <w:p>
      <w:pPr>
        <w:pStyle w:val="yMiscellaneousHeading"/>
        <w:rPr>
          <w:i/>
          <w:snapToGrid w:val="0"/>
        </w:rPr>
      </w:pPr>
      <w:r>
        <w:rPr>
          <w:i/>
          <w:snapToGrid w:val="0"/>
        </w:rPr>
        <w:t>Manoeuvring and warning signals</w:t>
      </w:r>
    </w:p>
    <w:p>
      <w:pPr>
        <w:pStyle w:val="yMiscellaneousBody"/>
        <w:ind w:left="570" w:hanging="570"/>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tabs>
          <w:tab w:val="clear" w:pos="1332"/>
          <w:tab w:val="clear" w:pos="1616"/>
          <w:tab w:val="right" w:pos="1026"/>
        </w:tabs>
        <w:ind w:left="1311" w:hanging="1311"/>
        <w:rPr>
          <w:snapToGrid w:val="0"/>
        </w:rPr>
      </w:pPr>
      <w:r>
        <w:rPr>
          <w:snapToGrid w:val="0"/>
        </w:rPr>
        <w:tab/>
        <w:t>—</w:t>
      </w:r>
      <w:r>
        <w:rPr>
          <w:snapToGrid w:val="0"/>
        </w:rPr>
        <w:tab/>
        <w:t>one short blast to mean “I am altering my course to starboard”;</w:t>
      </w:r>
    </w:p>
    <w:p>
      <w:pPr>
        <w:pStyle w:val="yIndenta"/>
        <w:tabs>
          <w:tab w:val="clear" w:pos="1332"/>
          <w:tab w:val="clear" w:pos="1616"/>
          <w:tab w:val="right" w:pos="1026"/>
        </w:tabs>
        <w:ind w:left="1311" w:hanging="1311"/>
        <w:rPr>
          <w:snapToGrid w:val="0"/>
        </w:rPr>
      </w:pPr>
      <w:r>
        <w:rPr>
          <w:snapToGrid w:val="0"/>
        </w:rPr>
        <w:tab/>
        <w:t>—</w:t>
      </w:r>
      <w:r>
        <w:rPr>
          <w:snapToGrid w:val="0"/>
        </w:rPr>
        <w:tab/>
        <w:t>two short blasts to mean “I am altering my course to port”;</w:t>
      </w:r>
    </w:p>
    <w:p>
      <w:pPr>
        <w:pStyle w:val="yIndenta"/>
        <w:tabs>
          <w:tab w:val="clear" w:pos="1332"/>
          <w:tab w:val="clear" w:pos="1616"/>
          <w:tab w:val="right" w:pos="1026"/>
        </w:tabs>
        <w:ind w:left="1311" w:hanging="1311"/>
        <w:rPr>
          <w:snapToGrid w:val="0"/>
        </w:rPr>
      </w:pPr>
      <w:r>
        <w:rPr>
          <w:snapToGrid w:val="0"/>
        </w:rPr>
        <w:tab/>
        <w:t>—</w:t>
      </w:r>
      <w:r>
        <w:rPr>
          <w:snapToGrid w:val="0"/>
        </w:rPr>
        <w:tab/>
        <w:t>three short blasts to mean “I am operating astern propulsion”.</w:t>
      </w:r>
    </w:p>
    <w:p>
      <w:pPr>
        <w:pStyle w:val="yMiscellaneousBody"/>
        <w:ind w:left="570" w:hanging="570"/>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tabs>
          <w:tab w:val="clear" w:pos="1332"/>
          <w:tab w:val="clear" w:pos="1616"/>
          <w:tab w:val="right" w:pos="1026"/>
        </w:tabs>
        <w:ind w:left="1311" w:hanging="1311"/>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539"/>
          <w:tab w:val="left" w:pos="2268"/>
        </w:tabs>
        <w:ind w:left="1881" w:hanging="1326"/>
        <w:rPr>
          <w:snapToGrid w:val="0"/>
        </w:rPr>
      </w:pPr>
      <w:r>
        <w:rPr>
          <w:snapToGrid w:val="0"/>
        </w:rPr>
        <w:tab/>
        <w:t>—  one flash to mean “I am altering my course to starboard”;</w:t>
      </w:r>
    </w:p>
    <w:p>
      <w:pPr>
        <w:pStyle w:val="yIndenti0"/>
        <w:tabs>
          <w:tab w:val="clear" w:pos="2041"/>
          <w:tab w:val="clear" w:pos="2325"/>
          <w:tab w:val="left" w:pos="1539"/>
        </w:tabs>
        <w:ind w:left="1881" w:hanging="1326"/>
        <w:rPr>
          <w:snapToGrid w:val="0"/>
        </w:rPr>
      </w:pPr>
      <w:r>
        <w:rPr>
          <w:snapToGrid w:val="0"/>
        </w:rPr>
        <w:tab/>
        <w:t>—  two flashes to mean “I am altering my course to port”;</w:t>
      </w:r>
    </w:p>
    <w:p>
      <w:pPr>
        <w:pStyle w:val="yIndenti0"/>
        <w:tabs>
          <w:tab w:val="clear" w:pos="2041"/>
          <w:tab w:val="clear" w:pos="2325"/>
          <w:tab w:val="left" w:pos="1539"/>
        </w:tabs>
        <w:ind w:left="1881" w:hanging="1326"/>
        <w:rPr>
          <w:snapToGrid w:val="0"/>
        </w:rPr>
      </w:pPr>
      <w:r>
        <w:rPr>
          <w:snapToGrid w:val="0"/>
        </w:rPr>
        <w:tab/>
        <w:t>—  three flashes to mean “I am operating astern propulsion”;</w:t>
      </w:r>
    </w:p>
    <w:p>
      <w:pPr>
        <w:pStyle w:val="yIndenta"/>
        <w:tabs>
          <w:tab w:val="clear" w:pos="1332"/>
          <w:tab w:val="clear" w:pos="1616"/>
          <w:tab w:val="right" w:pos="1026"/>
        </w:tabs>
        <w:ind w:left="1311" w:hanging="1311"/>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tabs>
          <w:tab w:val="clear" w:pos="1332"/>
          <w:tab w:val="clear" w:pos="1616"/>
          <w:tab w:val="right" w:pos="1026"/>
        </w:tabs>
        <w:ind w:left="1311" w:hanging="1311"/>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keepNext/>
        <w:ind w:left="570" w:hanging="570"/>
        <w:rPr>
          <w:snapToGrid w:val="0"/>
        </w:rPr>
      </w:pPr>
      <w:r>
        <w:rPr>
          <w:snapToGrid w:val="0"/>
        </w:rPr>
        <w:t>(c)</w:t>
      </w:r>
      <w:r>
        <w:rPr>
          <w:snapToGrid w:val="0"/>
        </w:rPr>
        <w:tab/>
        <w:t>When in sight of one another in a narrow channel or fairway:</w:t>
      </w:r>
    </w:p>
    <w:p>
      <w:pPr>
        <w:pStyle w:val="yIndenta"/>
        <w:tabs>
          <w:tab w:val="clear" w:pos="1332"/>
          <w:tab w:val="clear" w:pos="1616"/>
          <w:tab w:val="right" w:pos="1026"/>
        </w:tabs>
        <w:ind w:left="1311" w:hanging="1311"/>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539"/>
          <w:tab w:val="left" w:pos="2268"/>
        </w:tabs>
        <w:ind w:left="2337" w:hanging="1782"/>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539"/>
          <w:tab w:val="left" w:pos="2268"/>
        </w:tabs>
        <w:ind w:left="2337" w:hanging="1782"/>
        <w:rPr>
          <w:snapToGrid w:val="0"/>
        </w:rPr>
      </w:pPr>
      <w:r>
        <w:rPr>
          <w:snapToGrid w:val="0"/>
        </w:rPr>
        <w:tab/>
        <w:t>—  two prolonged blasts followed by two short blasts to mean “I intend to overtake you on your port side”;</w:t>
      </w:r>
    </w:p>
    <w:p>
      <w:pPr>
        <w:pStyle w:val="yIndenta"/>
        <w:tabs>
          <w:tab w:val="clear" w:pos="1332"/>
          <w:tab w:val="clear" w:pos="1616"/>
          <w:tab w:val="right" w:pos="1026"/>
        </w:tabs>
        <w:ind w:left="1311" w:hanging="1311"/>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539"/>
          <w:tab w:val="left" w:pos="2268"/>
        </w:tabs>
        <w:ind w:left="2337" w:hanging="1782"/>
        <w:rPr>
          <w:snapToGrid w:val="0"/>
        </w:rPr>
      </w:pPr>
      <w:r>
        <w:rPr>
          <w:snapToGrid w:val="0"/>
        </w:rPr>
        <w:tab/>
        <w:t>—  one prolonged, one short, one prolonged and one short blast, in that order.</w:t>
      </w:r>
    </w:p>
    <w:p>
      <w:pPr>
        <w:pStyle w:val="yMiscellaneousBody"/>
        <w:keepNext/>
        <w:keepLines/>
        <w:ind w:left="570" w:hanging="570"/>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ind w:left="570" w:hanging="570"/>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ind w:left="570" w:hanging="570"/>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rPr>
          <w:snapToGrid w:val="0"/>
        </w:rPr>
      </w:pPr>
      <w:r>
        <w:rPr>
          <w:snapToGrid w:val="0"/>
        </w:rPr>
        <w:t>RULE 35</w:t>
      </w:r>
    </w:p>
    <w:p>
      <w:pPr>
        <w:pStyle w:val="yMiscellaneousHeading"/>
        <w:rPr>
          <w:i/>
          <w:snapToGrid w:val="0"/>
        </w:rPr>
      </w:pPr>
      <w:r>
        <w:rPr>
          <w:i/>
          <w:snapToGrid w:val="0"/>
        </w:rPr>
        <w:t>Sound signals in restricted visibility</w:t>
      </w:r>
    </w:p>
    <w:p>
      <w:pPr>
        <w:pStyle w:val="yMiscellaneousBody"/>
        <w:rPr>
          <w:snapToGrid w:val="0"/>
        </w:rPr>
      </w:pPr>
      <w:r>
        <w:rPr>
          <w:snapToGrid w:val="0"/>
        </w:rPr>
        <w:t>In or near an area of restricted visibility, whether by day or night, the signals prescribed in this Rule shall be used as follows:</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tabs>
          <w:tab w:val="clear" w:pos="1332"/>
          <w:tab w:val="clear" w:pos="1616"/>
          <w:tab w:val="right" w:pos="1026"/>
        </w:tabs>
        <w:ind w:left="1311" w:hanging="1311"/>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tabs>
          <w:tab w:val="clear" w:pos="1332"/>
          <w:tab w:val="clear" w:pos="1616"/>
          <w:tab w:val="right" w:pos="1026"/>
        </w:tabs>
        <w:ind w:left="1311" w:hanging="1311"/>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tabs>
          <w:tab w:val="clear" w:pos="1332"/>
          <w:tab w:val="clear" w:pos="1616"/>
          <w:tab w:val="right" w:pos="1026"/>
        </w:tabs>
        <w:ind w:left="1311" w:hanging="1311"/>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tabs>
          <w:tab w:val="clear" w:pos="1332"/>
          <w:tab w:val="clear" w:pos="1616"/>
          <w:tab w:val="right" w:pos="1026"/>
        </w:tabs>
        <w:ind w:left="1311" w:hanging="1311"/>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tabs>
          <w:tab w:val="clear" w:pos="1332"/>
          <w:tab w:val="clear" w:pos="1616"/>
          <w:tab w:val="right" w:pos="1026"/>
        </w:tabs>
        <w:ind w:left="1311" w:hanging="1311"/>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tabs>
          <w:tab w:val="clear" w:pos="1332"/>
          <w:tab w:val="clear" w:pos="1616"/>
          <w:tab w:val="right" w:pos="1026"/>
        </w:tabs>
        <w:ind w:left="1311" w:hanging="1311"/>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tabs>
          <w:tab w:val="clear" w:pos="1332"/>
          <w:tab w:val="clear" w:pos="1616"/>
          <w:tab w:val="right" w:pos="1026"/>
        </w:tabs>
        <w:ind w:left="1311" w:hanging="1311"/>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tabs>
          <w:tab w:val="clear" w:pos="1332"/>
          <w:tab w:val="clear" w:pos="1616"/>
          <w:tab w:val="right" w:pos="1026"/>
        </w:tabs>
        <w:ind w:left="1311" w:hanging="1311"/>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tabs>
          <w:tab w:val="clear" w:pos="1332"/>
          <w:tab w:val="clear" w:pos="1616"/>
          <w:tab w:val="right" w:pos="1026"/>
        </w:tabs>
        <w:ind w:left="1311" w:hanging="1311"/>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tabs>
          <w:tab w:val="clear" w:pos="2041"/>
          <w:tab w:val="clear" w:pos="2325"/>
          <w:tab w:val="right" w:pos="1710"/>
        </w:tabs>
        <w:ind w:left="1995" w:hanging="1995"/>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ind w:left="570" w:hanging="570"/>
        <w:rPr>
          <w:snapToGrid w:val="0"/>
        </w:rPr>
      </w:pPr>
      <w:r>
        <w:rPr>
          <w:snapToGrid w:val="0"/>
        </w:rPr>
        <w:t>1.</w:t>
      </w:r>
      <w:r>
        <w:rPr>
          <w:snapToGrid w:val="0"/>
        </w:rPr>
        <w:tab/>
      </w:r>
      <w:r>
        <w:rPr>
          <w:i/>
          <w:snapToGrid w:val="0"/>
        </w:rPr>
        <w:t>Definition</w:t>
      </w:r>
    </w:p>
    <w:p>
      <w:pPr>
        <w:pStyle w:val="yMiscellaneousBody"/>
        <w:ind w:left="570" w:hanging="570"/>
        <w:rPr>
          <w:snapToGrid w:val="0"/>
        </w:rPr>
      </w:pPr>
      <w:r>
        <w:rPr>
          <w:snapToGrid w:val="0"/>
        </w:rPr>
        <w:tab/>
        <w:t>The term “height above the hull” means height above the uppermost continuous deck.</w:t>
      </w:r>
    </w:p>
    <w:p>
      <w:pPr>
        <w:pStyle w:val="yMiscellaneousBody"/>
        <w:ind w:left="570" w:hanging="570"/>
        <w:rPr>
          <w:snapToGrid w:val="0"/>
        </w:rPr>
      </w:pPr>
      <w:r>
        <w:rPr>
          <w:snapToGrid w:val="0"/>
        </w:rPr>
        <w:t>2.</w:t>
      </w:r>
      <w:r>
        <w:rPr>
          <w:snapToGrid w:val="0"/>
        </w:rPr>
        <w:tab/>
      </w:r>
      <w:r>
        <w:rPr>
          <w:i/>
          <w:snapToGrid w:val="0"/>
        </w:rPr>
        <w:t>Vertical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tabs>
          <w:tab w:val="clear" w:pos="2041"/>
          <w:tab w:val="clear" w:pos="2325"/>
          <w:tab w:val="right" w:pos="1710"/>
        </w:tabs>
        <w:ind w:left="1995" w:hanging="1995"/>
        <w:rPr>
          <w:snapToGrid w:val="0"/>
        </w:rPr>
      </w:pPr>
      <w:r>
        <w:rPr>
          <w:snapToGrid w:val="0"/>
        </w:rPr>
        <w:tab/>
        <w:t>(ii)</w:t>
      </w:r>
      <w:r>
        <w:rPr>
          <w:snapToGrid w:val="0"/>
        </w:rPr>
        <w:tab/>
        <w:t>when two masthead lights are carried the after one shall be at least 4.5 metres vertically higher than the forward one.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tabs>
          <w:tab w:val="clear" w:pos="1332"/>
          <w:tab w:val="clear" w:pos="1616"/>
          <w:tab w:val="right" w:pos="1026"/>
        </w:tabs>
        <w:ind w:left="1311" w:hanging="1311"/>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tabs>
          <w:tab w:val="clear" w:pos="1332"/>
          <w:tab w:val="clear" w:pos="1616"/>
          <w:tab w:val="right" w:pos="1026"/>
        </w:tabs>
        <w:ind w:left="1311" w:hanging="1311"/>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tabs>
          <w:tab w:val="clear" w:pos="1332"/>
          <w:tab w:val="clear" w:pos="1616"/>
          <w:tab w:val="right" w:pos="1026"/>
        </w:tabs>
        <w:ind w:left="1311" w:hanging="1311"/>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tabs>
          <w:tab w:val="clear" w:pos="1332"/>
          <w:tab w:val="clear" w:pos="1616"/>
          <w:tab w:val="right" w:pos="1026"/>
        </w:tabs>
        <w:ind w:left="1311" w:hanging="1311"/>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tabs>
          <w:tab w:val="clear" w:pos="1332"/>
          <w:tab w:val="clear" w:pos="1616"/>
          <w:tab w:val="right" w:pos="1026"/>
        </w:tabs>
        <w:ind w:left="1311" w:hanging="1311"/>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tabs>
          <w:tab w:val="clear" w:pos="1332"/>
          <w:tab w:val="clear" w:pos="1616"/>
          <w:tab w:val="right" w:pos="1026"/>
        </w:tabs>
        <w:ind w:left="1311" w:hanging="1311"/>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tabs>
          <w:tab w:val="clear" w:pos="1332"/>
          <w:tab w:val="clear" w:pos="1616"/>
          <w:tab w:val="right" w:pos="1026"/>
        </w:tabs>
        <w:ind w:left="1311" w:hanging="1311"/>
        <w:rPr>
          <w:snapToGrid w:val="0"/>
        </w:rPr>
      </w:pPr>
      <w:r>
        <w:rPr>
          <w:snapToGrid w:val="0"/>
        </w:rPr>
        <w:tab/>
        <w:t>(i)</w:t>
      </w:r>
      <w:r>
        <w:rPr>
          <w:snapToGrid w:val="0"/>
        </w:rPr>
        <w:tab/>
        <w:t>When the Rules prescribe two or three lights to be carried in a vertical line, they shall be spaced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tabs>
          <w:tab w:val="clear" w:pos="2041"/>
          <w:tab w:val="clear" w:pos="2325"/>
          <w:tab w:val="right" w:pos="1710"/>
        </w:tabs>
        <w:ind w:left="1995" w:hanging="1995"/>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tabs>
          <w:tab w:val="clear" w:pos="2041"/>
          <w:tab w:val="clear" w:pos="2325"/>
          <w:tab w:val="right" w:pos="1710"/>
        </w:tabs>
        <w:ind w:left="1995" w:hanging="1995"/>
        <w:rPr>
          <w:snapToGrid w:val="0"/>
        </w:rPr>
      </w:pPr>
      <w:r>
        <w:rPr>
          <w:snapToGrid w:val="0"/>
        </w:rPr>
        <w:tab/>
        <w:t>(iii)</w:t>
      </w:r>
      <w:r>
        <w:rPr>
          <w:snapToGrid w:val="0"/>
        </w:rPr>
        <w:tab/>
        <w:t>when three lights are carried they shall be equally spaced.</w:t>
      </w:r>
    </w:p>
    <w:p>
      <w:pPr>
        <w:pStyle w:val="yIndenta"/>
        <w:tabs>
          <w:tab w:val="clear" w:pos="1332"/>
          <w:tab w:val="clear" w:pos="1616"/>
          <w:tab w:val="right" w:pos="1026"/>
        </w:tabs>
        <w:ind w:left="1311" w:hanging="1311"/>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tabs>
          <w:tab w:val="clear" w:pos="1332"/>
          <w:tab w:val="clear" w:pos="1616"/>
          <w:tab w:val="right" w:pos="1026"/>
        </w:tabs>
        <w:ind w:left="1311" w:hanging="1311"/>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ind w:left="570" w:hanging="570"/>
        <w:rPr>
          <w:snapToGrid w:val="0"/>
        </w:rPr>
      </w:pPr>
      <w:r>
        <w:rPr>
          <w:snapToGrid w:val="0"/>
        </w:rPr>
        <w:t>3.</w:t>
      </w:r>
      <w:r>
        <w:rPr>
          <w:snapToGrid w:val="0"/>
        </w:rPr>
        <w:tab/>
      </w:r>
      <w:r>
        <w:rPr>
          <w:i/>
          <w:snapToGrid w:val="0"/>
        </w:rPr>
        <w:t>Horizontal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tabs>
          <w:tab w:val="clear" w:pos="1332"/>
          <w:tab w:val="clear" w:pos="1616"/>
          <w:tab w:val="right" w:pos="1026"/>
        </w:tabs>
        <w:ind w:left="1311" w:hanging="1311"/>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ind w:left="570" w:hanging="570"/>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tabs>
          <w:tab w:val="clear" w:pos="1332"/>
          <w:tab w:val="clear" w:pos="1616"/>
          <w:tab w:val="right" w:pos="1026"/>
        </w:tabs>
        <w:ind w:left="1311" w:hanging="1311"/>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tabs>
          <w:tab w:val="clear" w:pos="1332"/>
          <w:tab w:val="clear" w:pos="1616"/>
          <w:tab w:val="right" w:pos="1026"/>
        </w:tabs>
        <w:ind w:left="1311" w:hanging="1311"/>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spacing w:before="140"/>
        <w:ind w:left="570" w:hanging="570"/>
        <w:rPr>
          <w:snapToGrid w:val="0"/>
        </w:rPr>
      </w:pPr>
      <w:r>
        <w:rPr>
          <w:snapToGrid w:val="0"/>
        </w:rPr>
        <w:t>5.</w:t>
      </w:r>
      <w:r>
        <w:rPr>
          <w:snapToGrid w:val="0"/>
        </w:rPr>
        <w:tab/>
      </w:r>
      <w:r>
        <w:rPr>
          <w:i/>
          <w:snapToGrid w:val="0"/>
        </w:rPr>
        <w:t>Screens for sidelights</w:t>
      </w:r>
    </w:p>
    <w:p>
      <w:pPr>
        <w:pStyle w:val="yMiscellaneousBody"/>
        <w:spacing w:before="140"/>
        <w:ind w:left="570" w:hanging="570"/>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spacing w:before="140"/>
        <w:ind w:left="570" w:hanging="570"/>
        <w:rPr>
          <w:i/>
          <w:snapToGrid w:val="0"/>
        </w:rPr>
      </w:pPr>
      <w:r>
        <w:rPr>
          <w:snapToGrid w:val="0"/>
        </w:rPr>
        <w:t>6.</w:t>
      </w:r>
      <w:r>
        <w:rPr>
          <w:snapToGrid w:val="0"/>
        </w:rPr>
        <w:tab/>
      </w:r>
      <w:r>
        <w:rPr>
          <w:i/>
          <w:snapToGrid w:val="0"/>
        </w:rPr>
        <w:t>Shapes</w:t>
      </w:r>
    </w:p>
    <w:p>
      <w:pPr>
        <w:pStyle w:val="yIndenta"/>
        <w:tabs>
          <w:tab w:val="clear" w:pos="1332"/>
          <w:tab w:val="clear" w:pos="1616"/>
          <w:tab w:val="right" w:pos="1026"/>
        </w:tabs>
        <w:ind w:left="1311" w:hanging="1311"/>
        <w:rPr>
          <w:snapToGrid w:val="0"/>
        </w:rPr>
      </w:pPr>
      <w:r>
        <w:rPr>
          <w:snapToGrid w:val="0"/>
        </w:rPr>
        <w:tab/>
        <w:t>(a)</w:t>
      </w:r>
      <w:r>
        <w:rPr>
          <w:snapToGrid w:val="0"/>
        </w:rPr>
        <w:tab/>
        <w:t>Shapes shall be black and of the following sizes:</w:t>
      </w:r>
    </w:p>
    <w:p>
      <w:pPr>
        <w:pStyle w:val="yIndenti0"/>
        <w:tabs>
          <w:tab w:val="clear" w:pos="2041"/>
          <w:tab w:val="clear" w:pos="2325"/>
          <w:tab w:val="right" w:pos="1710"/>
        </w:tabs>
        <w:ind w:left="1995" w:hanging="1995"/>
        <w:rPr>
          <w:snapToGrid w:val="0"/>
        </w:rPr>
      </w:pPr>
      <w:r>
        <w:rPr>
          <w:snapToGrid w:val="0"/>
        </w:rPr>
        <w:tab/>
        <w:t>(i)</w:t>
      </w:r>
      <w:r>
        <w:rPr>
          <w:snapToGrid w:val="0"/>
        </w:rPr>
        <w:tab/>
        <w:t>a ball shall have a diameter of not less than 0.6 metre;</w:t>
      </w:r>
    </w:p>
    <w:p>
      <w:pPr>
        <w:pStyle w:val="yIndenti0"/>
        <w:tabs>
          <w:tab w:val="clear" w:pos="2041"/>
          <w:tab w:val="clear" w:pos="2325"/>
          <w:tab w:val="right" w:pos="1710"/>
        </w:tabs>
        <w:ind w:left="1995" w:hanging="1995"/>
        <w:rPr>
          <w:snapToGrid w:val="0"/>
        </w:rPr>
      </w:pPr>
      <w:r>
        <w:rPr>
          <w:snapToGrid w:val="0"/>
        </w:rPr>
        <w:tab/>
        <w:t>(ii)</w:t>
      </w:r>
      <w:r>
        <w:rPr>
          <w:snapToGrid w:val="0"/>
        </w:rPr>
        <w:tab/>
        <w:t>a cone shall have a base diameter of not less than 0.6 metre and a height equal to its diameter;</w:t>
      </w:r>
    </w:p>
    <w:p>
      <w:pPr>
        <w:pStyle w:val="yIndenti0"/>
        <w:tabs>
          <w:tab w:val="clear" w:pos="2041"/>
          <w:tab w:val="clear" w:pos="2325"/>
          <w:tab w:val="right" w:pos="1710"/>
        </w:tabs>
        <w:ind w:left="1995" w:hanging="1995"/>
        <w:rPr>
          <w:snapToGrid w:val="0"/>
        </w:rPr>
      </w:pPr>
      <w:r>
        <w:rPr>
          <w:snapToGrid w:val="0"/>
        </w:rPr>
        <w:tab/>
        <w:t>(iii)</w:t>
      </w:r>
      <w:r>
        <w:rPr>
          <w:snapToGrid w:val="0"/>
        </w:rPr>
        <w:tab/>
        <w:t>a cylinder shall have a diameter of at least 0.6 metre and a height of twice its diameter;</w:t>
      </w:r>
    </w:p>
    <w:p>
      <w:pPr>
        <w:pStyle w:val="yIndenti0"/>
        <w:tabs>
          <w:tab w:val="clear" w:pos="2041"/>
          <w:tab w:val="clear" w:pos="2325"/>
          <w:tab w:val="right" w:pos="1710"/>
        </w:tabs>
        <w:ind w:left="1995" w:hanging="1995"/>
        <w:rPr>
          <w:snapToGrid w:val="0"/>
        </w:rPr>
      </w:pPr>
      <w:r>
        <w:rPr>
          <w:snapToGrid w:val="0"/>
        </w:rPr>
        <w:tab/>
        <w:t>(iv)</w:t>
      </w:r>
      <w:r>
        <w:rPr>
          <w:snapToGrid w:val="0"/>
        </w:rPr>
        <w:tab/>
        <w:t>a diamond shape shall consist of two cones as defined in (ii) above having a common base.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distance between shapes shall be at least 1.5 metres.</w:t>
      </w:r>
    </w:p>
    <w:p>
      <w:pPr>
        <w:pStyle w:val="yIndenta"/>
        <w:tabs>
          <w:tab w:val="clear" w:pos="1332"/>
          <w:tab w:val="clear" w:pos="1616"/>
          <w:tab w:val="right" w:pos="1026"/>
        </w:tabs>
        <w:ind w:left="1311" w:hanging="1311"/>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spacing w:before="140"/>
        <w:ind w:left="570" w:hanging="570"/>
        <w:rPr>
          <w:snapToGrid w:val="0"/>
        </w:rPr>
      </w:pPr>
      <w:r>
        <w:rPr>
          <w:snapToGrid w:val="0"/>
        </w:rPr>
        <w:t>7.</w:t>
      </w:r>
      <w:r>
        <w:rPr>
          <w:snapToGrid w:val="0"/>
        </w:rPr>
        <w:tab/>
      </w:r>
      <w:r>
        <w:rPr>
          <w:i/>
          <w:snapToGrid w:val="0"/>
        </w:rPr>
        <w:t>Colour specifications of lights</w:t>
      </w:r>
    </w:p>
    <w:p>
      <w:pPr>
        <w:pStyle w:val="yMiscellaneousBody"/>
        <w:spacing w:before="140"/>
        <w:ind w:left="570" w:hanging="570"/>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spacing w:before="140"/>
        <w:ind w:left="570" w:hanging="570"/>
        <w:rPr>
          <w:snapToGrid w:val="0"/>
        </w:rPr>
      </w:pPr>
      <w:r>
        <w:rPr>
          <w:snapToGrid w:val="0"/>
        </w:rPr>
        <w:tab/>
        <w:t>The boundaries of the area for each colour are given by indicating the corner co</w:t>
      </w:r>
      <w:r>
        <w:rPr>
          <w:snapToGrid w:val="0"/>
        </w:rPr>
        <w:noBreakHyphen/>
        <w:t>ordinates, which are as follows:</w:t>
      </w:r>
    </w:p>
    <w:p>
      <w:pPr>
        <w:pStyle w:val="yIndenta"/>
        <w:tabs>
          <w:tab w:val="clear" w:pos="1332"/>
          <w:tab w:val="clear" w:pos="1616"/>
          <w:tab w:val="right" w:pos="1026"/>
        </w:tabs>
        <w:ind w:left="1311" w:hanging="1311"/>
        <w:rPr>
          <w:snapToGrid w:val="0"/>
        </w:rPr>
      </w:pPr>
      <w:r>
        <w:rPr>
          <w:snapToGrid w:val="0"/>
        </w:rPr>
        <w:tab/>
        <w:t>(i)</w:t>
      </w:r>
      <w:r>
        <w:rPr>
          <w:snapToGrid w:val="0"/>
        </w:rPr>
        <w:tab/>
      </w:r>
      <w:r>
        <w:rPr>
          <w:i/>
          <w:snapToGrid w:val="0"/>
        </w:rPr>
        <w:t>White</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tabs>
          <w:tab w:val="clear" w:pos="1332"/>
          <w:tab w:val="clear" w:pos="1616"/>
          <w:tab w:val="right" w:pos="1026"/>
        </w:tabs>
        <w:ind w:left="1311" w:hanging="1311"/>
        <w:rPr>
          <w:snapToGrid w:val="0"/>
        </w:rPr>
      </w:pPr>
      <w:r>
        <w:rPr>
          <w:snapToGrid w:val="0"/>
        </w:rPr>
        <w:tab/>
        <w:t>(ii)</w:t>
      </w:r>
      <w:r>
        <w:rPr>
          <w:snapToGrid w:val="0"/>
        </w:rPr>
        <w:tab/>
      </w:r>
      <w:r>
        <w:rPr>
          <w:i/>
          <w:snapToGrid w:val="0"/>
        </w:rPr>
        <w:t>Green</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tabs>
          <w:tab w:val="clear" w:pos="1332"/>
          <w:tab w:val="clear" w:pos="1616"/>
          <w:tab w:val="right" w:pos="1026"/>
        </w:tabs>
        <w:ind w:left="1311" w:hanging="1311"/>
        <w:rPr>
          <w:snapToGrid w:val="0"/>
        </w:rPr>
      </w:pPr>
      <w:r>
        <w:rPr>
          <w:snapToGrid w:val="0"/>
        </w:rPr>
        <w:tab/>
        <w:t>(iii)</w:t>
      </w:r>
      <w:r>
        <w:rPr>
          <w:snapToGrid w:val="0"/>
        </w:rPr>
        <w:tab/>
      </w:r>
      <w:r>
        <w:rPr>
          <w:i/>
          <w:snapToGrid w:val="0"/>
        </w:rPr>
        <w:t>Red</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tabs>
          <w:tab w:val="clear" w:pos="1332"/>
          <w:tab w:val="clear" w:pos="1616"/>
          <w:tab w:val="right" w:pos="1026"/>
        </w:tabs>
        <w:ind w:left="1311" w:hanging="1311"/>
        <w:rPr>
          <w:snapToGrid w:val="0"/>
        </w:rPr>
      </w:pPr>
      <w:r>
        <w:rPr>
          <w:snapToGrid w:val="0"/>
        </w:rPr>
        <w:tab/>
        <w:t>(iv)</w:t>
      </w:r>
      <w:r>
        <w:rPr>
          <w:snapToGrid w:val="0"/>
        </w:rPr>
        <w:tab/>
      </w:r>
      <w:r>
        <w:rPr>
          <w:i/>
          <w:snapToGrid w:val="0"/>
        </w:rPr>
        <w:t>Yellow</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ind w:left="570" w:hanging="570"/>
        <w:rPr>
          <w:snapToGrid w:val="0"/>
        </w:rPr>
      </w:pPr>
      <w:r>
        <w:rPr>
          <w:snapToGrid w:val="0"/>
        </w:rPr>
        <w:t>8.</w:t>
      </w:r>
      <w:r>
        <w:rPr>
          <w:snapToGrid w:val="0"/>
        </w:rPr>
        <w:tab/>
      </w:r>
      <w:r>
        <w:rPr>
          <w:i/>
          <w:snapToGrid w:val="0"/>
        </w:rPr>
        <w:t>Intensity of lights</w:t>
      </w:r>
    </w:p>
    <w:p>
      <w:pPr>
        <w:pStyle w:val="yIndenta"/>
        <w:tabs>
          <w:tab w:val="clear" w:pos="1332"/>
          <w:tab w:val="clear" w:pos="1616"/>
          <w:tab w:val="right" w:pos="1026"/>
        </w:tabs>
        <w:ind w:left="1311" w:hanging="1311"/>
        <w:rPr>
          <w:snapToGrid w:val="0"/>
        </w:rPr>
      </w:pPr>
      <w:r>
        <w:rPr>
          <w:snapToGrid w:val="0"/>
        </w:rPr>
        <w:tab/>
        <w:t>(a)</w:t>
      </w:r>
      <w:r>
        <w:rPr>
          <w:snapToGrid w:val="0"/>
        </w:rPr>
        <w:tab/>
        <w:t>The minimum luminous intensity of lights shall be calculated by using the formula:</w:t>
      </w:r>
    </w:p>
    <w:p>
      <w:pPr>
        <w:pStyle w:val="yIndenti0"/>
        <w:tabs>
          <w:tab w:val="clear" w:pos="2041"/>
          <w:tab w:val="clear" w:pos="2325"/>
          <w:tab w:val="right" w:pos="1767"/>
        </w:tabs>
        <w:ind w:left="1710" w:hanging="171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332"/>
          <w:tab w:val="clear" w:pos="1616"/>
          <w:tab w:val="right" w:pos="1026"/>
        </w:tabs>
        <w:ind w:left="1311" w:hanging="1311"/>
        <w:rPr>
          <w:snapToGrid w:val="0"/>
        </w:rPr>
      </w:pPr>
      <w:r>
        <w:rPr>
          <w:snapToGrid w:val="0"/>
        </w:rPr>
        <w:tab/>
      </w:r>
      <w:r>
        <w:rPr>
          <w:snapToGrid w:val="0"/>
        </w:rPr>
        <w:tab/>
        <w:t>where I is luminous intensity in candelas under service</w:t>
      </w:r>
    </w:p>
    <w:p>
      <w:pPr>
        <w:pStyle w:val="yIndenti0"/>
        <w:tabs>
          <w:tab w:val="clear" w:pos="2041"/>
          <w:tab w:val="clear" w:pos="2325"/>
          <w:tab w:val="right" w:pos="1596"/>
        </w:tabs>
        <w:ind w:left="1710" w:hanging="1710"/>
        <w:rPr>
          <w:snapToGrid w:val="0"/>
        </w:rPr>
      </w:pPr>
      <w:r>
        <w:rPr>
          <w:snapToGrid w:val="0"/>
        </w:rPr>
        <w:tab/>
      </w:r>
      <w:r>
        <w:rPr>
          <w:snapToGrid w:val="0"/>
        </w:rPr>
        <w:tab/>
        <w:t>conditions,</w:t>
      </w:r>
    </w:p>
    <w:p>
      <w:pPr>
        <w:pStyle w:val="yIndenti0"/>
        <w:tabs>
          <w:tab w:val="clear" w:pos="2041"/>
          <w:tab w:val="clear" w:pos="2325"/>
          <w:tab w:val="right" w:pos="1596"/>
        </w:tabs>
        <w:ind w:left="1710" w:hanging="171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tabs>
          <w:tab w:val="clear" w:pos="2041"/>
          <w:tab w:val="clear" w:pos="2325"/>
          <w:tab w:val="right" w:pos="1596"/>
        </w:tabs>
        <w:ind w:left="1710" w:hanging="1710"/>
        <w:rPr>
          <w:snapToGrid w:val="0"/>
        </w:rPr>
      </w:pPr>
      <w:r>
        <w:rPr>
          <w:snapToGrid w:val="0"/>
        </w:rPr>
        <w:tab/>
      </w:r>
      <w:r>
        <w:rPr>
          <w:snapToGrid w:val="0"/>
        </w:rPr>
        <w:tab/>
        <w:t>D is range of visibility (luminous range) of the light in nautical miles,</w:t>
      </w:r>
    </w:p>
    <w:p>
      <w:pPr>
        <w:pStyle w:val="yIndenti0"/>
        <w:tabs>
          <w:tab w:val="clear" w:pos="2041"/>
          <w:tab w:val="clear" w:pos="2325"/>
          <w:tab w:val="right" w:pos="1596"/>
        </w:tabs>
        <w:ind w:left="1710" w:hanging="1710"/>
        <w:rPr>
          <w:snapToGrid w:val="0"/>
        </w:rPr>
      </w:pPr>
      <w:r>
        <w:rPr>
          <w:snapToGrid w:val="0"/>
        </w:rPr>
        <w:tab/>
      </w:r>
      <w:r>
        <w:rPr>
          <w:snapToGrid w:val="0"/>
        </w:rPr>
        <w:tab/>
        <w:t>K is atmospheric transmissivity.</w:t>
      </w:r>
    </w:p>
    <w:p>
      <w:pPr>
        <w:pStyle w:val="yIndenta"/>
        <w:tabs>
          <w:tab w:val="clear" w:pos="1616"/>
          <w:tab w:val="left" w:pos="2166"/>
        </w:tabs>
        <w:ind w:left="2166" w:hanging="2166"/>
        <w:rPr>
          <w:snapToGrid w:val="0"/>
        </w:rPr>
      </w:pPr>
      <w:r>
        <w:rPr>
          <w:snapToGrid w:val="0"/>
        </w:rPr>
        <w:tab/>
      </w:r>
      <w:r>
        <w:rPr>
          <w:snapToGrid w:val="0"/>
        </w:rPr>
        <w:tab/>
        <w:t>For prescribed lights the value of K shall be 0.8, corresponding to a meteorological visibility of approximately 13 nautical miles.</w:t>
      </w:r>
    </w:p>
    <w:p>
      <w:pPr>
        <w:pStyle w:val="yIndenta"/>
        <w:tabs>
          <w:tab w:val="clear" w:pos="1332"/>
          <w:tab w:val="clear" w:pos="1616"/>
          <w:tab w:val="right" w:pos="1026"/>
        </w:tabs>
        <w:ind w:left="1311" w:hanging="1311"/>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NAm"/>
              <w:jc w:val="center"/>
            </w:pPr>
            <w:r>
              <w:t>Range of visibility (luminous range) of light in nautical miles</w:t>
            </w:r>
          </w:p>
        </w:tc>
        <w:tc>
          <w:tcPr>
            <w:tcW w:w="3260" w:type="dxa"/>
            <w:tcBorders>
              <w:bottom w:val="nil"/>
            </w:tcBorders>
          </w:tcPr>
          <w:p>
            <w:pPr>
              <w:pStyle w:val="yTableNAm"/>
              <w:jc w:val="center"/>
            </w:pPr>
            <w:r>
              <w:t>Luminous intensity of light in candelas for K = 0.8</w:t>
            </w:r>
          </w:p>
        </w:tc>
      </w:tr>
      <w:tr>
        <w:tc>
          <w:tcPr>
            <w:tcW w:w="3118" w:type="dxa"/>
            <w:tcBorders>
              <w:top w:val="nil"/>
              <w:bottom w:val="single" w:sz="4" w:space="0" w:color="auto"/>
            </w:tcBorders>
          </w:tcPr>
          <w:p>
            <w:pPr>
              <w:pStyle w:val="yTableNAm"/>
              <w:jc w:val="center"/>
            </w:pPr>
            <w:r>
              <w:t>D</w:t>
            </w:r>
          </w:p>
        </w:tc>
        <w:tc>
          <w:tcPr>
            <w:tcW w:w="3260" w:type="dxa"/>
            <w:tcBorders>
              <w:top w:val="nil"/>
              <w:bottom w:val="single" w:sz="4" w:space="0" w:color="auto"/>
            </w:tcBorders>
          </w:tcPr>
          <w:p>
            <w:pPr>
              <w:pStyle w:val="yTableNAm"/>
              <w:jc w:val="center"/>
            </w:pPr>
            <w:r>
              <w:t>I</w:t>
            </w:r>
          </w:p>
        </w:tc>
      </w:tr>
      <w:tr>
        <w:tc>
          <w:tcPr>
            <w:tcW w:w="3118" w:type="dxa"/>
            <w:tcBorders>
              <w:top w:val="nil"/>
            </w:tcBorders>
          </w:tcPr>
          <w:p>
            <w:pPr>
              <w:pStyle w:val="yTableNAm"/>
              <w:jc w:val="center"/>
            </w:pPr>
            <w:r>
              <w:t>1</w:t>
            </w:r>
          </w:p>
        </w:tc>
        <w:tc>
          <w:tcPr>
            <w:tcW w:w="3260" w:type="dxa"/>
            <w:tcBorders>
              <w:top w:val="nil"/>
            </w:tcBorders>
          </w:tcPr>
          <w:p>
            <w:pPr>
              <w:pStyle w:val="yTableNAm"/>
              <w:jc w:val="center"/>
            </w:pPr>
            <w:r>
              <w:t>0.9</w:t>
            </w:r>
          </w:p>
        </w:tc>
      </w:tr>
      <w:tr>
        <w:tc>
          <w:tcPr>
            <w:tcW w:w="3118" w:type="dxa"/>
          </w:tcPr>
          <w:p>
            <w:pPr>
              <w:pStyle w:val="yTableNAm"/>
              <w:jc w:val="center"/>
            </w:pPr>
            <w:r>
              <w:t>2</w:t>
            </w:r>
          </w:p>
        </w:tc>
        <w:tc>
          <w:tcPr>
            <w:tcW w:w="3260" w:type="dxa"/>
          </w:tcPr>
          <w:p>
            <w:pPr>
              <w:pStyle w:val="yTableNAm"/>
              <w:jc w:val="center"/>
            </w:pPr>
            <w:r>
              <w:t>4.3</w:t>
            </w:r>
          </w:p>
        </w:tc>
      </w:tr>
      <w:tr>
        <w:tc>
          <w:tcPr>
            <w:tcW w:w="3118" w:type="dxa"/>
          </w:tcPr>
          <w:p>
            <w:pPr>
              <w:pStyle w:val="yTableNAm"/>
              <w:jc w:val="center"/>
            </w:pPr>
            <w:r>
              <w:t>3</w:t>
            </w:r>
          </w:p>
        </w:tc>
        <w:tc>
          <w:tcPr>
            <w:tcW w:w="3260" w:type="dxa"/>
          </w:tcPr>
          <w:p>
            <w:pPr>
              <w:pStyle w:val="yTableNAm"/>
              <w:jc w:val="center"/>
            </w:pPr>
            <w:r>
              <w:t>12</w:t>
            </w:r>
          </w:p>
        </w:tc>
      </w:tr>
      <w:tr>
        <w:tc>
          <w:tcPr>
            <w:tcW w:w="3118" w:type="dxa"/>
          </w:tcPr>
          <w:p>
            <w:pPr>
              <w:pStyle w:val="yTableNAm"/>
              <w:jc w:val="center"/>
            </w:pPr>
            <w:r>
              <w:t>4</w:t>
            </w:r>
          </w:p>
        </w:tc>
        <w:tc>
          <w:tcPr>
            <w:tcW w:w="3260" w:type="dxa"/>
          </w:tcPr>
          <w:p>
            <w:pPr>
              <w:pStyle w:val="yTableNAm"/>
              <w:jc w:val="center"/>
            </w:pPr>
            <w:r>
              <w:t>27</w:t>
            </w:r>
          </w:p>
        </w:tc>
      </w:tr>
      <w:tr>
        <w:tc>
          <w:tcPr>
            <w:tcW w:w="3118" w:type="dxa"/>
          </w:tcPr>
          <w:p>
            <w:pPr>
              <w:pStyle w:val="yTableNAm"/>
              <w:jc w:val="center"/>
            </w:pPr>
            <w:r>
              <w:t>5</w:t>
            </w:r>
          </w:p>
        </w:tc>
        <w:tc>
          <w:tcPr>
            <w:tcW w:w="3260" w:type="dxa"/>
          </w:tcPr>
          <w:p>
            <w:pPr>
              <w:pStyle w:val="yTableNAm"/>
              <w:jc w:val="center"/>
            </w:pPr>
            <w:r>
              <w:t>52</w:t>
            </w:r>
          </w:p>
        </w:tc>
      </w:tr>
      <w:tr>
        <w:tc>
          <w:tcPr>
            <w:tcW w:w="3118" w:type="dxa"/>
          </w:tcPr>
          <w:p>
            <w:pPr>
              <w:pStyle w:val="yTableNAm"/>
              <w:jc w:val="center"/>
            </w:pPr>
            <w:r>
              <w:t>6</w:t>
            </w:r>
          </w:p>
        </w:tc>
        <w:tc>
          <w:tcPr>
            <w:tcW w:w="3260" w:type="dxa"/>
          </w:tcPr>
          <w:p>
            <w:pPr>
              <w:pStyle w:val="yTableNAm"/>
              <w:jc w:val="center"/>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ind w:left="570" w:hanging="570"/>
        <w:rPr>
          <w:snapToGrid w:val="0"/>
        </w:rPr>
      </w:pPr>
      <w:r>
        <w:rPr>
          <w:snapToGrid w:val="0"/>
        </w:rPr>
        <w:t>9.</w:t>
      </w:r>
      <w:r>
        <w:rPr>
          <w:snapToGrid w:val="0"/>
        </w:rPr>
        <w:tab/>
      </w:r>
      <w:r>
        <w:rPr>
          <w:i/>
          <w:snapToGrid w:val="0"/>
        </w:rPr>
        <w:t>Horizontal Sectors</w:t>
      </w:r>
    </w:p>
    <w:p>
      <w:pPr>
        <w:pStyle w:val="yIndenti0"/>
        <w:tabs>
          <w:tab w:val="clear" w:pos="2041"/>
          <w:tab w:val="clear" w:pos="2325"/>
          <w:tab w:val="right" w:pos="1026"/>
          <w:tab w:val="right" w:pos="1710"/>
        </w:tabs>
        <w:ind w:left="1995" w:hanging="1995"/>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tabs>
          <w:tab w:val="clear" w:pos="2041"/>
          <w:tab w:val="clear" w:pos="2325"/>
          <w:tab w:val="right" w:pos="1710"/>
        </w:tabs>
        <w:ind w:left="1995" w:hanging="1995"/>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tabs>
          <w:tab w:val="clear" w:pos="1332"/>
          <w:tab w:val="clear" w:pos="1616"/>
          <w:tab w:val="right" w:pos="1026"/>
        </w:tabs>
        <w:ind w:left="1311" w:hanging="1311"/>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ind w:left="570" w:hanging="570"/>
        <w:rPr>
          <w:snapToGrid w:val="0"/>
        </w:rPr>
      </w:pPr>
      <w:r>
        <w:rPr>
          <w:snapToGrid w:val="0"/>
        </w:rPr>
        <w:t>10.</w:t>
      </w:r>
      <w:r>
        <w:rPr>
          <w:snapToGrid w:val="0"/>
        </w:rPr>
        <w:tab/>
      </w:r>
      <w:r>
        <w:rPr>
          <w:i/>
          <w:snapToGrid w:val="0"/>
        </w:rPr>
        <w:t>Vertical Sectors</w:t>
      </w:r>
    </w:p>
    <w:p>
      <w:pPr>
        <w:pStyle w:val="yIndenta"/>
        <w:tabs>
          <w:tab w:val="clear" w:pos="1332"/>
          <w:tab w:val="clear" w:pos="1616"/>
          <w:tab w:val="right" w:pos="1026"/>
        </w:tabs>
        <w:ind w:left="1311" w:hanging="1311"/>
        <w:rPr>
          <w:snapToGrid w:val="0"/>
        </w:rPr>
      </w:pPr>
      <w:r>
        <w:rPr>
          <w:snapToGrid w:val="0"/>
        </w:rPr>
        <w:tab/>
        <w:t>(a)</w:t>
      </w:r>
      <w:r>
        <w:rPr>
          <w:snapToGrid w:val="0"/>
        </w:rPr>
        <w:tab/>
        <w:t>The vertical sectors of electric lights, with the exception of lights on sailing vessels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tabs>
          <w:tab w:val="clear" w:pos="1332"/>
          <w:tab w:val="clear" w:pos="1616"/>
          <w:tab w:val="right" w:pos="1026"/>
        </w:tabs>
        <w:ind w:left="1311" w:hanging="1311"/>
        <w:rPr>
          <w:snapToGrid w:val="0"/>
        </w:rPr>
      </w:pPr>
      <w:r>
        <w:rPr>
          <w:snapToGrid w:val="0"/>
        </w:rPr>
        <w:tab/>
        <w:t>(b)</w:t>
      </w:r>
      <w:r>
        <w:rPr>
          <w:snapToGrid w:val="0"/>
        </w:rPr>
        <w:tab/>
        <w:t>In the case of sailing vessels the vertical sectors of electric lights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tabs>
          <w:tab w:val="clear" w:pos="1332"/>
          <w:tab w:val="clear" w:pos="1616"/>
          <w:tab w:val="right" w:pos="1026"/>
        </w:tabs>
        <w:ind w:left="1311" w:hanging="1311"/>
        <w:rPr>
          <w:snapToGrid w:val="0"/>
        </w:rPr>
      </w:pPr>
      <w:r>
        <w:rPr>
          <w:snapToGrid w:val="0"/>
        </w:rPr>
        <w:tab/>
        <w:t>(c)</w:t>
      </w:r>
      <w:r>
        <w:rPr>
          <w:snapToGrid w:val="0"/>
        </w:rPr>
        <w:tab/>
        <w:t>In the case of lights other than electric these specifications shall be met as closely as possible.</w:t>
      </w:r>
    </w:p>
    <w:p>
      <w:pPr>
        <w:pStyle w:val="yMiscellaneousBody"/>
        <w:ind w:left="570" w:hanging="570"/>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ind w:left="570" w:hanging="570"/>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ind w:left="570" w:hanging="570"/>
        <w:rPr>
          <w:snapToGrid w:val="0"/>
        </w:rPr>
      </w:pPr>
      <w:r>
        <w:rPr>
          <w:snapToGrid w:val="0"/>
        </w:rPr>
        <w:t>12.</w:t>
      </w:r>
      <w:r>
        <w:rPr>
          <w:snapToGrid w:val="0"/>
        </w:rPr>
        <w:tab/>
      </w:r>
      <w:r>
        <w:rPr>
          <w:i/>
          <w:snapToGrid w:val="0"/>
        </w:rPr>
        <w:t>Manoeuvring light</w:t>
      </w:r>
    </w:p>
    <w:p>
      <w:pPr>
        <w:pStyle w:val="yMiscellaneousBody"/>
        <w:ind w:left="570" w:hanging="570"/>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ind w:left="570" w:hanging="570"/>
        <w:rPr>
          <w:i/>
          <w:snapToGrid w:val="0"/>
        </w:rPr>
      </w:pPr>
      <w:r>
        <w:rPr>
          <w:snapToGrid w:val="0"/>
        </w:rPr>
        <w:t>13.</w:t>
      </w:r>
      <w:r>
        <w:rPr>
          <w:snapToGrid w:val="0"/>
        </w:rPr>
        <w:tab/>
      </w:r>
      <w:r>
        <w:rPr>
          <w:i/>
          <w:snapToGrid w:val="0"/>
        </w:rPr>
        <w:t>Approval</w:t>
      </w:r>
    </w:p>
    <w:p>
      <w:pPr>
        <w:pStyle w:val="yMiscellaneousBody"/>
        <w:ind w:left="570" w:hanging="570"/>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36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ind w:left="570" w:hanging="570"/>
        <w:rPr>
          <w:i/>
          <w:snapToGrid w:val="0"/>
        </w:rPr>
      </w:pPr>
      <w:r>
        <w:rPr>
          <w:snapToGrid w:val="0"/>
        </w:rPr>
        <w:t>1.</w:t>
      </w:r>
      <w:r>
        <w:rPr>
          <w:snapToGrid w:val="0"/>
        </w:rPr>
        <w:tab/>
      </w:r>
      <w:r>
        <w:rPr>
          <w:i/>
          <w:snapToGrid w:val="0"/>
        </w:rPr>
        <w:t>General</w:t>
      </w:r>
    </w:p>
    <w:p>
      <w:pPr>
        <w:pStyle w:val="yMiscellaneousBody"/>
        <w:spacing w:before="120"/>
        <w:ind w:left="570" w:hanging="570"/>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keepNext/>
        <w:ind w:left="570" w:hanging="570"/>
        <w:rPr>
          <w:snapToGrid w:val="0"/>
        </w:rPr>
      </w:pPr>
      <w:r>
        <w:rPr>
          <w:snapToGrid w:val="0"/>
        </w:rPr>
        <w:t>2.</w:t>
      </w:r>
      <w:r>
        <w:rPr>
          <w:snapToGrid w:val="0"/>
        </w:rPr>
        <w:tab/>
      </w:r>
      <w:r>
        <w:rPr>
          <w:i/>
          <w:snapToGrid w:val="0"/>
        </w:rPr>
        <w:t>Signals for Trawlers</w:t>
      </w:r>
    </w:p>
    <w:p>
      <w:pPr>
        <w:pStyle w:val="yIndenta"/>
        <w:keepNext/>
        <w:tabs>
          <w:tab w:val="clear" w:pos="1332"/>
          <w:tab w:val="clear" w:pos="1616"/>
          <w:tab w:val="right" w:pos="1026"/>
        </w:tabs>
        <w:ind w:left="1311" w:hanging="1311"/>
        <w:rPr>
          <w:snapToGrid w:val="0"/>
        </w:rPr>
      </w:pPr>
      <w:r>
        <w:rPr>
          <w:snapToGrid w:val="0"/>
        </w:rPr>
        <w:tab/>
        <w:t>(a)</w:t>
      </w:r>
      <w:r>
        <w:rPr>
          <w:snapToGrid w:val="0"/>
        </w:rPr>
        <w:tab/>
        <w:t>Vessels when engaged in trawling, whether using demersal or pelagic gear, may exhibit:</w:t>
      </w:r>
    </w:p>
    <w:p>
      <w:pPr>
        <w:pStyle w:val="yIndenti0"/>
        <w:tabs>
          <w:tab w:val="clear" w:pos="2041"/>
          <w:tab w:val="clear" w:pos="2325"/>
          <w:tab w:val="right" w:pos="1710"/>
        </w:tabs>
        <w:ind w:left="1995" w:hanging="1995"/>
        <w:rPr>
          <w:snapToGrid w:val="0"/>
        </w:rPr>
      </w:pPr>
      <w:r>
        <w:rPr>
          <w:snapToGrid w:val="0"/>
        </w:rPr>
        <w:tab/>
        <w:t>(i)</w:t>
      </w:r>
      <w:r>
        <w:rPr>
          <w:snapToGrid w:val="0"/>
        </w:rPr>
        <w:tab/>
        <w:t>when shooting their nets: two white lights in a vertical line;</w:t>
      </w:r>
    </w:p>
    <w:p>
      <w:pPr>
        <w:pStyle w:val="yIndenti0"/>
        <w:tabs>
          <w:tab w:val="clear" w:pos="2041"/>
          <w:tab w:val="clear" w:pos="2325"/>
          <w:tab w:val="right" w:pos="1710"/>
        </w:tabs>
        <w:ind w:left="1995" w:hanging="1995"/>
        <w:rPr>
          <w:snapToGrid w:val="0"/>
        </w:rPr>
      </w:pPr>
      <w:r>
        <w:rPr>
          <w:snapToGrid w:val="0"/>
        </w:rPr>
        <w:tab/>
        <w:t>(ii)</w:t>
      </w:r>
      <w:r>
        <w:rPr>
          <w:snapToGrid w:val="0"/>
        </w:rPr>
        <w:tab/>
        <w:t>when hauling their nets: one white light over one red light in a vertical line;</w:t>
      </w:r>
    </w:p>
    <w:p>
      <w:pPr>
        <w:pStyle w:val="yIndenti0"/>
        <w:tabs>
          <w:tab w:val="clear" w:pos="2041"/>
          <w:tab w:val="clear" w:pos="2325"/>
          <w:tab w:val="right" w:pos="1710"/>
        </w:tabs>
        <w:ind w:left="1995" w:hanging="1995"/>
        <w:rPr>
          <w:snapToGrid w:val="0"/>
        </w:rPr>
      </w:pPr>
      <w:r>
        <w:rPr>
          <w:snapToGrid w:val="0"/>
        </w:rPr>
        <w:tab/>
        <w:t>(iii)</w:t>
      </w:r>
      <w:r>
        <w:rPr>
          <w:snapToGrid w:val="0"/>
        </w:rPr>
        <w:tab/>
        <w:t>when the net has come fast upon an obstruction: two red lights in a vertical line.</w:t>
      </w:r>
    </w:p>
    <w:p>
      <w:pPr>
        <w:pStyle w:val="yIndenta"/>
        <w:tabs>
          <w:tab w:val="clear" w:pos="1332"/>
          <w:tab w:val="clear" w:pos="1616"/>
          <w:tab w:val="right" w:pos="1026"/>
        </w:tabs>
        <w:ind w:left="1311" w:hanging="1311"/>
        <w:rPr>
          <w:snapToGrid w:val="0"/>
        </w:rPr>
      </w:pPr>
      <w:r>
        <w:rPr>
          <w:snapToGrid w:val="0"/>
        </w:rPr>
        <w:tab/>
        <w:t>(b)</w:t>
      </w:r>
      <w:r>
        <w:rPr>
          <w:snapToGrid w:val="0"/>
        </w:rPr>
        <w:tab/>
        <w:t>Each vessel engaged in pair trawling may exhibit:</w:t>
      </w:r>
    </w:p>
    <w:p>
      <w:pPr>
        <w:pStyle w:val="yIndenti0"/>
        <w:tabs>
          <w:tab w:val="clear" w:pos="2041"/>
          <w:tab w:val="clear" w:pos="2325"/>
          <w:tab w:val="right" w:pos="1710"/>
        </w:tabs>
        <w:ind w:left="1995" w:hanging="1995"/>
        <w:rPr>
          <w:snapToGrid w:val="0"/>
        </w:rPr>
      </w:pPr>
      <w:r>
        <w:rPr>
          <w:snapToGrid w:val="0"/>
        </w:rPr>
        <w:tab/>
        <w:t>(i)</w:t>
      </w:r>
      <w:r>
        <w:rPr>
          <w:snapToGrid w:val="0"/>
        </w:rPr>
        <w:tab/>
        <w:t>by night a searchlight directed forward and in the direction of the other vessel of the pair;</w:t>
      </w:r>
    </w:p>
    <w:p>
      <w:pPr>
        <w:pStyle w:val="yIndenti0"/>
        <w:tabs>
          <w:tab w:val="clear" w:pos="2041"/>
          <w:tab w:val="clear" w:pos="2325"/>
          <w:tab w:val="right" w:pos="1710"/>
        </w:tabs>
        <w:ind w:left="1995" w:hanging="1995"/>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ind w:left="570" w:hanging="570"/>
        <w:rPr>
          <w:snapToGrid w:val="0"/>
        </w:rPr>
      </w:pPr>
      <w:r>
        <w:rPr>
          <w:snapToGrid w:val="0"/>
        </w:rPr>
        <w:t>3.</w:t>
      </w:r>
      <w:r>
        <w:rPr>
          <w:snapToGrid w:val="0"/>
        </w:rPr>
        <w:tab/>
      </w:r>
      <w:r>
        <w:rPr>
          <w:i/>
          <w:snapToGrid w:val="0"/>
        </w:rPr>
        <w:t>Signals for purse seiners</w:t>
      </w:r>
    </w:p>
    <w:p>
      <w:pPr>
        <w:pStyle w:val="yMiscellaneousBody"/>
        <w:spacing w:before="120"/>
        <w:ind w:left="570" w:hanging="570"/>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8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spacing w:before="120"/>
        <w:ind w:left="570" w:hanging="570"/>
        <w:rPr>
          <w:i/>
          <w:snapToGrid w:val="0"/>
        </w:rPr>
      </w:pPr>
      <w:r>
        <w:rPr>
          <w:snapToGrid w:val="0"/>
        </w:rPr>
        <w:t>1.</w:t>
      </w:r>
      <w:r>
        <w:rPr>
          <w:snapToGrid w:val="0"/>
        </w:rPr>
        <w:tab/>
      </w:r>
      <w:r>
        <w:rPr>
          <w:i/>
          <w:snapToGrid w:val="0"/>
        </w:rPr>
        <w:t>Whistles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tabs>
          <w:tab w:val="clear" w:pos="1332"/>
          <w:tab w:val="clear" w:pos="1616"/>
          <w:tab w:val="right" w:pos="1026"/>
        </w:tabs>
        <w:ind w:left="1311" w:hanging="1311"/>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tabs>
          <w:tab w:val="clear" w:pos="2041"/>
          <w:tab w:val="clear" w:pos="2325"/>
          <w:tab w:val="right" w:pos="1710"/>
        </w:tabs>
        <w:ind w:left="1995" w:hanging="1995"/>
        <w:rPr>
          <w:snapToGrid w:val="0"/>
        </w:rPr>
      </w:pPr>
      <w:r>
        <w:rPr>
          <w:snapToGrid w:val="0"/>
        </w:rPr>
        <w:tab/>
        <w:t>(i)</w:t>
      </w:r>
      <w:r>
        <w:rPr>
          <w:snapToGrid w:val="0"/>
        </w:rPr>
        <w:tab/>
        <w:t>70</w:t>
      </w:r>
      <w:r>
        <w:rPr>
          <w:snapToGrid w:val="0"/>
        </w:rPr>
        <w:noBreakHyphen/>
        <w:t>200 Hz, for a vessel 200 metres or more in length;</w:t>
      </w:r>
    </w:p>
    <w:p>
      <w:pPr>
        <w:pStyle w:val="yIndenti0"/>
        <w:tabs>
          <w:tab w:val="clear" w:pos="2041"/>
          <w:tab w:val="clear" w:pos="2325"/>
          <w:tab w:val="right" w:pos="1710"/>
        </w:tabs>
        <w:ind w:left="1995" w:hanging="1995"/>
        <w:rPr>
          <w:snapToGrid w:val="0"/>
        </w:rPr>
      </w:pPr>
      <w:r>
        <w:rPr>
          <w:snapToGrid w:val="0"/>
        </w:rPr>
        <w:tab/>
        <w:t>(ii)</w:t>
      </w:r>
      <w:r>
        <w:rPr>
          <w:snapToGrid w:val="0"/>
        </w:rPr>
        <w:tab/>
        <w:t>130</w:t>
      </w:r>
      <w:r>
        <w:rPr>
          <w:snapToGrid w:val="0"/>
        </w:rPr>
        <w:noBreakHyphen/>
        <w:t>350 Hz, for a vessel 75 metres but less than 200 metres in length;</w:t>
      </w:r>
    </w:p>
    <w:p>
      <w:pPr>
        <w:pStyle w:val="yIndenti0"/>
        <w:tabs>
          <w:tab w:val="clear" w:pos="2041"/>
          <w:tab w:val="clear" w:pos="2325"/>
          <w:tab w:val="right" w:pos="1710"/>
        </w:tabs>
        <w:ind w:left="1995" w:hanging="1995"/>
        <w:rPr>
          <w:snapToGrid w:val="0"/>
        </w:rPr>
      </w:pPr>
      <w:r>
        <w:rPr>
          <w:snapToGrid w:val="0"/>
        </w:rPr>
        <w:tab/>
        <w:t>(iii)</w:t>
      </w:r>
      <w:r>
        <w:rPr>
          <w:snapToGrid w:val="0"/>
        </w:rPr>
        <w:tab/>
        <w:t>250</w:t>
      </w:r>
      <w:r>
        <w:rPr>
          <w:snapToGrid w:val="0"/>
        </w:rPr>
        <w:noBreakHyphen/>
        <w:t>700 Hz, for a vessel less than 75 metres in length.</w:t>
      </w:r>
    </w:p>
    <w:p>
      <w:pPr>
        <w:pStyle w:val="yIndenta"/>
        <w:tabs>
          <w:tab w:val="clear" w:pos="1332"/>
          <w:tab w:val="clear" w:pos="1616"/>
          <w:tab w:val="right" w:pos="1026"/>
        </w:tabs>
        <w:spacing w:after="40"/>
        <w:ind w:left="1310" w:hanging="131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NAm"/>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NAm"/>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NAm"/>
              <w:jc w:val="center"/>
            </w:pPr>
            <w:r>
              <w:t>Audibility range in nautical</w:t>
            </w:r>
            <w:r>
              <w:br/>
              <w:t>miles</w:t>
            </w:r>
          </w:p>
        </w:tc>
      </w:tr>
      <w:tr>
        <w:tc>
          <w:tcPr>
            <w:tcW w:w="3828" w:type="dxa"/>
            <w:tcBorders>
              <w:top w:val="nil"/>
              <w:right w:val="single" w:sz="4" w:space="0" w:color="auto"/>
            </w:tcBorders>
          </w:tcPr>
          <w:p>
            <w:pPr>
              <w:pStyle w:val="yTableNAm"/>
            </w:pPr>
            <w:r>
              <w:t>200 or more ...........................................</w:t>
            </w:r>
          </w:p>
        </w:tc>
        <w:tc>
          <w:tcPr>
            <w:tcW w:w="1701" w:type="dxa"/>
            <w:tcBorders>
              <w:top w:val="nil"/>
              <w:left w:val="nil"/>
              <w:right w:val="single" w:sz="4" w:space="0" w:color="auto"/>
            </w:tcBorders>
          </w:tcPr>
          <w:p>
            <w:pPr>
              <w:pStyle w:val="yTableNAm"/>
              <w:jc w:val="center"/>
            </w:pPr>
            <w:r>
              <w:t>143</w:t>
            </w:r>
          </w:p>
        </w:tc>
        <w:tc>
          <w:tcPr>
            <w:tcW w:w="1559" w:type="dxa"/>
            <w:tcBorders>
              <w:top w:val="nil"/>
              <w:left w:val="nil"/>
            </w:tcBorders>
          </w:tcPr>
          <w:p>
            <w:pPr>
              <w:pStyle w:val="yTableNAm"/>
              <w:jc w:val="center"/>
            </w:pPr>
            <w:r>
              <w:t>2</w:t>
            </w:r>
          </w:p>
        </w:tc>
      </w:tr>
      <w:tr>
        <w:tc>
          <w:tcPr>
            <w:tcW w:w="3828" w:type="dxa"/>
            <w:tcBorders>
              <w:right w:val="single" w:sz="4" w:space="0" w:color="auto"/>
            </w:tcBorders>
          </w:tcPr>
          <w:p>
            <w:pPr>
              <w:pStyle w:val="yTableNAm"/>
            </w:pPr>
            <w:r>
              <w:t>75 but less than 200 ...............................</w:t>
            </w:r>
          </w:p>
        </w:tc>
        <w:tc>
          <w:tcPr>
            <w:tcW w:w="1701" w:type="dxa"/>
            <w:tcBorders>
              <w:left w:val="nil"/>
              <w:right w:val="single" w:sz="4" w:space="0" w:color="auto"/>
            </w:tcBorders>
          </w:tcPr>
          <w:p>
            <w:pPr>
              <w:pStyle w:val="yTableNAm"/>
              <w:jc w:val="center"/>
            </w:pPr>
            <w:r>
              <w:t>138</w:t>
            </w:r>
          </w:p>
        </w:tc>
        <w:tc>
          <w:tcPr>
            <w:tcW w:w="1559" w:type="dxa"/>
            <w:tcBorders>
              <w:left w:val="nil"/>
            </w:tcBorders>
          </w:tcPr>
          <w:p>
            <w:pPr>
              <w:pStyle w:val="yTableNAm"/>
              <w:jc w:val="center"/>
            </w:pPr>
            <w:r>
              <w:t>1.5</w:t>
            </w:r>
          </w:p>
        </w:tc>
      </w:tr>
      <w:tr>
        <w:tc>
          <w:tcPr>
            <w:tcW w:w="3828" w:type="dxa"/>
            <w:tcBorders>
              <w:right w:val="single" w:sz="4" w:space="0" w:color="auto"/>
            </w:tcBorders>
          </w:tcPr>
          <w:p>
            <w:pPr>
              <w:pStyle w:val="yTableNAm"/>
            </w:pPr>
            <w:r>
              <w:t>20 but less than 75 .................................</w:t>
            </w:r>
          </w:p>
        </w:tc>
        <w:tc>
          <w:tcPr>
            <w:tcW w:w="1701" w:type="dxa"/>
            <w:tcBorders>
              <w:left w:val="nil"/>
              <w:right w:val="single" w:sz="4" w:space="0" w:color="auto"/>
            </w:tcBorders>
          </w:tcPr>
          <w:p>
            <w:pPr>
              <w:pStyle w:val="yTableNAm"/>
              <w:jc w:val="center"/>
            </w:pPr>
            <w:r>
              <w:t>130</w:t>
            </w:r>
          </w:p>
        </w:tc>
        <w:tc>
          <w:tcPr>
            <w:tcW w:w="1559" w:type="dxa"/>
            <w:tcBorders>
              <w:left w:val="nil"/>
            </w:tcBorders>
          </w:tcPr>
          <w:p>
            <w:pPr>
              <w:pStyle w:val="yTableNAm"/>
              <w:jc w:val="center"/>
            </w:pPr>
            <w:r>
              <w:t>1</w:t>
            </w:r>
          </w:p>
        </w:tc>
      </w:tr>
      <w:tr>
        <w:tc>
          <w:tcPr>
            <w:tcW w:w="3828" w:type="dxa"/>
            <w:tcBorders>
              <w:bottom w:val="single" w:sz="4" w:space="0" w:color="auto"/>
              <w:right w:val="single" w:sz="4" w:space="0" w:color="auto"/>
            </w:tcBorders>
          </w:tcPr>
          <w:p>
            <w:pPr>
              <w:pStyle w:val="yTableNAm"/>
            </w:pPr>
            <w:r>
              <w:t>Less than 20 ...........................................</w:t>
            </w:r>
          </w:p>
        </w:tc>
        <w:tc>
          <w:tcPr>
            <w:tcW w:w="1701" w:type="dxa"/>
            <w:tcBorders>
              <w:left w:val="nil"/>
              <w:bottom w:val="single" w:sz="4" w:space="0" w:color="auto"/>
              <w:right w:val="single" w:sz="4" w:space="0" w:color="auto"/>
            </w:tcBorders>
          </w:tcPr>
          <w:p>
            <w:pPr>
              <w:pStyle w:val="yTableNAm"/>
              <w:jc w:val="center"/>
            </w:pPr>
            <w:r>
              <w:t>120</w:t>
            </w:r>
          </w:p>
        </w:tc>
        <w:tc>
          <w:tcPr>
            <w:tcW w:w="1559" w:type="dxa"/>
            <w:tcBorders>
              <w:left w:val="nil"/>
            </w:tcBorders>
          </w:tcPr>
          <w:p>
            <w:pPr>
              <w:pStyle w:val="yTableNAm"/>
              <w:jc w:val="center"/>
            </w:pPr>
            <w:r>
              <w:t>0.5</w:t>
            </w:r>
          </w:p>
        </w:tc>
      </w:tr>
    </w:tbl>
    <w:p>
      <w:pPr>
        <w:pStyle w:val="yIndenta"/>
        <w:tabs>
          <w:tab w:val="clear" w:pos="1332"/>
          <w:tab w:val="clear" w:pos="1616"/>
          <w:tab w:val="right" w:pos="1026"/>
        </w:tabs>
        <w:ind w:left="1311" w:hanging="1311"/>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tabs>
          <w:tab w:val="clear" w:pos="1332"/>
          <w:tab w:val="clear" w:pos="1616"/>
          <w:tab w:val="right" w:pos="1026"/>
        </w:tabs>
        <w:ind w:left="1311" w:hanging="1311"/>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tabs>
          <w:tab w:val="clear" w:pos="1332"/>
          <w:tab w:val="clear" w:pos="1616"/>
          <w:tab w:val="right" w:pos="1026"/>
        </w:tabs>
        <w:ind w:left="1311" w:hanging="1311"/>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tabs>
          <w:tab w:val="clear" w:pos="1332"/>
          <w:tab w:val="clear" w:pos="1616"/>
          <w:tab w:val="right" w:pos="1026"/>
        </w:tabs>
        <w:ind w:left="1311" w:hanging="1311"/>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tabs>
          <w:tab w:val="clear" w:pos="1332"/>
          <w:tab w:val="clear" w:pos="1616"/>
          <w:tab w:val="right" w:pos="1026"/>
        </w:tabs>
        <w:ind w:left="1311" w:hanging="1311"/>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ind w:left="570" w:hanging="570"/>
        <w:rPr>
          <w:snapToGrid w:val="0"/>
        </w:rPr>
      </w:pPr>
      <w:r>
        <w:rPr>
          <w:snapToGrid w:val="0"/>
        </w:rPr>
        <w:t>2.</w:t>
      </w:r>
      <w:r>
        <w:rPr>
          <w:snapToGrid w:val="0"/>
        </w:rPr>
        <w:tab/>
      </w:r>
      <w:r>
        <w:rPr>
          <w:i/>
          <w:snapToGrid w:val="0"/>
        </w:rPr>
        <w:t>Bell or gong</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ind w:left="570" w:hanging="570"/>
        <w:rPr>
          <w:i/>
          <w:snapToGrid w:val="0"/>
        </w:rPr>
      </w:pPr>
      <w:r>
        <w:rPr>
          <w:snapToGrid w:val="0"/>
        </w:rPr>
        <w:t>3.</w:t>
      </w:r>
      <w:r>
        <w:rPr>
          <w:snapToGrid w:val="0"/>
        </w:rPr>
        <w:tab/>
      </w:r>
      <w:r>
        <w:rPr>
          <w:i/>
          <w:snapToGrid w:val="0"/>
        </w:rPr>
        <w:t>Approval</w:t>
      </w:r>
    </w:p>
    <w:p>
      <w:pPr>
        <w:pStyle w:val="yMiscellaneousBody"/>
        <w:ind w:left="570" w:hanging="570"/>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300"/>
        <w:rPr>
          <w:b/>
          <w:snapToGrid w:val="0"/>
        </w:rPr>
      </w:pPr>
      <w:r>
        <w:rPr>
          <w:b/>
          <w:snapToGrid w:val="0"/>
        </w:rPr>
        <w:t>ANNEX IV</w:t>
      </w:r>
    </w:p>
    <w:p>
      <w:pPr>
        <w:pStyle w:val="yMiscellaneousHeading"/>
        <w:rPr>
          <w:snapToGrid w:val="0"/>
        </w:rPr>
      </w:pPr>
      <w:r>
        <w:rPr>
          <w:b/>
          <w:snapToGrid w:val="0"/>
        </w:rPr>
        <w:t>DISTRESS SIGNALS</w:t>
      </w:r>
    </w:p>
    <w:p>
      <w:pPr>
        <w:pStyle w:val="yMiscellaneousBody"/>
        <w:ind w:left="570" w:hanging="570"/>
        <w:rPr>
          <w:snapToGrid w:val="0"/>
        </w:rPr>
      </w:pPr>
      <w:r>
        <w:rPr>
          <w:snapToGrid w:val="0"/>
        </w:rPr>
        <w:t>1.</w:t>
      </w:r>
      <w:r>
        <w:rPr>
          <w:snapToGrid w:val="0"/>
        </w:rPr>
        <w:tab/>
        <w:t>The following signals, used or exhibited either together or separately, indicate distress and need of assistance:</w:t>
      </w:r>
    </w:p>
    <w:p>
      <w:pPr>
        <w:pStyle w:val="yIndenta"/>
        <w:tabs>
          <w:tab w:val="clear" w:pos="1332"/>
          <w:tab w:val="clear" w:pos="1616"/>
          <w:tab w:val="right" w:pos="1026"/>
        </w:tabs>
        <w:ind w:left="1311" w:hanging="1311"/>
        <w:rPr>
          <w:snapToGrid w:val="0"/>
        </w:rPr>
      </w:pPr>
      <w:r>
        <w:rPr>
          <w:snapToGrid w:val="0"/>
        </w:rPr>
        <w:tab/>
        <w:t>(a)</w:t>
      </w:r>
      <w:r>
        <w:rPr>
          <w:snapToGrid w:val="0"/>
        </w:rPr>
        <w:tab/>
        <w:t>a gun or other explosive signal fired at intervals of about a minute;</w:t>
      </w:r>
    </w:p>
    <w:p>
      <w:pPr>
        <w:pStyle w:val="yIndenta"/>
        <w:tabs>
          <w:tab w:val="clear" w:pos="1332"/>
          <w:tab w:val="clear" w:pos="1616"/>
          <w:tab w:val="right" w:pos="1026"/>
        </w:tabs>
        <w:ind w:left="1311" w:hanging="1311"/>
        <w:rPr>
          <w:snapToGrid w:val="0"/>
        </w:rPr>
      </w:pPr>
      <w:r>
        <w:rPr>
          <w:snapToGrid w:val="0"/>
        </w:rPr>
        <w:tab/>
        <w:t>(b)</w:t>
      </w:r>
      <w:r>
        <w:rPr>
          <w:snapToGrid w:val="0"/>
        </w:rPr>
        <w:tab/>
        <w:t>a continuous sounding with any fog</w:t>
      </w:r>
      <w:r>
        <w:rPr>
          <w:snapToGrid w:val="0"/>
        </w:rPr>
        <w:noBreakHyphen/>
        <w:t>signalling apparatus;</w:t>
      </w:r>
    </w:p>
    <w:p>
      <w:pPr>
        <w:pStyle w:val="yIndenta"/>
        <w:tabs>
          <w:tab w:val="clear" w:pos="1332"/>
          <w:tab w:val="clear" w:pos="1616"/>
          <w:tab w:val="right" w:pos="1026"/>
        </w:tabs>
        <w:ind w:left="1311" w:hanging="1311"/>
        <w:rPr>
          <w:snapToGrid w:val="0"/>
        </w:rPr>
      </w:pPr>
      <w:r>
        <w:rPr>
          <w:snapToGrid w:val="0"/>
        </w:rPr>
        <w:tab/>
        <w:t>(c)</w:t>
      </w:r>
      <w:r>
        <w:rPr>
          <w:snapToGrid w:val="0"/>
        </w:rPr>
        <w:tab/>
        <w:t>rockets or shells, throwing red stars fired one at a time at short intervals;</w:t>
      </w:r>
    </w:p>
    <w:p>
      <w:pPr>
        <w:pStyle w:val="yIndenta"/>
        <w:tabs>
          <w:tab w:val="clear" w:pos="1332"/>
          <w:tab w:val="clear" w:pos="1616"/>
          <w:tab w:val="right" w:pos="1026"/>
        </w:tabs>
        <w:ind w:left="1311" w:hanging="1311"/>
        <w:rPr>
          <w:snapToGrid w:val="0"/>
        </w:rPr>
      </w:pPr>
      <w:r>
        <w:rPr>
          <w:snapToGrid w:val="0"/>
        </w:rPr>
        <w:tab/>
        <w:t>(d)</w:t>
      </w:r>
      <w:r>
        <w:rPr>
          <w:snapToGrid w:val="0"/>
        </w:rPr>
        <w:tab/>
        <w:t>a signal made by radiotelegraphy or by any other signalling method consisting of the group ... — — — ... (SOS) in the Morse Code;</w:t>
      </w:r>
    </w:p>
    <w:p>
      <w:pPr>
        <w:pStyle w:val="yIndenta"/>
        <w:tabs>
          <w:tab w:val="clear" w:pos="1332"/>
          <w:tab w:val="clear" w:pos="1616"/>
          <w:tab w:val="right" w:pos="1026"/>
        </w:tabs>
        <w:ind w:left="1311" w:hanging="1311"/>
        <w:rPr>
          <w:snapToGrid w:val="0"/>
        </w:rPr>
      </w:pPr>
      <w:r>
        <w:rPr>
          <w:snapToGrid w:val="0"/>
        </w:rPr>
        <w:tab/>
        <w:t>(e)</w:t>
      </w:r>
      <w:r>
        <w:rPr>
          <w:snapToGrid w:val="0"/>
        </w:rPr>
        <w:tab/>
        <w:t>a signal sent by radiotelephony consisting of the spoken word “Mayday”;</w:t>
      </w:r>
    </w:p>
    <w:p>
      <w:pPr>
        <w:pStyle w:val="yIndenta"/>
        <w:tabs>
          <w:tab w:val="clear" w:pos="1332"/>
          <w:tab w:val="clear" w:pos="1616"/>
          <w:tab w:val="right" w:pos="1026"/>
        </w:tabs>
        <w:ind w:left="1311" w:hanging="1311"/>
        <w:rPr>
          <w:snapToGrid w:val="0"/>
        </w:rPr>
      </w:pPr>
      <w:r>
        <w:rPr>
          <w:snapToGrid w:val="0"/>
        </w:rPr>
        <w:tab/>
        <w:t>(f)</w:t>
      </w:r>
      <w:r>
        <w:rPr>
          <w:snapToGrid w:val="0"/>
        </w:rPr>
        <w:tab/>
        <w:t>the International Code Signal of distress indicated by N.C.;</w:t>
      </w:r>
    </w:p>
    <w:p>
      <w:pPr>
        <w:pStyle w:val="yIndenta"/>
        <w:tabs>
          <w:tab w:val="clear" w:pos="1332"/>
          <w:tab w:val="clear" w:pos="1616"/>
          <w:tab w:val="right" w:pos="1026"/>
        </w:tabs>
        <w:ind w:left="1311" w:hanging="1311"/>
        <w:rPr>
          <w:snapToGrid w:val="0"/>
        </w:rPr>
      </w:pPr>
      <w:r>
        <w:rPr>
          <w:snapToGrid w:val="0"/>
        </w:rPr>
        <w:tab/>
        <w:t>(g)</w:t>
      </w:r>
      <w:r>
        <w:rPr>
          <w:snapToGrid w:val="0"/>
        </w:rPr>
        <w:tab/>
        <w:t>a signal consisting of a square flag having above or below it a ball or anything resembling a ball;</w:t>
      </w:r>
    </w:p>
    <w:p>
      <w:pPr>
        <w:pStyle w:val="yIndenta"/>
        <w:tabs>
          <w:tab w:val="clear" w:pos="1332"/>
          <w:tab w:val="clear" w:pos="1616"/>
          <w:tab w:val="right" w:pos="1026"/>
        </w:tabs>
        <w:ind w:left="1311" w:hanging="1311"/>
        <w:rPr>
          <w:snapToGrid w:val="0"/>
        </w:rPr>
      </w:pPr>
      <w:r>
        <w:rPr>
          <w:snapToGrid w:val="0"/>
        </w:rPr>
        <w:tab/>
        <w:t>(h)</w:t>
      </w:r>
      <w:r>
        <w:rPr>
          <w:snapToGrid w:val="0"/>
        </w:rPr>
        <w:tab/>
        <w:t>flames on the vessel (as from a burning tar barrel, oil barrel, etc.);</w:t>
      </w:r>
    </w:p>
    <w:p>
      <w:pPr>
        <w:pStyle w:val="yIndenta"/>
        <w:tabs>
          <w:tab w:val="clear" w:pos="1332"/>
          <w:tab w:val="clear" w:pos="1616"/>
          <w:tab w:val="right" w:pos="1026"/>
        </w:tabs>
        <w:ind w:left="1311" w:hanging="1311"/>
        <w:rPr>
          <w:snapToGrid w:val="0"/>
        </w:rPr>
      </w:pPr>
      <w:r>
        <w:rPr>
          <w:snapToGrid w:val="0"/>
        </w:rPr>
        <w:tab/>
        <w:t>(i)</w:t>
      </w:r>
      <w:r>
        <w:rPr>
          <w:snapToGrid w:val="0"/>
        </w:rPr>
        <w:tab/>
        <w:t>a rocket parachute flare or a hand flare showing a red light;</w:t>
      </w:r>
    </w:p>
    <w:p>
      <w:pPr>
        <w:pStyle w:val="yIndenta"/>
        <w:tabs>
          <w:tab w:val="clear" w:pos="1332"/>
          <w:tab w:val="clear" w:pos="1616"/>
          <w:tab w:val="right" w:pos="1026"/>
        </w:tabs>
        <w:ind w:left="1311" w:hanging="1311"/>
        <w:rPr>
          <w:snapToGrid w:val="0"/>
        </w:rPr>
      </w:pPr>
      <w:r>
        <w:rPr>
          <w:snapToGrid w:val="0"/>
        </w:rPr>
        <w:tab/>
        <w:t>(j)</w:t>
      </w:r>
      <w:r>
        <w:rPr>
          <w:snapToGrid w:val="0"/>
        </w:rPr>
        <w:tab/>
        <w:t>a smoke signal giving off orange</w:t>
      </w:r>
      <w:r>
        <w:rPr>
          <w:snapToGrid w:val="0"/>
        </w:rPr>
        <w:noBreakHyphen/>
        <w:t>coloured smoke;</w:t>
      </w:r>
    </w:p>
    <w:p>
      <w:pPr>
        <w:pStyle w:val="yIndenta"/>
        <w:tabs>
          <w:tab w:val="clear" w:pos="1332"/>
          <w:tab w:val="clear" w:pos="1616"/>
          <w:tab w:val="right" w:pos="1026"/>
        </w:tabs>
        <w:ind w:left="1311" w:hanging="1311"/>
        <w:rPr>
          <w:snapToGrid w:val="0"/>
        </w:rPr>
      </w:pPr>
      <w:r>
        <w:rPr>
          <w:snapToGrid w:val="0"/>
        </w:rPr>
        <w:tab/>
        <w:t>(k)</w:t>
      </w:r>
      <w:r>
        <w:rPr>
          <w:snapToGrid w:val="0"/>
        </w:rPr>
        <w:tab/>
        <w:t>slowly and repeatedly raising and lowering arms outstretched to each side;</w:t>
      </w:r>
    </w:p>
    <w:p>
      <w:pPr>
        <w:pStyle w:val="yIndenta"/>
        <w:tabs>
          <w:tab w:val="clear" w:pos="1332"/>
          <w:tab w:val="clear" w:pos="1616"/>
          <w:tab w:val="right" w:pos="1026"/>
        </w:tabs>
        <w:ind w:left="1311" w:hanging="1311"/>
        <w:rPr>
          <w:snapToGrid w:val="0"/>
        </w:rPr>
      </w:pPr>
      <w:r>
        <w:rPr>
          <w:snapToGrid w:val="0"/>
        </w:rPr>
        <w:tab/>
        <w:t>(l)</w:t>
      </w:r>
      <w:r>
        <w:rPr>
          <w:snapToGrid w:val="0"/>
        </w:rPr>
        <w:tab/>
        <w:t>the radiotelegraph alarm signal;</w:t>
      </w:r>
    </w:p>
    <w:p>
      <w:pPr>
        <w:pStyle w:val="yIndenta"/>
        <w:tabs>
          <w:tab w:val="clear" w:pos="1332"/>
          <w:tab w:val="clear" w:pos="1616"/>
          <w:tab w:val="right" w:pos="1026"/>
        </w:tabs>
        <w:ind w:left="1311" w:hanging="1311"/>
        <w:rPr>
          <w:snapToGrid w:val="0"/>
        </w:rPr>
      </w:pPr>
      <w:r>
        <w:rPr>
          <w:snapToGrid w:val="0"/>
        </w:rPr>
        <w:tab/>
        <w:t>(m)</w:t>
      </w:r>
      <w:r>
        <w:rPr>
          <w:snapToGrid w:val="0"/>
        </w:rPr>
        <w:tab/>
        <w:t>the radiotelephone alarm signal;</w:t>
      </w:r>
    </w:p>
    <w:p>
      <w:pPr>
        <w:pStyle w:val="yIndenta"/>
        <w:tabs>
          <w:tab w:val="clear" w:pos="1332"/>
          <w:tab w:val="clear" w:pos="1616"/>
          <w:tab w:val="right" w:pos="1026"/>
        </w:tabs>
        <w:ind w:left="1311" w:hanging="1311"/>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ind w:left="570" w:hanging="570"/>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ind w:left="570" w:hanging="570"/>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tabs>
          <w:tab w:val="clear" w:pos="1332"/>
          <w:tab w:val="clear" w:pos="1616"/>
          <w:tab w:val="right" w:pos="1026"/>
        </w:tabs>
        <w:ind w:left="1311" w:hanging="1311"/>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tabs>
          <w:tab w:val="clear" w:pos="1332"/>
          <w:tab w:val="clear" w:pos="1616"/>
          <w:tab w:val="right" w:pos="1026"/>
        </w:tabs>
        <w:ind w:left="1311" w:hanging="1311"/>
        <w:rPr>
          <w:snapToGrid w:val="0"/>
        </w:rPr>
      </w:pPr>
      <w:r>
        <w:rPr>
          <w:snapToGrid w:val="0"/>
        </w:rPr>
        <w:tab/>
        <w:t>(b)</w:t>
      </w:r>
      <w:r>
        <w:rPr>
          <w:snapToGrid w:val="0"/>
        </w:rPr>
        <w:tab/>
        <w:t>a dye marker.</w:t>
      </w:r>
    </w:p>
    <w:p>
      <w:pPr>
        <w:pStyle w:val="yScheduleHeading"/>
      </w:pPr>
      <w:bookmarkStart w:id="354" w:name="_Toc155177739"/>
      <w:bookmarkStart w:id="355" w:name="_Toc132296420"/>
      <w:r>
        <w:rPr>
          <w:rStyle w:val="CharSchNo"/>
        </w:rPr>
        <w:t>Schedule 4</w:t>
      </w:r>
      <w:r>
        <w:t> — </w:t>
      </w:r>
      <w:r>
        <w:rPr>
          <w:rStyle w:val="CharSchText"/>
        </w:rPr>
        <w:t>Safety Convention</w:t>
      </w:r>
      <w:bookmarkEnd w:id="354"/>
      <w:bookmarkEnd w:id="355"/>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FOR THE SAFETY OF LIFE AT SEA, 1974</w:t>
      </w:r>
    </w:p>
    <w:p>
      <w:pPr>
        <w:pStyle w:val="yMiscellaneousHeading"/>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ind w:left="570" w:hanging="570"/>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ind w:left="570" w:hanging="570"/>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tabs>
          <w:tab w:val="clear" w:pos="1332"/>
          <w:tab w:val="clear" w:pos="1616"/>
          <w:tab w:val="right" w:pos="1026"/>
        </w:tabs>
        <w:ind w:left="1311" w:hanging="1311"/>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tabs>
          <w:tab w:val="clear" w:pos="1332"/>
          <w:tab w:val="clear" w:pos="1616"/>
          <w:tab w:val="right" w:pos="1026"/>
        </w:tabs>
        <w:ind w:left="1311" w:hanging="1311"/>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rPr>
          <w:snapToGrid w:val="0"/>
        </w:rPr>
      </w:pPr>
      <w:r>
        <w:rPr>
          <w:snapToGrid w:val="0"/>
        </w:rPr>
        <w:t>ARTICLE IV</w:t>
      </w:r>
    </w:p>
    <w:p>
      <w:pPr>
        <w:pStyle w:val="yMiscellaneousHeading"/>
        <w:rPr>
          <w:i/>
          <w:snapToGrid w:val="0"/>
        </w:rPr>
      </w:pPr>
      <w:r>
        <w:rPr>
          <w:i/>
          <w:snapToGrid w:val="0"/>
        </w:rPr>
        <w:t>Cases of Force Majeure</w:t>
      </w:r>
    </w:p>
    <w:p>
      <w:pPr>
        <w:pStyle w:val="yMiscellaneousBody"/>
        <w:ind w:left="570" w:hanging="570"/>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ind w:left="570" w:hanging="570"/>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ind w:left="570" w:hanging="570"/>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ind w:left="570" w:hanging="570"/>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ind w:left="570" w:hanging="570"/>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ind w:left="570" w:hanging="570"/>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ind w:left="570" w:hanging="570"/>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tabs>
          <w:tab w:val="clear" w:pos="1332"/>
          <w:tab w:val="clear" w:pos="1616"/>
          <w:tab w:val="right" w:pos="1026"/>
        </w:tabs>
        <w:ind w:left="1311" w:hanging="1311"/>
        <w:rPr>
          <w:snapToGrid w:val="0"/>
        </w:rPr>
      </w:pPr>
      <w:r>
        <w:rPr>
          <w:snapToGrid w:val="0"/>
        </w:rPr>
        <w:tab/>
        <w:t>(i)</w:t>
      </w:r>
      <w:r>
        <w:rPr>
          <w:snapToGrid w:val="0"/>
        </w:rPr>
        <w:tab/>
        <w:t>ships to which the present Convention does not apply;</w:t>
      </w:r>
    </w:p>
    <w:p>
      <w:pPr>
        <w:pStyle w:val="yIndenta"/>
        <w:tabs>
          <w:tab w:val="clear" w:pos="1332"/>
          <w:tab w:val="clear" w:pos="1616"/>
          <w:tab w:val="right" w:pos="1026"/>
        </w:tabs>
        <w:ind w:left="1311" w:hanging="1311"/>
        <w:rPr>
          <w:snapToGrid w:val="0"/>
        </w:rPr>
      </w:pPr>
      <w:r>
        <w:rPr>
          <w:snapToGrid w:val="0"/>
        </w:rPr>
        <w:tab/>
        <w:t>(ii)</w:t>
      </w:r>
      <w:r>
        <w:rPr>
          <w:snapToGrid w:val="0"/>
        </w:rPr>
        <w:tab/>
        <w:t>ships to which the present Convention applies, in respect of matters for which it has not expressly provided.</w:t>
      </w:r>
    </w:p>
    <w:p>
      <w:pPr>
        <w:pStyle w:val="yMiscellaneousBody"/>
        <w:ind w:left="570" w:hanging="570"/>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ind w:left="570" w:hanging="570"/>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rPr>
          <w:snapToGrid w:val="0"/>
        </w:rPr>
      </w:pPr>
      <w:r>
        <w:rPr>
          <w:snapToGrid w:val="0"/>
        </w:rPr>
        <w:t>ARTICLE VIII</w:t>
      </w:r>
    </w:p>
    <w:p>
      <w:pPr>
        <w:pStyle w:val="yMiscellaneousHeading"/>
        <w:rPr>
          <w:i/>
          <w:snapToGrid w:val="0"/>
        </w:rPr>
      </w:pPr>
      <w:r>
        <w:rPr>
          <w:i/>
          <w:snapToGrid w:val="0"/>
        </w:rPr>
        <w:t>Amendments</w:t>
      </w:r>
    </w:p>
    <w:p>
      <w:pPr>
        <w:pStyle w:val="yMiscellaneousBody"/>
        <w:ind w:left="570" w:hanging="570"/>
        <w:rPr>
          <w:snapToGrid w:val="0"/>
        </w:rPr>
      </w:pPr>
      <w:r>
        <w:rPr>
          <w:snapToGrid w:val="0"/>
        </w:rPr>
        <w:t>(a)</w:t>
      </w:r>
      <w:r>
        <w:rPr>
          <w:snapToGrid w:val="0"/>
        </w:rPr>
        <w:tab/>
        <w:t>The present Convention may be amended by either of the procedures specified in the following paragraphs.</w:t>
      </w:r>
    </w:p>
    <w:p>
      <w:pPr>
        <w:pStyle w:val="yMiscellaneousBody"/>
        <w:ind w:left="570" w:hanging="570"/>
        <w:rPr>
          <w:snapToGrid w:val="0"/>
        </w:rPr>
      </w:pPr>
      <w:r>
        <w:rPr>
          <w:snapToGrid w:val="0"/>
        </w:rPr>
        <w:t>(b)</w:t>
      </w:r>
      <w:r>
        <w:rPr>
          <w:snapToGrid w:val="0"/>
        </w:rPr>
        <w:tab/>
        <w:t>Amendments after consideration within the Organization:</w:t>
      </w:r>
    </w:p>
    <w:p>
      <w:pPr>
        <w:pStyle w:val="yIndenta"/>
        <w:tabs>
          <w:tab w:val="clear" w:pos="1332"/>
          <w:tab w:val="clear" w:pos="1616"/>
          <w:tab w:val="right" w:pos="1026"/>
        </w:tabs>
        <w:ind w:left="1311" w:hanging="1311"/>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tabs>
          <w:tab w:val="clear" w:pos="1332"/>
          <w:tab w:val="clear" w:pos="1616"/>
          <w:tab w:val="right" w:pos="1026"/>
        </w:tabs>
        <w:ind w:left="1311" w:hanging="1311"/>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tabs>
          <w:tab w:val="clear" w:pos="1332"/>
          <w:tab w:val="clear" w:pos="1616"/>
          <w:tab w:val="right" w:pos="1026"/>
        </w:tabs>
        <w:ind w:left="1311" w:hanging="1311"/>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tabs>
          <w:tab w:val="clear" w:pos="1332"/>
          <w:tab w:val="clear" w:pos="1616"/>
          <w:tab w:val="right" w:pos="1026"/>
        </w:tabs>
        <w:ind w:left="1311" w:hanging="1311"/>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tabs>
          <w:tab w:val="clear" w:pos="1332"/>
          <w:tab w:val="clear" w:pos="1616"/>
          <w:tab w:val="right" w:pos="1026"/>
        </w:tabs>
        <w:ind w:left="1311" w:hanging="1311"/>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clear" w:pos="2041"/>
          <w:tab w:val="clear" w:pos="2325"/>
          <w:tab w:val="right" w:pos="1026"/>
          <w:tab w:val="right" w:pos="1710"/>
        </w:tabs>
        <w:ind w:left="1995" w:hanging="1995"/>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be deemed to have been accepted:</w:t>
      </w:r>
    </w:p>
    <w:p>
      <w:pPr>
        <w:pStyle w:val="yIndenti0"/>
        <w:tabs>
          <w:tab w:val="clear" w:pos="2041"/>
          <w:tab w:val="clear" w:pos="2325"/>
          <w:tab w:val="right" w:pos="2508"/>
        </w:tabs>
        <w:ind w:left="2793" w:hanging="2793"/>
        <w:rPr>
          <w:snapToGrid w:val="0"/>
        </w:rPr>
      </w:pPr>
      <w:r>
        <w:rPr>
          <w:snapToGrid w:val="0"/>
        </w:rPr>
        <w:tab/>
        <w:t>(aa)</w:t>
      </w:r>
      <w:r>
        <w:rPr>
          <w:snapToGrid w:val="0"/>
        </w:rPr>
        <w:tab/>
        <w:t>at the end of two years from the date on which it is communicated to Contracting Governments for acceptance; or</w:t>
      </w:r>
    </w:p>
    <w:p>
      <w:pPr>
        <w:pStyle w:val="yIndenti0"/>
        <w:tabs>
          <w:tab w:val="clear" w:pos="2041"/>
          <w:tab w:val="clear" w:pos="2325"/>
          <w:tab w:val="right" w:pos="2508"/>
        </w:tabs>
        <w:ind w:left="2793" w:hanging="2793"/>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tabs>
          <w:tab w:val="clear" w:pos="2041"/>
          <w:tab w:val="clear" w:pos="2325"/>
          <w:tab w:val="right" w:pos="1710"/>
        </w:tabs>
        <w:ind w:left="1995" w:hanging="1995"/>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clear" w:pos="2041"/>
          <w:tab w:val="clear" w:pos="2325"/>
          <w:tab w:val="right" w:pos="1026"/>
          <w:tab w:val="right" w:pos="1710"/>
        </w:tabs>
        <w:ind w:left="1995" w:hanging="1995"/>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ind w:left="570" w:hanging="570"/>
        <w:rPr>
          <w:snapToGrid w:val="0"/>
        </w:rPr>
      </w:pPr>
      <w:r>
        <w:rPr>
          <w:snapToGrid w:val="0"/>
        </w:rPr>
        <w:t>(c)</w:t>
      </w:r>
      <w:r>
        <w:rPr>
          <w:snapToGrid w:val="0"/>
        </w:rPr>
        <w:tab/>
        <w:t>Amendment by a Conference:</w:t>
      </w:r>
    </w:p>
    <w:p>
      <w:pPr>
        <w:pStyle w:val="yIndenta"/>
        <w:tabs>
          <w:tab w:val="clear" w:pos="1332"/>
          <w:tab w:val="clear" w:pos="1616"/>
          <w:tab w:val="right" w:pos="1026"/>
        </w:tabs>
        <w:ind w:left="1311" w:hanging="1311"/>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tabs>
          <w:tab w:val="clear" w:pos="1332"/>
          <w:tab w:val="clear" w:pos="1616"/>
          <w:tab w:val="right" w:pos="1026"/>
        </w:tabs>
        <w:ind w:left="1311" w:hanging="1311"/>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tabs>
          <w:tab w:val="clear" w:pos="1332"/>
          <w:tab w:val="clear" w:pos="1616"/>
          <w:tab w:val="right" w:pos="1026"/>
        </w:tabs>
        <w:ind w:left="1311" w:hanging="1311"/>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tabs>
          <w:tab w:val="clear" w:pos="1332"/>
          <w:tab w:val="clear" w:pos="1616"/>
          <w:tab w:val="right" w:pos="1026"/>
        </w:tabs>
        <w:ind w:left="1311" w:hanging="1311"/>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ind w:left="570" w:hanging="570"/>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ind w:left="570" w:hanging="570"/>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ind w:left="570" w:hanging="570"/>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570" w:hanging="570"/>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tabs>
          <w:tab w:val="clear" w:pos="1332"/>
          <w:tab w:val="clear" w:pos="1616"/>
          <w:tab w:val="right" w:pos="1026"/>
        </w:tabs>
        <w:ind w:left="1311" w:hanging="1311"/>
        <w:rPr>
          <w:snapToGrid w:val="0"/>
        </w:rPr>
      </w:pPr>
      <w:r>
        <w:rPr>
          <w:snapToGrid w:val="0"/>
        </w:rPr>
        <w:tab/>
        <w:t>(i)</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(ii)</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(iii)</w:t>
      </w:r>
      <w:r>
        <w:rPr>
          <w:snapToGrid w:val="0"/>
        </w:rPr>
        <w:tab/>
        <w:t>accession.</w:t>
      </w:r>
    </w:p>
    <w:p>
      <w:pPr>
        <w:pStyle w:val="yMiscellaneousBody"/>
        <w:ind w:left="570" w:hanging="570"/>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rPr>
          <w:snapToGrid w:val="0"/>
        </w:rPr>
      </w:pPr>
      <w:r>
        <w:rPr>
          <w:snapToGrid w:val="0"/>
        </w:rPr>
        <w:t>ARTICLE X</w:t>
      </w:r>
    </w:p>
    <w:p>
      <w:pPr>
        <w:pStyle w:val="yMiscellaneousHeading"/>
        <w:rPr>
          <w:i/>
          <w:snapToGrid w:val="0"/>
        </w:rPr>
      </w:pPr>
      <w:r>
        <w:rPr>
          <w:i/>
          <w:snapToGrid w:val="0"/>
        </w:rPr>
        <w:t>Entry into Force</w:t>
      </w:r>
    </w:p>
    <w:p>
      <w:pPr>
        <w:pStyle w:val="yMiscellaneousBody"/>
        <w:ind w:left="570" w:hanging="570"/>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ind w:left="570" w:hanging="570"/>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ind w:left="570" w:hanging="570"/>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ind w:left="570" w:hanging="570"/>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ind w:left="570" w:hanging="570"/>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rPr>
          <w:snapToGrid w:val="0"/>
        </w:rPr>
      </w:pPr>
      <w:r>
        <w:rPr>
          <w:snapToGrid w:val="0"/>
        </w:rPr>
        <w:t>ARTICLE XII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ind w:left="570" w:hanging="570"/>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Unless expressly provided otherwise, the present Regulations apply only to ships engaged on international voyages.</w:t>
      </w:r>
    </w:p>
    <w:p>
      <w:pPr>
        <w:pStyle w:val="yMiscellaneousBody"/>
        <w:ind w:left="570" w:hanging="570"/>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tabs>
          <w:tab w:val="clear" w:pos="1332"/>
          <w:tab w:val="clear" w:pos="1616"/>
          <w:tab w:val="right" w:pos="1026"/>
        </w:tabs>
        <w:ind w:left="1311" w:hanging="1311"/>
        <w:rPr>
          <w:snapToGrid w:val="0"/>
        </w:rPr>
      </w:pPr>
      <w:r>
        <w:rPr>
          <w:snapToGrid w:val="0"/>
        </w:rPr>
        <w:tab/>
        <w:t>(a)</w:t>
      </w:r>
      <w:r>
        <w:rPr>
          <w:snapToGrid w:val="0"/>
        </w:rPr>
        <w:tab/>
        <w:t>“Regulations ” means the Regulations contained in the Annex to the present Convention.</w:t>
      </w:r>
    </w:p>
    <w:p>
      <w:pPr>
        <w:pStyle w:val="yIndenta"/>
        <w:tabs>
          <w:tab w:val="clear" w:pos="1332"/>
          <w:tab w:val="clear" w:pos="1616"/>
          <w:tab w:val="right" w:pos="1026"/>
        </w:tabs>
        <w:ind w:left="1311" w:hanging="1311"/>
        <w:rPr>
          <w:snapToGrid w:val="0"/>
        </w:rPr>
      </w:pPr>
      <w:r>
        <w:rPr>
          <w:snapToGrid w:val="0"/>
        </w:rPr>
        <w:tab/>
        <w:t>(b)</w:t>
      </w:r>
      <w:r>
        <w:rPr>
          <w:snapToGrid w:val="0"/>
        </w:rPr>
        <w:tab/>
        <w:t>“Administration” means the Government of the State whose flag the ship is entitled to fly.</w:t>
      </w:r>
    </w:p>
    <w:p>
      <w:pPr>
        <w:pStyle w:val="yIndenta"/>
        <w:tabs>
          <w:tab w:val="clear" w:pos="1332"/>
          <w:tab w:val="clear" w:pos="1616"/>
          <w:tab w:val="right" w:pos="1026"/>
        </w:tabs>
        <w:ind w:left="1311" w:hanging="1311"/>
        <w:rPr>
          <w:snapToGrid w:val="0"/>
        </w:rPr>
      </w:pPr>
      <w:r>
        <w:rPr>
          <w:snapToGrid w:val="0"/>
        </w:rPr>
        <w:tab/>
        <w:t>(c)</w:t>
      </w:r>
      <w:r>
        <w:rPr>
          <w:snapToGrid w:val="0"/>
        </w:rPr>
        <w:tab/>
        <w:t>“Approved” means approved by the Administration.</w:t>
      </w:r>
    </w:p>
    <w:p>
      <w:pPr>
        <w:pStyle w:val="yIndenta"/>
        <w:tabs>
          <w:tab w:val="clear" w:pos="1332"/>
          <w:tab w:val="clear" w:pos="1616"/>
          <w:tab w:val="right" w:pos="1026"/>
        </w:tabs>
        <w:ind w:left="1311" w:hanging="1311"/>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tabs>
          <w:tab w:val="clear" w:pos="1332"/>
          <w:tab w:val="clear" w:pos="1616"/>
          <w:tab w:val="right" w:pos="1026"/>
        </w:tabs>
        <w:ind w:left="1311" w:hanging="1311"/>
        <w:rPr>
          <w:snapToGrid w:val="0"/>
        </w:rPr>
      </w:pPr>
      <w:r>
        <w:rPr>
          <w:snapToGrid w:val="0"/>
        </w:rPr>
        <w:tab/>
        <w:t>(e)</w:t>
      </w:r>
      <w:r>
        <w:rPr>
          <w:snapToGrid w:val="0"/>
        </w:rPr>
        <w:tab/>
        <w:t>A passenger is every person other than:</w:t>
      </w:r>
    </w:p>
    <w:p>
      <w:pPr>
        <w:pStyle w:val="yIndenti0"/>
        <w:tabs>
          <w:tab w:val="clear" w:pos="2041"/>
          <w:tab w:val="clear" w:pos="2325"/>
          <w:tab w:val="right" w:pos="1710"/>
        </w:tabs>
        <w:ind w:left="1995" w:hanging="1995"/>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tabs>
          <w:tab w:val="clear" w:pos="2041"/>
          <w:tab w:val="clear" w:pos="2325"/>
          <w:tab w:val="right" w:pos="1710"/>
        </w:tabs>
        <w:ind w:left="1995" w:hanging="1995"/>
        <w:rPr>
          <w:snapToGrid w:val="0"/>
        </w:rPr>
      </w:pPr>
      <w:r>
        <w:rPr>
          <w:snapToGrid w:val="0"/>
        </w:rPr>
        <w:tab/>
        <w:t>(ii)</w:t>
      </w:r>
      <w:r>
        <w:rPr>
          <w:snapToGrid w:val="0"/>
        </w:rPr>
        <w:tab/>
        <w:t>a child under one year of age.</w:t>
      </w:r>
    </w:p>
    <w:p>
      <w:pPr>
        <w:pStyle w:val="yIndenta"/>
        <w:tabs>
          <w:tab w:val="clear" w:pos="1332"/>
          <w:tab w:val="clear" w:pos="1616"/>
          <w:tab w:val="right" w:pos="1026"/>
        </w:tabs>
        <w:ind w:left="1311" w:hanging="1311"/>
        <w:rPr>
          <w:snapToGrid w:val="0"/>
        </w:rPr>
      </w:pPr>
      <w:r>
        <w:rPr>
          <w:snapToGrid w:val="0"/>
        </w:rPr>
        <w:tab/>
        <w:t>(f)</w:t>
      </w:r>
      <w:r>
        <w:rPr>
          <w:snapToGrid w:val="0"/>
        </w:rPr>
        <w:tab/>
        <w:t>A passenger ship is a ship which carries more than twelve passengers.</w:t>
      </w:r>
    </w:p>
    <w:p>
      <w:pPr>
        <w:pStyle w:val="yIndenta"/>
        <w:tabs>
          <w:tab w:val="clear" w:pos="1332"/>
          <w:tab w:val="clear" w:pos="1616"/>
          <w:tab w:val="right" w:pos="1026"/>
        </w:tabs>
        <w:ind w:left="1311" w:hanging="1311"/>
        <w:rPr>
          <w:snapToGrid w:val="0"/>
        </w:rPr>
      </w:pPr>
      <w:r>
        <w:rPr>
          <w:snapToGrid w:val="0"/>
        </w:rPr>
        <w:tab/>
        <w:t>(g)</w:t>
      </w:r>
      <w:r>
        <w:rPr>
          <w:snapToGrid w:val="0"/>
        </w:rPr>
        <w:tab/>
        <w:t>A cargo ship is any ship which is not a passenger ship.</w:t>
      </w:r>
    </w:p>
    <w:p>
      <w:pPr>
        <w:pStyle w:val="yIndenta"/>
        <w:tabs>
          <w:tab w:val="clear" w:pos="1332"/>
          <w:tab w:val="clear" w:pos="1616"/>
          <w:tab w:val="right" w:pos="1026"/>
        </w:tabs>
        <w:ind w:left="1311" w:hanging="1311"/>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tabs>
          <w:tab w:val="clear" w:pos="1332"/>
          <w:tab w:val="clear" w:pos="1616"/>
          <w:tab w:val="right" w:pos="1026"/>
        </w:tabs>
        <w:ind w:left="1311" w:hanging="1311"/>
        <w:rPr>
          <w:snapToGrid w:val="0"/>
        </w:rPr>
      </w:pPr>
      <w:r>
        <w:rPr>
          <w:snapToGrid w:val="0"/>
        </w:rPr>
        <w:tab/>
        <w:t>(i)</w:t>
      </w:r>
      <w:r>
        <w:rPr>
          <w:snapToGrid w:val="0"/>
        </w:rPr>
        <w:tab/>
        <w:t>A fishing vessel is a vessel used for catching fish, whales, seals, walrus or other living resources of the sea.</w:t>
      </w:r>
    </w:p>
    <w:p>
      <w:pPr>
        <w:pStyle w:val="yIndenta"/>
        <w:tabs>
          <w:tab w:val="clear" w:pos="1332"/>
          <w:tab w:val="clear" w:pos="1616"/>
          <w:tab w:val="right" w:pos="1026"/>
        </w:tabs>
        <w:ind w:left="1311" w:hanging="1311"/>
        <w:rPr>
          <w:snapToGrid w:val="0"/>
        </w:rPr>
      </w:pPr>
      <w:r>
        <w:rPr>
          <w:snapToGrid w:val="0"/>
        </w:rPr>
        <w:tab/>
        <w:t>(j)</w:t>
      </w:r>
      <w:r>
        <w:rPr>
          <w:snapToGrid w:val="0"/>
        </w:rPr>
        <w:tab/>
        <w:t>A nuclear ship is a ship provided with a nuclear power plant.</w:t>
      </w:r>
    </w:p>
    <w:p>
      <w:pPr>
        <w:pStyle w:val="yIndenta"/>
        <w:tabs>
          <w:tab w:val="clear" w:pos="1332"/>
          <w:tab w:val="clear" w:pos="1616"/>
          <w:tab w:val="right" w:pos="1026"/>
        </w:tabs>
        <w:ind w:left="1311" w:hanging="1311"/>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tabs>
          <w:tab w:val="clear" w:pos="1332"/>
          <w:tab w:val="clear" w:pos="1616"/>
          <w:tab w:val="right" w:pos="1026"/>
        </w:tabs>
        <w:ind w:left="1311" w:hanging="1311"/>
        <w:rPr>
          <w:snapToGrid w:val="0"/>
        </w:rPr>
      </w:pPr>
      <w:r>
        <w:rPr>
          <w:snapToGrid w:val="0"/>
        </w:rPr>
        <w:tab/>
        <w:t>(l)</w:t>
      </w:r>
      <w:r>
        <w:rPr>
          <w:snapToGrid w:val="0"/>
        </w:rPr>
        <w:tab/>
        <w:t>“Existing ship” means a ship which is not a new ship.</w:t>
      </w:r>
    </w:p>
    <w:p>
      <w:pPr>
        <w:pStyle w:val="yIndenta"/>
        <w:tabs>
          <w:tab w:val="clear" w:pos="1332"/>
          <w:tab w:val="clear" w:pos="1616"/>
          <w:tab w:val="right" w:pos="1026"/>
        </w:tabs>
        <w:ind w:left="1311" w:hanging="1311"/>
        <w:rPr>
          <w:snapToGrid w:val="0"/>
        </w:rPr>
      </w:pPr>
      <w:r>
        <w:rPr>
          <w:snapToGrid w:val="0"/>
        </w:rPr>
        <w:tab/>
        <w:t>(m)</w:t>
      </w:r>
      <w:r>
        <w:rPr>
          <w:snapToGrid w:val="0"/>
        </w:rPr>
        <w:tab/>
        <w:t>A mile is 1,852 metres or 6,080 feet.</w:t>
      </w:r>
    </w:p>
    <w:p>
      <w:pPr>
        <w:pStyle w:val="yMiscellaneousBody"/>
        <w:ind w:left="570"/>
        <w:rPr>
          <w:snapToGrid w:val="0"/>
        </w:rPr>
      </w:pPr>
      <w:r>
        <w:rPr>
          <w:snapToGrid w:val="0"/>
          <w:vertAlign w:val="superscript"/>
        </w:rPr>
        <w:t>*</w:t>
      </w:r>
      <w:r>
        <w:rPr>
          <w:snapToGrid w:val="0"/>
        </w:rPr>
        <w:t xml:space="preserve"> “Inflammable” has the same meaning as “flammable”</w:t>
      </w:r>
    </w:p>
    <w:p>
      <w:pPr>
        <w:pStyle w:val="yMiscellaneousHeading"/>
        <w:rPr>
          <w:snapToGrid w:val="0"/>
        </w:rPr>
      </w:pPr>
      <w:r>
        <w:rPr>
          <w:b/>
          <w:snapToGrid w:val="0"/>
        </w:rPr>
        <w:t>Regulation 3</w:t>
      </w:r>
    </w:p>
    <w:p>
      <w:pPr>
        <w:pStyle w:val="yMiscellaneousHeading"/>
        <w:rPr>
          <w:i/>
          <w:snapToGrid w:val="0"/>
        </w:rPr>
      </w:pPr>
      <w:r>
        <w:rPr>
          <w:i/>
          <w:snapToGrid w:val="0"/>
        </w:rPr>
        <w:t>Exceptions</w:t>
      </w:r>
    </w:p>
    <w:p>
      <w:pPr>
        <w:pStyle w:val="yMiscellaneousBody"/>
        <w:ind w:left="570" w:hanging="570"/>
        <w:rPr>
          <w:snapToGrid w:val="0"/>
        </w:rPr>
      </w:pPr>
      <w:r>
        <w:rPr>
          <w:snapToGrid w:val="0"/>
        </w:rPr>
        <w:t>(a)</w:t>
      </w:r>
      <w:r>
        <w:rPr>
          <w:snapToGrid w:val="0"/>
        </w:rPr>
        <w:tab/>
        <w:t>The present Regulations, unless expressly provided otherwise, do not apply to:</w:t>
      </w:r>
    </w:p>
    <w:p>
      <w:pPr>
        <w:pStyle w:val="yIndenta"/>
        <w:tabs>
          <w:tab w:val="clear" w:pos="1332"/>
          <w:tab w:val="clear" w:pos="1616"/>
          <w:tab w:val="right" w:pos="1026"/>
        </w:tabs>
        <w:ind w:left="1311" w:hanging="1311"/>
        <w:rPr>
          <w:snapToGrid w:val="0"/>
        </w:rPr>
      </w:pPr>
      <w:r>
        <w:rPr>
          <w:snapToGrid w:val="0"/>
        </w:rPr>
        <w:tab/>
        <w:t>(i)</w:t>
      </w:r>
      <w:r>
        <w:rPr>
          <w:snapToGrid w:val="0"/>
        </w:rPr>
        <w:tab/>
        <w:t>Ships of war and troopships.</w:t>
      </w:r>
    </w:p>
    <w:p>
      <w:pPr>
        <w:pStyle w:val="yIndenta"/>
        <w:tabs>
          <w:tab w:val="clear" w:pos="1332"/>
          <w:tab w:val="clear" w:pos="1616"/>
          <w:tab w:val="right" w:pos="1026"/>
        </w:tabs>
        <w:ind w:left="1311" w:hanging="1311"/>
        <w:rPr>
          <w:snapToGrid w:val="0"/>
        </w:rPr>
      </w:pPr>
      <w:r>
        <w:rPr>
          <w:snapToGrid w:val="0"/>
        </w:rPr>
        <w:tab/>
        <w:t>(ii)</w:t>
      </w:r>
      <w:r>
        <w:rPr>
          <w:snapToGrid w:val="0"/>
        </w:rPr>
        <w:tab/>
        <w:t>Cargo ships of less than 500 tons gross tonnage.</w:t>
      </w:r>
    </w:p>
    <w:p>
      <w:pPr>
        <w:pStyle w:val="yIndenta"/>
        <w:tabs>
          <w:tab w:val="clear" w:pos="1332"/>
          <w:tab w:val="clear" w:pos="1616"/>
          <w:tab w:val="right" w:pos="1026"/>
        </w:tabs>
        <w:ind w:left="1311" w:hanging="1311"/>
        <w:rPr>
          <w:snapToGrid w:val="0"/>
        </w:rPr>
      </w:pPr>
      <w:r>
        <w:rPr>
          <w:snapToGrid w:val="0"/>
        </w:rPr>
        <w:tab/>
        <w:t>(iii)</w:t>
      </w:r>
      <w:r>
        <w:rPr>
          <w:snapToGrid w:val="0"/>
        </w:rPr>
        <w:tab/>
        <w:t>Ships not propelled by mechanical means.</w:t>
      </w:r>
    </w:p>
    <w:p>
      <w:pPr>
        <w:pStyle w:val="yIndenta"/>
        <w:tabs>
          <w:tab w:val="clear" w:pos="1332"/>
          <w:tab w:val="clear" w:pos="1616"/>
          <w:tab w:val="right" w:pos="1026"/>
        </w:tabs>
        <w:ind w:left="1311" w:hanging="1311"/>
        <w:rPr>
          <w:snapToGrid w:val="0"/>
        </w:rPr>
      </w:pPr>
      <w:r>
        <w:rPr>
          <w:snapToGrid w:val="0"/>
        </w:rPr>
        <w:tab/>
        <w:t>(iv)</w:t>
      </w:r>
      <w:r>
        <w:rPr>
          <w:snapToGrid w:val="0"/>
        </w:rPr>
        <w:tab/>
        <w:t>Wooden ships of primitive build.</w:t>
      </w:r>
    </w:p>
    <w:p>
      <w:pPr>
        <w:pStyle w:val="yIndenta"/>
        <w:tabs>
          <w:tab w:val="clear" w:pos="1332"/>
          <w:tab w:val="clear" w:pos="1616"/>
          <w:tab w:val="right" w:pos="1026"/>
        </w:tabs>
        <w:ind w:left="1311" w:hanging="1311"/>
        <w:rPr>
          <w:snapToGrid w:val="0"/>
        </w:rPr>
      </w:pPr>
      <w:r>
        <w:rPr>
          <w:snapToGrid w:val="0"/>
        </w:rPr>
        <w:tab/>
        <w:t>(v)</w:t>
      </w:r>
      <w:r>
        <w:rPr>
          <w:snapToGrid w:val="0"/>
        </w:rPr>
        <w:tab/>
        <w:t>Pleasure yachts not engaged in trade.</w:t>
      </w:r>
    </w:p>
    <w:p>
      <w:pPr>
        <w:pStyle w:val="yIndenta"/>
        <w:tabs>
          <w:tab w:val="clear" w:pos="1332"/>
          <w:tab w:val="clear" w:pos="1616"/>
          <w:tab w:val="right" w:pos="1026"/>
        </w:tabs>
        <w:ind w:left="1311" w:hanging="1311"/>
        <w:rPr>
          <w:snapToGrid w:val="0"/>
        </w:rPr>
      </w:pPr>
      <w:r>
        <w:rPr>
          <w:snapToGrid w:val="0"/>
        </w:rPr>
        <w:tab/>
        <w:t>(vi)</w:t>
      </w:r>
      <w:r>
        <w:rPr>
          <w:snapToGrid w:val="0"/>
        </w:rPr>
        <w:tab/>
        <w:t>Fishing vessels.</w:t>
      </w:r>
    </w:p>
    <w:p>
      <w:pPr>
        <w:pStyle w:val="yMiscellaneousBody"/>
        <w:ind w:left="570" w:hanging="570"/>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rPr>
          <w:b/>
          <w:snapToGrid w:val="0"/>
        </w:rPr>
      </w:pPr>
      <w:r>
        <w:rPr>
          <w:b/>
          <w:snapToGrid w:val="0"/>
        </w:rPr>
        <w:t>Regulation 4</w:t>
      </w:r>
    </w:p>
    <w:p>
      <w:pPr>
        <w:pStyle w:val="yMiscellaneousHeading"/>
        <w:rPr>
          <w:i/>
          <w:snapToGrid w:val="0"/>
        </w:rPr>
      </w:pPr>
      <w:r>
        <w:rPr>
          <w:i/>
          <w:snapToGrid w:val="0"/>
        </w:rPr>
        <w:t>Exemptions</w:t>
      </w:r>
    </w:p>
    <w:p>
      <w:pPr>
        <w:pStyle w:val="yMiscellaneousBody"/>
        <w:ind w:left="570" w:hanging="570"/>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ind w:left="570" w:hanging="570"/>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rPr>
          <w:b/>
          <w:snapToGrid w:val="0"/>
        </w:rPr>
      </w:pPr>
      <w:r>
        <w:rPr>
          <w:b/>
          <w:snapToGrid w:val="0"/>
        </w:rPr>
        <w:t>Regulation 5</w:t>
      </w:r>
    </w:p>
    <w:p>
      <w:pPr>
        <w:pStyle w:val="yMiscellaneousHeading"/>
        <w:rPr>
          <w:i/>
          <w:snapToGrid w:val="0"/>
        </w:rPr>
      </w:pPr>
      <w:r>
        <w:rPr>
          <w:i/>
          <w:snapToGrid w:val="0"/>
        </w:rPr>
        <w:t>Equivalents</w:t>
      </w:r>
    </w:p>
    <w:p>
      <w:pPr>
        <w:pStyle w:val="yMiscellaneousBody"/>
        <w:ind w:left="570" w:hanging="570"/>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ind w:left="570" w:hanging="570"/>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rPr>
          <w:b/>
          <w:snapToGrid w:val="0"/>
        </w:rPr>
      </w:pPr>
      <w:r>
        <w:rPr>
          <w:b/>
          <w:snapToGrid w:val="0"/>
        </w:rPr>
        <w:t>Regulation 2</w:t>
      </w:r>
    </w:p>
    <w:p>
      <w:pPr>
        <w:pStyle w:val="yMiscellaneousHeading"/>
        <w:rPr>
          <w:i/>
          <w:snapToGrid w:val="0"/>
        </w:rPr>
      </w:pPr>
      <w:r>
        <w:rPr>
          <w:i/>
          <w:snapToGrid w:val="0"/>
        </w:rPr>
        <w:t>Danger Messages</w:t>
      </w:r>
    </w:p>
    <w:p>
      <w:pPr>
        <w:pStyle w:val="yMiscellaneousBody"/>
        <w:ind w:left="570" w:hanging="570"/>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ind w:left="570" w:hanging="570"/>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ind w:left="570" w:hanging="570"/>
        <w:rPr>
          <w:snapToGrid w:val="0"/>
        </w:rPr>
      </w:pPr>
      <w:r>
        <w:rPr>
          <w:snapToGrid w:val="0"/>
        </w:rPr>
        <w:t>(c)</w:t>
      </w:r>
      <w:r>
        <w:rPr>
          <w:snapToGrid w:val="0"/>
        </w:rPr>
        <w:tab/>
        <w:t>The transmission of messages respecting the dangers specified is free of cost to the ships concerned.</w:t>
      </w:r>
    </w:p>
    <w:p>
      <w:pPr>
        <w:pStyle w:val="yMiscellaneousBody"/>
        <w:ind w:left="570" w:hanging="570"/>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Ice, Derelicts and other Direct Dangers to Navigation</w:t>
      </w:r>
    </w:p>
    <w:p>
      <w:pPr>
        <w:pStyle w:val="yIndenti0"/>
        <w:tabs>
          <w:tab w:val="clear" w:pos="2041"/>
          <w:tab w:val="clear" w:pos="2325"/>
          <w:tab w:val="right" w:pos="1710"/>
        </w:tabs>
        <w:ind w:left="1995" w:hanging="1995"/>
        <w:rPr>
          <w:snapToGrid w:val="0"/>
        </w:rPr>
      </w:pPr>
      <w:r>
        <w:rPr>
          <w:snapToGrid w:val="0"/>
        </w:rPr>
        <w:tab/>
        <w:t>(i)</w:t>
      </w:r>
      <w:r>
        <w:rPr>
          <w:snapToGrid w:val="0"/>
        </w:rPr>
        <w:tab/>
        <w:t>The kind of ice, derelict or danger observed.</w:t>
      </w:r>
    </w:p>
    <w:p>
      <w:pPr>
        <w:pStyle w:val="yIndenti0"/>
        <w:tabs>
          <w:tab w:val="clear" w:pos="2041"/>
          <w:tab w:val="clear" w:pos="2325"/>
          <w:tab w:val="right" w:pos="1710"/>
        </w:tabs>
        <w:ind w:left="1995" w:hanging="1995"/>
        <w:rPr>
          <w:snapToGrid w:val="0"/>
        </w:rPr>
      </w:pPr>
      <w:r>
        <w:rPr>
          <w:snapToGrid w:val="0"/>
        </w:rPr>
        <w:tab/>
        <w:t>(ii)</w:t>
      </w:r>
      <w:r>
        <w:rPr>
          <w:snapToGrid w:val="0"/>
        </w:rPr>
        <w:tab/>
        <w:t>The position of the ice, derelict or danger when last observed.</w:t>
      </w:r>
    </w:p>
    <w:p>
      <w:pPr>
        <w:pStyle w:val="yIndenti0"/>
        <w:tabs>
          <w:tab w:val="clear" w:pos="2041"/>
          <w:tab w:val="clear" w:pos="2325"/>
          <w:tab w:val="right" w:pos="1710"/>
        </w:tabs>
        <w:ind w:left="1995" w:hanging="1995"/>
        <w:rPr>
          <w:snapToGrid w:val="0"/>
        </w:rPr>
      </w:pPr>
      <w:r>
        <w:rPr>
          <w:snapToGrid w:val="0"/>
        </w:rPr>
        <w:tab/>
        <w:t>(iii)</w:t>
      </w:r>
      <w:r>
        <w:rPr>
          <w:snapToGrid w:val="0"/>
        </w:rPr>
        <w:tab/>
        <w:t>The time and date (Greenwich Mean Time) when danger last observed.</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tabs>
          <w:tab w:val="clear" w:pos="2041"/>
          <w:tab w:val="clear" w:pos="2325"/>
          <w:tab w:val="right" w:pos="1710"/>
        </w:tabs>
        <w:ind w:left="1995" w:hanging="1995"/>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tabs>
          <w:tab w:val="clear" w:pos="2041"/>
          <w:tab w:val="clear" w:pos="2325"/>
          <w:tab w:val="right" w:pos="1710"/>
        </w:tabs>
        <w:ind w:left="1995" w:hanging="1995"/>
        <w:rPr>
          <w:snapToGrid w:val="0"/>
        </w:rPr>
      </w:pPr>
      <w:r>
        <w:rPr>
          <w:snapToGrid w:val="0"/>
        </w:rPr>
        <w:tab/>
        <w:t>(ii)</w:t>
      </w:r>
      <w:r>
        <w:rPr>
          <w:snapToGrid w:val="0"/>
        </w:rPr>
        <w:tab/>
        <w:t>Time, date (Greenwich Mean Time) and position of ship when the observation was taken.</w:t>
      </w:r>
    </w:p>
    <w:p>
      <w:pPr>
        <w:pStyle w:val="yIndenti0"/>
        <w:tabs>
          <w:tab w:val="clear" w:pos="2041"/>
          <w:tab w:val="clear" w:pos="2325"/>
          <w:tab w:val="right" w:pos="1710"/>
        </w:tabs>
        <w:ind w:left="1995" w:hanging="1995"/>
        <w:rPr>
          <w:snapToGrid w:val="0"/>
        </w:rPr>
      </w:pPr>
      <w:r>
        <w:rPr>
          <w:snapToGrid w:val="0"/>
        </w:rPr>
        <w:tab/>
        <w:t>(iii)</w:t>
      </w:r>
      <w:r>
        <w:rPr>
          <w:snapToGrid w:val="0"/>
        </w:rPr>
        <w:tab/>
        <w:t>As much of the following information as is practicable should be included in the message: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pressure, preferably corrected (stating millibars, millimetres, or inches, and whether corrected or uncorrected);</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tendency (the change in barometric pressure during the past three hours);</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wind direction;</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wind force (Beaufort scale);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state of the sea (smooth, moderate, rough, high);</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course and speed of ship.</w:t>
      </w:r>
    </w:p>
    <w:p>
      <w:pPr>
        <w:pStyle w:val="yIndenta"/>
        <w:tabs>
          <w:tab w:val="clear" w:pos="1332"/>
          <w:tab w:val="clear" w:pos="1616"/>
          <w:tab w:val="right" w:pos="1026"/>
        </w:tabs>
        <w:ind w:left="1311" w:hanging="1311"/>
        <w:rPr>
          <w:snapToGrid w:val="0"/>
        </w:rPr>
      </w:pPr>
      <w:r>
        <w:rPr>
          <w:snapToGrid w:val="0"/>
        </w:rPr>
        <w:tab/>
        <w:t>(c)</w:t>
      </w:r>
      <w:r>
        <w:rPr>
          <w:snapToGrid w:val="0"/>
        </w:rPr>
        <w:tab/>
      </w:r>
      <w:r>
        <w:rPr>
          <w:i/>
          <w:snapToGrid w:val="0"/>
        </w:rPr>
        <w:t>Subsequent Observations</w:t>
      </w:r>
    </w:p>
    <w:p>
      <w:pPr>
        <w:pStyle w:val="yIndenta"/>
        <w:tabs>
          <w:tab w:val="clear" w:pos="1332"/>
          <w:tab w:val="clear" w:pos="1616"/>
          <w:tab w:val="right" w:pos="1026"/>
        </w:tabs>
        <w:ind w:left="1311" w:hanging="1311"/>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tabs>
          <w:tab w:val="clear" w:pos="1332"/>
          <w:tab w:val="clear" w:pos="1616"/>
          <w:tab w:val="right" w:pos="1026"/>
        </w:tabs>
        <w:ind w:left="1311" w:hanging="1311"/>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tabs>
          <w:tab w:val="clear" w:pos="2041"/>
          <w:tab w:val="clear" w:pos="2325"/>
          <w:tab w:val="right" w:pos="1710"/>
        </w:tabs>
        <w:ind w:left="1995" w:hanging="1995"/>
        <w:rPr>
          <w:snapToGrid w:val="0"/>
        </w:rPr>
      </w:pPr>
      <w:r>
        <w:rPr>
          <w:snapToGrid w:val="0"/>
        </w:rPr>
        <w:tab/>
        <w:t>(i)</w:t>
      </w:r>
      <w:r>
        <w:rPr>
          <w:snapToGrid w:val="0"/>
        </w:rPr>
        <w:tab/>
        <w:t>Time and date (Greenwich Mean Time).</w:t>
      </w:r>
    </w:p>
    <w:p>
      <w:pPr>
        <w:pStyle w:val="yIndenti0"/>
        <w:tabs>
          <w:tab w:val="clear" w:pos="2041"/>
          <w:tab w:val="clear" w:pos="2325"/>
          <w:tab w:val="right" w:pos="1710"/>
        </w:tabs>
        <w:ind w:left="1995" w:hanging="1995"/>
        <w:rPr>
          <w:snapToGrid w:val="0"/>
        </w:rPr>
      </w:pPr>
      <w:r>
        <w:rPr>
          <w:snapToGrid w:val="0"/>
        </w:rPr>
        <w:tab/>
        <w:t>(ii)</w:t>
      </w:r>
      <w:r>
        <w:rPr>
          <w:snapToGrid w:val="0"/>
        </w:rPr>
        <w:tab/>
        <w:t>Air temperature.</w:t>
      </w:r>
    </w:p>
    <w:p>
      <w:pPr>
        <w:pStyle w:val="yIndenti0"/>
        <w:tabs>
          <w:tab w:val="clear" w:pos="2041"/>
          <w:tab w:val="clear" w:pos="2325"/>
          <w:tab w:val="right" w:pos="1710"/>
        </w:tabs>
        <w:ind w:left="1995" w:hanging="1995"/>
        <w:rPr>
          <w:snapToGrid w:val="0"/>
        </w:rPr>
      </w:pPr>
      <w:r>
        <w:rPr>
          <w:snapToGrid w:val="0"/>
        </w:rPr>
        <w:tab/>
        <w:t>(iii)</w:t>
      </w:r>
      <w:r>
        <w:rPr>
          <w:snapToGrid w:val="0"/>
        </w:rPr>
        <w:tab/>
        <w:t>Sea temperature (if practicable).</w:t>
      </w:r>
    </w:p>
    <w:p>
      <w:pPr>
        <w:pStyle w:val="yIndenti0"/>
        <w:tabs>
          <w:tab w:val="clear" w:pos="2041"/>
          <w:tab w:val="clear" w:pos="2325"/>
          <w:tab w:val="right" w:pos="1710"/>
        </w:tabs>
        <w:ind w:left="1995" w:hanging="1995"/>
        <w:rPr>
          <w:snapToGrid w:val="0"/>
        </w:rPr>
      </w:pPr>
      <w:r>
        <w:rPr>
          <w:snapToGrid w:val="0"/>
        </w:rPr>
        <w:tab/>
        <w:t>(iv)</w:t>
      </w:r>
      <w:r>
        <w:rPr>
          <w:snapToGrid w:val="0"/>
        </w:rPr>
        <w:tab/>
        <w:t>Wind force and direction.</w:t>
      </w:r>
    </w:p>
    <w:p>
      <w:pPr>
        <w:pStyle w:val="yMiscellaneousHeading"/>
        <w:spacing w:before="240"/>
        <w:rPr>
          <w:i/>
          <w:snapToGrid w:val="0"/>
        </w:rPr>
      </w:pPr>
      <w:r>
        <w:rPr>
          <w:i/>
          <w:snapToGrid w:val="0"/>
        </w:rPr>
        <w:t>Examples</w:t>
      </w:r>
    </w:p>
    <w:p>
      <w:pPr>
        <w:pStyle w:val="yMiscellaneousBody"/>
        <w:rPr>
          <w:i/>
          <w:iCs/>
        </w:rPr>
      </w:pPr>
      <w:r>
        <w:rPr>
          <w:i/>
          <w:iCs/>
        </w:rPr>
        <w:t>Ice</w:t>
      </w:r>
    </w:p>
    <w:p>
      <w:pPr>
        <w:pStyle w:val="yMiscellaneousBody"/>
        <w:keepNext/>
        <w:rPr>
          <w:snapToGrid w:val="0"/>
        </w:rPr>
      </w:pPr>
      <w:r>
        <w:rPr>
          <w:snapToGrid w:val="0"/>
        </w:rPr>
        <w:t>TTT Ice. Large berg sighted in 4605 N., 4410 W., at 0800 GMT. May 15.</w:t>
      </w:r>
    </w:p>
    <w:p>
      <w:pPr>
        <w:pStyle w:val="yMiscellaneousBody"/>
        <w:rPr>
          <w:i/>
          <w:snapToGrid w:val="0"/>
        </w:rPr>
      </w:pPr>
      <w:r>
        <w:rPr>
          <w:i/>
          <w:iCs/>
        </w:rPr>
        <w:t>Derelicts</w:t>
      </w:r>
    </w:p>
    <w:p>
      <w:pPr>
        <w:pStyle w:val="yMiscellaneousBody"/>
        <w:rPr>
          <w:snapToGrid w:val="0"/>
        </w:rPr>
      </w:pPr>
      <w:r>
        <w:rPr>
          <w:snapToGrid w:val="0"/>
        </w:rPr>
        <w:t>TTT Derelict. Observed derelict almost submerged in 4006 N., 1243 W., at 1630 GMT. April 21.</w:t>
      </w:r>
    </w:p>
    <w:p>
      <w:pPr>
        <w:pStyle w:val="yMiscellaneousBody"/>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keepNext/>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rPr>
          <w:b/>
          <w:bCs/>
        </w:rPr>
      </w:pPr>
      <w:r>
        <w:rPr>
          <w:b/>
          <w:bCs/>
        </w:rPr>
        <w:t>Regulation 4</w:t>
      </w:r>
    </w:p>
    <w:p>
      <w:pPr>
        <w:pStyle w:val="yMiscellaneousHeading"/>
        <w:rPr>
          <w:i/>
          <w:snapToGrid w:val="0"/>
        </w:rPr>
      </w:pPr>
      <w:r>
        <w:rPr>
          <w:i/>
          <w:snapToGrid w:val="0"/>
        </w:rPr>
        <w:t>Meteorological Services</w:t>
      </w:r>
    </w:p>
    <w:p>
      <w:pPr>
        <w:pStyle w:val="yMiscellaneousBody"/>
        <w:ind w:left="570" w:hanging="570"/>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keepNext/>
        <w:ind w:left="570" w:hanging="570"/>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tabs>
          <w:tab w:val="clear" w:pos="1332"/>
          <w:tab w:val="clear" w:pos="1616"/>
          <w:tab w:val="right" w:pos="1026"/>
        </w:tabs>
        <w:ind w:left="1311" w:hanging="1311"/>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tabs>
          <w:tab w:val="clear" w:pos="1332"/>
          <w:tab w:val="clear" w:pos="1616"/>
          <w:tab w:val="right" w:pos="1026"/>
        </w:tabs>
        <w:ind w:left="1311" w:hanging="1311"/>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tabs>
          <w:tab w:val="clear" w:pos="1332"/>
          <w:tab w:val="clear" w:pos="1616"/>
          <w:tab w:val="right" w:pos="1026"/>
        </w:tabs>
        <w:ind w:left="1311" w:hanging="1311"/>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tabs>
          <w:tab w:val="clear" w:pos="1332"/>
          <w:tab w:val="clear" w:pos="1616"/>
          <w:tab w:val="right" w:pos="1026"/>
        </w:tabs>
        <w:ind w:left="1311" w:hanging="1311"/>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tabs>
          <w:tab w:val="clear" w:pos="1332"/>
          <w:tab w:val="clear" w:pos="1616"/>
          <w:tab w:val="right" w:pos="1026"/>
        </w:tabs>
        <w:spacing w:before="60"/>
        <w:ind w:left="1310" w:hanging="1310"/>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tabs>
          <w:tab w:val="clear" w:pos="1332"/>
          <w:tab w:val="clear" w:pos="1616"/>
          <w:tab w:val="right" w:pos="1026"/>
        </w:tabs>
        <w:spacing w:before="60"/>
        <w:ind w:left="1310" w:hanging="1310"/>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tabs>
          <w:tab w:val="clear" w:pos="1332"/>
          <w:tab w:val="clear" w:pos="1616"/>
          <w:tab w:val="right" w:pos="1026"/>
        </w:tabs>
        <w:spacing w:before="60"/>
        <w:ind w:left="1310" w:hanging="1310"/>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ind w:left="570" w:hanging="570"/>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ind w:left="570" w:hanging="570"/>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rPr>
          <w:b/>
          <w:snapToGrid w:val="0"/>
        </w:rPr>
      </w:pPr>
      <w:r>
        <w:rPr>
          <w:b/>
          <w:bCs/>
        </w:rPr>
        <w:t>Regulation</w:t>
      </w:r>
      <w:r>
        <w:rPr>
          <w:b/>
          <w:snapToGrid w:val="0"/>
        </w:rPr>
        <w:t> 5</w:t>
      </w:r>
    </w:p>
    <w:p>
      <w:pPr>
        <w:pStyle w:val="yMiscellaneousHeading"/>
        <w:rPr>
          <w:i/>
          <w:snapToGrid w:val="0"/>
        </w:rPr>
      </w:pPr>
      <w:r>
        <w:rPr>
          <w:i/>
          <w:snapToGrid w:val="0"/>
        </w:rPr>
        <w:t>Ice Patrol Service</w:t>
      </w:r>
    </w:p>
    <w:p>
      <w:pPr>
        <w:pStyle w:val="yMiscellaneousBody"/>
        <w:ind w:left="570" w:hanging="570"/>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ind w:left="570" w:hanging="570"/>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rPr>
          <w:b/>
          <w:snapToGrid w:val="0"/>
        </w:rPr>
      </w:pPr>
      <w:r>
        <w:rPr>
          <w:b/>
          <w:bCs/>
        </w:rPr>
        <w:t>Regulation</w:t>
      </w:r>
      <w:r>
        <w:rPr>
          <w:b/>
          <w:snapToGrid w:val="0"/>
        </w:rPr>
        <w:t> 6</w:t>
      </w:r>
    </w:p>
    <w:p>
      <w:pPr>
        <w:pStyle w:val="yMiscellaneousHeading"/>
        <w:rPr>
          <w:i/>
          <w:snapToGrid w:val="0"/>
        </w:rPr>
      </w:pPr>
      <w:r>
        <w:rPr>
          <w:i/>
          <w:snapToGrid w:val="0"/>
        </w:rPr>
        <w:t>Ice Patrol. Management and Cost</w:t>
      </w:r>
    </w:p>
    <w:p>
      <w:pPr>
        <w:pStyle w:val="yMiscellaneousBody"/>
        <w:ind w:left="570" w:hanging="570"/>
        <w:rPr>
          <w:snapToGrid w:val="0"/>
        </w:rPr>
      </w:pPr>
      <w:r>
        <w:rPr>
          <w:snapToGrid w:val="0"/>
        </w:rPr>
        <w:t>(a)</w:t>
      </w:r>
      <w:r>
        <w:rPr>
          <w:snapToGrid w:val="0"/>
        </w:rPr>
        <w:tab/>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ind w:left="570" w:hanging="570"/>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ind w:left="570" w:hanging="570"/>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ind w:left="570" w:hanging="570"/>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ind w:left="570" w:hanging="570"/>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rPr>
          <w:b/>
          <w:snapToGrid w:val="0"/>
        </w:rPr>
      </w:pPr>
      <w:r>
        <w:rPr>
          <w:b/>
          <w:bCs/>
        </w:rPr>
        <w:t>Regulation</w:t>
      </w:r>
      <w:r>
        <w:rPr>
          <w:b/>
          <w:snapToGrid w:val="0"/>
        </w:rPr>
        <w:t>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rPr>
          <w:b/>
          <w:snapToGrid w:val="0"/>
        </w:rPr>
      </w:pPr>
      <w:r>
        <w:rPr>
          <w:b/>
          <w:bCs/>
        </w:rPr>
        <w:t>Regulation</w:t>
      </w:r>
      <w:r>
        <w:rPr>
          <w:b/>
          <w:snapToGrid w:val="0"/>
        </w:rPr>
        <w:t> 8</w:t>
      </w:r>
    </w:p>
    <w:p>
      <w:pPr>
        <w:pStyle w:val="yMiscellaneousHeading"/>
        <w:rPr>
          <w:i/>
          <w:snapToGrid w:val="0"/>
        </w:rPr>
      </w:pPr>
      <w:r>
        <w:rPr>
          <w:i/>
          <w:snapToGrid w:val="0"/>
        </w:rPr>
        <w:t>Routeing</w:t>
      </w:r>
    </w:p>
    <w:p>
      <w:pPr>
        <w:pStyle w:val="yMiscellaneousBody"/>
        <w:ind w:left="570" w:hanging="570"/>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ind w:left="570" w:hanging="570"/>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ind w:left="570" w:hanging="570"/>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ind w:left="570" w:hanging="570"/>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ind w:left="570" w:hanging="570"/>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 N and to pass outside regions known or believed to be endangered by ice.</w:t>
      </w:r>
    </w:p>
    <w:p>
      <w:pPr>
        <w:pStyle w:val="yMiscellaneousHeading"/>
        <w:rPr>
          <w:b/>
          <w:snapToGrid w:val="0"/>
        </w:rPr>
      </w:pPr>
      <w:r>
        <w:rPr>
          <w:b/>
          <w:bCs/>
        </w:rPr>
        <w:t>Regulation</w:t>
      </w:r>
      <w:r>
        <w:rPr>
          <w:b/>
          <w:snapToGrid w:val="0"/>
        </w:rPr>
        <w:t>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rPr>
          <w:b/>
          <w:snapToGrid w:val="0"/>
        </w:rPr>
      </w:pPr>
      <w:r>
        <w:rPr>
          <w:b/>
          <w:bCs/>
        </w:rPr>
        <w:t>Regulation</w:t>
      </w:r>
      <w:r>
        <w:rPr>
          <w:b/>
          <w:snapToGrid w:val="0"/>
        </w:rPr>
        <w:t> 10</w:t>
      </w:r>
    </w:p>
    <w:p>
      <w:pPr>
        <w:pStyle w:val="yMiscellaneousHeading"/>
        <w:rPr>
          <w:i/>
          <w:snapToGrid w:val="0"/>
        </w:rPr>
      </w:pPr>
      <w:r>
        <w:rPr>
          <w:i/>
          <w:snapToGrid w:val="0"/>
        </w:rPr>
        <w:t>Distress Messages — Obligations and Procedures</w:t>
      </w:r>
    </w:p>
    <w:p>
      <w:pPr>
        <w:pStyle w:val="yMiscellaneousBody"/>
        <w:ind w:left="570" w:hanging="570"/>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ind w:left="570" w:hanging="570"/>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ind w:left="570" w:hanging="570"/>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ind w:left="570" w:hanging="570"/>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ind w:left="570" w:hanging="570"/>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rPr>
          <w:b/>
          <w:snapToGrid w:val="0"/>
        </w:rPr>
      </w:pPr>
      <w:r>
        <w:rPr>
          <w:b/>
          <w:bCs/>
        </w:rPr>
        <w:t>Regulation</w:t>
      </w:r>
      <w:r>
        <w:rPr>
          <w:b/>
          <w:snapToGrid w:val="0"/>
        </w:rPr>
        <w:t>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rPr>
          <w:b/>
          <w:snapToGrid w:val="0"/>
        </w:rPr>
      </w:pPr>
      <w:r>
        <w:rPr>
          <w:b/>
          <w:bCs/>
        </w:rPr>
        <w:t>Regulation</w:t>
      </w:r>
      <w:r>
        <w:rPr>
          <w:b/>
          <w:snapToGrid w:val="0"/>
        </w:rPr>
        <w:t> 12</w:t>
      </w:r>
    </w:p>
    <w:p>
      <w:pPr>
        <w:pStyle w:val="yMiscellaneousHeading"/>
        <w:spacing w:before="200"/>
        <w:rPr>
          <w:i/>
          <w:snapToGrid w:val="0"/>
        </w:rPr>
      </w:pPr>
      <w:r>
        <w:rPr>
          <w:i/>
          <w:snapToGrid w:val="0"/>
        </w:rPr>
        <w:t>Shipborne Navigational Equipment</w:t>
      </w:r>
    </w:p>
    <w:p>
      <w:pPr>
        <w:pStyle w:val="yMiscellaneousBody"/>
        <w:spacing w:before="200"/>
        <w:ind w:left="570" w:hanging="570"/>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spacing w:before="200"/>
        <w:ind w:left="570" w:hanging="570"/>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spacing w:before="200"/>
        <w:ind w:left="570" w:hanging="570"/>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spacing w:before="200"/>
        <w:ind w:left="570" w:hanging="570"/>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spacing w:before="200"/>
        <w:ind w:left="570" w:hanging="570"/>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spacing w:before="200"/>
        <w:ind w:left="570" w:hanging="570"/>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rPr>
          <w:b/>
          <w:snapToGrid w:val="0"/>
        </w:rPr>
      </w:pPr>
      <w:r>
        <w:rPr>
          <w:b/>
          <w:bCs/>
        </w:rPr>
        <w:t>Regulation</w:t>
      </w:r>
      <w:r>
        <w:rPr>
          <w:b/>
          <w:snapToGrid w:val="0"/>
        </w:rPr>
        <w:t> 13</w:t>
      </w:r>
    </w:p>
    <w:p>
      <w:pPr>
        <w:pStyle w:val="yMiscellaneousHeading"/>
        <w:keepLines/>
        <w:rPr>
          <w:i/>
          <w:snapToGrid w:val="0"/>
        </w:rPr>
      </w:pPr>
      <w:r>
        <w:rPr>
          <w:i/>
          <w:snapToGrid w:val="0"/>
        </w:rPr>
        <w:t>Manning</w:t>
      </w:r>
    </w:p>
    <w:p>
      <w:pPr>
        <w:pStyle w:val="yMiscellaneousBody"/>
        <w:keepNext/>
        <w:keepLines/>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rPr>
          <w:b/>
          <w:snapToGrid w:val="0"/>
        </w:rPr>
      </w:pPr>
      <w:r>
        <w:rPr>
          <w:b/>
          <w:bCs/>
        </w:rPr>
        <w:t>Regulation</w:t>
      </w:r>
      <w:r>
        <w:rPr>
          <w:b/>
          <w:snapToGrid w:val="0"/>
        </w:rPr>
        <w:t>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rPr>
          <w:b/>
          <w:snapToGrid w:val="0"/>
        </w:rPr>
      </w:pPr>
      <w:r>
        <w:rPr>
          <w:b/>
          <w:bCs/>
        </w:rPr>
        <w:t>Regulation</w:t>
      </w:r>
      <w:r>
        <w:rPr>
          <w:b/>
          <w:snapToGrid w:val="0"/>
        </w:rPr>
        <w:t> 15</w:t>
      </w:r>
    </w:p>
    <w:p>
      <w:pPr>
        <w:pStyle w:val="yMiscellaneousHeading"/>
        <w:spacing w:before="240"/>
        <w:rPr>
          <w:i/>
          <w:snapToGrid w:val="0"/>
        </w:rPr>
      </w:pPr>
      <w:r>
        <w:rPr>
          <w:i/>
          <w:snapToGrid w:val="0"/>
        </w:rPr>
        <w:t>Search and Rescue</w:t>
      </w:r>
    </w:p>
    <w:p>
      <w:pPr>
        <w:pStyle w:val="yMiscellaneousBody"/>
        <w:ind w:left="570" w:hanging="570"/>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ind w:left="570" w:hanging="570"/>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rPr>
          <w:b/>
          <w:snapToGrid w:val="0"/>
        </w:rPr>
      </w:pPr>
      <w:r>
        <w:rPr>
          <w:b/>
          <w:bCs/>
        </w:rPr>
        <w:t>Regulation</w:t>
      </w:r>
      <w:r>
        <w:rPr>
          <w:b/>
          <w:snapToGrid w:val="0"/>
        </w:rPr>
        <w:t>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tabs>
          <w:tab w:val="clear" w:pos="1332"/>
          <w:tab w:val="clear" w:pos="1616"/>
          <w:tab w:val="right" w:pos="1026"/>
        </w:tabs>
        <w:ind w:left="1311" w:hanging="1311"/>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z w:val="16"/>
                <w:szCs w:val="16"/>
              </w:rPr>
            </w:pPr>
            <w:r>
              <w:rPr>
                <w:i/>
                <w:sz w:val="16"/>
                <w:szCs w:val="16"/>
              </w:rPr>
              <w:t>Signal</w:t>
            </w:r>
          </w:p>
        </w:tc>
        <w:tc>
          <w:tcPr>
            <w:tcW w:w="425" w:type="dxa"/>
          </w:tcPr>
          <w:p>
            <w:pPr>
              <w:pStyle w:val="yTableNAm"/>
              <w:rPr>
                <w:sz w:val="16"/>
                <w:szCs w:val="16"/>
              </w:rPr>
            </w:pPr>
          </w:p>
        </w:tc>
        <w:tc>
          <w:tcPr>
            <w:tcW w:w="1985" w:type="dxa"/>
          </w:tcPr>
          <w:p>
            <w:pPr>
              <w:pStyle w:val="yTableNAm"/>
              <w:jc w:val="center"/>
              <w:rPr>
                <w:i/>
                <w:sz w:val="16"/>
                <w:szCs w:val="16"/>
              </w:rPr>
            </w:pPr>
            <w:r>
              <w:rPr>
                <w:i/>
                <w:sz w:val="16"/>
                <w:szCs w:val="16"/>
              </w:rPr>
              <w:t>Signification</w:t>
            </w:r>
          </w:p>
        </w:tc>
      </w:tr>
      <w:tr>
        <w:tc>
          <w:tcPr>
            <w:tcW w:w="3544" w:type="dxa"/>
          </w:tcPr>
          <w:p>
            <w:pPr>
              <w:pStyle w:val="yTableNAm"/>
              <w:rPr>
                <w:sz w:val="16"/>
                <w:szCs w:val="16"/>
              </w:rPr>
            </w:pPr>
            <w:r>
              <w:rPr>
                <w:i/>
                <w:sz w:val="16"/>
                <w:szCs w:val="16"/>
              </w:rPr>
              <w:t>By day</w:t>
            </w:r>
            <w:r>
              <w:rPr>
                <w:sz w:val="16"/>
                <w:szCs w:val="16"/>
              </w:rPr>
              <w:t xml:space="preserve"> </w:t>
            </w:r>
            <w:r>
              <w:rPr>
                <w:sz w:val="16"/>
                <w:szCs w:val="16"/>
              </w:rPr>
              <w:noBreakHyphen/>
              <w:t xml:space="preserve"> Orange smoke signal or combined light and sound signal (thunder</w:t>
            </w:r>
            <w:r>
              <w:rPr>
                <w:sz w:val="16"/>
                <w:szCs w:val="16"/>
              </w:rPr>
              <w:noBreakHyphen/>
              <w:t>light) consisting of three single signals which are fired at intervals of approximately one minute.</w:t>
            </w:r>
          </w:p>
          <w:p>
            <w:pPr>
              <w:pStyle w:val="yTableNAm"/>
              <w:spacing w:before="0"/>
              <w:rPr>
                <w:sz w:val="16"/>
                <w:szCs w:val="16"/>
              </w:rPr>
            </w:pPr>
          </w:p>
          <w:p>
            <w:pPr>
              <w:pStyle w:val="yTableNAm"/>
              <w:rPr>
                <w:sz w:val="16"/>
                <w:szCs w:val="16"/>
              </w:rPr>
            </w:pPr>
            <w:r>
              <w:rPr>
                <w:i/>
                <w:sz w:val="16"/>
                <w:szCs w:val="16"/>
              </w:rPr>
              <w:t>By night</w:t>
            </w:r>
            <w:r>
              <w:rPr>
                <w:sz w:val="16"/>
                <w:szCs w:val="16"/>
              </w:rPr>
              <w:t xml:space="preserve"> </w:t>
            </w:r>
            <w:r>
              <w:rPr>
                <w:sz w:val="16"/>
                <w:szCs w:val="16"/>
              </w:rPr>
              <w:noBreakHyphen/>
              <w:t xml:space="preserve"> White star rocket consisting of three single signals which are fired at intervals of approximately one minute.</w:t>
            </w:r>
          </w:p>
        </w:tc>
        <w:tc>
          <w:tcPr>
            <w:tcW w:w="425" w:type="dxa"/>
          </w:tcPr>
          <w:p>
            <w:pPr>
              <w:pStyle w:val="yTableNAm"/>
              <w:rPr>
                <w:sz w:val="16"/>
                <w:szCs w:val="16"/>
              </w:rPr>
            </w:pPr>
            <w:r>
              <w:rPr>
                <w:noProof/>
                <w:sz w:val="16"/>
                <w:szCs w:val="16"/>
              </w:rPr>
              <w:drawing>
                <wp:inline distT="0" distB="0" distL="0" distR="0">
                  <wp:extent cx="127000" cy="914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914400"/>
                          </a:xfrm>
                          <a:prstGeom prst="rect">
                            <a:avLst/>
                          </a:prstGeom>
                          <a:noFill/>
                          <a:ln>
                            <a:noFill/>
                          </a:ln>
                        </pic:spPr>
                      </pic:pic>
                    </a:graphicData>
                  </a:graphic>
                </wp:inline>
              </w:drawing>
            </w:r>
          </w:p>
        </w:tc>
        <w:tc>
          <w:tcPr>
            <w:tcW w:w="1985" w:type="dxa"/>
          </w:tcPr>
          <w:p>
            <w:pPr>
              <w:pStyle w:val="yTableNAm"/>
              <w:rPr>
                <w:sz w:val="16"/>
                <w:szCs w:val="16"/>
              </w:rPr>
            </w:pPr>
            <w:r>
              <w:rPr>
                <w:sz w:val="16"/>
                <w:szCs w:val="16"/>
              </w:rPr>
              <w:t xml:space="preserve">“You are seen </w:t>
            </w:r>
            <w:r>
              <w:rPr>
                <w:sz w:val="16"/>
                <w:szCs w:val="16"/>
              </w:rPr>
              <w:noBreakHyphen/>
              <w:t xml:space="preserve"> assistance will be given as soon as possible.”</w:t>
            </w:r>
          </w:p>
          <w:p>
            <w:pPr>
              <w:pStyle w:val="yTableNAm"/>
              <w:spacing w:before="0"/>
              <w:rPr>
                <w:sz w:val="16"/>
                <w:szCs w:val="16"/>
              </w:rPr>
            </w:pPr>
          </w:p>
          <w:p>
            <w:pPr>
              <w:pStyle w:val="yTableNAm"/>
              <w:spacing w:before="0"/>
              <w:rPr>
                <w:sz w:val="16"/>
                <w:szCs w:val="16"/>
              </w:rPr>
            </w:pPr>
          </w:p>
          <w:p>
            <w:pPr>
              <w:pStyle w:val="yTableNAm"/>
              <w:spacing w:before="80"/>
              <w:rPr>
                <w:sz w:val="16"/>
                <w:szCs w:val="16"/>
              </w:rPr>
            </w:pPr>
            <w:r>
              <w:rPr>
                <w:sz w:val="16"/>
                <w:szCs w:val="16"/>
              </w:rPr>
              <w:t>(Repetition of such signals shall have the same meaning.)</w:t>
            </w:r>
          </w:p>
        </w:tc>
      </w:tr>
    </w:tbl>
    <w:p>
      <w:pPr>
        <w:pStyle w:val="yIndenta"/>
        <w:tabs>
          <w:tab w:val="clear" w:pos="1332"/>
          <w:tab w:val="clear" w:pos="1616"/>
          <w:tab w:val="right" w:pos="1026"/>
        </w:tabs>
        <w:ind w:left="1311" w:hanging="1311"/>
      </w:pPr>
      <w:r>
        <w:tab/>
      </w:r>
      <w:r>
        <w:tab/>
        <w:t>If necessary the day signals may be given at night or the night signals by day.</w:t>
      </w:r>
    </w:p>
    <w:p>
      <w:pPr>
        <w:pStyle w:val="yIndenta"/>
        <w:tabs>
          <w:tab w:val="clear" w:pos="1332"/>
          <w:tab w:val="clear" w:pos="1616"/>
          <w:tab w:val="right" w:pos="1026"/>
        </w:tabs>
        <w:ind w:left="1311" w:hanging="1311"/>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pacing w:val="-2"/>
                <w:sz w:val="16"/>
                <w:szCs w:val="16"/>
              </w:rPr>
            </w:pPr>
            <w:r>
              <w:rPr>
                <w:i/>
                <w:sz w:val="16"/>
                <w:szCs w:val="16"/>
              </w:rPr>
              <w:t>Signal</w:t>
            </w:r>
          </w:p>
        </w:tc>
        <w:tc>
          <w:tcPr>
            <w:tcW w:w="425" w:type="dxa"/>
          </w:tcPr>
          <w:p>
            <w:pPr>
              <w:pStyle w:val="yTableNAm"/>
              <w:jc w:val="center"/>
              <w:rPr>
                <w:i/>
                <w:spacing w:val="-2"/>
                <w:sz w:val="16"/>
                <w:szCs w:val="16"/>
              </w:rPr>
            </w:pPr>
          </w:p>
        </w:tc>
        <w:tc>
          <w:tcPr>
            <w:tcW w:w="1985" w:type="dxa"/>
          </w:tcPr>
          <w:p>
            <w:pPr>
              <w:pStyle w:val="yTableNAm"/>
              <w:jc w:val="center"/>
              <w:rPr>
                <w:i/>
                <w:spacing w:val="-2"/>
                <w:sz w:val="16"/>
                <w:szCs w:val="16"/>
              </w:rPr>
            </w:pPr>
            <w:r>
              <w:rPr>
                <w:i/>
                <w:sz w:val="16"/>
                <w:szCs w:val="16"/>
              </w:rPr>
              <w:t>Signification</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 xml:space="preserve">signal or </w:t>
            </w:r>
            <w:r>
              <w:rPr>
                <w:sz w:val="16"/>
                <w:szCs w:val="16"/>
              </w:rPr>
              <w:t>signalling</w:t>
            </w:r>
            <w:r>
              <w:rPr>
                <w:spacing w:val="-2"/>
                <w:sz w:val="16"/>
                <w:szCs w:val="16"/>
              </w:rPr>
              <w:t xml:space="preserve">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of a green star</w:t>
            </w:r>
            <w:r>
              <w:rPr>
                <w:spacing w:val="-2"/>
                <w:sz w:val="16"/>
                <w:szCs w:val="16"/>
              </w:rPr>
              <w:noBreakHyphen/>
            </w:r>
            <w:r>
              <w:rPr>
                <w:sz w:val="16"/>
                <w:szCs w:val="16"/>
              </w:rPr>
              <w:t>signal</w:t>
            </w:r>
            <w:r>
              <w:rPr>
                <w:spacing w:val="-2"/>
                <w:sz w:val="16"/>
                <w:szCs w:val="16"/>
              </w:rPr>
              <w:t xml:space="preserve"> or signalling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  A range (indication of direction) may be given by placing a steady white light or flare at a lower level and in line with the observer.</w:t>
            </w:r>
          </w:p>
        </w:tc>
        <w:tc>
          <w:tcPr>
            <w:tcW w:w="425" w:type="dxa"/>
          </w:tcPr>
          <w:p>
            <w:pPr>
              <w:pStyle w:val="yTableNAm"/>
              <w:rPr>
                <w:spacing w:val="-2"/>
                <w:sz w:val="16"/>
                <w:szCs w:val="16"/>
              </w:rPr>
            </w:pPr>
            <w:r>
              <w:rPr>
                <w:noProof/>
                <w:sz w:val="16"/>
                <w:szCs w:val="16"/>
              </w:rPr>
              <w:drawing>
                <wp:inline distT="0" distB="0" distL="0" distR="0">
                  <wp:extent cx="127000" cy="117665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17665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spacing w:before="0"/>
              <w:rPr>
                <w:sz w:val="16"/>
                <w:szCs w:val="16"/>
              </w:rPr>
            </w:pPr>
            <w:r>
              <w:rPr>
                <w:sz w:val="16"/>
                <w:szCs w:val="16"/>
              </w:rPr>
              <w:t>“This is the best place to land.”</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w:t>
            </w:r>
            <w:r>
              <w:rPr>
                <w:sz w:val="16"/>
                <w:szCs w:val="16"/>
              </w:rPr>
              <w:t>horizontally</w:t>
            </w:r>
            <w:r>
              <w:rPr>
                <w:spacing w:val="-2"/>
                <w:sz w:val="16"/>
                <w:szCs w:val="16"/>
              </w:rPr>
              <w:t xml:space="preserve"> or firing of a red star</w:t>
            </w:r>
            <w:r>
              <w:rPr>
                <w:spacing w:val="-2"/>
                <w:sz w:val="16"/>
                <w:szCs w:val="16"/>
              </w:rPr>
              <w:noBreakHyphen/>
              <w:t xml:space="preserve">signal or signalling </w:t>
            </w:r>
            <w:r>
              <w:rPr>
                <w:sz w:val="16"/>
                <w:szCs w:val="16"/>
              </w:rPr>
              <w:t>the</w:t>
            </w:r>
            <w:r>
              <w:rPr>
                <w:spacing w:val="-2"/>
                <w:sz w:val="16"/>
                <w:szCs w:val="16"/>
              </w:rPr>
              <w:t xml:space="preserve"> code letter “S” (...)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r>
            <w:r>
              <w:rPr>
                <w:sz w:val="16"/>
                <w:szCs w:val="16"/>
              </w:rPr>
              <w:t>signal</w:t>
            </w:r>
            <w:r>
              <w:rPr>
                <w:spacing w:val="-2"/>
                <w:sz w:val="16"/>
                <w:szCs w:val="16"/>
              </w:rPr>
              <w:t xml:space="preserve"> or signalling the code letter “S” (...) given by light or sound</w:t>
            </w:r>
            <w:r>
              <w:rPr>
                <w:spacing w:val="-2"/>
                <w:sz w:val="16"/>
                <w:szCs w:val="16"/>
              </w:rPr>
              <w:noBreakHyphen/>
              <w:t>signal apparatus.</w:t>
            </w:r>
          </w:p>
        </w:tc>
        <w:tc>
          <w:tcPr>
            <w:tcW w:w="425" w:type="dxa"/>
          </w:tcPr>
          <w:p>
            <w:pPr>
              <w:pStyle w:val="yTableNAm"/>
              <w:rPr>
                <w:sz w:val="16"/>
                <w:szCs w:val="16"/>
              </w:rPr>
            </w:pPr>
            <w:r>
              <w:rPr>
                <w:noProof/>
                <w:sz w:val="16"/>
                <w:szCs w:val="16"/>
              </w:rPr>
              <w:drawing>
                <wp:inline distT="0" distB="0" distL="0" distR="0">
                  <wp:extent cx="127000" cy="9461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94615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w:t>
            </w:r>
            <w:r>
              <w:rPr>
                <w:sz w:val="16"/>
                <w:szCs w:val="16"/>
              </w:rPr>
              <w:t>Landing</w:t>
            </w:r>
            <w:r>
              <w:rPr>
                <w:spacing w:val="-2"/>
                <w:sz w:val="16"/>
                <w:szCs w:val="16"/>
              </w:rPr>
              <w:t xml:space="preserve"> here highly dangerous.”</w:t>
            </w:r>
          </w:p>
        </w:tc>
      </w:tr>
      <w:tr>
        <w:tc>
          <w:tcPr>
            <w:tcW w:w="3544" w:type="dxa"/>
          </w:tcPr>
          <w:p>
            <w:pPr>
              <w:pStyle w:val="yTableNAm"/>
              <w:rPr>
                <w:spacing w:val="-2"/>
                <w:sz w:val="16"/>
                <w:szCs w:val="16"/>
              </w:rPr>
            </w:pPr>
            <w:r>
              <w:rPr>
                <w:i/>
                <w:spacing w:val="-2"/>
                <w:sz w:val="16"/>
                <w:szCs w:val="16"/>
              </w:rPr>
              <w:t xml:space="preserve">By day </w:t>
            </w:r>
            <w:r>
              <w:rPr>
                <w:i/>
                <w:spacing w:val="-2"/>
                <w:sz w:val="16"/>
                <w:szCs w:val="16"/>
              </w:rPr>
              <w:noBreakHyphen/>
            </w:r>
            <w:r>
              <w:rPr>
                <w:spacing w:val="-2"/>
                <w:sz w:val="16"/>
                <w:szCs w:val="16"/>
              </w:rPr>
              <w:t xml:space="preserve">  Horizontal motion of a white flag, followed by the </w:t>
            </w:r>
            <w:r>
              <w:rPr>
                <w:sz w:val="16"/>
                <w:szCs w:val="16"/>
              </w:rPr>
              <w:t>placing</w:t>
            </w:r>
            <w:r>
              <w:rPr>
                <w:spacing w:val="-2"/>
                <w:sz w:val="16"/>
                <w:szCs w:val="16"/>
              </w:rPr>
              <w:t xml:space="preserve"> of the white flag in the ground and the carrying of another white flag in the direction to be </w:t>
            </w:r>
            <w:r>
              <w:rPr>
                <w:sz w:val="16"/>
                <w:szCs w:val="16"/>
              </w:rPr>
              <w:t>indicated</w:t>
            </w:r>
            <w:r>
              <w:rPr>
                <w:spacing w:val="-2"/>
                <w:sz w:val="16"/>
                <w:szCs w:val="16"/>
              </w:rPr>
              <w:t xml:space="preserve"> or </w:t>
            </w:r>
            <w:r>
              <w:rPr>
                <w:sz w:val="16"/>
                <w:szCs w:val="16"/>
              </w:rPr>
              <w:t>firing</w:t>
            </w:r>
            <w:r>
              <w:rPr>
                <w:spacing w:val="-2"/>
                <w:sz w:val="16"/>
                <w:szCs w:val="16"/>
              </w:rPr>
              <w:t xml:space="preserve"> of a red star</w:t>
            </w:r>
            <w:r>
              <w:rPr>
                <w:spacing w:val="-2"/>
                <w:sz w:val="16"/>
                <w:szCs w:val="16"/>
              </w:rPr>
              <w:noBreakHyphen/>
              <w:t xml:space="preserve">signal vertically and a </w:t>
            </w:r>
            <w:r>
              <w:rPr>
                <w:sz w:val="16"/>
                <w:szCs w:val="16"/>
              </w:rPr>
              <w:t>white</w:t>
            </w:r>
            <w:r>
              <w:rPr>
                <w:spacing w:val="-2"/>
                <w:sz w:val="16"/>
                <w:szCs w:val="16"/>
              </w:rPr>
              <w:t xml:space="preserve"> star</w:t>
            </w:r>
            <w:r>
              <w:rPr>
                <w:spacing w:val="-2"/>
                <w:sz w:val="16"/>
                <w:szCs w:val="16"/>
              </w:rPr>
              <w:noBreakHyphen/>
              <w:t>signal in the direction towards the better landing place or signalling the code letter “S” (...) followed by the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32778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32778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r>
              <w:rPr>
                <w:sz w:val="16"/>
                <w:szCs w:val="16"/>
              </w:rPr>
              <w:t>“Landing here highly dangerous.  A more favourable location for landing is in the direction indicated.”</w:t>
            </w:r>
          </w:p>
        </w:tc>
      </w:tr>
      <w:tr>
        <w:tc>
          <w:tcPr>
            <w:tcW w:w="3544" w:type="dxa"/>
          </w:tcPr>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szCs w:val="16"/>
              </w:rPr>
              <w:noBreakHyphen/>
              <w:t>signal vertically and a white star</w:t>
            </w:r>
            <w:r>
              <w:rPr>
                <w:spacing w:val="-2"/>
                <w:sz w:val="16"/>
                <w:szCs w:val="16"/>
              </w:rPr>
              <w:noBreakHyphen/>
              <w:t xml:space="preserve">signal in the direction towards the better landing </w:t>
            </w:r>
            <w:r>
              <w:rPr>
                <w:sz w:val="16"/>
                <w:szCs w:val="16"/>
              </w:rPr>
              <w:t>place</w:t>
            </w:r>
            <w:r>
              <w:rPr>
                <w:spacing w:val="-2"/>
                <w:sz w:val="16"/>
                <w:szCs w:val="16"/>
              </w:rPr>
              <w:t xml:space="preserve"> or signalling the code letter “S” (...) followed by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55829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55829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 xml:space="preserve">“Landing here highly </w:t>
            </w:r>
            <w:r>
              <w:rPr>
                <w:sz w:val="16"/>
                <w:szCs w:val="16"/>
              </w:rPr>
              <w:t>dangerous</w:t>
            </w:r>
            <w:r>
              <w:rPr>
                <w:spacing w:val="-2"/>
                <w:sz w:val="16"/>
                <w:szCs w:val="16"/>
              </w:rPr>
              <w:t>.  A more favourable location for landing is in the direction indicated.”</w:t>
            </w:r>
          </w:p>
        </w:tc>
      </w:tr>
    </w:tbl>
    <w:p>
      <w:pPr>
        <w:pStyle w:val="yIndenta"/>
        <w:tabs>
          <w:tab w:val="clear" w:pos="1332"/>
          <w:tab w:val="clear" w:pos="1616"/>
          <w:tab w:val="right" w:pos="1026"/>
        </w:tabs>
        <w:spacing w:before="60"/>
        <w:ind w:left="1310" w:hanging="131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spacing w:before="0"/>
              <w:jc w:val="center"/>
              <w:rPr>
                <w:i/>
                <w:spacing w:val="-2"/>
                <w:sz w:val="16"/>
                <w:szCs w:val="16"/>
              </w:rPr>
            </w:pPr>
            <w:r>
              <w:rPr>
                <w:i/>
                <w:spacing w:val="-2"/>
                <w:sz w:val="16"/>
                <w:szCs w:val="16"/>
              </w:rPr>
              <w:t>Signal</w:t>
            </w:r>
          </w:p>
        </w:tc>
        <w:tc>
          <w:tcPr>
            <w:tcW w:w="425" w:type="dxa"/>
          </w:tcPr>
          <w:p>
            <w:pPr>
              <w:pStyle w:val="yTableNAm"/>
              <w:spacing w:before="0"/>
              <w:jc w:val="center"/>
              <w:rPr>
                <w:i/>
                <w:spacing w:val="-2"/>
                <w:sz w:val="16"/>
                <w:szCs w:val="16"/>
              </w:rPr>
            </w:pPr>
          </w:p>
        </w:tc>
        <w:tc>
          <w:tcPr>
            <w:tcW w:w="1985" w:type="dxa"/>
          </w:tcPr>
          <w:p>
            <w:pPr>
              <w:pStyle w:val="yTableNAm"/>
              <w:spacing w:before="0"/>
              <w:jc w:val="center"/>
              <w:rPr>
                <w:i/>
                <w:spacing w:val="-2"/>
                <w:sz w:val="16"/>
                <w:szCs w:val="16"/>
              </w:rPr>
            </w:pPr>
            <w:r>
              <w:rPr>
                <w:i/>
                <w:spacing w:val="-2"/>
                <w:sz w:val="16"/>
                <w:szCs w:val="16"/>
              </w:rPr>
              <w:t>Signification</w:t>
            </w:r>
          </w:p>
        </w:tc>
      </w:tr>
      <w:tr>
        <w:tc>
          <w:tcPr>
            <w:tcW w:w="3544" w:type="dxa"/>
          </w:tcPr>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or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horizontally or firing of a red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t>signal.</w:t>
            </w:r>
          </w:p>
        </w:tc>
        <w:tc>
          <w:tcPr>
            <w:tcW w:w="425" w:type="dxa"/>
          </w:tcPr>
          <w:p>
            <w:pPr>
              <w:pStyle w:val="yTableNAm"/>
              <w:spacing w:before="0"/>
              <w:rPr>
                <w:spacing w:val="-2"/>
                <w:sz w:val="16"/>
                <w:szCs w:val="16"/>
              </w:rPr>
            </w:pPr>
            <w:r>
              <w:rPr>
                <w:noProof/>
                <w:spacing w:val="-2"/>
                <w:sz w:val="16"/>
                <w:szCs w:val="16"/>
              </w:rPr>
              <w:drawing>
                <wp:inline distT="0" distB="0" distL="0" distR="0">
                  <wp:extent cx="127000" cy="9544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954405"/>
                          </a:xfrm>
                          <a:prstGeom prst="rect">
                            <a:avLst/>
                          </a:prstGeom>
                          <a:noFill/>
                          <a:ln>
                            <a:noFill/>
                          </a:ln>
                        </pic:spPr>
                      </pic:pic>
                    </a:graphicData>
                  </a:graphic>
                </wp:inline>
              </w:drawing>
            </w:r>
          </w:p>
          <w:p>
            <w:pPr>
              <w:pStyle w:val="yTableNAm"/>
              <w:spacing w:before="0"/>
              <w:rPr>
                <w:spacing w:val="-2"/>
                <w:sz w:val="16"/>
                <w:szCs w:val="16"/>
              </w:rPr>
            </w:pPr>
          </w:p>
          <w:p>
            <w:pPr>
              <w:pStyle w:val="yTableNAm"/>
              <w:spacing w:before="0"/>
              <w:rPr>
                <w:spacing w:val="-2"/>
                <w:sz w:val="16"/>
                <w:szCs w:val="16"/>
              </w:rPr>
            </w:pPr>
            <w:r>
              <w:rPr>
                <w:noProof/>
                <w:spacing w:val="-2"/>
                <w:sz w:val="16"/>
                <w:szCs w:val="16"/>
              </w:rPr>
              <w:drawing>
                <wp:inline distT="0" distB="0" distL="0" distR="0">
                  <wp:extent cx="127000" cy="5403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540385"/>
                          </a:xfrm>
                          <a:prstGeom prst="rect">
                            <a:avLst/>
                          </a:prstGeom>
                          <a:noFill/>
                          <a:ln>
                            <a:noFill/>
                          </a:ln>
                        </pic:spPr>
                      </pic:pic>
                    </a:graphicData>
                  </a:graphic>
                </wp:inline>
              </w:drawing>
            </w:r>
          </w:p>
        </w:tc>
        <w:tc>
          <w:tcPr>
            <w:tcW w:w="1985" w:type="dxa"/>
          </w:tcPr>
          <w:p>
            <w:pPr>
              <w:pStyle w:val="yTableNAm"/>
              <w:spacing w:before="0"/>
              <w:rPr>
                <w:spacing w:val="-2"/>
                <w:sz w:val="16"/>
                <w:szCs w:val="16"/>
              </w:rPr>
            </w:pPr>
            <w:r>
              <w:rPr>
                <w:spacing w:val="-2"/>
                <w:sz w:val="16"/>
                <w:szCs w:val="16"/>
              </w:rPr>
              <w:t xml:space="preserve">In general </w:t>
            </w:r>
            <w:r>
              <w:rPr>
                <w:spacing w:val="-2"/>
                <w:sz w:val="16"/>
                <w:szCs w:val="16"/>
              </w:rPr>
              <w:noBreakHyphen/>
              <w:t xml:space="preserve"> “Affirmative.”</w:t>
            </w:r>
          </w:p>
          <w:p>
            <w:pPr>
              <w:pStyle w:val="yTableNAm"/>
              <w:spacing w:before="0"/>
              <w:rPr>
                <w:spacing w:val="-2"/>
                <w:sz w:val="16"/>
                <w:szCs w:val="16"/>
              </w:rPr>
            </w:pPr>
            <w:r>
              <w:rPr>
                <w:spacing w:val="-2"/>
                <w:sz w:val="16"/>
                <w:szCs w:val="16"/>
              </w:rPr>
              <w:t>Specifically:</w:t>
            </w:r>
          </w:p>
          <w:p>
            <w:pPr>
              <w:pStyle w:val="yTableNAm"/>
              <w:spacing w:before="0"/>
              <w:rPr>
                <w:spacing w:val="-2"/>
                <w:sz w:val="16"/>
                <w:szCs w:val="16"/>
              </w:rPr>
            </w:pPr>
            <w:r>
              <w:rPr>
                <w:spacing w:val="-2"/>
                <w:sz w:val="16"/>
                <w:szCs w:val="16"/>
              </w:rPr>
              <w:t>“Rocket line is held.”</w:t>
            </w:r>
          </w:p>
          <w:p>
            <w:pPr>
              <w:pStyle w:val="yTableNAm"/>
              <w:spacing w:before="0"/>
              <w:rPr>
                <w:spacing w:val="-2"/>
                <w:sz w:val="16"/>
                <w:szCs w:val="16"/>
              </w:rPr>
            </w:pPr>
            <w:r>
              <w:rPr>
                <w:spacing w:val="-2"/>
                <w:sz w:val="16"/>
                <w:szCs w:val="16"/>
              </w:rPr>
              <w:t>“Tail block is made fast.”</w:t>
            </w:r>
          </w:p>
          <w:p>
            <w:pPr>
              <w:pStyle w:val="yTableNAm"/>
              <w:spacing w:before="0"/>
              <w:rPr>
                <w:spacing w:val="-2"/>
                <w:sz w:val="16"/>
                <w:szCs w:val="16"/>
              </w:rPr>
            </w:pPr>
            <w:r>
              <w:rPr>
                <w:spacing w:val="-2"/>
                <w:sz w:val="16"/>
                <w:szCs w:val="16"/>
              </w:rPr>
              <w:t>“Hawser is made fast.”</w:t>
            </w:r>
          </w:p>
          <w:p>
            <w:pPr>
              <w:pStyle w:val="yTableNAm"/>
              <w:spacing w:before="0"/>
              <w:rPr>
                <w:spacing w:val="-2"/>
                <w:sz w:val="16"/>
                <w:szCs w:val="16"/>
              </w:rPr>
            </w:pPr>
            <w:r>
              <w:rPr>
                <w:spacing w:val="-2"/>
                <w:sz w:val="16"/>
                <w:szCs w:val="16"/>
              </w:rPr>
              <w:t>“Man is in the breeches buoy.”</w:t>
            </w:r>
          </w:p>
          <w:p>
            <w:pPr>
              <w:pStyle w:val="yTableNAm"/>
              <w:spacing w:before="0"/>
              <w:rPr>
                <w:spacing w:val="-2"/>
                <w:sz w:val="16"/>
                <w:szCs w:val="16"/>
              </w:rPr>
            </w:pPr>
            <w:r>
              <w:rPr>
                <w:spacing w:val="-2"/>
                <w:sz w:val="16"/>
                <w:szCs w:val="16"/>
              </w:rPr>
              <w:t>“Haul away.”</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spacing w:val="-2"/>
                <w:sz w:val="16"/>
                <w:szCs w:val="16"/>
              </w:rPr>
              <w:t xml:space="preserve">In general </w:t>
            </w:r>
            <w:r>
              <w:rPr>
                <w:spacing w:val="-2"/>
                <w:sz w:val="16"/>
                <w:szCs w:val="16"/>
              </w:rPr>
              <w:noBreakHyphen/>
              <w:t xml:space="preserve"> “Negative.”</w:t>
            </w:r>
          </w:p>
          <w:p>
            <w:pPr>
              <w:pStyle w:val="yTableNAm"/>
              <w:spacing w:before="0"/>
              <w:rPr>
                <w:spacing w:val="-2"/>
                <w:sz w:val="16"/>
                <w:szCs w:val="16"/>
              </w:rPr>
            </w:pPr>
            <w:r>
              <w:rPr>
                <w:spacing w:val="-2"/>
                <w:sz w:val="16"/>
                <w:szCs w:val="16"/>
              </w:rPr>
              <w:t>Specifically: “Slack away.”</w:t>
            </w:r>
          </w:p>
          <w:p>
            <w:pPr>
              <w:pStyle w:val="yTableNAm"/>
              <w:spacing w:before="0"/>
              <w:rPr>
                <w:spacing w:val="-2"/>
                <w:sz w:val="16"/>
                <w:szCs w:val="16"/>
              </w:rPr>
            </w:pPr>
            <w:r>
              <w:rPr>
                <w:spacing w:val="-2"/>
                <w:sz w:val="16"/>
                <w:szCs w:val="16"/>
              </w:rPr>
              <w:t>“Avast hauling.”</w:t>
            </w:r>
          </w:p>
        </w:tc>
      </w:tr>
    </w:tbl>
    <w:p>
      <w:pPr>
        <w:pStyle w:val="yIndenta"/>
        <w:tabs>
          <w:tab w:val="clear" w:pos="1332"/>
          <w:tab w:val="clear" w:pos="1616"/>
          <w:tab w:val="right" w:pos="1026"/>
        </w:tabs>
        <w:spacing w:before="60"/>
        <w:ind w:left="1310" w:hanging="1310"/>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tabs>
          <w:tab w:val="clear" w:pos="2041"/>
          <w:tab w:val="clear" w:pos="2325"/>
          <w:tab w:val="right" w:pos="1710"/>
        </w:tabs>
        <w:spacing w:before="60"/>
        <w:ind w:left="1995" w:hanging="1995"/>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0"/>
        <w:tabs>
          <w:tab w:val="clear" w:pos="2041"/>
          <w:tab w:val="clear" w:pos="2325"/>
          <w:tab w:val="right" w:pos="2508"/>
        </w:tabs>
        <w:spacing w:before="60"/>
        <w:ind w:left="2793" w:hanging="2793"/>
        <w:rPr>
          <w:snapToGrid w:val="0"/>
        </w:rPr>
      </w:pPr>
      <w:r>
        <w:rPr>
          <w:snapToGrid w:val="0"/>
        </w:rPr>
        <w:tab/>
        <w:t>(1)</w:t>
      </w:r>
      <w:r>
        <w:rPr>
          <w:snapToGrid w:val="0"/>
        </w:rPr>
        <w:tab/>
        <w:t>circling the surface craft at least once;</w:t>
      </w:r>
    </w:p>
    <w:p>
      <w:pPr>
        <w:pStyle w:val="yIndenti0"/>
        <w:tabs>
          <w:tab w:val="clear" w:pos="2041"/>
          <w:tab w:val="clear" w:pos="2325"/>
          <w:tab w:val="right" w:pos="2508"/>
        </w:tabs>
        <w:ind w:left="2793" w:hanging="2793"/>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0"/>
        <w:tabs>
          <w:tab w:val="clear" w:pos="2041"/>
          <w:tab w:val="clear" w:pos="2325"/>
          <w:tab w:val="right" w:pos="2508"/>
        </w:tabs>
        <w:ind w:left="2793" w:hanging="2793"/>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rPr>
          <w:b/>
          <w:snapToGrid w:val="0"/>
        </w:rPr>
      </w:pPr>
      <w:r>
        <w:rPr>
          <w:b/>
          <w:bCs/>
        </w:rPr>
        <w:t>Regulation</w:t>
      </w:r>
      <w:r>
        <w:rPr>
          <w:b/>
          <w:snapToGrid w:val="0"/>
        </w:rPr>
        <w:t>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Pilot Ladders</w:t>
      </w:r>
    </w:p>
    <w:p>
      <w:pPr>
        <w:pStyle w:val="yIndenti0"/>
        <w:tabs>
          <w:tab w:val="clear" w:pos="2041"/>
          <w:tab w:val="clear" w:pos="2325"/>
          <w:tab w:val="right" w:pos="1710"/>
        </w:tabs>
        <w:ind w:left="1995" w:hanging="1995"/>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tabs>
          <w:tab w:val="clear" w:pos="2041"/>
          <w:tab w:val="clear" w:pos="2325"/>
          <w:tab w:val="right" w:pos="1710"/>
        </w:tabs>
        <w:ind w:left="1995" w:hanging="1995"/>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tabs>
          <w:tab w:val="clear" w:pos="2041"/>
          <w:tab w:val="clear" w:pos="2325"/>
          <w:tab w:val="right" w:pos="1710"/>
        </w:tabs>
        <w:ind w:left="1995" w:hanging="1995"/>
        <w:rPr>
          <w:snapToGrid w:val="0"/>
        </w:rPr>
      </w:pPr>
      <w:r>
        <w:rPr>
          <w:snapToGrid w:val="0"/>
        </w:rPr>
        <w:tab/>
        <w:t>(iii)</w:t>
      </w:r>
      <w:r>
        <w:rPr>
          <w:snapToGrid w:val="0"/>
        </w:rPr>
        <w:tab/>
        <w:t>The steps of the pilot ladder shall be:</w:t>
      </w:r>
    </w:p>
    <w:p>
      <w:pPr>
        <w:pStyle w:val="yIndenti0"/>
        <w:tabs>
          <w:tab w:val="clear" w:pos="2041"/>
          <w:tab w:val="clear" w:pos="2325"/>
          <w:tab w:val="right" w:pos="2508"/>
        </w:tabs>
        <w:ind w:left="2793" w:hanging="2793"/>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0"/>
        <w:tabs>
          <w:tab w:val="clear" w:pos="2041"/>
          <w:tab w:val="clear" w:pos="2325"/>
          <w:tab w:val="right" w:pos="2508"/>
        </w:tabs>
        <w:ind w:left="2793" w:hanging="2793"/>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0"/>
        <w:tabs>
          <w:tab w:val="clear" w:pos="2041"/>
          <w:tab w:val="clear" w:pos="2325"/>
          <w:tab w:val="right" w:pos="2508"/>
        </w:tabs>
        <w:ind w:left="2793" w:hanging="2793"/>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tabs>
          <w:tab w:val="clear" w:pos="2041"/>
          <w:tab w:val="clear" w:pos="2325"/>
          <w:tab w:val="right" w:pos="1710"/>
        </w:tabs>
        <w:ind w:left="1995" w:hanging="1995"/>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tabs>
          <w:tab w:val="clear" w:pos="2041"/>
          <w:tab w:val="clear" w:pos="2325"/>
          <w:tab w:val="right" w:pos="1710"/>
        </w:tabs>
        <w:ind w:left="1995" w:hanging="1995"/>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tabs>
          <w:tab w:val="clear" w:pos="2041"/>
          <w:tab w:val="clear" w:pos="2325"/>
          <w:tab w:val="right" w:pos="1710"/>
        </w:tabs>
        <w:ind w:left="1995" w:hanging="1995"/>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tabs>
          <w:tab w:val="clear" w:pos="2041"/>
          <w:tab w:val="clear" w:pos="2325"/>
          <w:tab w:val="right" w:pos="1710"/>
        </w:tabs>
        <w:ind w:left="1995" w:hanging="1995"/>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tabs>
          <w:tab w:val="clear" w:pos="2041"/>
          <w:tab w:val="clear" w:pos="2325"/>
          <w:tab w:val="right" w:pos="1710"/>
        </w:tabs>
        <w:ind w:left="1995" w:hanging="1995"/>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tabs>
          <w:tab w:val="clear" w:pos="2041"/>
          <w:tab w:val="clear" w:pos="2325"/>
          <w:tab w:val="right" w:pos="1710"/>
        </w:tabs>
        <w:ind w:left="1995" w:hanging="1995"/>
        <w:rPr>
          <w:snapToGrid w:val="0"/>
        </w:rPr>
      </w:pPr>
      <w:r>
        <w:rPr>
          <w:snapToGrid w:val="0"/>
        </w:rPr>
        <w:tab/>
        <w:t>(ix)</w:t>
      </w:r>
      <w:r>
        <w:rPr>
          <w:snapToGrid w:val="0"/>
        </w:rPr>
        <w:tab/>
        <w:t>Means shall be provided to enable the pilot ladder to be used on either side of the ship.</w:t>
      </w:r>
    </w:p>
    <w:p>
      <w:pPr>
        <w:pStyle w:val="yIndenti0"/>
        <w:tabs>
          <w:tab w:val="clear" w:pos="2041"/>
          <w:tab w:val="clear" w:pos="2325"/>
          <w:tab w:val="right" w:pos="1710"/>
        </w:tabs>
        <w:ind w:left="1995" w:hanging="1995"/>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tabs>
          <w:tab w:val="clear" w:pos="2041"/>
          <w:tab w:val="clear" w:pos="2325"/>
          <w:tab w:val="right" w:pos="1710"/>
        </w:tabs>
        <w:ind w:left="1995" w:hanging="1995"/>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keepNext/>
        <w:tabs>
          <w:tab w:val="clear" w:pos="1332"/>
          <w:tab w:val="clear" w:pos="1616"/>
          <w:tab w:val="right" w:pos="1026"/>
        </w:tabs>
        <w:ind w:left="1311" w:hanging="1311"/>
        <w:rPr>
          <w:snapToGrid w:val="0"/>
        </w:rPr>
      </w:pPr>
      <w:r>
        <w:rPr>
          <w:snapToGrid w:val="0"/>
        </w:rPr>
        <w:tab/>
        <w:t>(b)</w:t>
      </w:r>
      <w:r>
        <w:rPr>
          <w:snapToGrid w:val="0"/>
        </w:rPr>
        <w:tab/>
      </w:r>
      <w:r>
        <w:rPr>
          <w:i/>
          <w:snapToGrid w:val="0"/>
        </w:rPr>
        <w:t>Mechanical Pilot Hoists</w:t>
      </w:r>
    </w:p>
    <w:p>
      <w:pPr>
        <w:pStyle w:val="yIndenti0"/>
        <w:tabs>
          <w:tab w:val="clear" w:pos="2041"/>
          <w:tab w:val="clear" w:pos="2325"/>
          <w:tab w:val="right" w:pos="1710"/>
        </w:tabs>
        <w:ind w:left="1995" w:hanging="1995"/>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tabs>
          <w:tab w:val="clear" w:pos="2041"/>
          <w:tab w:val="clear" w:pos="2325"/>
          <w:tab w:val="right" w:pos="1710"/>
        </w:tabs>
        <w:ind w:left="1995" w:hanging="1995"/>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rPr>
          <w:b/>
          <w:snapToGrid w:val="0"/>
        </w:rPr>
      </w:pPr>
      <w:r>
        <w:rPr>
          <w:b/>
          <w:bCs/>
        </w:rPr>
        <w:t>Regulation</w:t>
      </w:r>
      <w:r>
        <w:rPr>
          <w:b/>
          <w:snapToGrid w:val="0"/>
        </w:rPr>
        <w:t>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rPr>
          <w:b/>
          <w:snapToGrid w:val="0"/>
        </w:rPr>
      </w:pPr>
      <w:r>
        <w:rPr>
          <w:b/>
          <w:bCs/>
        </w:rPr>
        <w:t>Regulation</w:t>
      </w:r>
      <w:r>
        <w:rPr>
          <w:b/>
          <w:snapToGrid w:val="0"/>
        </w:rPr>
        <w:t> 19</w:t>
      </w:r>
    </w:p>
    <w:p>
      <w:pPr>
        <w:pStyle w:val="yMiscellaneousHeading"/>
        <w:rPr>
          <w:i/>
          <w:snapToGrid w:val="0"/>
        </w:rPr>
      </w:pPr>
      <w:r>
        <w:rPr>
          <w:i/>
          <w:snapToGrid w:val="0"/>
        </w:rPr>
        <w:t>Use of the Automatic Pilot</w:t>
      </w:r>
    </w:p>
    <w:p>
      <w:pPr>
        <w:pStyle w:val="yMiscellaneousBody"/>
        <w:ind w:left="570" w:hanging="570"/>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ind w:left="570" w:hanging="570"/>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ind w:left="570" w:hanging="570"/>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rPr>
          <w:b/>
          <w:snapToGrid w:val="0"/>
        </w:rPr>
      </w:pPr>
      <w:r>
        <w:rPr>
          <w:b/>
          <w:bCs/>
        </w:rPr>
        <w:t>Regulation</w:t>
      </w:r>
      <w:r>
        <w:rPr>
          <w:b/>
          <w:snapToGrid w:val="0"/>
        </w:rPr>
        <w:t>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rPr>
          <w:snapToGrid w:val="0"/>
        </w:rPr>
      </w:pPr>
      <w:r>
        <w:rPr>
          <w:b/>
          <w:bCs/>
        </w:rPr>
        <w:t>Regulation</w:t>
      </w:r>
      <w:r>
        <w:rPr>
          <w:b/>
          <w:snapToGrid w:val="0"/>
        </w:rPr>
        <w:t>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pPr>
      <w:bookmarkStart w:id="356" w:name="_Toc155177740"/>
      <w:bookmarkStart w:id="357" w:name="_Toc132296421"/>
      <w:r>
        <w:rPr>
          <w:rStyle w:val="CharSchNo"/>
        </w:rPr>
        <w:t>Schedule 5</w:t>
      </w:r>
      <w:r>
        <w:t> — </w:t>
      </w:r>
      <w:r>
        <w:rPr>
          <w:rStyle w:val="CharSchText"/>
        </w:rPr>
        <w:t>1978 Protocol relating to Safety Convention</w:t>
      </w:r>
      <w:bookmarkEnd w:id="356"/>
      <w:bookmarkEnd w:id="357"/>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rPr>
          <w:snapToGrid w:val="0"/>
        </w:rPr>
      </w:pPr>
      <w:r>
        <w:rPr>
          <w:snapToGrid w:val="0"/>
        </w:rPr>
        <w:t>ARTICLE 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ind w:left="570" w:hanging="570"/>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ind w:left="570" w:hanging="570"/>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rPr>
          <w:snapToGrid w:val="0"/>
        </w:rPr>
      </w:pPr>
      <w:r>
        <w:rPr>
          <w:snapToGrid w:val="0"/>
        </w:rPr>
        <w:t>ARTICLE V</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ind w:left="570" w:hanging="570"/>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ind w:left="570" w:hanging="570"/>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rPr>
          <w:snapToGrid w:val="0"/>
        </w:rPr>
      </w:pPr>
      <w:r>
        <w:rPr>
          <w:snapToGrid w:val="0"/>
        </w:rPr>
        <w:t>ARTICLE VI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ind w:left="570" w:hanging="570"/>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ind w:left="570" w:hanging="570"/>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rPr>
          <w:snapToGrid w:val="0"/>
        </w:rPr>
      </w:pPr>
      <w:r>
        <w:rPr>
          <w:snapToGrid w:val="0"/>
        </w:rPr>
        <w:t>ARTICLE VII</w:t>
      </w:r>
    </w:p>
    <w:p>
      <w:pPr>
        <w:pStyle w:val="yMiscellaneousHeading"/>
        <w:rPr>
          <w:i/>
          <w:snapToGrid w:val="0"/>
        </w:rPr>
      </w:pPr>
      <w:r>
        <w:rPr>
          <w:i/>
          <w:snapToGrid w:val="0"/>
        </w:rPr>
        <w:t>Depositary</w:t>
      </w:r>
    </w:p>
    <w:p>
      <w:pPr>
        <w:pStyle w:val="yMiscellaneousBody"/>
        <w:ind w:left="570" w:hanging="570"/>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ind w:left="570" w:hanging="570"/>
        <w:rPr>
          <w:snapToGrid w:val="0"/>
        </w:rPr>
      </w:pPr>
      <w:r>
        <w:rPr>
          <w:snapToGrid w:val="0"/>
        </w:rPr>
        <w:t>2.</w:t>
      </w:r>
      <w:r>
        <w:rPr>
          <w:snapToGrid w:val="0"/>
        </w:rPr>
        <w:tab/>
        <w:t>The Depositary shall:</w:t>
      </w:r>
    </w:p>
    <w:p>
      <w:pPr>
        <w:pStyle w:val="yIndenta"/>
        <w:tabs>
          <w:tab w:val="clear" w:pos="1332"/>
          <w:tab w:val="clear" w:pos="1616"/>
          <w:tab w:val="right" w:pos="1026"/>
        </w:tabs>
        <w:ind w:left="1311" w:hanging="1311"/>
        <w:rPr>
          <w:snapToGrid w:val="0"/>
        </w:rPr>
      </w:pPr>
      <w:r>
        <w:rPr>
          <w:snapToGrid w:val="0"/>
        </w:rPr>
        <w:tab/>
        <w:t>(a)</w:t>
      </w:r>
      <w:r>
        <w:rPr>
          <w:snapToGrid w:val="0"/>
        </w:rPr>
        <w:tab/>
        <w:t>Inform all States which have signed the present Protocol or acceded thereto of:</w:t>
      </w:r>
    </w:p>
    <w:p>
      <w:pPr>
        <w:pStyle w:val="yIndenti0"/>
        <w:tabs>
          <w:tab w:val="clear" w:pos="2041"/>
          <w:tab w:val="clear" w:pos="2325"/>
          <w:tab w:val="right" w:pos="1710"/>
        </w:tabs>
        <w:ind w:left="1995" w:hanging="1995"/>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tabs>
          <w:tab w:val="clear" w:pos="2041"/>
          <w:tab w:val="clear" w:pos="2325"/>
          <w:tab w:val="right" w:pos="1710"/>
        </w:tabs>
        <w:ind w:left="1995" w:hanging="1995"/>
        <w:rPr>
          <w:snapToGrid w:val="0"/>
        </w:rPr>
      </w:pPr>
      <w:r>
        <w:rPr>
          <w:snapToGrid w:val="0"/>
        </w:rPr>
        <w:tab/>
        <w:t>(ii)</w:t>
      </w:r>
      <w:r>
        <w:rPr>
          <w:snapToGrid w:val="0"/>
        </w:rPr>
        <w:tab/>
        <w:t>the date of entry into force of the present Protocol;</w:t>
      </w:r>
    </w:p>
    <w:p>
      <w:pPr>
        <w:pStyle w:val="yIndenti0"/>
        <w:tabs>
          <w:tab w:val="clear" w:pos="2041"/>
          <w:tab w:val="clear" w:pos="2325"/>
          <w:tab w:val="right" w:pos="1710"/>
        </w:tabs>
        <w:ind w:left="1995" w:hanging="1995"/>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tabs>
          <w:tab w:val="clear" w:pos="1332"/>
          <w:tab w:val="clear" w:pos="1616"/>
          <w:tab w:val="right" w:pos="1026"/>
        </w:tabs>
        <w:ind w:left="1311" w:hanging="1311"/>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ind w:left="570" w:hanging="570"/>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rPr>
          <w:b/>
          <w:snapToGrid w:val="0"/>
        </w:rPr>
      </w:pPr>
      <w:r>
        <w:rPr>
          <w:b/>
          <w:snapToGrid w:val="0"/>
        </w:rPr>
        <w:t>CHAPTER V</w:t>
      </w:r>
    </w:p>
    <w:p>
      <w:pPr>
        <w:pStyle w:val="yMiscellaneousHeading"/>
        <w:spacing w:before="140"/>
        <w:rPr>
          <w:snapToGrid w:val="0"/>
        </w:rPr>
      </w:pPr>
      <w:r>
        <w:rPr>
          <w:snapToGrid w:val="0"/>
        </w:rPr>
        <w:t>SAFETY OF NAVIGATION</w:t>
      </w:r>
    </w:p>
    <w:p>
      <w:pPr>
        <w:pStyle w:val="yMiscellaneousHeading"/>
        <w:spacing w:before="140"/>
        <w:rPr>
          <w:b/>
          <w:snapToGrid w:val="0"/>
        </w:rPr>
      </w:pPr>
      <w:r>
        <w:rPr>
          <w:b/>
          <w:snapToGrid w:val="0"/>
        </w:rPr>
        <w:t>Regulation 12</w:t>
      </w:r>
    </w:p>
    <w:p>
      <w:pPr>
        <w:pStyle w:val="yMiscellaneousHeading"/>
        <w:spacing w:before="140"/>
        <w:rPr>
          <w:i/>
          <w:snapToGrid w:val="0"/>
        </w:rPr>
      </w:pPr>
      <w:r>
        <w:rPr>
          <w:i/>
          <w:snapToGrid w:val="0"/>
        </w:rPr>
        <w:t>Shipborne Navigational Equipment</w:t>
      </w:r>
    </w:p>
    <w:p>
      <w:pPr>
        <w:pStyle w:val="yMiscellaneousBody"/>
        <w:spacing w:before="140"/>
        <w:rPr>
          <w:i/>
          <w:snapToGrid w:val="0"/>
        </w:rPr>
      </w:pPr>
      <w:r>
        <w:rPr>
          <w:i/>
          <w:snapToGrid w:val="0"/>
        </w:rPr>
        <w:t>The existing text of paragraph (</w:t>
      </w:r>
      <w:r>
        <w:rPr>
          <w:snapToGrid w:val="0"/>
        </w:rPr>
        <w:t>a)</w:t>
      </w:r>
      <w:r>
        <w:rPr>
          <w:i/>
          <w:snapToGrid w:val="0"/>
        </w:rPr>
        <w:t xml:space="preserve"> is replaced by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rPr>
          <w:b/>
          <w:bCs/>
        </w:rPr>
      </w:pPr>
      <w:r>
        <w:rPr>
          <w:b/>
          <w:bCs/>
        </w:rPr>
        <w:t>Regulation 19</w:t>
      </w:r>
    </w:p>
    <w:p>
      <w:pPr>
        <w:pStyle w:val="yMiscellaneousHeading"/>
        <w:spacing w:before="140"/>
        <w:rPr>
          <w:i/>
          <w:snapToGrid w:val="0"/>
        </w:rPr>
      </w:pPr>
      <w:r>
        <w:rPr>
          <w:i/>
          <w:snapToGrid w:val="0"/>
        </w:rPr>
        <w:t>Use of the Automatic Pilot</w:t>
      </w:r>
    </w:p>
    <w:p>
      <w:pPr>
        <w:pStyle w:val="yMiscellaneousBody"/>
        <w:spacing w:before="140"/>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rPr>
          <w:snapToGrid w:val="0"/>
        </w:rPr>
      </w:pPr>
      <w:r>
        <w:rPr>
          <w:b/>
          <w:bCs/>
        </w:rPr>
        <w:t>Regulation</w:t>
      </w:r>
      <w:r>
        <w:rPr>
          <w:b/>
          <w:snapToGrid w:val="0"/>
        </w:rPr>
        <w:t> 19</w:t>
      </w:r>
      <w:r>
        <w:rPr>
          <w:b/>
          <w:snapToGrid w:val="0"/>
        </w:rPr>
        <w:noBreakHyphen/>
        <w:t>1</w:t>
      </w:r>
    </w:p>
    <w:p>
      <w:pPr>
        <w:pStyle w:val="yMiscellaneousHeading"/>
        <w:spacing w:before="140"/>
        <w:rPr>
          <w:i/>
          <w:snapToGrid w:val="0"/>
        </w:rPr>
      </w:pPr>
      <w:r>
        <w:rPr>
          <w:i/>
          <w:snapToGrid w:val="0"/>
        </w:rPr>
        <w:t>Operation of Steering Gear</w:t>
      </w:r>
    </w:p>
    <w:p>
      <w:pPr>
        <w:pStyle w:val="yMiscellaneousBody"/>
        <w:spacing w:before="140"/>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rPr>
          <w:b/>
          <w:snapToGrid w:val="0"/>
        </w:rPr>
      </w:pPr>
      <w:r>
        <w:rPr>
          <w:b/>
          <w:bCs/>
        </w:rPr>
        <w:t>Regulations</w:t>
      </w:r>
      <w:r>
        <w:rPr>
          <w:b/>
          <w:snapToGrid w:val="0"/>
        </w:rPr>
        <w:t> 19</w:t>
      </w:r>
      <w:r>
        <w:rPr>
          <w:b/>
          <w:snapToGrid w:val="0"/>
        </w:rPr>
        <w:noBreakHyphen/>
        <w:t>2</w:t>
      </w:r>
    </w:p>
    <w:p>
      <w:pPr>
        <w:pStyle w:val="yMiscellaneousHeading"/>
        <w:spacing w:before="140"/>
        <w:rPr>
          <w:i/>
          <w:snapToGrid w:val="0"/>
        </w:rPr>
      </w:pPr>
      <w:r>
        <w:rPr>
          <w:i/>
          <w:snapToGrid w:val="0"/>
        </w:rPr>
        <w:t>Steering Gear — Testing and Drills</w:t>
      </w:r>
    </w:p>
    <w:p>
      <w:pPr>
        <w:pStyle w:val="yMiscellaneousBody"/>
        <w:spacing w:before="140"/>
        <w:ind w:left="570" w:hanging="570"/>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main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the auxiliary steering gear;</w:t>
      </w:r>
    </w:p>
    <w:p>
      <w:pPr>
        <w:pStyle w:val="yIndenta"/>
        <w:tabs>
          <w:tab w:val="clear" w:pos="1332"/>
          <w:tab w:val="clear" w:pos="1616"/>
          <w:tab w:val="right" w:pos="1026"/>
        </w:tabs>
        <w:ind w:left="1311" w:hanging="1311"/>
        <w:rPr>
          <w:snapToGrid w:val="0"/>
        </w:rPr>
      </w:pPr>
      <w:r>
        <w:rPr>
          <w:snapToGrid w:val="0"/>
        </w:rPr>
        <w:tab/>
        <w:t>(iii)</w:t>
      </w:r>
      <w:r>
        <w:rPr>
          <w:snapToGrid w:val="0"/>
        </w:rPr>
        <w:tab/>
        <w:t>the remote steering gear control systems;</w:t>
      </w:r>
    </w:p>
    <w:p>
      <w:pPr>
        <w:pStyle w:val="yIndenta"/>
        <w:tabs>
          <w:tab w:val="clear" w:pos="1332"/>
          <w:tab w:val="clear" w:pos="1616"/>
          <w:tab w:val="right" w:pos="1026"/>
        </w:tabs>
        <w:ind w:left="1311" w:hanging="1311"/>
        <w:rPr>
          <w:snapToGrid w:val="0"/>
        </w:rPr>
      </w:pPr>
      <w:r>
        <w:rPr>
          <w:snapToGrid w:val="0"/>
        </w:rPr>
        <w:tab/>
        <w:t>(iv)</w:t>
      </w:r>
      <w:r>
        <w:rPr>
          <w:snapToGrid w:val="0"/>
        </w:rPr>
        <w:tab/>
        <w:t>he steering positions located on the navigating bridge;</w:t>
      </w:r>
    </w:p>
    <w:p>
      <w:pPr>
        <w:pStyle w:val="yIndenta"/>
        <w:tabs>
          <w:tab w:val="clear" w:pos="1332"/>
          <w:tab w:val="clear" w:pos="1616"/>
          <w:tab w:val="right" w:pos="1026"/>
        </w:tabs>
        <w:ind w:left="1311" w:hanging="1311"/>
        <w:rPr>
          <w:snapToGrid w:val="0"/>
        </w:rPr>
      </w:pPr>
      <w:r>
        <w:rPr>
          <w:snapToGrid w:val="0"/>
        </w:rPr>
        <w:tab/>
        <w:t>(v)</w:t>
      </w:r>
      <w:r>
        <w:rPr>
          <w:snapToGrid w:val="0"/>
        </w:rPr>
        <w:tab/>
        <w:t>the emergency power supply;</w:t>
      </w:r>
    </w:p>
    <w:p>
      <w:pPr>
        <w:pStyle w:val="yIndenta"/>
        <w:tabs>
          <w:tab w:val="clear" w:pos="1332"/>
          <w:tab w:val="clear" w:pos="1616"/>
          <w:tab w:val="right" w:pos="1026"/>
        </w:tabs>
        <w:ind w:left="1311" w:hanging="1311"/>
        <w:rPr>
          <w:snapToGrid w:val="0"/>
        </w:rPr>
      </w:pPr>
      <w:r>
        <w:rPr>
          <w:snapToGrid w:val="0"/>
        </w:rPr>
        <w:tab/>
        <w:t>(vi)</w:t>
      </w:r>
      <w:r>
        <w:rPr>
          <w:snapToGrid w:val="0"/>
        </w:rPr>
        <w:tab/>
        <w:t>the rudder angle indicators in relation to the actual position of the rudder;</w:t>
      </w:r>
    </w:p>
    <w:p>
      <w:pPr>
        <w:pStyle w:val="yIndenta"/>
        <w:tabs>
          <w:tab w:val="clear" w:pos="1332"/>
          <w:tab w:val="clear" w:pos="1616"/>
          <w:tab w:val="right" w:pos="1026"/>
        </w:tabs>
        <w:ind w:left="1311" w:hanging="1311"/>
        <w:rPr>
          <w:snapToGrid w:val="0"/>
        </w:rPr>
      </w:pPr>
      <w:r>
        <w:rPr>
          <w:snapToGrid w:val="0"/>
        </w:rPr>
        <w:tab/>
        <w:t>(vii)</w:t>
      </w:r>
      <w:r>
        <w:rPr>
          <w:snapToGrid w:val="0"/>
        </w:rPr>
        <w:tab/>
        <w:t>the remote steering gear control system power failure alarms; and</w:t>
      </w:r>
    </w:p>
    <w:p>
      <w:pPr>
        <w:pStyle w:val="yIndenta"/>
        <w:tabs>
          <w:tab w:val="clear" w:pos="1332"/>
          <w:tab w:val="clear" w:pos="1616"/>
          <w:tab w:val="right" w:pos="1026"/>
        </w:tabs>
        <w:ind w:left="1311" w:hanging="1311"/>
        <w:rPr>
          <w:snapToGrid w:val="0"/>
        </w:rPr>
      </w:pPr>
      <w:r>
        <w:rPr>
          <w:snapToGrid w:val="0"/>
        </w:rPr>
        <w:tab/>
        <w:t>(viii)</w:t>
      </w:r>
      <w:r>
        <w:rPr>
          <w:snapToGrid w:val="0"/>
        </w:rPr>
        <w:tab/>
        <w:t>the steering gear power unit failure alarms.</w:t>
      </w:r>
    </w:p>
    <w:p>
      <w:pPr>
        <w:pStyle w:val="yMiscellaneousBody"/>
        <w:ind w:left="570" w:hanging="570"/>
        <w:rPr>
          <w:snapToGrid w:val="0"/>
        </w:rPr>
      </w:pPr>
      <w:r>
        <w:rPr>
          <w:snapToGrid w:val="0"/>
        </w:rPr>
        <w:t>(b)</w:t>
      </w:r>
      <w:r>
        <w:rPr>
          <w:snapToGrid w:val="0"/>
        </w:rPr>
        <w:tab/>
        <w:t>The checks and tests shall include:</w:t>
      </w:r>
    </w:p>
    <w:p>
      <w:pPr>
        <w:pStyle w:val="yIndenta"/>
        <w:tabs>
          <w:tab w:val="clear" w:pos="1332"/>
          <w:tab w:val="clear" w:pos="1616"/>
          <w:tab w:val="right" w:pos="1026"/>
        </w:tabs>
        <w:ind w:left="1311" w:hanging="1311"/>
        <w:rPr>
          <w:snapToGrid w:val="0"/>
        </w:rPr>
      </w:pPr>
      <w:r>
        <w:rPr>
          <w:snapToGrid w:val="0"/>
        </w:rPr>
        <w:tab/>
        <w:t>(i)</w:t>
      </w:r>
      <w:r>
        <w:rPr>
          <w:snapToGrid w:val="0"/>
        </w:rPr>
        <w:tab/>
        <w:t>the full movement of the rudder according to the required capabilities of the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a visual inspection of the steering gear and its connecting linkage; and</w:t>
      </w:r>
    </w:p>
    <w:p>
      <w:pPr>
        <w:pStyle w:val="yIndenta"/>
        <w:tabs>
          <w:tab w:val="clear" w:pos="1332"/>
          <w:tab w:val="clear" w:pos="1616"/>
          <w:tab w:val="right" w:pos="1026"/>
        </w:tabs>
        <w:ind w:left="1311" w:hanging="1311"/>
        <w:rPr>
          <w:snapToGrid w:val="0"/>
        </w:rPr>
      </w:pPr>
      <w:r>
        <w:rPr>
          <w:snapToGrid w:val="0"/>
        </w:rPr>
        <w:tab/>
        <w:t>(iii)</w:t>
      </w:r>
      <w:r>
        <w:rPr>
          <w:snapToGrid w:val="0"/>
        </w:rPr>
        <w:tab/>
        <w:t>the operation of the means of communication between the navigating bridge and steering gear compartment.</w:t>
      </w:r>
    </w:p>
    <w:p>
      <w:pPr>
        <w:pStyle w:val="yIndenta"/>
        <w:tabs>
          <w:tab w:val="clear" w:pos="1332"/>
          <w:tab w:val="clear" w:pos="1616"/>
          <w:tab w:val="right" w:pos="1026"/>
        </w:tabs>
        <w:ind w:left="1311" w:hanging="1311"/>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tabs>
          <w:tab w:val="clear" w:pos="1332"/>
          <w:tab w:val="clear" w:pos="1616"/>
          <w:tab w:val="right" w:pos="1026"/>
        </w:tabs>
        <w:ind w:left="1311" w:hanging="1311"/>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ind w:left="570" w:hanging="570"/>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ind w:left="570" w:hanging="570"/>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ind w:left="570" w:hanging="570"/>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pStyle w:val="CentredBaseLine"/>
        <w:jc w:val="center"/>
      </w:pPr>
      <w:r>
        <w:rPr>
          <w:noProof/>
        </w:rPr>
        <w:drawing>
          <wp:inline distT="0" distB="0" distL="0" distR="0">
            <wp:extent cx="930275" cy="174625"/>
            <wp:effectExtent l="0" t="0" r="3175"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359" w:name="_Toc155177741"/>
      <w:bookmarkStart w:id="360" w:name="_Toc132296422"/>
      <w:r>
        <w:t>Notes</w:t>
      </w:r>
      <w:bookmarkEnd w:id="359"/>
      <w:bookmarkEnd w:id="360"/>
    </w:p>
    <w:p>
      <w:pPr>
        <w:pStyle w:val="nStatement"/>
      </w:pPr>
      <w:r>
        <w:t xml:space="preserve">This is a compilation of the </w:t>
      </w:r>
      <w:r>
        <w:rPr>
          <w:i/>
          <w:noProof/>
        </w:rPr>
        <w:t>Western Australian Marine Act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61" w:name="_Toc155177742"/>
      <w:bookmarkStart w:id="362" w:name="_Toc132296423"/>
      <w:r>
        <w:t>Compilation table</w:t>
      </w:r>
      <w:bookmarkEnd w:id="361"/>
      <w:bookmarkEnd w:id="362"/>
    </w:p>
    <w:tbl>
      <w:tblPr>
        <w:tblW w:w="0" w:type="auto"/>
        <w:tblInd w:w="49" w:type="dxa"/>
        <w:tblLayout w:type="fixed"/>
        <w:tblCellMar>
          <w:left w:w="56" w:type="dxa"/>
          <w:right w:w="56" w:type="dxa"/>
        </w:tblCellMar>
        <w:tblLook w:val="0000" w:firstRow="0" w:lastRow="0" w:firstColumn="0" w:lastColumn="0" w:noHBand="0" w:noVBand="0"/>
      </w:tblPr>
      <w:tblGrid>
        <w:gridCol w:w="12"/>
        <w:gridCol w:w="2256"/>
        <w:gridCol w:w="11"/>
        <w:gridCol w:w="1123"/>
        <w:gridCol w:w="11"/>
        <w:gridCol w:w="1125"/>
        <w:gridCol w:w="11"/>
        <w:gridCol w:w="2540"/>
        <w:gridCol w:w="13"/>
      </w:tblGrid>
      <w:tr>
        <w:trPr>
          <w:gridAfter w:val="1"/>
          <w:wAfter w:w="13" w:type="dxa"/>
          <w:cantSplit/>
          <w:tblHeader/>
        </w:trPr>
        <w:tc>
          <w:tcPr>
            <w:tcW w:w="2268" w:type="dxa"/>
            <w:gridSpan w:val="2"/>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60"/>
              <w:rPr>
                <w:b/>
              </w:rPr>
            </w:pPr>
            <w:r>
              <w:rPr>
                <w:b/>
              </w:rPr>
              <w:t>Commencement</w:t>
            </w:r>
          </w:p>
        </w:tc>
      </w:tr>
      <w:tr>
        <w:trPr>
          <w:gridAfter w:val="1"/>
          <w:wAfter w:w="13" w:type="dxa"/>
          <w:cantSplit/>
        </w:trPr>
        <w:tc>
          <w:tcPr>
            <w:tcW w:w="2268" w:type="dxa"/>
            <w:gridSpan w:val="2"/>
            <w:tcBorders>
              <w:top w:val="single" w:sz="8" w:space="0" w:color="auto"/>
            </w:tcBorders>
          </w:tcPr>
          <w:p>
            <w:pPr>
              <w:pStyle w:val="nTable"/>
              <w:spacing w:before="60" w:after="60"/>
              <w:ind w:right="113"/>
            </w:pPr>
            <w:r>
              <w:rPr>
                <w:i/>
              </w:rPr>
              <w:t>Western Australian Marine Act 1982</w:t>
            </w:r>
          </w:p>
        </w:tc>
        <w:tc>
          <w:tcPr>
            <w:tcW w:w="1134" w:type="dxa"/>
            <w:gridSpan w:val="2"/>
            <w:tcBorders>
              <w:top w:val="single" w:sz="8" w:space="0" w:color="auto"/>
            </w:tcBorders>
          </w:tcPr>
          <w:p>
            <w:pPr>
              <w:pStyle w:val="nTable"/>
              <w:spacing w:before="60" w:after="60"/>
            </w:pPr>
            <w:r>
              <w:t>55 of 1982</w:t>
            </w:r>
          </w:p>
        </w:tc>
        <w:tc>
          <w:tcPr>
            <w:tcW w:w="1136" w:type="dxa"/>
            <w:gridSpan w:val="2"/>
            <w:tcBorders>
              <w:top w:val="single" w:sz="8" w:space="0" w:color="auto"/>
            </w:tcBorders>
          </w:tcPr>
          <w:p>
            <w:pPr>
              <w:pStyle w:val="nTable"/>
              <w:spacing w:before="60" w:after="60"/>
            </w:pPr>
            <w:r>
              <w:t>5 Nov 1982</w:t>
            </w:r>
          </w:p>
        </w:tc>
        <w:tc>
          <w:tcPr>
            <w:tcW w:w="2551" w:type="dxa"/>
            <w:gridSpan w:val="2"/>
            <w:tcBorders>
              <w:top w:val="single" w:sz="8" w:space="0" w:color="auto"/>
            </w:tcBorders>
          </w:tcPr>
          <w:p>
            <w:pPr>
              <w:pStyle w:val="nTable"/>
              <w:spacing w:before="60" w:after="60"/>
            </w:pPr>
            <w:r>
              <w:t xml:space="preserve">1 Jul 1983 (see s. 2 and </w:t>
            </w:r>
            <w:r>
              <w:rPr>
                <w:i/>
              </w:rPr>
              <w:t>Gazette</w:t>
            </w:r>
            <w:r>
              <w:t xml:space="preserve"> 24 Jun 1983 p. 1977)</w:t>
            </w:r>
          </w:p>
        </w:tc>
      </w:tr>
      <w:tr>
        <w:trPr>
          <w:gridAfter w:val="1"/>
          <w:wAfter w:w="13" w:type="dxa"/>
          <w:cantSplit/>
        </w:trPr>
        <w:tc>
          <w:tcPr>
            <w:tcW w:w="2268" w:type="dxa"/>
            <w:gridSpan w:val="2"/>
          </w:tcPr>
          <w:p>
            <w:pPr>
              <w:pStyle w:val="nTable"/>
              <w:spacing w:before="60" w:after="60"/>
              <w:ind w:right="113"/>
            </w:pPr>
            <w:r>
              <w:rPr>
                <w:i/>
              </w:rPr>
              <w:t>Western Australian Marine Amendment Act 1990</w:t>
            </w:r>
          </w:p>
        </w:tc>
        <w:tc>
          <w:tcPr>
            <w:tcW w:w="1134" w:type="dxa"/>
            <w:gridSpan w:val="2"/>
          </w:tcPr>
          <w:p>
            <w:pPr>
              <w:pStyle w:val="nTable"/>
              <w:spacing w:before="60" w:after="60"/>
            </w:pPr>
            <w:r>
              <w:t>35 of 1990</w:t>
            </w:r>
          </w:p>
        </w:tc>
        <w:tc>
          <w:tcPr>
            <w:tcW w:w="1136" w:type="dxa"/>
            <w:gridSpan w:val="2"/>
          </w:tcPr>
          <w:p>
            <w:pPr>
              <w:pStyle w:val="nTable"/>
              <w:spacing w:before="60" w:after="60"/>
            </w:pPr>
            <w:r>
              <w:t>9 Oct 1990</w:t>
            </w:r>
          </w:p>
        </w:tc>
        <w:tc>
          <w:tcPr>
            <w:tcW w:w="2551" w:type="dxa"/>
            <w:gridSpan w:val="2"/>
          </w:tcPr>
          <w:p>
            <w:pPr>
              <w:pStyle w:val="nTable"/>
              <w:spacing w:before="60" w:after="60"/>
            </w:pPr>
            <w:r>
              <w:t>Act other than s. 4(b) and (d), 6</w:t>
            </w:r>
            <w:r>
              <w:noBreakHyphen/>
              <w:t xml:space="preserve">9, 12 and 21: 9 Jun 1992 (see s. 2 and </w:t>
            </w:r>
            <w:r>
              <w:rPr>
                <w:i/>
              </w:rPr>
              <w:t>Gazette</w:t>
            </w:r>
            <w:r>
              <w:t xml:space="preserve"> 9 Jun 1992 p. 2379); </w:t>
            </w:r>
            <w:r>
              <w:br/>
              <w:t xml:space="preserve">s. 4(b) and 21: 1 Jan 1994 (see s. 2 and </w:t>
            </w:r>
            <w:r>
              <w:rPr>
                <w:i/>
              </w:rPr>
              <w:t>Gazette</w:t>
            </w:r>
            <w:r>
              <w:t xml:space="preserve"> 31 Dec 1993 p. 6861) </w:t>
            </w:r>
          </w:p>
        </w:tc>
      </w:tr>
      <w:tr>
        <w:trPr>
          <w:gridAfter w:val="1"/>
          <w:wAfter w:w="13" w:type="dxa"/>
          <w:cantSplit/>
        </w:trPr>
        <w:tc>
          <w:tcPr>
            <w:tcW w:w="2268" w:type="dxa"/>
            <w:gridSpan w:val="2"/>
          </w:tcPr>
          <w:p>
            <w:pPr>
              <w:pStyle w:val="nTable"/>
              <w:spacing w:before="60" w:after="60"/>
              <w:ind w:right="113"/>
            </w:pPr>
            <w:r>
              <w:rPr>
                <w:i/>
              </w:rPr>
              <w:t>Financial Administration Legislation Amendment Act 1993</w:t>
            </w:r>
            <w:r>
              <w:t xml:space="preserve"> s. 11</w:t>
            </w:r>
          </w:p>
        </w:tc>
        <w:tc>
          <w:tcPr>
            <w:tcW w:w="1134" w:type="dxa"/>
            <w:gridSpan w:val="2"/>
          </w:tcPr>
          <w:p>
            <w:pPr>
              <w:pStyle w:val="nTable"/>
              <w:spacing w:before="60" w:after="60"/>
            </w:pPr>
            <w:r>
              <w:t>6 of 1993</w:t>
            </w:r>
          </w:p>
        </w:tc>
        <w:tc>
          <w:tcPr>
            <w:tcW w:w="1136" w:type="dxa"/>
            <w:gridSpan w:val="2"/>
          </w:tcPr>
          <w:p>
            <w:pPr>
              <w:pStyle w:val="nTable"/>
              <w:spacing w:before="60" w:after="60"/>
            </w:pPr>
            <w:r>
              <w:t>27 Aug 1993</w:t>
            </w:r>
          </w:p>
        </w:tc>
        <w:tc>
          <w:tcPr>
            <w:tcW w:w="2551" w:type="dxa"/>
            <w:gridSpan w:val="2"/>
          </w:tcPr>
          <w:p>
            <w:pPr>
              <w:pStyle w:val="nTable"/>
              <w:spacing w:before="60" w:after="60"/>
            </w:pPr>
            <w:r>
              <w:t>1 Jul 1993 (see s. 2(1))</w:t>
            </w:r>
          </w:p>
        </w:tc>
      </w:tr>
      <w:tr>
        <w:trPr>
          <w:gridAfter w:val="1"/>
          <w:wAfter w:w="13" w:type="dxa"/>
          <w:cantSplit/>
        </w:trPr>
        <w:tc>
          <w:tcPr>
            <w:tcW w:w="2268" w:type="dxa"/>
            <w:gridSpan w:val="2"/>
          </w:tcPr>
          <w:p>
            <w:pPr>
              <w:pStyle w:val="nTable"/>
              <w:spacing w:before="60" w:after="60"/>
              <w:ind w:right="113"/>
            </w:pPr>
            <w:r>
              <w:rPr>
                <w:i/>
              </w:rPr>
              <w:t>Acts Amendment (Department of Transport) Act 1993</w:t>
            </w:r>
            <w:r>
              <w:t xml:space="preserve"> Pt. 15</w:t>
            </w:r>
          </w:p>
        </w:tc>
        <w:tc>
          <w:tcPr>
            <w:tcW w:w="1134" w:type="dxa"/>
            <w:gridSpan w:val="2"/>
          </w:tcPr>
          <w:p>
            <w:pPr>
              <w:pStyle w:val="nTable"/>
              <w:spacing w:before="60" w:after="60"/>
            </w:pPr>
            <w:r>
              <w:t>47 of 1993</w:t>
            </w:r>
          </w:p>
        </w:tc>
        <w:tc>
          <w:tcPr>
            <w:tcW w:w="1136" w:type="dxa"/>
            <w:gridSpan w:val="2"/>
          </w:tcPr>
          <w:p>
            <w:pPr>
              <w:pStyle w:val="nTable"/>
              <w:spacing w:before="60" w:after="60"/>
            </w:pPr>
            <w:r>
              <w:t>20 Dec 1993</w:t>
            </w:r>
          </w:p>
        </w:tc>
        <w:tc>
          <w:tcPr>
            <w:tcW w:w="2551" w:type="dxa"/>
            <w:gridSpan w:val="2"/>
          </w:tcPr>
          <w:p>
            <w:pPr>
              <w:pStyle w:val="nTable"/>
              <w:spacing w:before="60" w:after="60"/>
            </w:pPr>
            <w:r>
              <w:t xml:space="preserve">1 Jan 1994 (see s. 2 and </w:t>
            </w:r>
            <w:r>
              <w:rPr>
                <w:i/>
              </w:rPr>
              <w:t>Gazette</w:t>
            </w:r>
            <w:r>
              <w:t xml:space="preserve"> 31 Dec 1993 p. 6861)</w:t>
            </w:r>
          </w:p>
        </w:tc>
      </w:tr>
      <w:tr>
        <w:trPr>
          <w:gridAfter w:val="1"/>
          <w:wAfter w:w="13" w:type="dxa"/>
          <w:cantSplit/>
        </w:trPr>
        <w:tc>
          <w:tcPr>
            <w:tcW w:w="2268" w:type="dxa"/>
            <w:gridSpan w:val="2"/>
          </w:tcPr>
          <w:p>
            <w:pPr>
              <w:pStyle w:val="nTable"/>
              <w:spacing w:before="60" w:after="60"/>
              <w:ind w:right="113"/>
            </w:pPr>
            <w:r>
              <w:rPr>
                <w:i/>
              </w:rPr>
              <w:t>Acts Amendment (Public Sector Management) Act 1994</w:t>
            </w:r>
            <w:r>
              <w:t xml:space="preserve"> s. 19</w:t>
            </w:r>
          </w:p>
        </w:tc>
        <w:tc>
          <w:tcPr>
            <w:tcW w:w="1134" w:type="dxa"/>
            <w:gridSpan w:val="2"/>
          </w:tcPr>
          <w:p>
            <w:pPr>
              <w:pStyle w:val="nTable"/>
              <w:keepNext/>
              <w:spacing w:before="60" w:after="60"/>
            </w:pPr>
            <w:r>
              <w:t>32 of 1994</w:t>
            </w:r>
          </w:p>
        </w:tc>
        <w:tc>
          <w:tcPr>
            <w:tcW w:w="1136" w:type="dxa"/>
            <w:gridSpan w:val="2"/>
          </w:tcPr>
          <w:p>
            <w:pPr>
              <w:pStyle w:val="nTable"/>
              <w:keepNext/>
              <w:spacing w:before="60" w:after="60"/>
            </w:pPr>
            <w:r>
              <w:t>29 Jun 1994</w:t>
            </w:r>
          </w:p>
        </w:tc>
        <w:tc>
          <w:tcPr>
            <w:tcW w:w="2551" w:type="dxa"/>
            <w:gridSpan w:val="2"/>
          </w:tcPr>
          <w:p>
            <w:pPr>
              <w:pStyle w:val="nTable"/>
              <w:keepNext/>
              <w:spacing w:before="60" w:after="60"/>
            </w:pPr>
            <w:r>
              <w:t xml:space="preserve">1 Oct 1994 (see s. 2 and </w:t>
            </w:r>
            <w:r>
              <w:rPr>
                <w:i/>
              </w:rPr>
              <w:t>Gazette</w:t>
            </w:r>
            <w:r>
              <w:t xml:space="preserve"> 30 Sep 1994 p. 4948)</w:t>
            </w:r>
          </w:p>
        </w:tc>
      </w:tr>
      <w:tr>
        <w:trPr>
          <w:gridAfter w:val="1"/>
          <w:wAfter w:w="13" w:type="dxa"/>
          <w:cantSplit/>
        </w:trPr>
        <w:tc>
          <w:tcPr>
            <w:tcW w:w="2268" w:type="dxa"/>
            <w:gridSpan w:val="2"/>
          </w:tcPr>
          <w:p>
            <w:pPr>
              <w:pStyle w:val="nTable"/>
              <w:spacing w:before="60" w:after="60"/>
              <w:ind w:right="113"/>
            </w:pPr>
            <w:r>
              <w:rPr>
                <w:i/>
              </w:rPr>
              <w:t>Acts Amendment (Fines, Penalties and Infringement Notices) Act 1994</w:t>
            </w:r>
            <w:r>
              <w:t xml:space="preserve"> Pt. 21</w:t>
            </w:r>
          </w:p>
        </w:tc>
        <w:tc>
          <w:tcPr>
            <w:tcW w:w="1134" w:type="dxa"/>
            <w:gridSpan w:val="2"/>
          </w:tcPr>
          <w:p>
            <w:pPr>
              <w:pStyle w:val="nTable"/>
              <w:spacing w:before="60" w:after="60"/>
            </w:pPr>
            <w:r>
              <w:t>92 of 1994</w:t>
            </w:r>
          </w:p>
        </w:tc>
        <w:tc>
          <w:tcPr>
            <w:tcW w:w="1136" w:type="dxa"/>
            <w:gridSpan w:val="2"/>
          </w:tcPr>
          <w:p>
            <w:pPr>
              <w:pStyle w:val="nTable"/>
              <w:spacing w:before="60" w:after="60"/>
            </w:pPr>
            <w:r>
              <w:t>23 Dec 1994</w:t>
            </w:r>
          </w:p>
        </w:tc>
        <w:tc>
          <w:tcPr>
            <w:tcW w:w="2551" w:type="dxa"/>
            <w:gridSpan w:val="2"/>
          </w:tcPr>
          <w:p>
            <w:pPr>
              <w:pStyle w:val="nTable"/>
              <w:spacing w:before="60" w:after="60"/>
            </w:pPr>
            <w:r>
              <w:t xml:space="preserve">1 Jan 1995 (see s. 2(1) and </w:t>
            </w:r>
            <w:r>
              <w:rPr>
                <w:i/>
                <w:iCs/>
              </w:rPr>
              <w:t>Gazette</w:t>
            </w:r>
            <w:r>
              <w:t xml:space="preserve"> 30 Dec 1994 p. 7211)</w:t>
            </w:r>
          </w:p>
        </w:tc>
      </w:tr>
      <w:tr>
        <w:trPr>
          <w:gridAfter w:val="1"/>
          <w:wAfter w:w="13" w:type="dxa"/>
          <w:cantSplit/>
        </w:trPr>
        <w:tc>
          <w:tcPr>
            <w:tcW w:w="2268" w:type="dxa"/>
            <w:gridSpan w:val="2"/>
          </w:tcPr>
          <w:p>
            <w:pPr>
              <w:pStyle w:val="nTable"/>
              <w:spacing w:before="60" w:after="60"/>
              <w:ind w:right="113"/>
            </w:pPr>
            <w:r>
              <w:rPr>
                <w:i/>
              </w:rPr>
              <w:t>Sentencing (Consequential Provisions) Act 1995</w:t>
            </w:r>
            <w:r>
              <w:t xml:space="preserve"> Pt. 83 and s. 147</w:t>
            </w:r>
          </w:p>
        </w:tc>
        <w:tc>
          <w:tcPr>
            <w:tcW w:w="1134" w:type="dxa"/>
            <w:gridSpan w:val="2"/>
          </w:tcPr>
          <w:p>
            <w:pPr>
              <w:pStyle w:val="nTable"/>
              <w:spacing w:before="60" w:after="60"/>
            </w:pPr>
            <w:r>
              <w:t>78 of 1995</w:t>
            </w:r>
          </w:p>
        </w:tc>
        <w:tc>
          <w:tcPr>
            <w:tcW w:w="1136" w:type="dxa"/>
            <w:gridSpan w:val="2"/>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gridAfter w:val="1"/>
          <w:wAfter w:w="13" w:type="dxa"/>
          <w:cantSplit/>
        </w:trPr>
        <w:tc>
          <w:tcPr>
            <w:tcW w:w="2268" w:type="dxa"/>
            <w:gridSpan w:val="2"/>
          </w:tcPr>
          <w:p>
            <w:pPr>
              <w:pStyle w:val="nTable"/>
              <w:spacing w:before="60" w:after="60"/>
              <w:ind w:right="113"/>
            </w:pPr>
            <w:r>
              <w:rPr>
                <w:i/>
              </w:rPr>
              <w:t>Financial Legislation Amendment Act 1996</w:t>
            </w:r>
            <w:r>
              <w:t xml:space="preserve"> s. 64</w:t>
            </w:r>
          </w:p>
        </w:tc>
        <w:tc>
          <w:tcPr>
            <w:tcW w:w="1134" w:type="dxa"/>
            <w:gridSpan w:val="2"/>
          </w:tcPr>
          <w:p>
            <w:pPr>
              <w:pStyle w:val="nTable"/>
              <w:spacing w:before="60" w:after="60"/>
            </w:pPr>
            <w:r>
              <w:t>49 of 1996</w:t>
            </w:r>
          </w:p>
        </w:tc>
        <w:tc>
          <w:tcPr>
            <w:tcW w:w="1136" w:type="dxa"/>
            <w:gridSpan w:val="2"/>
          </w:tcPr>
          <w:p>
            <w:pPr>
              <w:pStyle w:val="nTable"/>
              <w:spacing w:before="60" w:after="60"/>
            </w:pPr>
            <w:r>
              <w:t>25 Oct 1996</w:t>
            </w:r>
          </w:p>
        </w:tc>
        <w:tc>
          <w:tcPr>
            <w:tcW w:w="2551" w:type="dxa"/>
            <w:gridSpan w:val="2"/>
          </w:tcPr>
          <w:p>
            <w:pPr>
              <w:pStyle w:val="nTable"/>
              <w:spacing w:before="60" w:after="60"/>
            </w:pPr>
            <w:r>
              <w:t>25 Oct 1996 (see s. 2(1))</w:t>
            </w:r>
          </w:p>
        </w:tc>
      </w:tr>
      <w:tr>
        <w:trPr>
          <w:gridAfter w:val="1"/>
          <w:wAfter w:w="13" w:type="dxa"/>
          <w:cantSplit/>
        </w:trPr>
        <w:tc>
          <w:tcPr>
            <w:tcW w:w="2268" w:type="dxa"/>
            <w:gridSpan w:val="2"/>
          </w:tcPr>
          <w:p>
            <w:pPr>
              <w:pStyle w:val="nTable"/>
              <w:spacing w:before="60" w:after="60"/>
              <w:ind w:right="113"/>
            </w:pPr>
            <w:r>
              <w:rPr>
                <w:i/>
              </w:rPr>
              <w:t>Statutes (Repeals and Minor Amendments) Act 1997</w:t>
            </w:r>
            <w:r>
              <w:t xml:space="preserve"> s. 130</w:t>
            </w:r>
          </w:p>
        </w:tc>
        <w:tc>
          <w:tcPr>
            <w:tcW w:w="1134" w:type="dxa"/>
            <w:gridSpan w:val="2"/>
          </w:tcPr>
          <w:p>
            <w:pPr>
              <w:pStyle w:val="nTable"/>
              <w:spacing w:before="60" w:after="60"/>
            </w:pPr>
            <w:r>
              <w:t>57 of 1997</w:t>
            </w:r>
          </w:p>
        </w:tc>
        <w:tc>
          <w:tcPr>
            <w:tcW w:w="1136" w:type="dxa"/>
            <w:gridSpan w:val="2"/>
          </w:tcPr>
          <w:p>
            <w:pPr>
              <w:pStyle w:val="nTable"/>
              <w:spacing w:before="60" w:after="60"/>
            </w:pPr>
            <w:r>
              <w:t>15 Dec 1997</w:t>
            </w:r>
          </w:p>
        </w:tc>
        <w:tc>
          <w:tcPr>
            <w:tcW w:w="2551" w:type="dxa"/>
            <w:gridSpan w:val="2"/>
          </w:tcPr>
          <w:p>
            <w:pPr>
              <w:pStyle w:val="nTable"/>
              <w:spacing w:before="60" w:after="60"/>
            </w:pPr>
            <w:r>
              <w:t>15 Dec 1997 (see s. 2(1))</w:t>
            </w:r>
          </w:p>
        </w:tc>
      </w:tr>
      <w:tr>
        <w:trPr>
          <w:gridAfter w:val="1"/>
          <w:wAfter w:w="13" w:type="dxa"/>
          <w:cantSplit/>
        </w:trPr>
        <w:tc>
          <w:tcPr>
            <w:tcW w:w="7089" w:type="dxa"/>
            <w:gridSpan w:val="8"/>
          </w:tcPr>
          <w:p>
            <w:pPr>
              <w:pStyle w:val="nTable"/>
              <w:spacing w:before="60" w:after="60"/>
            </w:pPr>
            <w:r>
              <w:rPr>
                <w:b/>
                <w:bCs/>
              </w:rPr>
              <w:t xml:space="preserve">Reprint of the </w:t>
            </w:r>
            <w:r>
              <w:rPr>
                <w:b/>
                <w:bCs/>
                <w:i/>
              </w:rPr>
              <w:t>Western Australian Marine Act 1982</w:t>
            </w:r>
            <w:r>
              <w:rPr>
                <w:b/>
                <w:bCs/>
              </w:rPr>
              <w:t xml:space="preserve"> as at 28 Jan 2000</w:t>
            </w:r>
            <w:r>
              <w:t xml:space="preserve"> (includes amendments listed above) </w:t>
            </w:r>
          </w:p>
        </w:tc>
      </w:tr>
      <w:tr>
        <w:trPr>
          <w:gridAfter w:val="1"/>
          <w:wAfter w:w="13" w:type="dxa"/>
          <w:cantSplit/>
        </w:trPr>
        <w:tc>
          <w:tcPr>
            <w:tcW w:w="2268" w:type="dxa"/>
            <w:gridSpan w:val="2"/>
          </w:tcPr>
          <w:p>
            <w:pPr>
              <w:pStyle w:val="nTable"/>
              <w:spacing w:before="60" w:after="60"/>
              <w:ind w:right="113"/>
            </w:pPr>
            <w:r>
              <w:rPr>
                <w:i/>
              </w:rPr>
              <w:t>Statutes (Repeals and Minor Amendments) Act 2003</w:t>
            </w:r>
            <w:r>
              <w:t xml:space="preserve"> s. 130</w:t>
            </w:r>
          </w:p>
        </w:tc>
        <w:tc>
          <w:tcPr>
            <w:tcW w:w="1134" w:type="dxa"/>
            <w:gridSpan w:val="2"/>
          </w:tcPr>
          <w:p>
            <w:pPr>
              <w:pStyle w:val="nTable"/>
              <w:spacing w:before="60" w:after="60"/>
            </w:pPr>
            <w:r>
              <w:t>74 of 2003</w:t>
            </w:r>
          </w:p>
        </w:tc>
        <w:tc>
          <w:tcPr>
            <w:tcW w:w="1136" w:type="dxa"/>
            <w:gridSpan w:val="2"/>
          </w:tcPr>
          <w:p>
            <w:pPr>
              <w:pStyle w:val="nTable"/>
              <w:spacing w:before="60" w:after="60"/>
            </w:pPr>
            <w:r>
              <w:t>15 Dec 2003</w:t>
            </w:r>
          </w:p>
        </w:tc>
        <w:tc>
          <w:tcPr>
            <w:tcW w:w="2551" w:type="dxa"/>
            <w:gridSpan w:val="2"/>
          </w:tcPr>
          <w:p>
            <w:pPr>
              <w:pStyle w:val="nTable"/>
              <w:spacing w:before="60" w:after="60"/>
            </w:pPr>
            <w:r>
              <w:rPr>
                <w:spacing w:val="-2"/>
              </w:rPr>
              <w:t>15 Dec 2003 (see s. 2)</w:t>
            </w:r>
          </w:p>
        </w:tc>
      </w:tr>
      <w:tr>
        <w:trPr>
          <w:gridAfter w:val="1"/>
          <w:wAfter w:w="13" w:type="dxa"/>
          <w:cantSplit/>
        </w:trPr>
        <w:tc>
          <w:tcPr>
            <w:tcW w:w="2268" w:type="dxa"/>
            <w:gridSpan w:val="2"/>
          </w:tcPr>
          <w:p>
            <w:pPr>
              <w:pStyle w:val="nTable"/>
              <w:spacing w:before="60" w:after="60"/>
              <w:ind w:right="113"/>
              <w:rPr>
                <w:i/>
              </w:rPr>
            </w:pPr>
            <w:r>
              <w:rPr>
                <w:bCs/>
                <w:i/>
                <w:iCs/>
              </w:rPr>
              <w:t>Dangerous Goods Safety Act 2004</w:t>
            </w:r>
            <w:r>
              <w:rPr>
                <w:bCs/>
                <w:iCs/>
              </w:rPr>
              <w:t xml:space="preserve"> s. 70</w:t>
            </w:r>
          </w:p>
        </w:tc>
        <w:tc>
          <w:tcPr>
            <w:tcW w:w="1134" w:type="dxa"/>
            <w:gridSpan w:val="2"/>
          </w:tcPr>
          <w:p>
            <w:pPr>
              <w:pStyle w:val="nTable"/>
              <w:spacing w:before="60" w:after="60"/>
            </w:pPr>
            <w:r>
              <w:rPr>
                <w:bCs/>
              </w:rPr>
              <w:t>7 of 2004</w:t>
            </w:r>
          </w:p>
        </w:tc>
        <w:tc>
          <w:tcPr>
            <w:tcW w:w="1136" w:type="dxa"/>
            <w:gridSpan w:val="2"/>
          </w:tcPr>
          <w:p>
            <w:pPr>
              <w:pStyle w:val="nTable"/>
              <w:spacing w:before="60" w:after="60"/>
            </w:pPr>
            <w:r>
              <w:rPr>
                <w:bCs/>
              </w:rPr>
              <w:t>10 Jun 2004</w:t>
            </w:r>
          </w:p>
        </w:tc>
        <w:tc>
          <w:tcPr>
            <w:tcW w:w="2551" w:type="dxa"/>
            <w:gridSpan w:val="2"/>
          </w:tcPr>
          <w:p>
            <w:pPr>
              <w:pStyle w:val="nTable"/>
              <w:spacing w:before="60" w:after="60"/>
              <w:rPr>
                <w:spacing w:val="-2"/>
              </w:rPr>
            </w:pPr>
            <w:r>
              <w:rPr>
                <w:bCs/>
                <w:spacing w:val="-2"/>
              </w:rPr>
              <w:t xml:space="preserve">1 Mar 2008 (see s. 2 and </w:t>
            </w:r>
            <w:r>
              <w:rPr>
                <w:bCs/>
                <w:i/>
                <w:iCs/>
                <w:spacing w:val="-2"/>
              </w:rPr>
              <w:t>Gazette</w:t>
            </w:r>
            <w:r>
              <w:rPr>
                <w:bCs/>
                <w:spacing w:val="-2"/>
              </w:rPr>
              <w:t xml:space="preserve"> 29 Feb 2008 p. 669)</w:t>
            </w:r>
          </w:p>
        </w:tc>
      </w:tr>
      <w:tr>
        <w:trPr>
          <w:gridAfter w:val="1"/>
          <w:wAfter w:w="13" w:type="dxa"/>
          <w:cantSplit/>
        </w:trPr>
        <w:tc>
          <w:tcPr>
            <w:tcW w:w="2268" w:type="dxa"/>
            <w:gridSpan w:val="2"/>
          </w:tcPr>
          <w:p>
            <w:pPr>
              <w:pStyle w:val="nTable"/>
              <w:spacing w:before="60" w:after="60"/>
              <w:ind w:right="113"/>
              <w:rPr>
                <w:i/>
              </w:rPr>
            </w:pPr>
            <w:r>
              <w:rPr>
                <w:i/>
              </w:rPr>
              <w:t xml:space="preserve">Courts Legislation Amendment and Repeal Act 2004 </w:t>
            </w:r>
            <w:r>
              <w:rPr>
                <w:iCs/>
              </w:rPr>
              <w:t>s. 141</w:t>
            </w:r>
          </w:p>
        </w:tc>
        <w:tc>
          <w:tcPr>
            <w:tcW w:w="1134" w:type="dxa"/>
            <w:gridSpan w:val="2"/>
          </w:tcPr>
          <w:p>
            <w:pPr>
              <w:pStyle w:val="nTable"/>
              <w:spacing w:before="60" w:after="60"/>
            </w:pPr>
            <w:r>
              <w:t>59 of 2004</w:t>
            </w:r>
          </w:p>
        </w:tc>
        <w:tc>
          <w:tcPr>
            <w:tcW w:w="1136" w:type="dxa"/>
            <w:gridSpan w:val="2"/>
          </w:tcPr>
          <w:p>
            <w:pPr>
              <w:pStyle w:val="nTable"/>
              <w:spacing w:before="60" w:after="60"/>
            </w:pPr>
            <w:r>
              <w:t>23 Nov 2004</w:t>
            </w:r>
          </w:p>
        </w:tc>
        <w:tc>
          <w:tcPr>
            <w:tcW w:w="2551" w:type="dxa"/>
            <w:gridSpan w:val="2"/>
          </w:tcPr>
          <w:p>
            <w:pPr>
              <w:pStyle w:val="nTable"/>
              <w:spacing w:before="60" w:after="60"/>
              <w:rPr>
                <w:spacing w:val="-2"/>
              </w:rPr>
            </w:pPr>
            <w:r>
              <w:t xml:space="preserve">1 May 2005 (see s. 2 and </w:t>
            </w:r>
            <w:r>
              <w:rPr>
                <w:i/>
                <w:iCs/>
              </w:rPr>
              <w:t>Gazette</w:t>
            </w:r>
            <w:r>
              <w:t xml:space="preserve"> 31 Dec 2004 p. 7128)</w:t>
            </w:r>
          </w:p>
        </w:tc>
      </w:tr>
      <w:tr>
        <w:trPr>
          <w:gridAfter w:val="1"/>
          <w:wAfter w:w="13" w:type="dxa"/>
          <w:cantSplit/>
        </w:trPr>
        <w:tc>
          <w:tcPr>
            <w:tcW w:w="2268" w:type="dxa"/>
            <w:gridSpan w:val="2"/>
          </w:tcPr>
          <w:p>
            <w:pPr>
              <w:pStyle w:val="nTable"/>
              <w:spacing w:before="60" w:after="60"/>
              <w:ind w:right="113"/>
              <w:rPr>
                <w:i/>
                <w:vertAlign w:val="superscript"/>
              </w:rPr>
            </w:pPr>
            <w:r>
              <w:rPr>
                <w:i/>
              </w:rPr>
              <w:t>State Administrative Tribunal (Conferral of Jurisdiction) Amendment and Repeal Act 2004</w:t>
            </w:r>
            <w:r>
              <w:rPr>
                <w:i/>
                <w:iCs/>
              </w:rPr>
              <w:t xml:space="preserve"> </w:t>
            </w:r>
            <w:r>
              <w:t>Pt. 2 Div. 135</w:t>
            </w:r>
            <w:r>
              <w:rPr>
                <w:vertAlign w:val="superscript"/>
              </w:rPr>
              <w:t> 2</w:t>
            </w:r>
          </w:p>
        </w:tc>
        <w:tc>
          <w:tcPr>
            <w:tcW w:w="1134" w:type="dxa"/>
            <w:gridSpan w:val="2"/>
          </w:tcPr>
          <w:p>
            <w:pPr>
              <w:pStyle w:val="nTable"/>
              <w:spacing w:before="60" w:after="60"/>
            </w:pPr>
            <w:r>
              <w:t>55 of 2004</w:t>
            </w:r>
          </w:p>
        </w:tc>
        <w:tc>
          <w:tcPr>
            <w:tcW w:w="1136" w:type="dxa"/>
            <w:gridSpan w:val="2"/>
          </w:tcPr>
          <w:p>
            <w:pPr>
              <w:pStyle w:val="nTable"/>
              <w:spacing w:before="60" w:after="60"/>
            </w:pPr>
            <w:r>
              <w:t>24 Nov 2004</w:t>
            </w:r>
          </w:p>
        </w:tc>
        <w:tc>
          <w:tcPr>
            <w:tcW w:w="2551" w:type="dxa"/>
            <w:gridSpan w:val="2"/>
          </w:tcPr>
          <w:p>
            <w:pPr>
              <w:pStyle w:val="nTable"/>
              <w:spacing w:before="60" w:after="60"/>
              <w:rPr>
                <w:spacing w:val="-2"/>
              </w:rPr>
            </w:pPr>
            <w:r>
              <w:rPr>
                <w:spacing w:val="-2"/>
              </w:rPr>
              <w:t xml:space="preserve">1 Jan 2005 (see s. 2 and </w:t>
            </w:r>
            <w:r>
              <w:rPr>
                <w:i/>
                <w:iCs/>
                <w:spacing w:val="-2"/>
              </w:rPr>
              <w:t>Gazette</w:t>
            </w:r>
            <w:r>
              <w:rPr>
                <w:spacing w:val="-2"/>
              </w:rPr>
              <w:t xml:space="preserve"> 31 Dec 2004 p. 7130)</w:t>
            </w:r>
          </w:p>
        </w:tc>
      </w:tr>
      <w:tr>
        <w:trPr>
          <w:gridAfter w:val="1"/>
          <w:wAfter w:w="13" w:type="dxa"/>
          <w:cantSplit/>
        </w:trPr>
        <w:tc>
          <w:tcPr>
            <w:tcW w:w="2268" w:type="dxa"/>
            <w:gridSpan w:val="2"/>
          </w:tcPr>
          <w:p>
            <w:pPr>
              <w:pStyle w:val="nTable"/>
              <w:spacing w:before="60" w:after="60"/>
              <w:ind w:right="113"/>
              <w:rPr>
                <w:i/>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before="60" w:after="60"/>
            </w:pPr>
            <w:r>
              <w:rPr>
                <w:snapToGrid w:val="0"/>
              </w:rPr>
              <w:t>84 of 2004</w:t>
            </w:r>
          </w:p>
        </w:tc>
        <w:tc>
          <w:tcPr>
            <w:tcW w:w="1136" w:type="dxa"/>
            <w:gridSpan w:val="2"/>
          </w:tcPr>
          <w:p>
            <w:pPr>
              <w:pStyle w:val="nTable"/>
              <w:spacing w:before="60" w:after="60"/>
            </w:pPr>
            <w:r>
              <w:t>16 Dec 2004</w:t>
            </w:r>
          </w:p>
        </w:tc>
        <w:tc>
          <w:tcPr>
            <w:tcW w:w="2551" w:type="dxa"/>
            <w:gridSpan w:val="2"/>
          </w:tcPr>
          <w:p>
            <w:pPr>
              <w:pStyle w:val="nTable"/>
              <w:spacing w:before="60" w:after="60"/>
            </w:pPr>
            <w:r>
              <w:t xml:space="preserve">2 May 2005 (see s. 2 and </w:t>
            </w:r>
            <w:r>
              <w:rPr>
                <w:i/>
                <w:iCs/>
              </w:rPr>
              <w:t>Gazette</w:t>
            </w:r>
            <w:r>
              <w:t xml:space="preserve"> 31 Dec 2004 p. 7129 (correction in </w:t>
            </w:r>
            <w:r>
              <w:rPr>
                <w:i/>
                <w:iCs/>
              </w:rPr>
              <w:t>Gazette</w:t>
            </w:r>
            <w:r>
              <w:t xml:space="preserve"> 7 Jan 2005 p. 53))</w:t>
            </w:r>
          </w:p>
        </w:tc>
      </w:tr>
      <w:tr>
        <w:trPr>
          <w:gridAfter w:val="1"/>
          <w:wAfter w:w="13" w:type="dxa"/>
          <w:cantSplit/>
        </w:trPr>
        <w:tc>
          <w:tcPr>
            <w:tcW w:w="7089" w:type="dxa"/>
            <w:gridSpan w:val="8"/>
          </w:tcPr>
          <w:p>
            <w:pPr>
              <w:pStyle w:val="nTable"/>
              <w:spacing w:before="60" w:after="60"/>
            </w:pPr>
            <w:r>
              <w:rPr>
                <w:b/>
                <w:bCs/>
              </w:rPr>
              <w:t xml:space="preserve">Reprint 2: The </w:t>
            </w:r>
            <w:r>
              <w:rPr>
                <w:b/>
                <w:bCs/>
                <w:i/>
              </w:rPr>
              <w:t>Western Australian Marine Act 1982</w:t>
            </w:r>
            <w:r>
              <w:rPr>
                <w:b/>
                <w:bCs/>
              </w:rPr>
              <w:t xml:space="preserve"> as at 2 Dec 2005</w:t>
            </w:r>
            <w:r>
              <w:t xml:space="preserve"> (includes amendments listed above except those in the </w:t>
            </w:r>
            <w:r>
              <w:rPr>
                <w:bCs/>
                <w:i/>
                <w:iCs/>
              </w:rPr>
              <w:t>Dangerous Goods Safety Act 2004</w:t>
            </w:r>
            <w:r>
              <w:t>)</w:t>
            </w:r>
          </w:p>
        </w:tc>
      </w:tr>
      <w:tr>
        <w:trPr>
          <w:gridAfter w:val="1"/>
          <w:wAfter w:w="13" w:type="dxa"/>
          <w:cantSplit/>
        </w:trPr>
        <w:tc>
          <w:tcPr>
            <w:tcW w:w="2268" w:type="dxa"/>
            <w:gridSpan w:val="2"/>
          </w:tcPr>
          <w:p>
            <w:pPr>
              <w:pStyle w:val="nTable"/>
              <w:spacing w:before="60" w:after="60"/>
              <w:ind w:right="113"/>
              <w:rPr>
                <w:i/>
              </w:rPr>
            </w:pPr>
            <w:r>
              <w:rPr>
                <w:i/>
              </w:rPr>
              <w:t>Financial Legislation Amendment and Repeal Act 2006</w:t>
            </w:r>
            <w:r>
              <w:rPr>
                <w:iCs/>
              </w:rPr>
              <w:t xml:space="preserve"> s. 4</w:t>
            </w:r>
          </w:p>
        </w:tc>
        <w:tc>
          <w:tcPr>
            <w:tcW w:w="1134" w:type="dxa"/>
            <w:gridSpan w:val="2"/>
          </w:tcPr>
          <w:p>
            <w:pPr>
              <w:pStyle w:val="nTable"/>
              <w:spacing w:before="60" w:after="60"/>
            </w:pPr>
            <w:r>
              <w:t>77 of 2006</w:t>
            </w:r>
          </w:p>
        </w:tc>
        <w:tc>
          <w:tcPr>
            <w:tcW w:w="1136" w:type="dxa"/>
            <w:gridSpan w:val="2"/>
          </w:tcPr>
          <w:p>
            <w:pPr>
              <w:pStyle w:val="nTable"/>
              <w:spacing w:before="60" w:after="60"/>
            </w:pPr>
            <w:r>
              <w:t>21 Dec 2006</w:t>
            </w:r>
          </w:p>
        </w:tc>
        <w:tc>
          <w:tcPr>
            <w:tcW w:w="2551" w:type="dxa"/>
            <w:gridSpan w:val="2"/>
          </w:tcPr>
          <w:p>
            <w:pPr>
              <w:pStyle w:val="nTable"/>
              <w:spacing w:before="60" w:after="60"/>
            </w:pPr>
            <w:r>
              <w:t xml:space="preserve">1 Feb 2007 (see s. 2(1) and </w:t>
            </w:r>
            <w:r>
              <w:rPr>
                <w:i/>
                <w:iCs/>
              </w:rPr>
              <w:t>Gazette</w:t>
            </w:r>
            <w:r>
              <w:t xml:space="preserve"> 19 Jan 2007 p. 137)</w:t>
            </w:r>
          </w:p>
        </w:tc>
      </w:tr>
      <w:tr>
        <w:trPr>
          <w:gridBefore w:val="1"/>
          <w:wBefore w:w="12" w:type="dxa"/>
          <w:cantSplit/>
        </w:trPr>
        <w:tc>
          <w:tcPr>
            <w:tcW w:w="2267" w:type="dxa"/>
            <w:gridSpan w:val="2"/>
          </w:tcPr>
          <w:p>
            <w:pPr>
              <w:pStyle w:val="nTable"/>
              <w:spacing w:before="60" w:after="60"/>
              <w:ind w:right="113"/>
              <w:rPr>
                <w:iCs/>
              </w:rPr>
            </w:pPr>
            <w:r>
              <w:rPr>
                <w:i/>
              </w:rPr>
              <w:t>Statutes (Repeals and Miscellaneous Amendments) Act 2009</w:t>
            </w:r>
            <w:r>
              <w:rPr>
                <w:iCs/>
              </w:rPr>
              <w:t xml:space="preserve"> s. 137</w:t>
            </w:r>
          </w:p>
        </w:tc>
        <w:tc>
          <w:tcPr>
            <w:tcW w:w="1134" w:type="dxa"/>
            <w:gridSpan w:val="2"/>
          </w:tcPr>
          <w:p>
            <w:pPr>
              <w:pStyle w:val="nTable"/>
              <w:spacing w:before="60" w:after="60"/>
            </w:pPr>
            <w:r>
              <w:t xml:space="preserve">8 of 2009 </w:t>
            </w:r>
          </w:p>
        </w:tc>
        <w:tc>
          <w:tcPr>
            <w:tcW w:w="1136" w:type="dxa"/>
            <w:gridSpan w:val="2"/>
          </w:tcPr>
          <w:p>
            <w:pPr>
              <w:pStyle w:val="nTable"/>
              <w:spacing w:before="60" w:after="60"/>
            </w:pPr>
            <w:r>
              <w:t>21 May 2009</w:t>
            </w:r>
          </w:p>
        </w:tc>
        <w:tc>
          <w:tcPr>
            <w:tcW w:w="2553" w:type="dxa"/>
            <w:gridSpan w:val="2"/>
          </w:tcPr>
          <w:p>
            <w:pPr>
              <w:pStyle w:val="nTable"/>
              <w:spacing w:before="60" w:after="60"/>
            </w:pPr>
            <w:r>
              <w:t>22 May 2009 (see s. 2(b))</w:t>
            </w:r>
          </w:p>
        </w:tc>
      </w:tr>
      <w:tr>
        <w:trPr>
          <w:gridAfter w:val="1"/>
          <w:wAfter w:w="13" w:type="dxa"/>
          <w:cantSplit/>
        </w:trPr>
        <w:tc>
          <w:tcPr>
            <w:tcW w:w="2268" w:type="dxa"/>
            <w:gridSpan w:val="2"/>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60" w:after="60"/>
              <w:rPr>
                <w:snapToGrid w:val="0"/>
              </w:rPr>
            </w:pPr>
            <w:r>
              <w:rPr>
                <w:snapToGrid w:val="0"/>
              </w:rPr>
              <w:t>19 of 2010</w:t>
            </w:r>
          </w:p>
        </w:tc>
        <w:tc>
          <w:tcPr>
            <w:tcW w:w="1136" w:type="dxa"/>
            <w:gridSpan w:val="2"/>
          </w:tcPr>
          <w:p>
            <w:pPr>
              <w:pStyle w:val="nTable"/>
              <w:spacing w:before="60" w:after="60"/>
              <w:rPr>
                <w:snapToGrid w:val="0"/>
              </w:rPr>
            </w:pPr>
            <w:r>
              <w:rPr>
                <w:snapToGrid w:val="0"/>
              </w:rPr>
              <w:t>28 Jun 2010</w:t>
            </w:r>
          </w:p>
        </w:tc>
        <w:tc>
          <w:tcPr>
            <w:tcW w:w="2551" w:type="dxa"/>
            <w:gridSpan w:val="2"/>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3" w:type="dxa"/>
          <w:cantSplit/>
        </w:trPr>
        <w:tc>
          <w:tcPr>
            <w:tcW w:w="2268" w:type="dxa"/>
            <w:gridSpan w:val="2"/>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12 Div. 7</w:t>
            </w:r>
          </w:p>
        </w:tc>
        <w:tc>
          <w:tcPr>
            <w:tcW w:w="1134" w:type="dxa"/>
            <w:gridSpan w:val="2"/>
            <w:shd w:val="clear" w:color="auto" w:fill="auto"/>
          </w:tcPr>
          <w:p>
            <w:pPr>
              <w:pStyle w:val="nTable"/>
              <w:spacing w:before="60" w:after="60"/>
              <w:rPr>
                <w:snapToGrid w:val="0"/>
              </w:rPr>
            </w:pPr>
            <w:r>
              <w:rPr>
                <w:snapToGrid w:val="0"/>
              </w:rPr>
              <w:t>42 of 2011</w:t>
            </w:r>
          </w:p>
        </w:tc>
        <w:tc>
          <w:tcPr>
            <w:tcW w:w="1136" w:type="dxa"/>
            <w:gridSpan w:val="2"/>
            <w:shd w:val="clear" w:color="auto" w:fill="auto"/>
          </w:tcPr>
          <w:p>
            <w:pPr>
              <w:pStyle w:val="nTable"/>
              <w:spacing w:before="60" w:after="60"/>
              <w:rPr>
                <w:snapToGrid w:val="0"/>
              </w:rPr>
            </w:pPr>
            <w:r>
              <w:t>4 Oct 2011</w:t>
            </w:r>
          </w:p>
        </w:tc>
        <w:tc>
          <w:tcPr>
            <w:tcW w:w="2551" w:type="dxa"/>
            <w:gridSpan w:val="2"/>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rPr>
          <w:gridAfter w:val="1"/>
          <w:wAfter w:w="13" w:type="dxa"/>
          <w:cantSplit/>
        </w:trPr>
        <w:tc>
          <w:tcPr>
            <w:tcW w:w="7089" w:type="dxa"/>
            <w:gridSpan w:val="8"/>
            <w:shd w:val="clear" w:color="auto" w:fill="auto"/>
          </w:tcPr>
          <w:p>
            <w:pPr>
              <w:pStyle w:val="nTable"/>
              <w:spacing w:before="60" w:after="60"/>
              <w:rPr>
                <w:snapToGrid w:val="0"/>
              </w:rPr>
            </w:pPr>
            <w:r>
              <w:rPr>
                <w:b/>
                <w:bCs/>
              </w:rPr>
              <w:t xml:space="preserve">Reprint 3: The </w:t>
            </w:r>
            <w:r>
              <w:rPr>
                <w:b/>
                <w:bCs/>
                <w:i/>
              </w:rPr>
              <w:t>Western Australian Marine Act 1982</w:t>
            </w:r>
            <w:r>
              <w:rPr>
                <w:b/>
                <w:bCs/>
              </w:rPr>
              <w:t xml:space="preserve"> as at 27 Jul 2012</w:t>
            </w:r>
            <w:r>
              <w:t xml:space="preserve"> (includes amendments listed above) Correction in </w:t>
            </w:r>
            <w:r>
              <w:rPr>
                <w:i/>
              </w:rPr>
              <w:t>Gazette</w:t>
            </w:r>
            <w:r>
              <w:t xml:space="preserve"> 26 Jul 2013 p. 3354</w:t>
            </w:r>
          </w:p>
        </w:tc>
      </w:tr>
      <w:tr>
        <w:trPr>
          <w:gridAfter w:val="1"/>
          <w:wAfter w:w="13" w:type="dxa"/>
          <w:cantSplit/>
        </w:trPr>
        <w:tc>
          <w:tcPr>
            <w:tcW w:w="2268" w:type="dxa"/>
            <w:gridSpan w:val="2"/>
            <w:tcBorders>
              <w:bottom w:val="single" w:sz="8" w:space="0" w:color="auto"/>
            </w:tcBorders>
          </w:tcPr>
          <w:p>
            <w:pPr>
              <w:pStyle w:val="nTable"/>
              <w:spacing w:before="60" w:after="60"/>
              <w:ind w:right="113"/>
              <w:rPr>
                <w:iCs/>
                <w:snapToGrid w:val="0"/>
              </w:rPr>
            </w:pPr>
            <w:r>
              <w:rPr>
                <w:i/>
              </w:rPr>
              <w:t xml:space="preserve">Ports Legislation Amendment Act 2019 </w:t>
            </w:r>
            <w:r>
              <w:t>Pt 8</w:t>
            </w:r>
          </w:p>
        </w:tc>
        <w:tc>
          <w:tcPr>
            <w:tcW w:w="1134" w:type="dxa"/>
            <w:gridSpan w:val="2"/>
            <w:tcBorders>
              <w:bottom w:val="single" w:sz="8" w:space="0" w:color="auto"/>
            </w:tcBorders>
          </w:tcPr>
          <w:p>
            <w:pPr>
              <w:pStyle w:val="nTable"/>
              <w:spacing w:before="60" w:after="60"/>
              <w:rPr>
                <w:snapToGrid w:val="0"/>
              </w:rPr>
            </w:pPr>
            <w:r>
              <w:rPr>
                <w:snapToGrid w:val="0"/>
              </w:rPr>
              <w:t>2 of 2019</w:t>
            </w:r>
          </w:p>
        </w:tc>
        <w:tc>
          <w:tcPr>
            <w:tcW w:w="1136" w:type="dxa"/>
            <w:gridSpan w:val="2"/>
            <w:tcBorders>
              <w:bottom w:val="single" w:sz="8" w:space="0" w:color="auto"/>
            </w:tcBorders>
          </w:tcPr>
          <w:p>
            <w:pPr>
              <w:pStyle w:val="nTable"/>
              <w:spacing w:before="60" w:after="60"/>
              <w:rPr>
                <w:snapToGrid w:val="0"/>
              </w:rPr>
            </w:pPr>
            <w:r>
              <w:rPr>
                <w:snapToGrid w:val="0"/>
              </w:rPr>
              <w:t>26 Feb 2019</w:t>
            </w:r>
          </w:p>
        </w:tc>
        <w:tc>
          <w:tcPr>
            <w:tcW w:w="2551" w:type="dxa"/>
            <w:gridSpan w:val="2"/>
            <w:tcBorders>
              <w:bottom w:val="single" w:sz="8" w:space="0" w:color="auto"/>
            </w:tcBorders>
          </w:tcPr>
          <w:p>
            <w:pPr>
              <w:pStyle w:val="nTable"/>
              <w:spacing w:before="60" w:after="60"/>
              <w:rPr>
                <w:snapToGrid w:val="0"/>
              </w:rPr>
            </w:pPr>
            <w:r>
              <w:rPr>
                <w:snapToGrid w:val="0"/>
              </w:rPr>
              <w:t>27 Feb 2019 (see s. 2(b))</w:t>
            </w:r>
          </w:p>
        </w:tc>
      </w:tr>
    </w:tbl>
    <w:p>
      <w:pPr>
        <w:pStyle w:val="nHeading3"/>
      </w:pPr>
      <w:bookmarkStart w:id="363" w:name="_Toc155177743"/>
      <w:bookmarkStart w:id="364" w:name="_Toc132296424"/>
      <w:r>
        <w:t>Uncommenced provisions table</w:t>
      </w:r>
      <w:bookmarkEnd w:id="363"/>
      <w:bookmarkEnd w:id="364"/>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Layout w:type="fixed"/>
        <w:tblCellMar>
          <w:left w:w="56" w:type="dxa"/>
          <w:right w:w="56" w:type="dxa"/>
        </w:tblCellMar>
        <w:tblLook w:val="0000" w:firstRow="0" w:lastRow="0" w:firstColumn="0" w:lastColumn="0" w:noHBand="0" w:noVBand="0"/>
      </w:tblPr>
      <w:tblGrid>
        <w:gridCol w:w="2267"/>
        <w:gridCol w:w="1134"/>
        <w:gridCol w:w="1137"/>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ind w:right="113"/>
              <w:rPr>
                <w:vertAlign w:val="superscript"/>
              </w:rPr>
            </w:pPr>
            <w:r>
              <w:rPr>
                <w:i/>
                <w:snapToGrid w:val="0"/>
              </w:rPr>
              <w:t>Western Australian Marine Amendment Act 1987</w:t>
            </w:r>
            <w:r>
              <w:rPr>
                <w:snapToGrid w:val="0"/>
              </w:rPr>
              <w:t xml:space="preserve"> s. 4</w:t>
            </w:r>
            <w:r>
              <w:rPr>
                <w:snapToGrid w:val="0"/>
              </w:rPr>
              <w:noBreakHyphen/>
              <w:t>6</w:t>
            </w:r>
            <w:ins w:id="365" w:author="Master Repository Process" w:date="2024-01-03T12:33:00Z">
              <w:r>
                <w:rPr>
                  <w:snapToGrid w:val="0"/>
                  <w:vertAlign w:val="superscript"/>
                </w:rPr>
                <w:t> 3</w:t>
              </w:r>
            </w:ins>
          </w:p>
        </w:tc>
        <w:tc>
          <w:tcPr>
            <w:tcW w:w="1134" w:type="dxa"/>
            <w:tcBorders>
              <w:top w:val="single" w:sz="8" w:space="0" w:color="auto"/>
            </w:tcBorders>
          </w:tcPr>
          <w:p>
            <w:pPr>
              <w:pStyle w:val="nTable"/>
              <w:keepNext/>
              <w:spacing w:after="40"/>
            </w:pPr>
            <w:r>
              <w:t>15 of 1987</w:t>
            </w:r>
            <w:ins w:id="366" w:author="Master Repository Process" w:date="2024-01-03T12:33:00Z">
              <w:r>
                <w:t xml:space="preserve"> (as amended by No. 24 of 2023 Pt. 10 Div. 9)</w:t>
              </w:r>
            </w:ins>
          </w:p>
        </w:tc>
        <w:tc>
          <w:tcPr>
            <w:tcW w:w="1137" w:type="dxa"/>
            <w:tcBorders>
              <w:top w:val="single" w:sz="8" w:space="0" w:color="auto"/>
            </w:tcBorders>
          </w:tcPr>
          <w:p>
            <w:pPr>
              <w:pStyle w:val="nTable"/>
              <w:keepNext/>
              <w:spacing w:after="40"/>
            </w:pPr>
            <w:r>
              <w:t>25 Jun 1987</w:t>
            </w:r>
          </w:p>
        </w:tc>
        <w:tc>
          <w:tcPr>
            <w:tcW w:w="2552" w:type="dxa"/>
            <w:tcBorders>
              <w:top w:val="single" w:sz="8" w:space="0" w:color="auto"/>
            </w:tcBorders>
          </w:tcPr>
          <w:p>
            <w:pPr>
              <w:pStyle w:val="nTable"/>
              <w:keepNext/>
              <w:spacing w:after="40"/>
            </w:pPr>
            <w:r>
              <w:t>To be proclaimed (see s. 2)</w:t>
            </w:r>
          </w:p>
        </w:tc>
      </w:tr>
      <w:tr>
        <w:trPr>
          <w:cantSplit/>
        </w:trPr>
        <w:tc>
          <w:tcPr>
            <w:tcW w:w="2267" w:type="dxa"/>
            <w:shd w:val="clear" w:color="auto" w:fill="auto"/>
          </w:tcPr>
          <w:p>
            <w:pPr>
              <w:pStyle w:val="nTable"/>
              <w:spacing w:after="40"/>
              <w:ind w:right="113"/>
              <w:rPr>
                <w:snapToGrid w:val="0"/>
                <w:vertAlign w:val="superscript"/>
              </w:rPr>
            </w:pPr>
            <w:r>
              <w:rPr>
                <w:i/>
                <w:snapToGrid w:val="0"/>
              </w:rPr>
              <w:t>Western Australian Marine Amendment Act 1990</w:t>
            </w:r>
            <w:r>
              <w:rPr>
                <w:snapToGrid w:val="0"/>
              </w:rPr>
              <w:t xml:space="preserve"> s. 4(d), 6</w:t>
            </w:r>
            <w:r>
              <w:rPr>
                <w:snapToGrid w:val="0"/>
              </w:rPr>
              <w:noBreakHyphen/>
              <w:t>9 and</w:t>
            </w:r>
            <w:del w:id="367" w:author="Master Repository Process" w:date="2024-01-03T12:33:00Z">
              <w:r>
                <w:rPr>
                  <w:snapToGrid w:val="0"/>
                </w:rPr>
                <w:delText xml:space="preserve"> </w:delText>
              </w:r>
            </w:del>
            <w:ins w:id="368" w:author="Master Repository Process" w:date="2024-01-03T12:33:00Z">
              <w:r>
                <w:rPr>
                  <w:snapToGrid w:val="0"/>
                </w:rPr>
                <w:t> </w:t>
              </w:r>
            </w:ins>
            <w:r>
              <w:rPr>
                <w:snapToGrid w:val="0"/>
              </w:rPr>
              <w:t>12</w:t>
            </w:r>
            <w:ins w:id="369" w:author="Master Repository Process" w:date="2024-01-03T12:33:00Z">
              <w:r>
                <w:rPr>
                  <w:snapToGrid w:val="0"/>
                  <w:vertAlign w:val="superscript"/>
                </w:rPr>
                <w:t> 4</w:t>
              </w:r>
            </w:ins>
          </w:p>
        </w:tc>
        <w:tc>
          <w:tcPr>
            <w:tcW w:w="1134" w:type="dxa"/>
            <w:shd w:val="clear" w:color="auto" w:fill="auto"/>
          </w:tcPr>
          <w:p>
            <w:pPr>
              <w:pStyle w:val="nTable"/>
              <w:keepNext/>
              <w:spacing w:after="40"/>
            </w:pPr>
            <w:r>
              <w:t>35 of 1990</w:t>
            </w:r>
            <w:ins w:id="370" w:author="Master Repository Process" w:date="2024-01-03T12:33:00Z">
              <w:r>
                <w:t xml:space="preserve"> (as amended by No. 24 of 2023 Pt. 10 Div. 10)</w:t>
              </w:r>
            </w:ins>
          </w:p>
        </w:tc>
        <w:tc>
          <w:tcPr>
            <w:tcW w:w="1137" w:type="dxa"/>
            <w:shd w:val="clear" w:color="auto" w:fill="auto"/>
          </w:tcPr>
          <w:p>
            <w:pPr>
              <w:pStyle w:val="nTable"/>
              <w:keepNext/>
              <w:spacing w:after="40"/>
            </w:pPr>
            <w:r>
              <w:t>9 Oct 1990</w:t>
            </w:r>
          </w:p>
        </w:tc>
        <w:tc>
          <w:tcPr>
            <w:tcW w:w="2552" w:type="dxa"/>
            <w:shd w:val="clear" w:color="auto" w:fill="auto"/>
          </w:tcPr>
          <w:p>
            <w:pPr>
              <w:pStyle w:val="nTable"/>
              <w:keepNext/>
              <w:spacing w:after="40"/>
            </w:pPr>
            <w:r>
              <w:t>To be proclaimed (see s. 2)</w:t>
            </w:r>
          </w:p>
        </w:tc>
      </w:tr>
      <w:tr>
        <w:trPr>
          <w:cantSplit/>
        </w:trPr>
        <w:tc>
          <w:tcPr>
            <w:tcW w:w="2267" w:type="dxa"/>
            <w:shd w:val="clear" w:color="auto" w:fill="auto"/>
          </w:tcPr>
          <w:p>
            <w:pPr>
              <w:pStyle w:val="nTable"/>
              <w:spacing w:after="40"/>
              <w:ind w:right="113"/>
              <w:rPr>
                <w:i/>
                <w:snapToGrid w:val="0"/>
              </w:rPr>
            </w:pPr>
            <w:r>
              <w:rPr>
                <w:i/>
                <w:snapToGrid w:val="0"/>
              </w:rPr>
              <w:t>Aquatic Resources Management Act 2016</w:t>
            </w:r>
            <w:r>
              <w:rPr>
                <w:snapToGrid w:val="0"/>
              </w:rPr>
              <w:t xml:space="preserve"> s. 376</w:t>
            </w:r>
          </w:p>
        </w:tc>
        <w:tc>
          <w:tcPr>
            <w:tcW w:w="1134" w:type="dxa"/>
            <w:shd w:val="clear" w:color="auto" w:fill="auto"/>
          </w:tcPr>
          <w:p>
            <w:pPr>
              <w:pStyle w:val="nTable"/>
              <w:keepNext/>
              <w:spacing w:after="40"/>
            </w:pPr>
            <w:r>
              <w:t>53 of 2016</w:t>
            </w:r>
          </w:p>
        </w:tc>
        <w:tc>
          <w:tcPr>
            <w:tcW w:w="1137" w:type="dxa"/>
            <w:shd w:val="clear" w:color="auto" w:fill="auto"/>
          </w:tcPr>
          <w:p>
            <w:pPr>
              <w:pStyle w:val="nTable"/>
              <w:keepNext/>
              <w:spacing w:after="40"/>
            </w:pPr>
            <w:r>
              <w:t>29 Nov 2016</w:t>
            </w:r>
          </w:p>
        </w:tc>
        <w:tc>
          <w:tcPr>
            <w:tcW w:w="2552" w:type="dxa"/>
            <w:shd w:val="clear" w:color="auto" w:fill="auto"/>
          </w:tcPr>
          <w:p>
            <w:pPr>
              <w:pStyle w:val="nTable"/>
              <w:keepNext/>
              <w:spacing w:after="40"/>
            </w:pPr>
            <w:r>
              <w:rPr>
                <w:snapToGrid w:val="0"/>
              </w:rPr>
              <w:t>To be proclaimed (see s. 2(b))</w:t>
            </w:r>
          </w:p>
        </w:tc>
      </w:tr>
      <w:tr>
        <w:trPr>
          <w:cantSplit/>
          <w:ins w:id="371" w:author="Master Repository Process" w:date="2024-01-03T12:33:00Z"/>
        </w:trPr>
        <w:tc>
          <w:tcPr>
            <w:tcW w:w="2267" w:type="dxa"/>
            <w:tcBorders>
              <w:bottom w:val="single" w:sz="8" w:space="0" w:color="auto"/>
            </w:tcBorders>
            <w:shd w:val="clear" w:color="auto" w:fill="auto"/>
          </w:tcPr>
          <w:p>
            <w:pPr>
              <w:pStyle w:val="nTable"/>
              <w:spacing w:after="40"/>
              <w:ind w:right="113"/>
              <w:rPr>
                <w:ins w:id="372" w:author="Master Repository Process" w:date="2024-01-03T12:33:00Z"/>
                <w:iCs/>
                <w:snapToGrid w:val="0"/>
              </w:rPr>
            </w:pPr>
            <w:ins w:id="373" w:author="Master Repository Process" w:date="2024-01-03T12:33:00Z">
              <w:r>
                <w:rPr>
                  <w:i/>
                  <w:snapToGrid w:val="0"/>
                </w:rPr>
                <w:t>Marine Safety (Domestic Commercial Vessel National Law Application) Act 2023</w:t>
              </w:r>
              <w:r>
                <w:rPr>
                  <w:iCs/>
                  <w:snapToGrid w:val="0"/>
                </w:rPr>
                <w:t xml:space="preserve"> Pt. 9</w:t>
              </w:r>
            </w:ins>
          </w:p>
        </w:tc>
        <w:tc>
          <w:tcPr>
            <w:tcW w:w="1134" w:type="dxa"/>
            <w:tcBorders>
              <w:bottom w:val="single" w:sz="8" w:space="0" w:color="auto"/>
            </w:tcBorders>
            <w:shd w:val="clear" w:color="auto" w:fill="auto"/>
          </w:tcPr>
          <w:p>
            <w:pPr>
              <w:pStyle w:val="nTable"/>
              <w:keepNext/>
              <w:spacing w:after="40"/>
              <w:rPr>
                <w:ins w:id="374" w:author="Master Repository Process" w:date="2024-01-03T12:33:00Z"/>
              </w:rPr>
            </w:pPr>
            <w:ins w:id="375" w:author="Master Repository Process" w:date="2024-01-03T12:33:00Z">
              <w:r>
                <w:t>24 of 2023</w:t>
              </w:r>
            </w:ins>
          </w:p>
        </w:tc>
        <w:tc>
          <w:tcPr>
            <w:tcW w:w="1137" w:type="dxa"/>
            <w:tcBorders>
              <w:bottom w:val="single" w:sz="8" w:space="0" w:color="auto"/>
            </w:tcBorders>
            <w:shd w:val="clear" w:color="auto" w:fill="auto"/>
          </w:tcPr>
          <w:p>
            <w:pPr>
              <w:pStyle w:val="nTable"/>
              <w:keepNext/>
              <w:spacing w:after="40"/>
              <w:rPr>
                <w:ins w:id="376" w:author="Master Repository Process" w:date="2024-01-03T12:33:00Z"/>
                <w:highlight w:val="yellow"/>
              </w:rPr>
            </w:pPr>
            <w:ins w:id="377" w:author="Master Repository Process" w:date="2024-01-03T12:33:00Z">
              <w:r>
                <w:t>24 Oct 2023</w:t>
              </w:r>
            </w:ins>
          </w:p>
        </w:tc>
        <w:tc>
          <w:tcPr>
            <w:tcW w:w="2552" w:type="dxa"/>
            <w:tcBorders>
              <w:bottom w:val="single" w:sz="8" w:space="0" w:color="auto"/>
            </w:tcBorders>
            <w:shd w:val="clear" w:color="auto" w:fill="auto"/>
          </w:tcPr>
          <w:p>
            <w:pPr>
              <w:pStyle w:val="nTable"/>
              <w:keepNext/>
              <w:spacing w:after="40"/>
              <w:rPr>
                <w:ins w:id="378" w:author="Master Repository Process" w:date="2024-01-03T12:33:00Z"/>
                <w:snapToGrid w:val="0"/>
              </w:rPr>
            </w:pPr>
            <w:ins w:id="379" w:author="Master Repository Process" w:date="2024-01-03T12:33:00Z">
              <w:r>
                <w:rPr>
                  <w:snapToGrid w:val="0"/>
                </w:rPr>
                <w:t>To be proclaimed (see s. 2(b))</w:t>
              </w:r>
            </w:ins>
          </w:p>
        </w:tc>
      </w:tr>
    </w:tbl>
    <w:p>
      <w:pPr>
        <w:pStyle w:val="nHeading3"/>
      </w:pPr>
      <w:bookmarkStart w:id="380" w:name="_Toc155177744"/>
      <w:bookmarkStart w:id="381" w:name="_Toc132296425"/>
      <w:r>
        <w:t>Other notes</w:t>
      </w:r>
      <w:bookmarkEnd w:id="380"/>
      <w:bookmarkEnd w:id="381"/>
    </w:p>
    <w:p>
      <w:pPr>
        <w:pStyle w:val="nNote"/>
        <w:spacing w:before="120"/>
        <w:rPr>
          <w:iCs/>
        </w:rPr>
      </w:pPr>
      <w:r>
        <w:rPr>
          <w:snapToGrid w:val="0"/>
          <w:vertAlign w:val="superscript"/>
        </w:rPr>
        <w:t>1</w:t>
      </w:r>
      <w:r>
        <w:tab/>
        <w:t xml:space="preserve">Repealed by the </w:t>
      </w:r>
      <w:r>
        <w:rPr>
          <w:i/>
        </w:rPr>
        <w:t>Fisheries Legislation (Consequential Provisions) Act 1991</w:t>
      </w:r>
      <w:r>
        <w:t xml:space="preserve"> s. 3(2) (Cwlth).</w:t>
      </w:r>
    </w:p>
    <w:p>
      <w:pPr>
        <w:pStyle w:val="nNote"/>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del w:id="382" w:author="Master Repository Process" w:date="2024-01-03T12:33:00Z"/>
        </w:rPr>
      </w:pPr>
    </w:p>
    <w:p>
      <w:pPr>
        <w:rPr>
          <w:del w:id="383" w:author="Master Repository Process" w:date="2024-01-03T12:33:00Z"/>
        </w:r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Note"/>
        <w:spacing w:before="120"/>
        <w:rPr>
          <w:ins w:id="384" w:author="Master Repository Process" w:date="2024-01-03T12:33:00Z"/>
          <w:iCs/>
        </w:rPr>
      </w:pPr>
      <w:ins w:id="385" w:author="Master Repository Process" w:date="2024-01-03T12:33:00Z">
        <w:r>
          <w:rPr>
            <w:snapToGrid w:val="0"/>
            <w:vertAlign w:val="superscript"/>
          </w:rPr>
          <w:t>3</w:t>
        </w:r>
        <w:r>
          <w:tab/>
          <w:t xml:space="preserve">The </w:t>
        </w:r>
        <w:r>
          <w:rPr>
            <w:i/>
            <w:snapToGrid w:val="0"/>
          </w:rPr>
          <w:t>Western Australian Marine Amendment Act 1987</w:t>
        </w:r>
        <w:r>
          <w:rPr>
            <w:iCs/>
            <w:snapToGrid w:val="0"/>
          </w:rPr>
          <w:t xml:space="preserve"> will be repealed by the </w:t>
        </w:r>
        <w:r>
          <w:rPr>
            <w:i/>
            <w:snapToGrid w:val="0"/>
          </w:rPr>
          <w:t>Marine Safety (Domestic Commercial Vessel National Law Application) Act 2023</w:t>
        </w:r>
        <w:r>
          <w:rPr>
            <w:iCs/>
            <w:snapToGrid w:val="0"/>
          </w:rPr>
          <w:t xml:space="preserve"> Pt. 10 Div. 9 when it comes into operation</w:t>
        </w:r>
        <w:r>
          <w:t>.</w:t>
        </w:r>
      </w:ins>
    </w:p>
    <w:p>
      <w:pPr>
        <w:pStyle w:val="nNote"/>
        <w:spacing w:before="120"/>
        <w:rPr>
          <w:ins w:id="386" w:author="Master Repository Process" w:date="2024-01-03T12:33:00Z"/>
          <w:iCs/>
        </w:rPr>
      </w:pPr>
      <w:ins w:id="387" w:author="Master Repository Process" w:date="2024-01-03T12:33:00Z">
        <w:r>
          <w:rPr>
            <w:snapToGrid w:val="0"/>
            <w:vertAlign w:val="superscript"/>
          </w:rPr>
          <w:t>4</w:t>
        </w:r>
        <w:r>
          <w:tab/>
          <w:t xml:space="preserve">The </w:t>
        </w:r>
        <w:r>
          <w:rPr>
            <w:i/>
            <w:snapToGrid w:val="0"/>
          </w:rPr>
          <w:t>Western Australian Marine Amendment Act 1990</w:t>
        </w:r>
        <w:r>
          <w:rPr>
            <w:iCs/>
            <w:snapToGrid w:val="0"/>
          </w:rPr>
          <w:t xml:space="preserve"> </w:t>
        </w:r>
        <w:r>
          <w:rPr>
            <w:snapToGrid w:val="0"/>
          </w:rPr>
          <w:t>s. 4(d), 6</w:t>
        </w:r>
        <w:r>
          <w:rPr>
            <w:snapToGrid w:val="0"/>
          </w:rPr>
          <w:noBreakHyphen/>
          <w:t>9 and 12 will be deleted</w:t>
        </w:r>
        <w:r>
          <w:rPr>
            <w:iCs/>
            <w:snapToGrid w:val="0"/>
          </w:rPr>
          <w:t xml:space="preserve"> by the </w:t>
        </w:r>
        <w:r>
          <w:rPr>
            <w:i/>
            <w:snapToGrid w:val="0"/>
          </w:rPr>
          <w:t>Marine Safety (Domestic Commercial Vessel National Law Application) Act 2023</w:t>
        </w:r>
        <w:r>
          <w:rPr>
            <w:iCs/>
            <w:snapToGrid w:val="0"/>
          </w:rPr>
          <w:t xml:space="preserve"> Pt. 10 Div. 10 when it comes into operation</w:t>
        </w:r>
        <w:r>
          <w:t>.</w:t>
        </w:r>
      </w:ins>
    </w:p>
    <w:p>
      <w:pPr>
        <w:rPr>
          <w:ins w:id="388" w:author="Master Repository Process" w:date="2024-01-03T12:33:00Z"/>
        </w:rPr>
      </w:pPr>
    </w:p>
    <w:p>
      <w:pPr>
        <w:rPr>
          <w:ins w:id="389" w:author="Master Repository Process" w:date="2024-01-03T12:33:00Z"/>
        </w:rPr>
        <w:sectPr>
          <w:headerReference w:type="even" r:id="rId30"/>
          <w:headerReference w:type="default" r:id="rId31"/>
          <w:pgSz w:w="11907" w:h="16840" w:code="9"/>
          <w:pgMar w:top="2376" w:right="2405" w:bottom="3542" w:left="2405" w:header="706" w:footer="3544" w:gutter="0"/>
          <w:cols w:space="720"/>
          <w:noEndnote/>
          <w:docGrid w:linePitch="326"/>
        </w:sectPr>
      </w:pPr>
    </w:p>
    <w:p>
      <w:ins w:id="391" w:author="Master Repository Process" w:date="2024-01-03T12:3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92" w:author="Master Repository Process" w:date="2024-01-03T12:33:00Z"/>
                                  <w:sz w:val="16"/>
                                </w:rPr>
                              </w:pPr>
                              <w:ins w:id="393" w:author="Master Repository Process" w:date="2024-01-03T12: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94" w:author="Master Repository Process" w:date="2024-01-03T12:33:00Z"/>
                                  <w:sz w:val="16"/>
                                </w:rPr>
                              </w:pPr>
                              <w:ins w:id="395" w:author="Master Repository Process" w:date="2024-01-03T12: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96" w:author="Master Repository Process" w:date="2024-01-03T12:33:00Z"/>
                                  <w:sz w:val="16"/>
                                </w:rPr>
                              </w:pPr>
                              <w:ins w:id="397" w:author="Master Repository Process" w:date="2024-01-03T12: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98" w:author="Master Repository Process" w:date="2024-01-03T12:33:00Z"/>
                                  <w:rFonts w:ascii="Arial" w:hAnsi="Arial" w:cs="Arial"/>
                                  <w:sz w:val="12"/>
                                </w:rPr>
                              </w:pPr>
                              <w:ins w:id="399" w:author="Master Repository Process" w:date="2024-01-03T12:3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400" w:author="Master Repository Process" w:date="2024-01-03T12:33:00Z"/>
                            <w:sz w:val="16"/>
                          </w:rPr>
                        </w:pPr>
                        <w:ins w:id="401" w:author="Master Repository Process" w:date="2024-01-03T12: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02" w:author="Master Repository Process" w:date="2024-01-03T12:33:00Z"/>
                            <w:sz w:val="16"/>
                          </w:rPr>
                        </w:pPr>
                        <w:ins w:id="403" w:author="Master Repository Process" w:date="2024-01-03T12: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04" w:author="Master Repository Process" w:date="2024-01-03T12:33:00Z"/>
                            <w:sz w:val="16"/>
                          </w:rPr>
                        </w:pPr>
                        <w:ins w:id="405" w:author="Master Repository Process" w:date="2024-01-03T12: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06" w:author="Master Repository Process" w:date="2024-01-03T12:33:00Z"/>
                            <w:rFonts w:ascii="Arial" w:hAnsi="Arial" w:cs="Arial"/>
                            <w:sz w:val="12"/>
                          </w:rPr>
                        </w:pPr>
                        <w:ins w:id="407" w:author="Master Repository Process" w:date="2024-01-03T12:33:00Z">
                          <w:r>
                            <w:rPr>
                              <w:rFonts w:ascii="Arial" w:hAnsi="Arial" w:cs="Arial"/>
                              <w:sz w:val="12"/>
                            </w:rPr>
                            <w:t>By Authority: GEOFF O. LAWN, Government Printer</w:t>
                          </w:r>
                        </w:ins>
                      </w:p>
                    </w:txbxContent>
                  </v:textbox>
                  <w10:wrap anchorx="page" anchory="page"/>
                </v:shape>
              </w:pict>
            </mc:Fallback>
          </mc:AlternateContent>
        </w:r>
      </w:ins>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90" w:name="Compilation"/>
    <w:bookmarkEnd w:id="3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8" w:name="Coversheet"/>
    <w:bookmarkEnd w:id="4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58" w:name="Schedule"/>
    <w:bookmarkEnd w:id="3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0"/>
  </w:num>
  <w:num w:numId="1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v:stroke endarrow="open" endarrowwidth="narr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3434"/>
    <w:docVar w:name="WAFER_20140204120529" w:val="RemoveTocBookmarks,RemoveUnusedBookmarks,RemoveLanguageTags,UsedStyles,ResetPageSize,UpdateArrangement"/>
    <w:docVar w:name="WAFER_20140204120529_GUID" w:val="c609a752-54db-41be-831d-1a50756c3f73"/>
    <w:docVar w:name="WAFER_20140204122815" w:val="RemoveTocBookmarks,RunningHeaders"/>
    <w:docVar w:name="WAFER_20140204122815_GUID" w:val="b78d210a-8884-457d-93ad-2da9b2628c50"/>
    <w:docVar w:name="WAFER_20150713160322" w:val="ResetPageSize,UpdateArrangement,UpdateNTable"/>
    <w:docVar w:name="WAFER_20150713160322_GUID" w:val="468ed9d7-70fc-4cee-a808-53e365bf447e"/>
    <w:docVar w:name="WAFER_20151110121832" w:val="UpdateStyles,UsedStyles"/>
    <w:docVar w:name="WAFER_20151110121832_GUID" w:val="30731f47-ad18-45c8-ba26-84d7c6964571"/>
    <w:docVar w:name="WAFER_20190227105224" w:val="RemoveTocBookmarks,RemoveUnusedBookmarks,RemoveLanguageTags,UpdateStyles,UsedStyles,ResetPageSize"/>
    <w:docVar w:name="WAFER_20190227105224_GUID" w:val="1da0ecba-e654-4628-82a5-1c71f57f84e5"/>
    <w:docVar w:name="WAFER_20200212104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4356_GUID" w:val="ccf62f10-5a23-472d-a4bb-cbd26dde0ced"/>
    <w:docVar w:name="WAFER_202304131634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413163434_GUID" w:val="09fda80e-4b59-4a38-9f32-4ba3f98ea8b8"/>
    <w:docVar w:name="WAFER_202310231126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12609_GUID" w:val="a8a08af6-13af-4460-855f-ad3fbccfe543"/>
    <w:docVar w:name="WAFER_202312271434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434_GUID" w:val="77f3e53c-fc02-4813-ba68-7a0ae1e4de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endarrowwidth="narrow"/>
    </o:shapedefaults>
    <o:shapelayout v:ext="edit">
      <o:idmap v:ext="edit" data="1"/>
    </o:shapelayout>
  </w:shapeDefaults>
  <w:decimalSymbol w:val="."/>
  <w:listSeparator w:val=","/>
  <w15:docId w15:val="{F89EB35C-AF4D-41BF-876B-65E87B7D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9" Type="http://schemas.microsoft.com/office/2011/relationships/people" Target="people.xml"/><Relationship Id="rId21" Type="http://schemas.openxmlformats.org/officeDocument/2006/relationships/image" Target="media/image3.wmf"/><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60886</Words>
  <Characters>297127</Characters>
  <Application>Microsoft Office Word</Application>
  <DocSecurity>0</DocSecurity>
  <Lines>7247</Lines>
  <Paragraphs>3254</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354759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03-c0-02 - 03-d0-02</dc:title>
  <dc:subject/>
  <dc:creator/>
  <cp:keywords/>
  <dc:description/>
  <cp:lastModifiedBy>Master Repository Process</cp:lastModifiedBy>
  <cp:revision>2</cp:revision>
  <cp:lastPrinted>2023-10-25T07:45:00Z</cp:lastPrinted>
  <dcterms:created xsi:type="dcterms:W3CDTF">2024-01-03T04:33:00Z</dcterms:created>
  <dcterms:modified xsi:type="dcterms:W3CDTF">2024-01-03T04:33:00Z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DocumentType">
    <vt:lpwstr>Act</vt:lpwstr>
  </property>
  <property fmtid="{D5CDD505-2E9C-101B-9397-08002B2CF9AE}" pid="4" name="OwlsUID">
    <vt:i4>889</vt:i4>
  </property>
  <property fmtid="{D5CDD505-2E9C-101B-9397-08002B2CF9AE}" pid="5" name="ThisVersion">
    <vt:lpwstr>02-f0-00</vt:lpwstr>
  </property>
  <property fmtid="{D5CDD505-2E9C-101B-9397-08002B2CF9AE}" pid="6" name="ReprintNo">
    <vt:lpwstr>3</vt:lpwstr>
  </property>
  <property fmtid="{D5CDD505-2E9C-101B-9397-08002B2CF9AE}" pid="7" name="ReprintedAsAt">
    <vt:filetime>2012-07-26T16:00:00Z</vt:filetime>
  </property>
  <property fmtid="{D5CDD505-2E9C-101B-9397-08002B2CF9AE}" pid="8" name="Official">
    <vt:lpwstr/>
  </property>
  <property fmtid="{D5CDD505-2E9C-101B-9397-08002B2CF9AE}" pid="9" name="CommencementDate">
    <vt:lpwstr>20231024</vt:lpwstr>
  </property>
  <property fmtid="{D5CDD505-2E9C-101B-9397-08002B2CF9AE}" pid="10" name="CommencementAsAt">
    <vt:filetime>2023-10-23T16:00:00Z</vt:filetime>
  </property>
  <property fmtid="{D5CDD505-2E9C-101B-9397-08002B2CF9AE}" pid="11" name="CommencementYear">
    <vt:lpwstr>2023</vt:lpwstr>
  </property>
  <property fmtid="{D5CDD505-2E9C-101B-9397-08002B2CF9AE}" pid="12" name="FromSuffix">
    <vt:lpwstr>03-c0-02</vt:lpwstr>
  </property>
  <property fmtid="{D5CDD505-2E9C-101B-9397-08002B2CF9AE}" pid="13" name="FromAsAtDate">
    <vt:lpwstr>27 Feb 2019</vt:lpwstr>
  </property>
  <property fmtid="{D5CDD505-2E9C-101B-9397-08002B2CF9AE}" pid="14" name="ToSuffix">
    <vt:lpwstr>03-d0-02</vt:lpwstr>
  </property>
  <property fmtid="{D5CDD505-2E9C-101B-9397-08002B2CF9AE}" pid="15" name="ToAsAtDate">
    <vt:lpwstr>24 Oct 2023</vt:lpwstr>
  </property>
</Properties>
</file>