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7462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Liquor Control Regulations 1989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02 Nov 2023</w:t>
      </w:r>
      <w:r>
        <w:fldChar w:fldCharType="end"/>
      </w:r>
      <w:r>
        <w:t xml:space="preserve">, </w:t>
      </w:r>
      <w:r>
        <w:fldChar w:fldCharType="begin"/>
      </w:r>
      <w:r>
        <w:instrText xml:space="preserve"> DocProperty FromSuffix </w:instrText>
      </w:r>
      <w:r>
        <w:fldChar w:fldCharType="separate"/>
      </w:r>
      <w:r>
        <w:t>14-ah0-01</w:t>
      </w:r>
      <w:r>
        <w:fldChar w:fldCharType="end"/>
      </w:r>
      <w:r>
        <w:t>] and [</w:t>
      </w:r>
      <w:r>
        <w:fldChar w:fldCharType="begin"/>
      </w:r>
      <w:r>
        <w:instrText xml:space="preserve"> DocProperty ToAsAtDate</w:instrText>
      </w:r>
      <w:r>
        <w:fldChar w:fldCharType="separate"/>
      </w:r>
      <w:r>
        <w:t>14 Dec 2023</w:t>
      </w:r>
      <w:r>
        <w:fldChar w:fldCharType="end"/>
      </w:r>
      <w:r>
        <w:t xml:space="preserve">, </w:t>
      </w:r>
      <w:r>
        <w:fldChar w:fldCharType="begin"/>
      </w:r>
      <w:r>
        <w:instrText xml:space="preserve"> DocProperty ToSuffix</w:instrText>
      </w:r>
      <w:r>
        <w:fldChar w:fldCharType="separate"/>
      </w:r>
      <w:r>
        <w:t>14-ai0-00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1" w:name="_Toc153191836"/>
      <w:bookmarkStart w:id="2" w:name="_Toc155088905"/>
      <w:r>
        <w:rPr>
          <w:rStyle w:val="CharSectno"/>
        </w:rPr>
        <w:t>1</w:t>
      </w:r>
      <w:bookmarkStart w:id="3" w:name="_GoBack"/>
      <w:bookmarkEnd w:id="3"/>
      <w:r>
        <w:rPr>
          <w:snapToGrid w:val="0"/>
        </w:rPr>
        <w:t>.</w:t>
      </w:r>
      <w:r>
        <w:rPr>
          <w:snapToGrid w:val="0"/>
        </w:rPr>
        <w:tab/>
        <w:t>Citation</w:t>
      </w:r>
      <w:bookmarkEnd w:id="1"/>
      <w:bookmarkEnd w:id="2"/>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53191837"/>
      <w:bookmarkStart w:id="5" w:name="_Toc155088906"/>
      <w:r>
        <w:rPr>
          <w:rStyle w:val="CharSectno"/>
        </w:rPr>
        <w:t>2</w:t>
      </w:r>
      <w:r>
        <w:rPr>
          <w:snapToGrid w:val="0"/>
        </w:rPr>
        <w:t>.</w:t>
      </w:r>
      <w:r>
        <w:rPr>
          <w:snapToGrid w:val="0"/>
        </w:rPr>
        <w:tab/>
        <w:t>Commencement</w:t>
      </w:r>
      <w:bookmarkEnd w:id="4"/>
      <w:bookmarkEnd w:id="5"/>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6" w:name="_Toc153191838"/>
      <w:bookmarkStart w:id="7" w:name="_Toc155088907"/>
      <w:r>
        <w:rPr>
          <w:rStyle w:val="CharSectno"/>
        </w:rPr>
        <w:t>3</w:t>
      </w:r>
      <w:r>
        <w:rPr>
          <w:snapToGrid w:val="0"/>
        </w:rPr>
        <w:t>.</w:t>
      </w:r>
      <w:r>
        <w:rPr>
          <w:snapToGrid w:val="0"/>
        </w:rPr>
        <w:tab/>
        <w:t>Forms prescribed etc. (Sch. 1)</w:t>
      </w:r>
      <w:bookmarkEnd w:id="6"/>
      <w:bookmarkEnd w:id="7"/>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8" w:name="_Toc153191839"/>
      <w:bookmarkStart w:id="9" w:name="_Toc155088908"/>
      <w:r>
        <w:rPr>
          <w:rStyle w:val="CharSectno"/>
        </w:rPr>
        <w:t>3A</w:t>
      </w:r>
      <w:r>
        <w:rPr>
          <w:snapToGrid w:val="0"/>
        </w:rPr>
        <w:t>.</w:t>
      </w:r>
      <w:r>
        <w:rPr>
          <w:snapToGrid w:val="0"/>
        </w:rPr>
        <w:tab/>
        <w:t>Terms used</w:t>
      </w:r>
      <w:bookmarkEnd w:id="8"/>
      <w:bookmarkEnd w:id="9"/>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rPr>
          <w:ins w:id="10" w:author="Master Repository Process" w:date="2024-01-02T11:56:00Z"/>
        </w:rPr>
      </w:pPr>
      <w:ins w:id="11" w:author="Master Repository Process" w:date="2024-01-02T11:56:00Z">
        <w:r>
          <w:tab/>
        </w:r>
        <w:r>
          <w:rPr>
            <w:rStyle w:val="CharDefText"/>
          </w:rPr>
          <w:t>Authority</w:t>
        </w:r>
        <w:r>
          <w:t xml:space="preserve"> means the Western Australian Land Information Authority established by the </w:t>
        </w:r>
        <w:r>
          <w:rPr>
            <w:i/>
          </w:rPr>
          <w:t>Land Information Authority Act 2006</w:t>
        </w:r>
        <w:r>
          <w:t xml:space="preserve"> section 5(1);</w:t>
        </w:r>
      </w:ins>
    </w:p>
    <w:p>
      <w:pPr>
        <w:pStyle w:val="Defstart"/>
      </w:pPr>
      <w:r>
        <w:tab/>
      </w:r>
      <w:r>
        <w:rPr>
          <w:rStyle w:val="CharDefText"/>
        </w:rPr>
        <w:t>crowd controller</w:t>
      </w:r>
      <w:r>
        <w:t xml:space="preserve"> has the meaning given in section 126C(1);</w:t>
      </w:r>
    </w:p>
    <w:p>
      <w:pPr>
        <w:pStyle w:val="Defstart"/>
        <w:rPr>
          <w:ins w:id="12" w:author="Master Repository Process" w:date="2024-01-02T11:56:00Z"/>
        </w:rPr>
      </w:pPr>
      <w:ins w:id="13" w:author="Master Repository Process" w:date="2024-01-02T11:56:00Z">
        <w:r>
          <w:tab/>
        </w:r>
        <w:r>
          <w:rPr>
            <w:rStyle w:val="CharDefText"/>
          </w:rPr>
          <w:t>Deposited Plan</w:t>
        </w:r>
        <w:r>
          <w:t>, followed by a number, means the deposited plan of that number —</w:t>
        </w:r>
      </w:ins>
    </w:p>
    <w:p>
      <w:pPr>
        <w:pStyle w:val="Defpara"/>
        <w:rPr>
          <w:ins w:id="14" w:author="Master Repository Process" w:date="2024-01-02T11:56:00Z"/>
        </w:rPr>
      </w:pPr>
      <w:ins w:id="15" w:author="Master Repository Process" w:date="2024-01-02T11:56:00Z">
        <w:r>
          <w:tab/>
          <w:t>(a)</w:t>
        </w:r>
        <w:r>
          <w:tab/>
          <w:t>lodged with the Authority; and</w:t>
        </w:r>
      </w:ins>
    </w:p>
    <w:p>
      <w:pPr>
        <w:pStyle w:val="Defpara"/>
        <w:rPr>
          <w:ins w:id="16" w:author="Master Repository Process" w:date="2024-01-02T11:56:00Z"/>
        </w:rPr>
      </w:pPr>
      <w:ins w:id="17" w:author="Master Repository Process" w:date="2024-01-02T11:56:00Z">
        <w:r>
          <w:tab/>
          <w:t>(b)</w:t>
        </w:r>
        <w:r>
          <w:tab/>
          <w:t xml:space="preserve">approved by an authorised land officer as defined in the </w:t>
        </w:r>
        <w:r>
          <w:rPr>
            <w:i/>
          </w:rPr>
          <w:t>Land Administration Act 1997</w:t>
        </w:r>
        <w:r>
          <w:t xml:space="preserve"> section 3(1); </w:t>
        </w:r>
      </w:ins>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rPr>
          <w:ins w:id="18" w:author="Master Repository Process" w:date="2024-01-02T11:56:00Z"/>
        </w:rPr>
      </w:pPr>
      <w:ins w:id="19" w:author="Master Repository Process" w:date="2024-01-02T11:56:00Z">
        <w:r>
          <w:tab/>
        </w:r>
        <w:r>
          <w:rPr>
            <w:rStyle w:val="CharDefText"/>
          </w:rPr>
          <w:t>ID system</w:t>
        </w:r>
        <w:r>
          <w:t xml:space="preserve"> has the meaning given in section 152ZI;</w:t>
        </w:r>
      </w:ins>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w:t>
      </w:r>
      <w:ins w:id="20" w:author="Master Repository Process" w:date="2024-01-02T11:56:00Z">
        <w:r>
          <w:t> 4; SL 2023/196 r.</w:t>
        </w:r>
      </w:ins>
      <w:r>
        <w:t> 4.]</w:t>
      </w:r>
    </w:p>
    <w:p>
      <w:pPr>
        <w:pStyle w:val="Heading5"/>
        <w:keepLines w:val="0"/>
      </w:pPr>
      <w:bookmarkStart w:id="21" w:name="_Toc153191840"/>
      <w:bookmarkStart w:id="22" w:name="_Toc155088909"/>
      <w:r>
        <w:rPr>
          <w:rStyle w:val="CharSectno"/>
        </w:rPr>
        <w:t>3AB</w:t>
      </w:r>
      <w:r>
        <w:t>.</w:t>
      </w:r>
      <w:r>
        <w:tab/>
        <w:t xml:space="preserve">Kind of liquor prescribed (mist containing ethanol) (Act s. 3(1) </w:t>
      </w:r>
      <w:r>
        <w:rPr>
          <w:i/>
        </w:rPr>
        <w:t>kind</w:t>
      </w:r>
      <w:r>
        <w:t>)</w:t>
      </w:r>
      <w:bookmarkEnd w:id="21"/>
      <w:bookmarkEnd w:id="22"/>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23" w:name="_Toc153191841"/>
      <w:bookmarkStart w:id="24" w:name="_Toc155088910"/>
      <w:r>
        <w:rPr>
          <w:rStyle w:val="CharSectno"/>
        </w:rPr>
        <w:t>3AC</w:t>
      </w:r>
      <w:r>
        <w:t>.</w:t>
      </w:r>
      <w:r>
        <w:tab/>
        <w:t xml:space="preserve">Kind of liquor prescribed (aerosol containing ethanol) (Act s. 3(1) </w:t>
      </w:r>
      <w:r>
        <w:rPr>
          <w:i/>
        </w:rPr>
        <w:t>kind</w:t>
      </w:r>
      <w:r>
        <w:t>)</w:t>
      </w:r>
      <w:bookmarkEnd w:id="23"/>
      <w:bookmarkEnd w:id="24"/>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25" w:name="_Toc153191842"/>
      <w:bookmarkStart w:id="26" w:name="_Toc155088911"/>
      <w:r>
        <w:rPr>
          <w:rStyle w:val="CharSectno"/>
        </w:rPr>
        <w:t>3AD</w:t>
      </w:r>
      <w:r>
        <w:t>.</w:t>
      </w:r>
      <w:r>
        <w:tab/>
        <w:t xml:space="preserve">Kind of liquor prescribed (powdered alcohol) (Act s. 3(1) </w:t>
      </w:r>
      <w:r>
        <w:rPr>
          <w:i/>
        </w:rPr>
        <w:t>kind</w:t>
      </w:r>
      <w:r>
        <w:t>)</w:t>
      </w:r>
      <w:bookmarkEnd w:id="25"/>
      <w:bookmarkEnd w:id="26"/>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27" w:name="_Toc153191843"/>
      <w:bookmarkStart w:id="28" w:name="_Toc155088912"/>
      <w:r>
        <w:rPr>
          <w:rStyle w:val="CharSectno"/>
        </w:rPr>
        <w:t>4</w:t>
      </w:r>
      <w:r>
        <w:rPr>
          <w:snapToGrid w:val="0"/>
        </w:rPr>
        <w:t>.</w:t>
      </w:r>
      <w:r>
        <w:rPr>
          <w:snapToGrid w:val="0"/>
        </w:rPr>
        <w:tab/>
        <w:t xml:space="preserve">Level prescribed </w:t>
      </w:r>
      <w:r>
        <w:t xml:space="preserve">(Act s. 3(1) </w:t>
      </w:r>
      <w:r>
        <w:rPr>
          <w:i/>
        </w:rPr>
        <w:t>low alcohol liquor</w:t>
      </w:r>
      <w:r>
        <w:t>)</w:t>
      </w:r>
      <w:bookmarkEnd w:id="27"/>
      <w:bookmarkEnd w:id="28"/>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29" w:name="_Toc153191844"/>
      <w:bookmarkStart w:id="30" w:name="_Toc155088913"/>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29"/>
      <w:bookmarkEnd w:id="30"/>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31" w:name="_Toc153191845"/>
      <w:bookmarkStart w:id="32" w:name="_Toc155088914"/>
      <w:r>
        <w:rPr>
          <w:rStyle w:val="CharSectno"/>
        </w:rPr>
        <w:t>4A</w:t>
      </w:r>
      <w:r>
        <w:rPr>
          <w:snapToGrid w:val="0"/>
        </w:rPr>
        <w:t>.</w:t>
      </w:r>
      <w:r>
        <w:rPr>
          <w:snapToGrid w:val="0"/>
        </w:rPr>
        <w:tab/>
        <w:t xml:space="preserve">Substances prescribed (food items) </w:t>
      </w:r>
      <w:r>
        <w:t xml:space="preserve">(Act s. 3(1) </w:t>
      </w:r>
      <w:r>
        <w:rPr>
          <w:i/>
        </w:rPr>
        <w:t>liquor</w:t>
      </w:r>
      <w:r>
        <w:t>)</w:t>
      </w:r>
      <w:bookmarkEnd w:id="31"/>
      <w:bookmarkEnd w:id="32"/>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33" w:name="_Toc153191846"/>
      <w:bookmarkStart w:id="34" w:name="_Toc155088915"/>
      <w:r>
        <w:rPr>
          <w:rStyle w:val="CharSectno"/>
        </w:rPr>
        <w:t>4AB</w:t>
      </w:r>
      <w:r>
        <w:t>.</w:t>
      </w:r>
      <w:r>
        <w:tab/>
        <w:t>Substance prescribed (mist containing ethanol) (Act s. 3(1) </w:t>
      </w:r>
      <w:r>
        <w:rPr>
          <w:i/>
        </w:rPr>
        <w:t>liquor</w:t>
      </w:r>
      <w:r>
        <w:t>)</w:t>
      </w:r>
      <w:bookmarkEnd w:id="33"/>
      <w:bookmarkEnd w:id="34"/>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35" w:name="_Toc153191847"/>
      <w:bookmarkStart w:id="36" w:name="_Toc155088916"/>
      <w:r>
        <w:rPr>
          <w:rStyle w:val="CharSectno"/>
        </w:rPr>
        <w:t>4AC</w:t>
      </w:r>
      <w:r>
        <w:t>.</w:t>
      </w:r>
      <w:r>
        <w:tab/>
        <w:t xml:space="preserve">Substance prescribed (aerosol containing ethanol) (Act s. 3(1) </w:t>
      </w:r>
      <w:r>
        <w:rPr>
          <w:i/>
        </w:rPr>
        <w:t>liquor</w:t>
      </w:r>
      <w:r>
        <w:t>)</w:t>
      </w:r>
      <w:bookmarkEnd w:id="35"/>
      <w:bookmarkEnd w:id="36"/>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37" w:name="_Toc153191848"/>
      <w:bookmarkStart w:id="38" w:name="_Toc155088917"/>
      <w:r>
        <w:rPr>
          <w:rStyle w:val="CharSectno"/>
        </w:rPr>
        <w:t>4AD</w:t>
      </w:r>
      <w:r>
        <w:t>.</w:t>
      </w:r>
      <w:r>
        <w:tab/>
        <w:t xml:space="preserve">Substance prescribed (powdered alcohol) (Act s. 3(1) </w:t>
      </w:r>
      <w:r>
        <w:rPr>
          <w:i/>
        </w:rPr>
        <w:t>liquor</w:t>
      </w:r>
      <w:r>
        <w:t>)</w:t>
      </w:r>
      <w:bookmarkEnd w:id="37"/>
      <w:bookmarkEnd w:id="38"/>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39" w:name="_Toc153191849"/>
      <w:bookmarkStart w:id="40" w:name="_Toc155088918"/>
      <w:r>
        <w:rPr>
          <w:rStyle w:val="CharSectno"/>
        </w:rPr>
        <w:t>4AE</w:t>
      </w:r>
      <w:r>
        <w:t>.</w:t>
      </w:r>
      <w:r>
        <w:rPr>
          <w:rStyle w:val="CharSectno"/>
        </w:rPr>
        <w:tab/>
      </w:r>
      <w:r>
        <w:t>Substance prescribed (liqueur chocolate) (Act s. 3(1) liquor)</w:t>
      </w:r>
      <w:bookmarkEnd w:id="39"/>
      <w:bookmarkEnd w:id="40"/>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41" w:name="_Toc153191850"/>
      <w:bookmarkStart w:id="42" w:name="_Toc155088919"/>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41"/>
      <w:bookmarkEnd w:id="42"/>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43" w:name="_Toc153191851"/>
      <w:bookmarkStart w:id="44" w:name="_Toc155088920"/>
      <w:r>
        <w:rPr>
          <w:rStyle w:val="CharSectno"/>
        </w:rPr>
        <w:t>5A</w:t>
      </w:r>
      <w:r>
        <w:t>.</w:t>
      </w:r>
      <w:r>
        <w:tab/>
        <w:t xml:space="preserve">Quantities prescribed </w:t>
      </w:r>
      <w:r>
        <w:rPr>
          <w:snapToGrid w:val="0"/>
        </w:rPr>
        <w:t>(Act s.</w:t>
      </w:r>
      <w:r>
        <w:t xml:space="preserve"> 3(1) </w:t>
      </w:r>
      <w:r>
        <w:rPr>
          <w:i/>
        </w:rPr>
        <w:t>sample</w:t>
      </w:r>
      <w:r>
        <w:t>)</w:t>
      </w:r>
      <w:bookmarkEnd w:id="43"/>
      <w:bookmarkEnd w:id="44"/>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45" w:name="_Toc153191852"/>
      <w:bookmarkStart w:id="46" w:name="_Toc155088921"/>
      <w:r>
        <w:rPr>
          <w:rStyle w:val="CharSectno"/>
        </w:rPr>
        <w:t>5B</w:t>
      </w:r>
      <w:r>
        <w:t>.</w:t>
      </w:r>
      <w:r>
        <w:tab/>
        <w:t xml:space="preserve">Positions of authority in body corporate prescribed </w:t>
      </w:r>
      <w:r>
        <w:rPr>
          <w:snapToGrid w:val="0"/>
        </w:rPr>
        <w:t>(Act s.</w:t>
      </w:r>
      <w:r>
        <w:t> 3(4)(d))</w:t>
      </w:r>
      <w:bookmarkEnd w:id="45"/>
      <w:bookmarkEnd w:id="46"/>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keepNext/>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47" w:name="_Toc153191853"/>
      <w:bookmarkStart w:id="48" w:name="_Toc155088922"/>
      <w:r>
        <w:rPr>
          <w:rStyle w:val="CharSectno"/>
        </w:rPr>
        <w:t>5C</w:t>
      </w:r>
      <w:r>
        <w:t>.</w:t>
      </w:r>
      <w:r>
        <w:tab/>
        <w:t>Types of special facility licence prescribed (Act s. 4(6))</w:t>
      </w:r>
      <w:bookmarkEnd w:id="47"/>
      <w:bookmarkEnd w:id="48"/>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49" w:name="_Toc153191854"/>
      <w:bookmarkStart w:id="50" w:name="_Toc155088923"/>
      <w:r>
        <w:rPr>
          <w:rStyle w:val="CharSectno"/>
        </w:rPr>
        <w:t>7</w:t>
      </w:r>
      <w:r>
        <w:rPr>
          <w:snapToGrid w:val="0"/>
        </w:rPr>
        <w:t>.</w:t>
      </w:r>
      <w:r>
        <w:rPr>
          <w:snapToGrid w:val="0"/>
        </w:rPr>
        <w:tab/>
        <w:t>Approved courses (Act s. 6(1)(c))</w:t>
      </w:r>
      <w:bookmarkEnd w:id="49"/>
      <w:bookmarkEnd w:id="50"/>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51" w:name="_Toc153191855"/>
      <w:bookmarkStart w:id="52" w:name="_Toc155088924"/>
      <w:r>
        <w:rPr>
          <w:rStyle w:val="CharSectno"/>
        </w:rPr>
        <w:t>8</w:t>
      </w:r>
      <w:r>
        <w:rPr>
          <w:snapToGrid w:val="0"/>
        </w:rPr>
        <w:t>.</w:t>
      </w:r>
      <w:r>
        <w:rPr>
          <w:snapToGrid w:val="0"/>
        </w:rPr>
        <w:tab/>
        <w:t>Exemption from Act, certain sales etc.</w:t>
      </w:r>
      <w:bookmarkEnd w:id="51"/>
      <w:bookmarkEnd w:id="52"/>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53" w:name="_Toc153191856"/>
      <w:bookmarkStart w:id="54" w:name="_Toc155088925"/>
      <w:r>
        <w:rPr>
          <w:rStyle w:val="CharSectno"/>
        </w:rPr>
        <w:t>8A</w:t>
      </w:r>
      <w:r>
        <w:t>.</w:t>
      </w:r>
      <w:r>
        <w:tab/>
        <w:t>Exemption from Act, consumption at live entertainment venues</w:t>
      </w:r>
      <w:bookmarkEnd w:id="53"/>
      <w:bookmarkEnd w:id="54"/>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the presentation, visually or acoustically (or both), of entertainment taking place at another 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55" w:name="_Toc153191857"/>
      <w:bookmarkStart w:id="56" w:name="_Toc155088926"/>
      <w:r>
        <w:rPr>
          <w:rStyle w:val="CharSectno"/>
        </w:rPr>
        <w:t>8B</w:t>
      </w:r>
      <w:r>
        <w:t>.</w:t>
      </w:r>
      <w:r>
        <w:tab/>
        <w:t>Exemption from Act, sales etc. at certain functions</w:t>
      </w:r>
      <w:bookmarkEnd w:id="55"/>
      <w:bookmarkEnd w:id="56"/>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57" w:name="_Toc153191858"/>
      <w:bookmarkStart w:id="58" w:name="_Toc155088927"/>
      <w:r>
        <w:rPr>
          <w:rStyle w:val="CharSectno"/>
        </w:rPr>
        <w:t>8C</w:t>
      </w:r>
      <w:r>
        <w:t>.</w:t>
      </w:r>
      <w:r>
        <w:tab/>
        <w:t>Exemption from Act, complimentary supply by business</w:t>
      </w:r>
      <w:bookmarkEnd w:id="57"/>
      <w:bookmarkEnd w:id="58"/>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59" w:name="_Toc153191859"/>
      <w:bookmarkStart w:id="60" w:name="_Toc155088928"/>
      <w:r>
        <w:rPr>
          <w:rStyle w:val="CharSectno"/>
        </w:rPr>
        <w:t>8CA</w:t>
      </w:r>
      <w:r>
        <w:t>.</w:t>
      </w:r>
      <w:r>
        <w:tab/>
        <w:t>Exemption for complimentary supply by tourism businesses</w:t>
      </w:r>
      <w:bookmarkEnd w:id="59"/>
      <w:bookmarkEnd w:id="60"/>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61" w:name="_Toc153191860"/>
      <w:bookmarkStart w:id="62" w:name="_Toc155088929"/>
      <w:r>
        <w:rPr>
          <w:rStyle w:val="CharSectno"/>
        </w:rPr>
        <w:t>8D</w:t>
      </w:r>
      <w:r>
        <w:t>.</w:t>
      </w:r>
      <w:r>
        <w:tab/>
        <w:t>Exemption from Act, sales etc. at farmers’ markets</w:t>
      </w:r>
      <w:bookmarkEnd w:id="61"/>
      <w:bookmarkEnd w:id="62"/>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63" w:name="_Toc153191861"/>
      <w:bookmarkStart w:id="64" w:name="_Toc155088930"/>
      <w:r>
        <w:rPr>
          <w:rStyle w:val="CharSectno"/>
        </w:rPr>
        <w:t>8E</w:t>
      </w:r>
      <w:r>
        <w:t>.</w:t>
      </w:r>
      <w:r>
        <w:tab/>
        <w:t>Exemption from Act, sales etc. at functions on licensed premises</w:t>
      </w:r>
      <w:bookmarkEnd w:id="63"/>
      <w:bookmarkEnd w:id="64"/>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65" w:name="_Toc153191862"/>
      <w:bookmarkStart w:id="66" w:name="_Toc155088931"/>
      <w:r>
        <w:rPr>
          <w:rStyle w:val="CharSectno"/>
        </w:rPr>
        <w:t>8F</w:t>
      </w:r>
      <w:r>
        <w:t>.</w:t>
      </w:r>
      <w:r>
        <w:tab/>
        <w:t>Exemption from Act for consumption in on</w:t>
      </w:r>
      <w:r>
        <w:noBreakHyphen/>
        <w:t>demand charter vehicle (Act s. 6(1)(o))</w:t>
      </w:r>
      <w:bookmarkEnd w:id="65"/>
      <w:bookmarkEnd w:id="66"/>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67" w:name="_Toc153191863"/>
      <w:bookmarkStart w:id="68" w:name="_Toc155088932"/>
      <w:r>
        <w:rPr>
          <w:rStyle w:val="CharSectno"/>
        </w:rPr>
        <w:t>8G</w:t>
      </w:r>
      <w:r>
        <w:t>.</w:t>
      </w:r>
      <w:r>
        <w:tab/>
        <w:t>Exemption from Act in relation to liquor competition (Act s. 6(1)(o))</w:t>
      </w:r>
      <w:bookmarkEnd w:id="67"/>
      <w:bookmarkEnd w:id="68"/>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69" w:name="_Toc153191864"/>
      <w:bookmarkStart w:id="70" w:name="_Toc155088933"/>
      <w:r>
        <w:rPr>
          <w:rStyle w:val="CharSectno"/>
        </w:rPr>
        <w:t>9</w:t>
      </w:r>
      <w:r>
        <w:rPr>
          <w:snapToGrid w:val="0"/>
        </w:rPr>
        <w:t>.</w:t>
      </w:r>
      <w:r>
        <w:rPr>
          <w:snapToGrid w:val="0"/>
        </w:rPr>
        <w:tab/>
        <w:t>Persons who may take and administer oaths and affirmations (Act s. 18(3)(c))</w:t>
      </w:r>
      <w:bookmarkEnd w:id="69"/>
      <w:bookmarkEnd w:id="70"/>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keepNext/>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71" w:name="_Toc153191865"/>
      <w:bookmarkStart w:id="72" w:name="_Toc155088934"/>
      <w:r>
        <w:rPr>
          <w:rStyle w:val="CharSectno"/>
        </w:rPr>
        <w:t>9AA</w:t>
      </w:r>
      <w:r>
        <w:t>.</w:t>
      </w:r>
      <w:r>
        <w:tab/>
        <w:t xml:space="preserve">Distance prescribed </w:t>
      </w:r>
      <w:r>
        <w:rPr>
          <w:snapToGrid w:val="0"/>
        </w:rPr>
        <w:t>(Act s.</w:t>
      </w:r>
      <w:r>
        <w:t> 36A(2)(b))</w:t>
      </w:r>
      <w:bookmarkEnd w:id="71"/>
      <w:bookmarkEnd w:id="72"/>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73" w:name="_Toc153191866"/>
      <w:bookmarkStart w:id="74" w:name="_Toc155088935"/>
      <w:r>
        <w:rPr>
          <w:rStyle w:val="CharSectno"/>
        </w:rPr>
        <w:t>9AAA</w:t>
      </w:r>
      <w:r>
        <w:t>.</w:t>
      </w:r>
      <w:r>
        <w:tab/>
        <w:t>Area prescribed (Act s. 36B)</w:t>
      </w:r>
      <w:bookmarkEnd w:id="73"/>
      <w:bookmarkEnd w:id="74"/>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75" w:name="_Toc153191867"/>
      <w:bookmarkStart w:id="76" w:name="_Toc155088936"/>
      <w:r>
        <w:rPr>
          <w:rStyle w:val="CharSectno"/>
        </w:rPr>
        <w:t>9AAB</w:t>
      </w:r>
      <w:r>
        <w:t>.</w:t>
      </w:r>
      <w:r>
        <w:tab/>
        <w:t>Distance prescribed (Act s. 36B)</w:t>
      </w:r>
      <w:bookmarkEnd w:id="75"/>
      <w:bookmarkEnd w:id="76"/>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77" w:name="_Toc153191868"/>
      <w:bookmarkStart w:id="78" w:name="_Toc155088937"/>
      <w:r>
        <w:rPr>
          <w:rStyle w:val="CharSectno"/>
        </w:rPr>
        <w:t>9A</w:t>
      </w:r>
      <w:r>
        <w:t>.</w:t>
      </w:r>
      <w:r>
        <w:tab/>
      </w:r>
      <w:r>
        <w:rPr>
          <w:snapToGrid w:val="0"/>
        </w:rPr>
        <w:t>Special facility licence, purposes for which may be granted</w:t>
      </w:r>
      <w:bookmarkEnd w:id="77"/>
      <w:bookmarkEnd w:id="78"/>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keepNext/>
      </w:pPr>
      <w:r>
        <w:tab/>
        <w:t>(c)</w:t>
      </w:r>
      <w:r>
        <w:tab/>
        <w:t xml:space="preserve">the licensee must dispatch the wine sold — </w:t>
      </w:r>
    </w:p>
    <w:p>
      <w:pPr>
        <w:pStyle w:val="Indenti"/>
        <w:keepNext/>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79" w:name="_Toc153191869"/>
      <w:bookmarkStart w:id="80" w:name="_Toc155088938"/>
      <w:r>
        <w:rPr>
          <w:rStyle w:val="CharSectno"/>
        </w:rPr>
        <w:t>9AB</w:t>
      </w:r>
      <w:r>
        <w:t>.</w:t>
      </w:r>
      <w:r>
        <w:tab/>
        <w:t xml:space="preserve">Kind of extended trading permit prescribed </w:t>
      </w:r>
      <w:r>
        <w:rPr>
          <w:snapToGrid w:val="0"/>
        </w:rPr>
        <w:t>(Act s.</w:t>
      </w:r>
      <w:r>
        <w:t> 25(5a))</w:t>
      </w:r>
      <w:bookmarkEnd w:id="79"/>
      <w:bookmarkEnd w:id="80"/>
    </w:p>
    <w:p>
      <w:pPr>
        <w:pStyle w:val="Subsection"/>
        <w:keepNext/>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81" w:name="_Toc153191870"/>
      <w:bookmarkStart w:id="82" w:name="_Toc155088939"/>
      <w:r>
        <w:rPr>
          <w:rStyle w:val="CharSectno"/>
        </w:rPr>
        <w:t>9B</w:t>
      </w:r>
      <w:r>
        <w:rPr>
          <w:snapToGrid w:val="0"/>
        </w:rPr>
        <w:t>.</w:t>
      </w:r>
      <w:r>
        <w:rPr>
          <w:snapToGrid w:val="0"/>
        </w:rPr>
        <w:tab/>
        <w:t>Special facility licence, effect of as to sale of packaged liquor</w:t>
      </w:r>
      <w:bookmarkEnd w:id="81"/>
      <w:bookmarkEnd w:id="82"/>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83" w:name="_Toc153191871"/>
      <w:bookmarkStart w:id="84" w:name="_Toc155088940"/>
      <w:r>
        <w:rPr>
          <w:rStyle w:val="CharSectno"/>
        </w:rPr>
        <w:t>9C</w:t>
      </w:r>
      <w:r>
        <w:t>.</w:t>
      </w:r>
      <w:r>
        <w:tab/>
        <w:t>Types of special facility licence prescribed (Act s. 46(6))</w:t>
      </w:r>
      <w:bookmarkEnd w:id="83"/>
      <w:bookmarkEnd w:id="84"/>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keepNext/>
      </w:pPr>
      <w:r>
        <w:tab/>
        <w:t>(k)</w:t>
      </w:r>
      <w:r>
        <w:tab/>
        <w:t>regulation 9A(15) and (16) — room service restaurant;</w:t>
      </w:r>
    </w:p>
    <w:p>
      <w:pPr>
        <w:pStyle w:val="Indenta"/>
        <w:keepNext/>
      </w:pPr>
      <w:r>
        <w:tab/>
        <w:t>(l)</w:t>
      </w:r>
      <w:r>
        <w:tab/>
        <w:t>regulation 9A(22) — auction.</w:t>
      </w:r>
    </w:p>
    <w:p>
      <w:pPr>
        <w:pStyle w:val="Footnotesection"/>
      </w:pPr>
      <w:r>
        <w:tab/>
        <w:t>[Regulation 9C inserted: Gazette 8 Dec 2017 p. 5850.]</w:t>
      </w:r>
    </w:p>
    <w:p>
      <w:pPr>
        <w:pStyle w:val="Heading5"/>
      </w:pPr>
      <w:bookmarkStart w:id="85" w:name="_Toc153191872"/>
      <w:bookmarkStart w:id="86" w:name="_Toc155088941"/>
      <w:r>
        <w:rPr>
          <w:rStyle w:val="CharSectno"/>
        </w:rPr>
        <w:t>9D</w:t>
      </w:r>
      <w:r>
        <w:t>.</w:t>
      </w:r>
      <w:r>
        <w:tab/>
      </w:r>
      <w:r>
        <w:rPr>
          <w:snapToGrid w:val="0"/>
        </w:rPr>
        <w:t>Act s.</w:t>
      </w:r>
      <w:r>
        <w:t> 33(6b) modified as to occasional licences</w:t>
      </w:r>
      <w:bookmarkEnd w:id="85"/>
      <w:bookmarkEnd w:id="86"/>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87" w:name="_Toc153191873"/>
      <w:bookmarkStart w:id="88" w:name="_Toc155088942"/>
      <w:r>
        <w:rPr>
          <w:rStyle w:val="CharSectno"/>
        </w:rPr>
        <w:t>9E</w:t>
      </w:r>
      <w:r>
        <w:t>.</w:t>
      </w:r>
      <w:r>
        <w:tab/>
        <w:t>Period prescribed (Act s. 33(6D)(b))</w:t>
      </w:r>
      <w:bookmarkEnd w:id="87"/>
      <w:bookmarkEnd w:id="88"/>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89" w:name="_Toc153191874"/>
      <w:bookmarkStart w:id="90" w:name="_Toc155088943"/>
      <w:r>
        <w:rPr>
          <w:rStyle w:val="CharSectno"/>
        </w:rPr>
        <w:t>9EA</w:t>
      </w:r>
      <w:r>
        <w:t>.</w:t>
      </w:r>
      <w:r>
        <w:tab/>
        <w:t>Kinds of licence prescribed (Act s. 38(1)(a))</w:t>
      </w:r>
      <w:bookmarkEnd w:id="89"/>
      <w:bookmarkEnd w:id="90"/>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keepNext/>
      </w:pPr>
      <w:r>
        <w:tab/>
        <w:t>(c)</w:t>
      </w:r>
      <w:r>
        <w:tab/>
        <w:t>a casino liquor licence;</w:t>
      </w:r>
    </w:p>
    <w:p>
      <w:pPr>
        <w:pStyle w:val="Indenta"/>
        <w:keepNext/>
      </w:pPr>
      <w:r>
        <w:tab/>
        <w:t>(d)</w:t>
      </w:r>
      <w:r>
        <w:tab/>
        <w:t>a liquor store licence.</w:t>
      </w:r>
    </w:p>
    <w:p>
      <w:pPr>
        <w:pStyle w:val="Footnotesection"/>
        <w:keepNext/>
        <w:ind w:left="890" w:hanging="890"/>
      </w:pPr>
      <w:r>
        <w:tab/>
        <w:t>[Regulation 9EA inserted: Gazette 2 Oct 2018 p. 3800.]</w:t>
      </w:r>
    </w:p>
    <w:p>
      <w:pPr>
        <w:pStyle w:val="Heading5"/>
      </w:pPr>
      <w:bookmarkStart w:id="91" w:name="_Toc153191875"/>
      <w:bookmarkStart w:id="92" w:name="_Toc155088944"/>
      <w:r>
        <w:rPr>
          <w:rStyle w:val="CharSectno"/>
        </w:rPr>
        <w:t>9F</w:t>
      </w:r>
      <w:r>
        <w:t>.</w:t>
      </w:r>
      <w:r>
        <w:tab/>
        <w:t>Kinds of permit prescribed (Act s. 38(1)(b))</w:t>
      </w:r>
      <w:bookmarkEnd w:id="91"/>
      <w:bookmarkEnd w:id="92"/>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93" w:name="_Toc153191876"/>
      <w:bookmarkStart w:id="94" w:name="_Toc155088945"/>
      <w:r>
        <w:rPr>
          <w:rStyle w:val="CharSectno"/>
        </w:rPr>
        <w:t>10</w:t>
      </w:r>
      <w:r>
        <w:rPr>
          <w:snapToGrid w:val="0"/>
        </w:rPr>
        <w:t>.</w:t>
      </w:r>
      <w:r>
        <w:rPr>
          <w:snapToGrid w:val="0"/>
        </w:rPr>
        <w:tab/>
        <w:t>Requirements prescribed (Act s. </w:t>
      </w:r>
      <w:r>
        <w:t>57(2)(d)</w:t>
      </w:r>
      <w:r>
        <w:rPr>
          <w:snapToGrid w:val="0"/>
        </w:rPr>
        <w:t>)</w:t>
      </w:r>
      <w:bookmarkEnd w:id="93"/>
      <w:bookmarkEnd w:id="94"/>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keepNext/>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95" w:name="_Toc153191877"/>
      <w:bookmarkStart w:id="96" w:name="_Toc155088946"/>
      <w:r>
        <w:rPr>
          <w:rStyle w:val="CharSectno"/>
        </w:rPr>
        <w:t>10A</w:t>
      </w:r>
      <w:r>
        <w:rPr>
          <w:snapToGrid w:val="0"/>
        </w:rPr>
        <w:t>.</w:t>
      </w:r>
      <w:r>
        <w:rPr>
          <w:snapToGrid w:val="0"/>
        </w:rPr>
        <w:tab/>
        <w:t>Condition prescribed (Act s. 55(2))</w:t>
      </w:r>
      <w:bookmarkEnd w:id="95"/>
      <w:bookmarkEnd w:id="96"/>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97" w:name="_Toc153191878"/>
      <w:bookmarkStart w:id="98" w:name="_Toc155088947"/>
      <w:r>
        <w:rPr>
          <w:rStyle w:val="CharSectno"/>
        </w:rPr>
        <w:t>10B</w:t>
      </w:r>
      <w:r>
        <w:t>.</w:t>
      </w:r>
      <w:r>
        <w:tab/>
        <w:t>Days for making application prescribed (Act s. 64(1BA))</w:t>
      </w:r>
      <w:bookmarkEnd w:id="97"/>
      <w:bookmarkEnd w:id="98"/>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keepNext/>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99" w:name="_Toc153191879"/>
      <w:bookmarkStart w:id="100" w:name="_Toc155088948"/>
      <w:r>
        <w:rPr>
          <w:rStyle w:val="CharSectno"/>
        </w:rPr>
        <w:t>10C</w:t>
      </w:r>
      <w:r>
        <w:t>.</w:t>
      </w:r>
      <w:r>
        <w:tab/>
        <w:t>Prescribed requirements for sale and delivery of packaged liquor or liquor for consumption off licensed premises (Act s. 65(1)(b))</w:t>
      </w:r>
      <w:bookmarkEnd w:id="99"/>
      <w:bookmarkEnd w:id="100"/>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w:t>
      </w:r>
      <w:del w:id="101" w:author="Master Repository Process" w:date="2024-01-02T11:56:00Z">
        <w:r>
          <w:delText xml:space="preserve"> </w:delText>
        </w:r>
      </w:del>
      <w:ins w:id="102" w:author="Master Repository Process" w:date="2024-01-02T11:56:00Z">
        <w:r>
          <w:t> </w:t>
        </w:r>
      </w:ins>
      <w:r>
        <w:t xml:space="preserve">on the day on which the liquor is purchased — the person is the purchaser or </w:t>
      </w:r>
      <w:del w:id="103" w:author="Master Repository Process" w:date="2024-01-02T11:56:00Z">
        <w:r>
          <w:delText>the purchaser’s nominee.</w:delText>
        </w:r>
      </w:del>
      <w:ins w:id="104" w:author="Master Repository Process" w:date="2024-01-02T11:56:00Z">
        <w:r>
          <w:t>a person nominated by the purchaser; and</w:t>
        </w:r>
      </w:ins>
    </w:p>
    <w:p>
      <w:pPr>
        <w:pStyle w:val="Indenta"/>
        <w:keepNext/>
        <w:rPr>
          <w:ins w:id="105" w:author="Master Repository Process" w:date="2024-01-02T11:56:00Z"/>
        </w:rPr>
      </w:pPr>
      <w:ins w:id="106" w:author="Master Repository Process" w:date="2024-01-02T11:56:00Z">
        <w:r>
          <w:tab/>
          <w:t>(c)</w:t>
        </w:r>
        <w:r>
          <w:tab/>
          <w:t xml:space="preserve">if the delivery is made within a banned drinker area — </w:t>
        </w:r>
      </w:ins>
    </w:p>
    <w:p>
      <w:pPr>
        <w:pStyle w:val="Indenti"/>
        <w:rPr>
          <w:ins w:id="107" w:author="Master Repository Process" w:date="2024-01-02T11:56:00Z"/>
        </w:rPr>
      </w:pPr>
      <w:ins w:id="108" w:author="Master Repository Process" w:date="2024-01-02T11:56:00Z">
        <w:r>
          <w:tab/>
          <w:t>(i)</w:t>
        </w:r>
        <w:r>
          <w:tab/>
          <w:t xml:space="preserve">the person is the purchaser; or </w:t>
        </w:r>
      </w:ins>
    </w:p>
    <w:p>
      <w:pPr>
        <w:pStyle w:val="Indenti"/>
        <w:rPr>
          <w:ins w:id="109" w:author="Master Repository Process" w:date="2024-01-02T11:56:00Z"/>
        </w:rPr>
      </w:pPr>
      <w:ins w:id="110" w:author="Master Repository Process" w:date="2024-01-02T11:56:00Z">
        <w:r>
          <w:tab/>
          <w:t>(ii)</w:t>
        </w:r>
        <w:r>
          <w:tab/>
          <w:t>the person is a person nominated by the purchaser who was not a banned drinker when the liquor was purchased.</w:t>
        </w:r>
      </w:ins>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keepNext/>
      </w:pPr>
      <w:r>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w:t>
      </w:r>
      <w:del w:id="111" w:author="Master Repository Process" w:date="2024-01-02T11:56:00Z">
        <w:r>
          <w:delText>7</w:delText>
        </w:r>
      </w:del>
      <w:ins w:id="112" w:author="Master Repository Process" w:date="2024-01-02T11:56:00Z">
        <w:r>
          <w:t>7; amended: SL 2023/196 r. 5</w:t>
        </w:r>
      </w:ins>
      <w:r>
        <w:t>.]</w:t>
      </w:r>
    </w:p>
    <w:p>
      <w:pPr>
        <w:pStyle w:val="Heading5"/>
        <w:rPr>
          <w:snapToGrid w:val="0"/>
        </w:rPr>
      </w:pPr>
      <w:bookmarkStart w:id="113" w:name="_Toc153191880"/>
      <w:bookmarkStart w:id="114" w:name="_Toc155088949"/>
      <w:r>
        <w:rPr>
          <w:rStyle w:val="CharSectno"/>
        </w:rPr>
        <w:t>11</w:t>
      </w:r>
      <w:r>
        <w:rPr>
          <w:snapToGrid w:val="0"/>
        </w:rPr>
        <w:t>.</w:t>
      </w:r>
      <w:r>
        <w:rPr>
          <w:snapToGrid w:val="0"/>
        </w:rPr>
        <w:tab/>
        <w:t>Plans and specifications, requirements for (Act s. 66(4) and (5))</w:t>
      </w:r>
      <w:bookmarkEnd w:id="113"/>
      <w:bookmarkEnd w:id="114"/>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115" w:name="_Toc153191881"/>
      <w:bookmarkStart w:id="116" w:name="_Toc155088950"/>
      <w:r>
        <w:rPr>
          <w:rStyle w:val="CharSectno"/>
        </w:rPr>
        <w:t>13</w:t>
      </w:r>
      <w:r>
        <w:rPr>
          <w:snapToGrid w:val="0"/>
        </w:rPr>
        <w:t>.</w:t>
      </w:r>
      <w:r>
        <w:rPr>
          <w:snapToGrid w:val="0"/>
        </w:rPr>
        <w:tab/>
        <w:t>Records as to applicant, requirements for (Act s. 68(1)(b))</w:t>
      </w:r>
      <w:bookmarkEnd w:id="115"/>
      <w:bookmarkEnd w:id="116"/>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117" w:name="_Toc153191882"/>
      <w:bookmarkStart w:id="118" w:name="_Toc155088951"/>
      <w:r>
        <w:rPr>
          <w:rStyle w:val="CharSectno"/>
        </w:rPr>
        <w:t>14A</w:t>
      </w:r>
      <w:r>
        <w:t>.</w:t>
      </w:r>
      <w:r>
        <w:tab/>
        <w:t xml:space="preserve">Types etc. of premises prescribed </w:t>
      </w:r>
      <w:r>
        <w:rPr>
          <w:snapToGrid w:val="0"/>
        </w:rPr>
        <w:t>(Act s. 77(5a)(b))</w:t>
      </w:r>
      <w:bookmarkEnd w:id="117"/>
      <w:bookmarkEnd w:id="118"/>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119" w:name="_Toc153191883"/>
      <w:bookmarkStart w:id="120" w:name="_Toc155088952"/>
      <w:r>
        <w:rPr>
          <w:rStyle w:val="CharSectno"/>
        </w:rPr>
        <w:t>14AA</w:t>
      </w:r>
      <w:r>
        <w:t>.</w:t>
      </w:r>
      <w:r>
        <w:tab/>
        <w:t>Area prescribed (Act s. 77A)</w:t>
      </w:r>
      <w:bookmarkEnd w:id="119"/>
      <w:bookmarkEnd w:id="120"/>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121" w:name="_Toc153191884"/>
      <w:bookmarkStart w:id="122" w:name="_Toc155088953"/>
      <w:r>
        <w:rPr>
          <w:rStyle w:val="CharSectno"/>
        </w:rPr>
        <w:t>14AAA</w:t>
      </w:r>
      <w:r>
        <w:t>.</w:t>
      </w:r>
      <w:r>
        <w:tab/>
        <w:t>Distance prescribed (Act s. 77A)</w:t>
      </w:r>
      <w:bookmarkEnd w:id="121"/>
      <w:bookmarkEnd w:id="122"/>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123" w:name="_Toc153191885"/>
      <w:bookmarkStart w:id="124" w:name="_Toc155088954"/>
      <w:r>
        <w:rPr>
          <w:rStyle w:val="CharSectno"/>
        </w:rPr>
        <w:t>14AB</w:t>
      </w:r>
      <w:r>
        <w:t>.</w:t>
      </w:r>
      <w:r>
        <w:tab/>
        <w:t xml:space="preserve">Requirement for lodgment of application prescribed </w:t>
      </w:r>
      <w:r>
        <w:rPr>
          <w:snapToGrid w:val="0"/>
        </w:rPr>
        <w:t>(Act s. </w:t>
      </w:r>
      <w:r>
        <w:t>75(1)(b))</w:t>
      </w:r>
      <w:bookmarkEnd w:id="123"/>
      <w:bookmarkEnd w:id="124"/>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125" w:name="_Toc153191886"/>
      <w:bookmarkStart w:id="126" w:name="_Toc155088955"/>
      <w:r>
        <w:rPr>
          <w:rStyle w:val="CharSectno"/>
        </w:rPr>
        <w:t>14AC</w:t>
      </w:r>
      <w:r>
        <w:t>.</w:t>
      </w:r>
      <w:r>
        <w:tab/>
        <w:t xml:space="preserve">Requirement for lodgment of application prescribed </w:t>
      </w:r>
      <w:r>
        <w:rPr>
          <w:snapToGrid w:val="0"/>
        </w:rPr>
        <w:t>(Act s. </w:t>
      </w:r>
      <w:r>
        <w:t>76(1)(b))</w:t>
      </w:r>
      <w:bookmarkEnd w:id="125"/>
      <w:bookmarkEnd w:id="126"/>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127" w:name="_Toc153191887"/>
      <w:bookmarkStart w:id="128" w:name="_Toc155088956"/>
      <w:r>
        <w:rPr>
          <w:rStyle w:val="CharSectno"/>
        </w:rPr>
        <w:t>14ADA</w:t>
      </w:r>
      <w:r>
        <w:t>.</w:t>
      </w:r>
      <w:r>
        <w:tab/>
        <w:t>Manager’s approval, application for (Act s. 102B)</w:t>
      </w:r>
      <w:bookmarkEnd w:id="127"/>
      <w:bookmarkEnd w:id="128"/>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129" w:name="_Toc153191888"/>
      <w:bookmarkStart w:id="130" w:name="_Toc155088957"/>
      <w:r>
        <w:rPr>
          <w:rStyle w:val="CharSectno"/>
        </w:rPr>
        <w:t>14ADB</w:t>
      </w:r>
      <w:r>
        <w:t>.</w:t>
      </w:r>
      <w:r>
        <w:tab/>
        <w:t>Manager’s approval, conditions on (Act s. 102C)</w:t>
      </w:r>
      <w:bookmarkEnd w:id="129"/>
      <w:bookmarkEnd w:id="130"/>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131" w:name="_Toc153191889"/>
      <w:bookmarkStart w:id="132" w:name="_Toc155088958"/>
      <w:r>
        <w:rPr>
          <w:rStyle w:val="CharSectno"/>
        </w:rPr>
        <w:t>14ADC</w:t>
      </w:r>
      <w:r>
        <w:t>.</w:t>
      </w:r>
      <w:r>
        <w:tab/>
        <w:t>Manager’s approval, duration of (Act s. 102D)</w:t>
      </w:r>
      <w:bookmarkEnd w:id="131"/>
      <w:bookmarkEnd w:id="132"/>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133" w:name="_Toc153191890"/>
      <w:bookmarkStart w:id="134" w:name="_Toc155088959"/>
      <w:r>
        <w:rPr>
          <w:rStyle w:val="CharSectno"/>
        </w:rPr>
        <w:t>14ADD</w:t>
      </w:r>
      <w:r>
        <w:t>.</w:t>
      </w:r>
      <w:r>
        <w:tab/>
        <w:t>Manager’s approval, renewal of (Act s. 102E)</w:t>
      </w:r>
      <w:bookmarkEnd w:id="133"/>
      <w:bookmarkEnd w:id="134"/>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135" w:name="_Toc153191891"/>
      <w:bookmarkStart w:id="136" w:name="_Toc155088960"/>
      <w:r>
        <w:rPr>
          <w:rStyle w:val="CharSectno"/>
        </w:rPr>
        <w:t>14ADE</w:t>
      </w:r>
      <w:r>
        <w:t>.</w:t>
      </w:r>
      <w:r>
        <w:tab/>
        <w:t>Approved manager, identification card for</w:t>
      </w:r>
      <w:bookmarkEnd w:id="135"/>
      <w:bookmarkEnd w:id="136"/>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137" w:name="_Toc153191892"/>
      <w:bookmarkStart w:id="138" w:name="_Toc155088961"/>
      <w:r>
        <w:rPr>
          <w:rStyle w:val="CharSectno"/>
        </w:rPr>
        <w:t>14ADF</w:t>
      </w:r>
      <w:r>
        <w:t>.</w:t>
      </w:r>
      <w:r>
        <w:tab/>
        <w:t>Lost etc. identification card, replacement of</w:t>
      </w:r>
      <w:bookmarkEnd w:id="137"/>
      <w:bookmarkEnd w:id="138"/>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139" w:name="_Toc153191893"/>
      <w:bookmarkStart w:id="140" w:name="_Toc155088962"/>
      <w:r>
        <w:rPr>
          <w:rStyle w:val="CharSectno"/>
        </w:rPr>
        <w:t>14ADG</w:t>
      </w:r>
      <w:r>
        <w:t>.</w:t>
      </w:r>
      <w:r>
        <w:tab/>
        <w:t>Transitioned approvals (Act Sch. 1B)</w:t>
      </w:r>
      <w:bookmarkEnd w:id="139"/>
      <w:bookmarkEnd w:id="140"/>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141" w:name="_Toc153191894"/>
      <w:bookmarkStart w:id="142" w:name="_Toc155088963"/>
      <w:r>
        <w:rPr>
          <w:rStyle w:val="CharSectno"/>
        </w:rPr>
        <w:t>14AD</w:t>
      </w:r>
      <w:r>
        <w:t>.</w:t>
      </w:r>
      <w:r>
        <w:tab/>
        <w:t xml:space="preserve">Responsible practices in selling etc. liquor, courses on required </w:t>
      </w:r>
      <w:r>
        <w:rPr>
          <w:snapToGrid w:val="0"/>
        </w:rPr>
        <w:t>(Act s. </w:t>
      </w:r>
      <w:r>
        <w:t>103A(1)(a))</w:t>
      </w:r>
      <w:bookmarkEnd w:id="141"/>
      <w:bookmarkEnd w:id="142"/>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143" w:name="_Toc153191895"/>
      <w:bookmarkStart w:id="144" w:name="_Toc155088964"/>
      <w:r>
        <w:rPr>
          <w:rStyle w:val="CharSectno"/>
        </w:rPr>
        <w:t>14AE</w:t>
      </w:r>
      <w:r>
        <w:t>.</w:t>
      </w:r>
      <w:r>
        <w:tab/>
        <w:t>Offences for r. 14AD</w:t>
      </w:r>
      <w:bookmarkEnd w:id="143"/>
      <w:bookmarkEnd w:id="144"/>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w:t>
      </w:r>
      <w:del w:id="145" w:author="Master Repository Process" w:date="2024-01-02T11:56:00Z">
        <w:r>
          <w:delText xml:space="preserve"> </w:delText>
        </w:r>
      </w:del>
      <w:ins w:id="146" w:author="Master Repository Process" w:date="2024-01-02T11:56:00Z">
        <w:r>
          <w:t> </w:t>
        </w:r>
      </w:ins>
      <w:r>
        <w:t>(2)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147" w:name="_Toc153191896"/>
      <w:bookmarkStart w:id="148" w:name="_Toc155088965"/>
      <w:r>
        <w:rPr>
          <w:rStyle w:val="CharSectno"/>
        </w:rPr>
        <w:t>14AG</w:t>
      </w:r>
      <w:r>
        <w:t>.</w:t>
      </w:r>
      <w:r>
        <w:tab/>
        <w:t>Licensee to maintain register </w:t>
      </w:r>
      <w:r>
        <w:rPr>
          <w:snapToGrid w:val="0"/>
        </w:rPr>
        <w:t>(Act s. </w:t>
      </w:r>
      <w:r>
        <w:t>103A(1)(b))</w:t>
      </w:r>
      <w:bookmarkEnd w:id="147"/>
      <w:bookmarkEnd w:id="148"/>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keepNext/>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149" w:name="_Toc153191897"/>
      <w:bookmarkStart w:id="150" w:name="_Toc155088966"/>
      <w:r>
        <w:rPr>
          <w:rStyle w:val="CharSectno"/>
        </w:rPr>
        <w:t>16</w:t>
      </w:r>
      <w:r>
        <w:rPr>
          <w:snapToGrid w:val="0"/>
        </w:rPr>
        <w:t>.</w:t>
      </w:r>
      <w:r>
        <w:rPr>
          <w:snapToGrid w:val="0"/>
        </w:rPr>
        <w:tab/>
        <w:t>Amount of liability prescribed (Act s. 107)</w:t>
      </w:r>
      <w:bookmarkEnd w:id="149"/>
      <w:bookmarkEnd w:id="150"/>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151" w:name="_Toc153191898"/>
      <w:bookmarkStart w:id="152" w:name="_Toc155088967"/>
      <w:r>
        <w:rPr>
          <w:rStyle w:val="CharSectno"/>
        </w:rPr>
        <w:t>16AA</w:t>
      </w:r>
      <w:r>
        <w:t>.</w:t>
      </w:r>
      <w:r>
        <w:tab/>
        <w:t>Quantity and area for offence (Act s. 109A)</w:t>
      </w:r>
      <w:bookmarkEnd w:id="151"/>
      <w:bookmarkEnd w:id="152"/>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Carnarvon,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Carnarvon, Derby</w:t>
      </w:r>
      <w:r>
        <w:noBreakHyphen/>
        <w:t>West Kimberley, Halls Creek or Wyndham</w:t>
      </w:r>
      <w:r>
        <w:noBreakHyphen/>
        <w:t>East Kimberley; and</w:t>
      </w:r>
    </w:p>
    <w:p>
      <w:pPr>
        <w:pStyle w:val="Indenti"/>
      </w:pPr>
      <w:r>
        <w:tab/>
        <w:t>(ii)</w:t>
      </w:r>
      <w:r>
        <w:tab/>
        <w:t>a restricted area.</w:t>
      </w:r>
    </w:p>
    <w:p>
      <w:pPr>
        <w:pStyle w:val="THeadingNAm"/>
      </w:pPr>
      <w:r>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 SL 2023/125 r. 4.]</w:t>
      </w:r>
    </w:p>
    <w:p>
      <w:pPr>
        <w:pStyle w:val="Heading5"/>
      </w:pPr>
      <w:bookmarkStart w:id="153" w:name="_Toc153191899"/>
      <w:bookmarkStart w:id="154" w:name="_Toc155088968"/>
      <w:r>
        <w:rPr>
          <w:rStyle w:val="CharSectno"/>
        </w:rPr>
        <w:t>16AB</w:t>
      </w:r>
      <w:r>
        <w:t>.</w:t>
      </w:r>
      <w:r>
        <w:tab/>
        <w:t>Persons of prescribed class (Act s. 109A(4)(b))</w:t>
      </w:r>
      <w:bookmarkEnd w:id="153"/>
      <w:bookmarkEnd w:id="154"/>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tab/>
        <w:t>(v)</w:t>
      </w:r>
      <w:r>
        <w:tab/>
        <w:t>not usually residents of the local government district of Broome, Carnarvon, Derby</w:t>
      </w:r>
      <w:r>
        <w:noBreakHyphen/>
        <w:t>West Kimberley, Halls Creek or Wyndham</w:t>
      </w:r>
      <w:r>
        <w:noBreakHyphen/>
        <w:t>East Kimberley;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 amended: SL 2023/125 r. 5.]</w:t>
      </w:r>
    </w:p>
    <w:p>
      <w:pPr>
        <w:pStyle w:val="Heading5"/>
      </w:pPr>
      <w:bookmarkStart w:id="155" w:name="_Toc153191900"/>
      <w:bookmarkStart w:id="156" w:name="_Toc155088969"/>
      <w:r>
        <w:rPr>
          <w:rStyle w:val="CharSectno"/>
        </w:rPr>
        <w:t>16AC</w:t>
      </w:r>
      <w:r>
        <w:t>.</w:t>
      </w:r>
      <w:r>
        <w:tab/>
        <w:t>Vehicles of prescribed class (Act s. 109A(4)(c))</w:t>
      </w:r>
      <w:bookmarkEnd w:id="155"/>
      <w:bookmarkEnd w:id="156"/>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keepNext/>
      </w:pPr>
      <w:r>
        <w:tab/>
        <w:t>(c)</w:t>
      </w:r>
      <w:r>
        <w:tab/>
        <w:t>a vehicle being driven by a police officer in the course of duty.</w:t>
      </w:r>
    </w:p>
    <w:p>
      <w:pPr>
        <w:pStyle w:val="Footnotesection"/>
      </w:pPr>
      <w:r>
        <w:tab/>
        <w:t>[Regulation 16AC inserted: SL 2021/163 r. 4.]</w:t>
      </w:r>
    </w:p>
    <w:p>
      <w:pPr>
        <w:pStyle w:val="Heading5"/>
      </w:pPr>
      <w:bookmarkStart w:id="157" w:name="_Toc153191901"/>
      <w:bookmarkStart w:id="158" w:name="_Toc155088970"/>
      <w:r>
        <w:rPr>
          <w:rStyle w:val="CharSectno"/>
        </w:rPr>
        <w:t>16AD</w:t>
      </w:r>
      <w:r>
        <w:t>.</w:t>
      </w:r>
      <w:r>
        <w:tab/>
        <w:t>Prescribed circumstance (Act s. 109A(4)(d))</w:t>
      </w:r>
      <w:bookmarkEnd w:id="157"/>
      <w:bookmarkEnd w:id="158"/>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159" w:name="_Toc153191902"/>
      <w:bookmarkStart w:id="160" w:name="_Toc155088971"/>
      <w:r>
        <w:rPr>
          <w:rStyle w:val="CharSectno"/>
        </w:rPr>
        <w:t>16A</w:t>
      </w:r>
      <w:r>
        <w:t>.</w:t>
      </w:r>
      <w:r>
        <w:tab/>
        <w:t xml:space="preserve">Sports arenas prescribed (Act s. 110(4B) </w:t>
      </w:r>
      <w:r>
        <w:rPr>
          <w:i/>
        </w:rPr>
        <w:t>sports arena</w:t>
      </w:r>
      <w:r>
        <w:t>)</w:t>
      </w:r>
      <w:bookmarkEnd w:id="159"/>
      <w:bookmarkEnd w:id="160"/>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161" w:name="_Toc153191903"/>
      <w:bookmarkStart w:id="162" w:name="_Toc155088972"/>
      <w:r>
        <w:rPr>
          <w:rStyle w:val="CharSectno"/>
        </w:rPr>
        <w:t>17</w:t>
      </w:r>
      <w:r>
        <w:rPr>
          <w:snapToGrid w:val="0"/>
        </w:rPr>
        <w:t>.</w:t>
      </w:r>
      <w:r>
        <w:rPr>
          <w:snapToGrid w:val="0"/>
        </w:rPr>
        <w:tab/>
        <w:t>Out of bounds area, notice for (Act s. 121(6))</w:t>
      </w:r>
      <w:bookmarkEnd w:id="161"/>
      <w:bookmarkEnd w:id="162"/>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163" w:name="_Toc153191904"/>
      <w:bookmarkStart w:id="164" w:name="_Toc155088973"/>
      <w:r>
        <w:rPr>
          <w:rStyle w:val="CharSectno"/>
        </w:rPr>
        <w:t>18</w:t>
      </w:r>
      <w:r>
        <w:t>.</w:t>
      </w:r>
      <w:r>
        <w:tab/>
        <w:t>Premises prescribed to be regulated premises (Act s. 122(1)(f))</w:t>
      </w:r>
      <w:bookmarkEnd w:id="163"/>
      <w:bookmarkEnd w:id="164"/>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165" w:name="_Toc153191905"/>
      <w:bookmarkStart w:id="166" w:name="_Toc155088974"/>
      <w:r>
        <w:rPr>
          <w:rStyle w:val="CharSectno"/>
        </w:rPr>
        <w:t>18A</w:t>
      </w:r>
      <w:r>
        <w:rPr>
          <w:snapToGrid w:val="0"/>
        </w:rPr>
        <w:t>.</w:t>
      </w:r>
      <w:r>
        <w:rPr>
          <w:snapToGrid w:val="0"/>
        </w:rPr>
        <w:tab/>
        <w:t>Documents prescribed as evidence of age etc. (Act s. 126(1)(b)(i)(III) and s. 160(1))</w:t>
      </w:r>
      <w:bookmarkEnd w:id="165"/>
      <w:bookmarkEnd w:id="166"/>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167" w:name="_Toc153191906"/>
      <w:bookmarkStart w:id="168" w:name="_Toc155088975"/>
      <w:r>
        <w:rPr>
          <w:rStyle w:val="CharSectno"/>
        </w:rPr>
        <w:t>18B</w:t>
      </w:r>
      <w:r>
        <w:rPr>
          <w:snapToGrid w:val="0"/>
        </w:rPr>
        <w:t>.</w:t>
      </w:r>
      <w:r>
        <w:rPr>
          <w:snapToGrid w:val="0"/>
        </w:rPr>
        <w:tab/>
        <w:t>Proof of age card, issue of etc.</w:t>
      </w:r>
      <w:bookmarkEnd w:id="167"/>
      <w:bookmarkEnd w:id="168"/>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169" w:name="_Toc153191907"/>
      <w:bookmarkStart w:id="170" w:name="_Toc155088976"/>
      <w:r>
        <w:rPr>
          <w:rStyle w:val="CharSectno"/>
        </w:rPr>
        <w:t>18C</w:t>
      </w:r>
      <w:r>
        <w:rPr>
          <w:snapToGrid w:val="0"/>
        </w:rPr>
        <w:t>.</w:t>
      </w:r>
      <w:r>
        <w:rPr>
          <w:snapToGrid w:val="0"/>
        </w:rPr>
        <w:tab/>
        <w:t>Proof of age card, form etc. of (r. 18B)</w:t>
      </w:r>
      <w:bookmarkEnd w:id="169"/>
      <w:bookmarkEnd w:id="170"/>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171" w:name="_Toc153191908"/>
      <w:bookmarkStart w:id="172" w:name="_Toc155088977"/>
      <w:r>
        <w:rPr>
          <w:rStyle w:val="CharSectno"/>
        </w:rPr>
        <w:t>18D</w:t>
      </w:r>
      <w:r>
        <w:rPr>
          <w:snapToGrid w:val="0"/>
        </w:rPr>
        <w:t>.</w:t>
      </w:r>
      <w:r>
        <w:rPr>
          <w:snapToGrid w:val="0"/>
        </w:rPr>
        <w:tab/>
        <w:t>Lost etc. proof of age card, replacement of</w:t>
      </w:r>
      <w:bookmarkEnd w:id="171"/>
      <w:bookmarkEnd w:id="172"/>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173" w:name="_Toc153191909"/>
      <w:bookmarkStart w:id="174" w:name="_Toc155088978"/>
      <w:r>
        <w:rPr>
          <w:rStyle w:val="CharSectno"/>
        </w:rPr>
        <w:t>18E</w:t>
      </w:r>
      <w:r>
        <w:rPr>
          <w:snapToGrid w:val="0"/>
        </w:rPr>
        <w:t>.</w:t>
      </w:r>
      <w:r>
        <w:rPr>
          <w:snapToGrid w:val="0"/>
        </w:rPr>
        <w:tab/>
        <w:t>Agreement or arrangement prescribed (Act s. 104(2))</w:t>
      </w:r>
      <w:bookmarkEnd w:id="173"/>
      <w:bookmarkEnd w:id="174"/>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175" w:name="_Toc153191910"/>
      <w:bookmarkStart w:id="176" w:name="_Toc155088979"/>
      <w:r>
        <w:rPr>
          <w:rStyle w:val="CharSectno"/>
        </w:rPr>
        <w:t>18EA</w:t>
      </w:r>
      <w:r>
        <w:t>.</w:t>
      </w:r>
      <w:r>
        <w:tab/>
        <w:t>Information prescribed for websites (Act s. 113A)</w:t>
      </w:r>
      <w:bookmarkEnd w:id="175"/>
      <w:bookmarkEnd w:id="176"/>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177" w:name="_Toc153191911"/>
      <w:bookmarkStart w:id="178" w:name="_Toc155088980"/>
      <w:r>
        <w:rPr>
          <w:rStyle w:val="CharSectno"/>
        </w:rPr>
        <w:t>18EBA</w:t>
      </w:r>
      <w:r>
        <w:t>.</w:t>
      </w:r>
      <w:r>
        <w:tab/>
        <w:t xml:space="preserve">Persons prescribed (Act s. 115AC(1A), 152K(1A), 152NZC(1), 152NZT(1) </w:t>
      </w:r>
      <w:r>
        <w:rPr>
          <w:i/>
        </w:rPr>
        <w:t>secure webpage</w:t>
      </w:r>
      <w:r>
        <w:t>)</w:t>
      </w:r>
      <w:bookmarkEnd w:id="177"/>
      <w:bookmarkEnd w:id="178"/>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rPr>
          <w:ins w:id="179" w:author="Master Repository Process" w:date="2024-01-02T11:56:00Z"/>
        </w:rPr>
      </w:pPr>
      <w:bookmarkStart w:id="180" w:name="_Toc152946494"/>
      <w:bookmarkStart w:id="181" w:name="_Toc152946679"/>
      <w:bookmarkStart w:id="182" w:name="_Toc153191912"/>
      <w:ins w:id="183" w:author="Master Repository Process" w:date="2024-01-02T11:56:00Z">
        <w:r>
          <w:rPr>
            <w:rStyle w:val="CharSectno"/>
          </w:rPr>
          <w:t>18EBB</w:t>
        </w:r>
        <w:r>
          <w:t>.</w:t>
        </w:r>
        <w:r>
          <w:tab/>
          <w:t>Prescribed class of persons (Act s. 115AC(1AA)(b))</w:t>
        </w:r>
        <w:bookmarkEnd w:id="180"/>
        <w:bookmarkEnd w:id="181"/>
        <w:bookmarkEnd w:id="182"/>
      </w:ins>
    </w:p>
    <w:p>
      <w:pPr>
        <w:pStyle w:val="Subsection"/>
        <w:rPr>
          <w:ins w:id="184" w:author="Master Repository Process" w:date="2024-01-02T11:56:00Z"/>
        </w:rPr>
      </w:pPr>
      <w:ins w:id="185" w:author="Master Repository Process" w:date="2024-01-02T11:56:00Z">
        <w:r>
          <w:tab/>
        </w:r>
        <w:r>
          <w:tab/>
          <w:t>For the purposes of section 115AC(1AA)(b), a person belongs to a prescribed class of persons if the person is engaged by the Department to create or provide equipment, software, databases or any other thing to be used by responsible persons in identifying persons in relation to whom barring notices are in effect.</w:t>
        </w:r>
      </w:ins>
    </w:p>
    <w:p>
      <w:pPr>
        <w:pStyle w:val="Footnotesection"/>
        <w:rPr>
          <w:ins w:id="186" w:author="Master Repository Process" w:date="2024-01-02T11:56:00Z"/>
        </w:rPr>
      </w:pPr>
      <w:ins w:id="187" w:author="Master Repository Process" w:date="2024-01-02T11:56:00Z">
        <w:r>
          <w:tab/>
          <w:t>[Regulation 18EBB inserted: SL 2023/196 r. 6.]</w:t>
        </w:r>
      </w:ins>
    </w:p>
    <w:p>
      <w:pPr>
        <w:pStyle w:val="Heading5"/>
      </w:pPr>
      <w:bookmarkStart w:id="188" w:name="_Toc153191913"/>
      <w:bookmarkStart w:id="189" w:name="_Toc155088981"/>
      <w:r>
        <w:rPr>
          <w:rStyle w:val="CharSectno"/>
        </w:rPr>
        <w:t>18EB</w:t>
      </w:r>
      <w:r>
        <w:t>.</w:t>
      </w:r>
      <w:r>
        <w:tab/>
        <w:t>Incidents and information prescribed for register (Act s. 116A)</w:t>
      </w:r>
      <w:bookmarkEnd w:id="188"/>
      <w:bookmarkEnd w:id="189"/>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del w:id="190" w:author="Master Repository Process" w:date="2024-01-02T11:56:00Z">
        <w:r>
          <w:delText>.</w:delText>
        </w:r>
      </w:del>
      <w:ins w:id="191" w:author="Master Repository Process" w:date="2024-01-02T11:56:00Z">
        <w:r>
          <w:t>;</w:t>
        </w:r>
      </w:ins>
    </w:p>
    <w:p>
      <w:pPr>
        <w:pStyle w:val="Indenta"/>
        <w:rPr>
          <w:ins w:id="192" w:author="Master Repository Process" w:date="2024-01-02T11:56:00Z"/>
        </w:rPr>
      </w:pPr>
      <w:ins w:id="193" w:author="Master Repository Process" w:date="2024-01-02T11:56:00Z">
        <w:r>
          <w:tab/>
          <w:t>(h)</w:t>
        </w:r>
        <w:r>
          <w:tab/>
          <w:t>if a responsible person in relation to the licensed premises uses the ID system — the ID system does not operate properly;</w:t>
        </w:r>
      </w:ins>
    </w:p>
    <w:p>
      <w:pPr>
        <w:pStyle w:val="Indenta"/>
        <w:rPr>
          <w:ins w:id="194" w:author="Master Repository Process" w:date="2024-01-02T11:56:00Z"/>
        </w:rPr>
      </w:pPr>
      <w:ins w:id="195" w:author="Master Repository Process" w:date="2024-01-02T11:56:00Z">
        <w:r>
          <w:tab/>
          <w:t>(i)</w:t>
        </w:r>
        <w:r>
          <w:tab/>
          <w:t>if a responsible person in relation to the licensed premises attempts to use the ID system — the ID system is not able to be used (other than because it does not operate properly).</w:t>
        </w:r>
      </w:ins>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details of any action taken by the licensee, a manager or an employee in response to the incident, including any 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w:t>
      </w:r>
      <w:ins w:id="196" w:author="Master Repository Process" w:date="2024-01-02T11:56:00Z">
        <w:r>
          <w:t>; SL 2023/196 r. 7</w:t>
        </w:r>
      </w:ins>
      <w:r>
        <w:t>.]</w:t>
      </w:r>
    </w:p>
    <w:p>
      <w:pPr>
        <w:pStyle w:val="Heading5"/>
      </w:pPr>
      <w:bookmarkStart w:id="197" w:name="_Toc153191914"/>
      <w:bookmarkStart w:id="198" w:name="_Toc155088982"/>
      <w:r>
        <w:rPr>
          <w:rStyle w:val="CharSectno"/>
        </w:rPr>
        <w:t>18EC</w:t>
      </w:r>
      <w:r>
        <w:t>.</w:t>
      </w:r>
      <w:r>
        <w:tab/>
        <w:t>Prescribed incidents involving physical force</w:t>
      </w:r>
      <w:bookmarkEnd w:id="197"/>
      <w:bookmarkEnd w:id="198"/>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199" w:name="_Toc153191915"/>
      <w:bookmarkStart w:id="200" w:name="_Toc155088983"/>
      <w:r>
        <w:rPr>
          <w:rStyle w:val="CharSectno"/>
        </w:rPr>
        <w:t>18F</w:t>
      </w:r>
      <w:r>
        <w:t>.</w:t>
      </w:r>
      <w:r>
        <w:tab/>
        <w:t>Training courses prescribed (Act s. 121(11)(d))</w:t>
      </w:r>
      <w:bookmarkEnd w:id="199"/>
      <w:bookmarkEnd w:id="200"/>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201" w:name="_Toc153191916"/>
      <w:bookmarkStart w:id="202" w:name="_Toc155088984"/>
      <w:r>
        <w:rPr>
          <w:rStyle w:val="CharSectno"/>
        </w:rPr>
        <w:t>18G</w:t>
      </w:r>
      <w:r>
        <w:t>.</w:t>
      </w:r>
      <w:r>
        <w:tab/>
        <w:t>Confiscated document, how to be dealt with (Act s. 126(2b))</w:t>
      </w:r>
      <w:bookmarkEnd w:id="201"/>
      <w:bookmarkEnd w:id="202"/>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203" w:name="_Toc153191917"/>
      <w:bookmarkStart w:id="204" w:name="_Toc155088985"/>
      <w:r>
        <w:rPr>
          <w:rStyle w:val="CharSectno"/>
        </w:rPr>
        <w:t>18H</w:t>
      </w:r>
      <w:r>
        <w:t>.</w:t>
      </w:r>
      <w:r>
        <w:tab/>
        <w:t>Provisions prescribed (Act s. 126E(4))</w:t>
      </w:r>
      <w:bookmarkEnd w:id="203"/>
      <w:bookmarkEnd w:id="204"/>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205" w:name="_Toc153191918"/>
      <w:bookmarkStart w:id="206" w:name="_Toc155088986"/>
      <w:r>
        <w:rPr>
          <w:rStyle w:val="CharSectno"/>
        </w:rPr>
        <w:t>19</w:t>
      </w:r>
      <w:r>
        <w:rPr>
          <w:snapToGrid w:val="0"/>
        </w:rPr>
        <w:t>.</w:t>
      </w:r>
      <w:r>
        <w:rPr>
          <w:snapToGrid w:val="0"/>
        </w:rPr>
        <w:tab/>
        <w:t>Subsidy, application for</w:t>
      </w:r>
      <w:bookmarkEnd w:id="205"/>
      <w:bookmarkEnd w:id="206"/>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207" w:name="_Toc153191919"/>
      <w:bookmarkStart w:id="208" w:name="_Toc155088987"/>
      <w:r>
        <w:rPr>
          <w:rStyle w:val="CharSectno"/>
        </w:rPr>
        <w:t>20</w:t>
      </w:r>
      <w:r>
        <w:rPr>
          <w:snapToGrid w:val="0"/>
        </w:rPr>
        <w:t>.</w:t>
      </w:r>
      <w:r>
        <w:rPr>
          <w:snapToGrid w:val="0"/>
        </w:rPr>
        <w:tab/>
        <w:t xml:space="preserve">Persons prescribed (Act s. 129 </w:t>
      </w:r>
      <w:r>
        <w:rPr>
          <w:i/>
          <w:snapToGrid w:val="0"/>
        </w:rPr>
        <w:t>wholesaler</w:t>
      </w:r>
      <w:r>
        <w:rPr>
          <w:snapToGrid w:val="0"/>
        </w:rPr>
        <w:t>)</w:t>
      </w:r>
      <w:bookmarkEnd w:id="207"/>
      <w:bookmarkEnd w:id="208"/>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209" w:name="_Toc153191920"/>
      <w:bookmarkStart w:id="210" w:name="_Toc155088988"/>
      <w:r>
        <w:rPr>
          <w:rStyle w:val="CharSectno"/>
        </w:rPr>
        <w:t>21</w:t>
      </w:r>
      <w:r>
        <w:t>.</w:t>
      </w:r>
      <w:r>
        <w:tab/>
        <w:t>Wholesaler, subsidy for (Act s. 130)</w:t>
      </w:r>
      <w:bookmarkEnd w:id="209"/>
      <w:bookmarkEnd w:id="210"/>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211" w:name="_Toc153191921"/>
      <w:bookmarkStart w:id="212" w:name="_Toc155088989"/>
      <w:r>
        <w:rPr>
          <w:rStyle w:val="CharSectno"/>
        </w:rPr>
        <w:t>21A</w:t>
      </w:r>
      <w:r>
        <w:t>.</w:t>
      </w:r>
      <w:r>
        <w:tab/>
        <w:t>Wine producer, subsidy for (Act s. 130)</w:t>
      </w:r>
      <w:bookmarkEnd w:id="211"/>
      <w:bookmarkEnd w:id="212"/>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5.75pt">
            <v:imagedata r:id="rId15" o:title=""/>
          </v:shape>
        </w:pi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wine fermented by a wine maker from the produce of the producer in this State and sold by the wine maker to 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213" w:name="_Toc153191922"/>
      <w:bookmarkStart w:id="214" w:name="_Toc155088990"/>
      <w:r>
        <w:rPr>
          <w:rStyle w:val="CharSectno"/>
        </w:rPr>
        <w:t>21AC</w:t>
      </w:r>
      <w:r>
        <w:rPr>
          <w:snapToGrid w:val="0"/>
        </w:rPr>
        <w:t>.</w:t>
      </w:r>
      <w:r>
        <w:rPr>
          <w:snapToGrid w:val="0"/>
        </w:rPr>
        <w:tab/>
        <w:t>Subsidy payable once in respect of sale of liquor</w:t>
      </w:r>
      <w:bookmarkEnd w:id="213"/>
      <w:bookmarkEnd w:id="214"/>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215" w:name="_Toc153191923"/>
      <w:bookmarkStart w:id="216" w:name="_Toc155088991"/>
      <w:r>
        <w:rPr>
          <w:rStyle w:val="CharSectno"/>
        </w:rPr>
        <w:t>21B</w:t>
      </w:r>
      <w:r>
        <w:rPr>
          <w:snapToGrid w:val="0"/>
        </w:rPr>
        <w:t>.</w:t>
      </w:r>
      <w:r>
        <w:rPr>
          <w:snapToGrid w:val="0"/>
        </w:rPr>
        <w:tab/>
        <w:t xml:space="preserve">Subsidy, conditions imposed by Director as to </w:t>
      </w:r>
      <w:r>
        <w:t>(Act s. 130(2))</w:t>
      </w:r>
      <w:bookmarkEnd w:id="215"/>
      <w:bookmarkEnd w:id="216"/>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217" w:name="_Toc153191924"/>
      <w:bookmarkStart w:id="218" w:name="_Toc155088992"/>
      <w:r>
        <w:rPr>
          <w:rStyle w:val="CharSectno"/>
        </w:rPr>
        <w:t>21C</w:t>
      </w:r>
      <w:r>
        <w:rPr>
          <w:snapToGrid w:val="0"/>
        </w:rPr>
        <w:t>.</w:t>
      </w:r>
      <w:r>
        <w:rPr>
          <w:snapToGrid w:val="0"/>
        </w:rPr>
        <w:tab/>
        <w:t>Licensees prescribed </w:t>
      </w:r>
      <w:r>
        <w:t>(Act s. </w:t>
      </w:r>
      <w:r>
        <w:rPr>
          <w:snapToGrid w:val="0"/>
        </w:rPr>
        <w:t>145(1))</w:t>
      </w:r>
      <w:bookmarkEnd w:id="217"/>
      <w:bookmarkEnd w:id="218"/>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219" w:name="_Toc153191925"/>
      <w:bookmarkStart w:id="220" w:name="_Toc155088993"/>
      <w:r>
        <w:rPr>
          <w:rStyle w:val="CharSectno"/>
        </w:rPr>
        <w:t>22</w:t>
      </w:r>
      <w:r>
        <w:rPr>
          <w:snapToGrid w:val="0"/>
        </w:rPr>
        <w:t>.</w:t>
      </w:r>
      <w:r>
        <w:rPr>
          <w:snapToGrid w:val="0"/>
        </w:rPr>
        <w:tab/>
        <w:t xml:space="preserve">Records prescribed etc. </w:t>
      </w:r>
      <w:r>
        <w:t>(Act s. </w:t>
      </w:r>
      <w:r>
        <w:rPr>
          <w:snapToGrid w:val="0"/>
        </w:rPr>
        <w:t>145)</w:t>
      </w:r>
      <w:bookmarkEnd w:id="219"/>
      <w:bookmarkEnd w:id="220"/>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keepNext/>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del w:id="221" w:author="Master Repository Process" w:date="2024-01-02T11:56:00Z">
        <w:r>
          <w:rPr>
            <w:snapToGrid w:val="0"/>
          </w:rPr>
          <w:tab/>
        </w:r>
      </w:del>
    </w:p>
    <w:p>
      <w:pPr>
        <w:pStyle w:val="Indenta"/>
        <w:keepNext/>
        <w:rPr>
          <w:snapToGrid w:val="0"/>
        </w:rPr>
      </w:pPr>
      <w:r>
        <w:rPr>
          <w:snapToGrid w:val="0"/>
        </w:rPr>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in the case of transactions involving the sale or other disposal of liquor by the holder of a wholesaler’s licence, special facility licence or a producer’s licence 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222" w:name="_Toc153191926"/>
      <w:bookmarkStart w:id="223" w:name="_Toc155088994"/>
      <w:r>
        <w:rPr>
          <w:rStyle w:val="CharSectno"/>
        </w:rPr>
        <w:t>23</w:t>
      </w:r>
      <w:r>
        <w:rPr>
          <w:snapToGrid w:val="0"/>
        </w:rPr>
        <w:t>.</w:t>
      </w:r>
      <w:r>
        <w:rPr>
          <w:snapToGrid w:val="0"/>
        </w:rPr>
        <w:tab/>
        <w:t xml:space="preserve">Returns, verification and lodgment of </w:t>
      </w:r>
      <w:r>
        <w:t>(Act s. 146)</w:t>
      </w:r>
      <w:bookmarkEnd w:id="222"/>
      <w:bookmarkEnd w:id="223"/>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224" w:name="_Toc153191927"/>
      <w:bookmarkStart w:id="225" w:name="_Toc155088995"/>
      <w:r>
        <w:rPr>
          <w:rStyle w:val="CharSectno"/>
        </w:rPr>
        <w:t>24</w:t>
      </w:r>
      <w:r>
        <w:rPr>
          <w:snapToGrid w:val="0"/>
        </w:rPr>
        <w:t>.</w:t>
      </w:r>
      <w:r>
        <w:rPr>
          <w:snapToGrid w:val="0"/>
        </w:rPr>
        <w:tab/>
        <w:t xml:space="preserve">Return of information required etc. </w:t>
      </w:r>
      <w:r>
        <w:t>(Act s. 145)</w:t>
      </w:r>
      <w:bookmarkEnd w:id="224"/>
      <w:bookmarkEnd w:id="225"/>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where the licensee is the holder of a producer’s licence, a special facility licence or a wholesaler’s licence, the 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rPr>
          <w:ins w:id="226" w:author="Master Repository Process" w:date="2024-01-02T11:56:00Z"/>
        </w:rPr>
      </w:pPr>
      <w:bookmarkStart w:id="227" w:name="_Toc152946497"/>
      <w:bookmarkStart w:id="228" w:name="_Toc152946682"/>
      <w:bookmarkStart w:id="229" w:name="_Toc153191928"/>
      <w:ins w:id="230" w:author="Master Repository Process" w:date="2024-01-02T11:56:00Z">
        <w:r>
          <w:rPr>
            <w:rStyle w:val="CharSectno"/>
          </w:rPr>
          <w:t>24AA</w:t>
        </w:r>
        <w:r>
          <w:t>.</w:t>
        </w:r>
        <w:r>
          <w:tab/>
          <w:t>Prescribed class of persons (Act s. 152K(2AA)(b))</w:t>
        </w:r>
        <w:bookmarkEnd w:id="227"/>
        <w:bookmarkEnd w:id="228"/>
        <w:bookmarkEnd w:id="229"/>
      </w:ins>
    </w:p>
    <w:p>
      <w:pPr>
        <w:pStyle w:val="Subsection"/>
        <w:rPr>
          <w:ins w:id="231" w:author="Master Repository Process" w:date="2024-01-02T11:56:00Z"/>
        </w:rPr>
      </w:pPr>
      <w:ins w:id="232" w:author="Master Repository Process" w:date="2024-01-02T11:56:00Z">
        <w:r>
          <w:tab/>
        </w:r>
        <w:r>
          <w:tab/>
          <w:t>For the purposes of section 152K(2AA)(b), a person belongs to a prescribed class of persons if the person is engaged by the Department to create or provide equipment, software, databases or any other thing to be used by responsible persons in identifying persons subject to prohibition orders.</w:t>
        </w:r>
      </w:ins>
    </w:p>
    <w:p>
      <w:pPr>
        <w:pStyle w:val="Footnotesection"/>
        <w:rPr>
          <w:ins w:id="233" w:author="Master Repository Process" w:date="2024-01-02T11:56:00Z"/>
        </w:rPr>
      </w:pPr>
      <w:ins w:id="234" w:author="Master Repository Process" w:date="2024-01-02T11:56:00Z">
        <w:r>
          <w:tab/>
          <w:t>[Regulation 24AA inserted: SL 2023/196 r. 8.]</w:t>
        </w:r>
      </w:ins>
    </w:p>
    <w:p>
      <w:pPr>
        <w:pStyle w:val="Heading5"/>
      </w:pPr>
      <w:bookmarkStart w:id="235" w:name="_Toc153191929"/>
      <w:bookmarkStart w:id="236" w:name="_Toc155088996"/>
      <w:r>
        <w:rPr>
          <w:rStyle w:val="CharSectno"/>
        </w:rPr>
        <w:t>24A</w:t>
      </w:r>
      <w:r>
        <w:t>.</w:t>
      </w:r>
      <w:r>
        <w:tab/>
        <w:t>Electronic means of service of documents under Part 5AA of Act (Act s. 152NZQ(4)(c))</w:t>
      </w:r>
      <w:bookmarkEnd w:id="235"/>
      <w:bookmarkEnd w:id="236"/>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r>
        <w:tab/>
        <w:t>[Regulation 24A inserted: SL 2022/217 r. 5.]</w:t>
      </w:r>
    </w:p>
    <w:p>
      <w:pPr>
        <w:pStyle w:val="Heading5"/>
      </w:pPr>
      <w:bookmarkStart w:id="237" w:name="_Toc153191930"/>
      <w:bookmarkStart w:id="238" w:name="_Toc155088997"/>
      <w:r>
        <w:rPr>
          <w:rStyle w:val="CharSectno"/>
        </w:rPr>
        <w:t>24B</w:t>
      </w:r>
      <w:r>
        <w:t>.</w:t>
      </w:r>
      <w:r>
        <w:tab/>
        <w:t>Consent to service of documents under Part 5AA of Act (Act s. 152NZQ(5))</w:t>
      </w:r>
      <w:bookmarkEnd w:id="237"/>
      <w:bookmarkEnd w:id="238"/>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r>
        <w:tab/>
        <w:t>[Regulation 24B inserted: SL 2022/217 r. 5.]</w:t>
      </w:r>
    </w:p>
    <w:p>
      <w:pPr>
        <w:pStyle w:val="Heading5"/>
      </w:pPr>
      <w:bookmarkStart w:id="239" w:name="_Toc153191931"/>
      <w:bookmarkStart w:id="240" w:name="_Toc155088998"/>
      <w:r>
        <w:rPr>
          <w:rStyle w:val="CharSectno"/>
        </w:rPr>
        <w:t>24C</w:t>
      </w:r>
      <w:r>
        <w:t>.</w:t>
      </w:r>
      <w:r>
        <w:tab/>
        <w:t>Time when documents under Part 5AA of Act are served (Act s. 152NZR(6))</w:t>
      </w:r>
      <w:bookmarkEnd w:id="239"/>
      <w:bookmarkEnd w:id="240"/>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Despite subregulation (1), the document is taken not to be served if the sender receives a notification that delivery has 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keepNext/>
      </w:pPr>
      <w:r>
        <w:tab/>
        <w:t>(4)</w:t>
      </w:r>
      <w:r>
        <w:tab/>
        <w:t>Despite subregulation (3), the document is taken not to be served if it is proved that, due to circumstances outside of the 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241" w:name="_Toc153191932"/>
      <w:bookmarkStart w:id="242" w:name="_Toc155088999"/>
      <w:r>
        <w:rPr>
          <w:rStyle w:val="CharSectno"/>
        </w:rPr>
        <w:t>25A</w:t>
      </w:r>
      <w:r>
        <w:t>.</w:t>
      </w:r>
      <w:r>
        <w:tab/>
        <w:t>Class of persons prescribed (Act s. 152P(4)(b))</w:t>
      </w:r>
      <w:bookmarkEnd w:id="241"/>
      <w:bookmarkEnd w:id="242"/>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rPr>
          <w:ins w:id="243" w:author="Master Repository Process" w:date="2024-01-02T11:56:00Z"/>
        </w:rPr>
      </w:pPr>
      <w:bookmarkStart w:id="244" w:name="_Toc152946499"/>
      <w:bookmarkStart w:id="245" w:name="_Toc152946684"/>
      <w:bookmarkStart w:id="246" w:name="_Toc153191933"/>
      <w:ins w:id="247" w:author="Master Repository Process" w:date="2024-01-02T11:56:00Z">
        <w:r>
          <w:rPr>
            <w:rStyle w:val="CharSectno"/>
          </w:rPr>
          <w:t>25B</w:t>
        </w:r>
        <w:r>
          <w:t>.</w:t>
        </w:r>
        <w:r>
          <w:tab/>
          <w:t>Fee payable for review of decision related to banned drinker orders (Act s. 152YY(1))</w:t>
        </w:r>
        <w:bookmarkEnd w:id="244"/>
        <w:bookmarkEnd w:id="245"/>
        <w:bookmarkEnd w:id="246"/>
      </w:ins>
    </w:p>
    <w:p>
      <w:pPr>
        <w:pStyle w:val="Subsection"/>
        <w:rPr>
          <w:ins w:id="248" w:author="Master Repository Process" w:date="2024-01-02T11:56:00Z"/>
        </w:rPr>
      </w:pPr>
      <w:ins w:id="249" w:author="Master Repository Process" w:date="2024-01-02T11:56:00Z">
        <w:r>
          <w:tab/>
          <w:t>(1)</w:t>
        </w:r>
        <w:r>
          <w:tab/>
          <w:t>A fee of $264 is payable to the Commission in respect of an application under section 152YY(1).</w:t>
        </w:r>
      </w:ins>
    </w:p>
    <w:p>
      <w:pPr>
        <w:pStyle w:val="Subsection"/>
        <w:rPr>
          <w:ins w:id="250" w:author="Master Repository Process" w:date="2024-01-02T11:56:00Z"/>
        </w:rPr>
      </w:pPr>
      <w:ins w:id="251" w:author="Master Repository Process" w:date="2024-01-02T11:56:00Z">
        <w:r>
          <w:tab/>
          <w:t>(2)</w:t>
        </w:r>
        <w:r>
          <w:tab/>
          <w:t>The person liable to pay the fee is the applicant.</w:t>
        </w:r>
      </w:ins>
    </w:p>
    <w:p>
      <w:pPr>
        <w:pStyle w:val="Subsection"/>
        <w:rPr>
          <w:ins w:id="252" w:author="Master Repository Process" w:date="2024-01-02T11:56:00Z"/>
        </w:rPr>
      </w:pPr>
      <w:ins w:id="253" w:author="Master Repository Process" w:date="2024-01-02T11:56:00Z">
        <w:r>
          <w:tab/>
          <w:t>(3)</w:t>
        </w:r>
        <w:r>
          <w:tab/>
          <w:t>The fee must be paid on the day on which the application is made and, if an application under section 152YY(1) is made without payment of the fee, the application is taken not to have been made until the fee has been paid.</w:t>
        </w:r>
      </w:ins>
    </w:p>
    <w:p>
      <w:pPr>
        <w:pStyle w:val="Subsection"/>
        <w:rPr>
          <w:ins w:id="254" w:author="Master Repository Process" w:date="2024-01-02T11:56:00Z"/>
        </w:rPr>
      </w:pPr>
      <w:ins w:id="255" w:author="Master Repository Process" w:date="2024-01-02T11:56:00Z">
        <w:r>
          <w:tab/>
          <w:t>(4)</w:t>
        </w:r>
        <w:r>
          <w:tab/>
          <w:t>The Director may reduce, waive or refund, in whole or in part, any fee payable under this regulation.</w:t>
        </w:r>
      </w:ins>
    </w:p>
    <w:p>
      <w:pPr>
        <w:pStyle w:val="Footnotesection"/>
        <w:rPr>
          <w:ins w:id="256" w:author="Master Repository Process" w:date="2024-01-02T11:56:00Z"/>
        </w:rPr>
      </w:pPr>
      <w:ins w:id="257" w:author="Master Repository Process" w:date="2024-01-02T11:56:00Z">
        <w:r>
          <w:tab/>
          <w:t>[Regulation 25B inserted: SL 2023/196 r. 9.]</w:t>
        </w:r>
      </w:ins>
    </w:p>
    <w:p>
      <w:pPr>
        <w:pStyle w:val="Heading5"/>
        <w:rPr>
          <w:ins w:id="258" w:author="Master Repository Process" w:date="2024-01-02T11:56:00Z"/>
        </w:rPr>
      </w:pPr>
      <w:bookmarkStart w:id="259" w:name="_Toc152946500"/>
      <w:bookmarkStart w:id="260" w:name="_Toc152946685"/>
      <w:bookmarkStart w:id="261" w:name="_Toc153191934"/>
      <w:ins w:id="262" w:author="Master Repository Process" w:date="2024-01-02T11:56:00Z">
        <w:r>
          <w:rPr>
            <w:rStyle w:val="CharSectno"/>
          </w:rPr>
          <w:t>25C</w:t>
        </w:r>
        <w:r>
          <w:t>.</w:t>
        </w:r>
        <w:r>
          <w:tab/>
          <w:t>Disclosure of information about banned drinker order and banned drinker (Act s. 152ZC(2)(d))</w:t>
        </w:r>
        <w:bookmarkEnd w:id="259"/>
        <w:bookmarkEnd w:id="260"/>
        <w:bookmarkEnd w:id="261"/>
      </w:ins>
    </w:p>
    <w:p>
      <w:pPr>
        <w:pStyle w:val="Subsection"/>
        <w:rPr>
          <w:ins w:id="263" w:author="Master Repository Process" w:date="2024-01-02T11:56:00Z"/>
        </w:rPr>
      </w:pPr>
      <w:ins w:id="264" w:author="Master Repository Process" w:date="2024-01-02T11:56:00Z">
        <w:r>
          <w:tab/>
        </w:r>
        <w:r>
          <w:tab/>
          <w:t>For the purposes of section 152ZC(2)(d), Scantek Solutions Pty Ltd (ACN 158 339 514) is prescribed in relation to each banned drinker.</w:t>
        </w:r>
      </w:ins>
    </w:p>
    <w:p>
      <w:pPr>
        <w:pStyle w:val="Footnotesection"/>
        <w:rPr>
          <w:ins w:id="265" w:author="Master Repository Process" w:date="2024-01-02T11:56:00Z"/>
        </w:rPr>
      </w:pPr>
      <w:ins w:id="266" w:author="Master Repository Process" w:date="2024-01-02T11:56:00Z">
        <w:r>
          <w:tab/>
          <w:t>[Regulation 25C inserted: SL 2023/196 r. 9.]</w:t>
        </w:r>
      </w:ins>
    </w:p>
    <w:p>
      <w:pPr>
        <w:pStyle w:val="Heading5"/>
        <w:rPr>
          <w:snapToGrid w:val="0"/>
        </w:rPr>
      </w:pPr>
      <w:bookmarkStart w:id="267" w:name="_Toc153191935"/>
      <w:bookmarkStart w:id="268" w:name="_Toc155089000"/>
      <w:r>
        <w:rPr>
          <w:rStyle w:val="CharSectno"/>
        </w:rPr>
        <w:t>25</w:t>
      </w:r>
      <w:r>
        <w:rPr>
          <w:snapToGrid w:val="0"/>
        </w:rPr>
        <w:t>.</w:t>
      </w:r>
      <w:r>
        <w:rPr>
          <w:snapToGrid w:val="0"/>
        </w:rPr>
        <w:tab/>
        <w:t>Money payable under Act, how payable</w:t>
      </w:r>
      <w:bookmarkEnd w:id="267"/>
      <w:bookmarkEnd w:id="268"/>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269" w:name="_Toc153191936"/>
      <w:bookmarkStart w:id="270" w:name="_Toc155089001"/>
      <w:r>
        <w:rPr>
          <w:rStyle w:val="CharSectno"/>
        </w:rPr>
        <w:t>26</w:t>
      </w:r>
      <w:r>
        <w:rPr>
          <w:snapToGrid w:val="0"/>
        </w:rPr>
        <w:t>.</w:t>
      </w:r>
      <w:r>
        <w:rPr>
          <w:snapToGrid w:val="0"/>
        </w:rPr>
        <w:tab/>
        <w:t>Fees generally (Sch. 3)</w:t>
      </w:r>
      <w:bookmarkEnd w:id="269"/>
      <w:bookmarkEnd w:id="270"/>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$302.00; or</w:t>
      </w:r>
    </w:p>
    <w:p>
      <w:pPr>
        <w:pStyle w:val="Indenta"/>
      </w:pPr>
      <w:r>
        <w:tab/>
        <w:t>(b)</w:t>
      </w:r>
      <w:r>
        <w:tab/>
        <w:t>if 3 or more such permits have been issued — an additional amount of $608.50.</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 SL 2022/144 r. 12.]</w:t>
      </w:r>
    </w:p>
    <w:p>
      <w:pPr>
        <w:pStyle w:val="Heading5"/>
      </w:pPr>
      <w:bookmarkStart w:id="271" w:name="_Toc153191937"/>
      <w:bookmarkStart w:id="272" w:name="_Toc155089002"/>
      <w:r>
        <w:rPr>
          <w:rStyle w:val="CharSectno"/>
        </w:rPr>
        <w:t>27A</w:t>
      </w:r>
      <w:r>
        <w:t>.</w:t>
      </w:r>
      <w:r>
        <w:tab/>
        <w:t>Reduction in licence fee for new licences</w:t>
      </w:r>
      <w:bookmarkEnd w:id="271"/>
      <w:bookmarkEnd w:id="272"/>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273" w:name="_Toc153191938"/>
      <w:bookmarkStart w:id="274" w:name="_Toc155089003"/>
      <w:r>
        <w:rPr>
          <w:rStyle w:val="CharSectno"/>
        </w:rPr>
        <w:t>27</w:t>
      </w:r>
      <w:r>
        <w:rPr>
          <w:snapToGrid w:val="0"/>
        </w:rPr>
        <w:t>.</w:t>
      </w:r>
      <w:r>
        <w:rPr>
          <w:snapToGrid w:val="0"/>
        </w:rPr>
        <w:tab/>
      </w:r>
      <w:r>
        <w:t>Prescribed offences for infringement notices (Act s. 167(2))</w:t>
      </w:r>
      <w:bookmarkEnd w:id="273"/>
      <w:bookmarkEnd w:id="274"/>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rPr>
                <w:ins w:id="275" w:author="Master Repository Process" w:date="2024-01-02T11:56:00Z"/>
              </w:rPr>
            </w:pPr>
            <w:r>
              <w:t>s. 119(2)</w:t>
            </w:r>
          </w:p>
          <w:p>
            <w:pPr>
              <w:pStyle w:val="TableNAm"/>
              <w:spacing w:before="100"/>
              <w:rPr>
                <w:ins w:id="276" w:author="Master Repository Process" w:date="2024-01-02T11:56:00Z"/>
              </w:rPr>
            </w:pPr>
            <w:ins w:id="277" w:author="Master Repository Process" w:date="2024-01-02T11:56:00Z">
              <w:r>
                <w:t>s. 119(4)</w:t>
              </w:r>
            </w:ins>
          </w:p>
          <w:p>
            <w:pPr>
              <w:pStyle w:val="TableNAm"/>
              <w:spacing w:before="100"/>
            </w:pPr>
            <w:ins w:id="278" w:author="Master Repository Process" w:date="2024-01-02T11:56:00Z">
              <w:r>
                <w:t>s. 119(5)</w:t>
              </w:r>
            </w:ins>
          </w:p>
        </w:tc>
        <w:tc>
          <w:tcPr>
            <w:tcW w:w="2693" w:type="dxa"/>
          </w:tcPr>
          <w:p>
            <w:pPr>
              <w:pStyle w:val="TableNAm"/>
              <w:spacing w:before="100"/>
              <w:rPr>
                <w:del w:id="279" w:author="Master Repository Process" w:date="2024-01-02T11:56:00Z"/>
              </w:rPr>
            </w:pPr>
            <w:del w:id="280" w:author="Master Repository Process" w:date="2024-01-02T11:56:00Z">
              <w:r>
                <w:delText>s. 119(4)</w:delText>
              </w:r>
            </w:del>
          </w:p>
          <w:p>
            <w:pPr>
              <w:pStyle w:val="TableNAm"/>
              <w:spacing w:before="100"/>
              <w:rPr>
                <w:del w:id="281" w:author="Master Repository Process" w:date="2024-01-02T11:56:00Z"/>
              </w:rPr>
            </w:pPr>
            <w:del w:id="282" w:author="Master Repository Process" w:date="2024-01-02T11:56:00Z">
              <w:r>
                <w:delText>s. 119(5)</w:delText>
              </w:r>
            </w:del>
          </w:p>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pPr>
            <w:r>
              <w:t>s. 152T(3)</w:t>
            </w:r>
          </w:p>
          <w:p>
            <w:pPr>
              <w:pStyle w:val="TableNAm"/>
              <w:rPr>
                <w:ins w:id="283" w:author="Master Repository Process" w:date="2024-01-02T11:56:00Z"/>
              </w:rPr>
            </w:pPr>
            <w:r>
              <w:t>s. </w:t>
            </w:r>
            <w:ins w:id="284" w:author="Master Repository Process" w:date="2024-01-02T11:56:00Z">
              <w:r>
                <w:t>152ZA(2)</w:t>
              </w:r>
            </w:ins>
          </w:p>
          <w:p>
            <w:pPr>
              <w:pStyle w:val="TableNAm"/>
              <w:rPr>
                <w:ins w:id="285" w:author="Master Repository Process" w:date="2024-01-02T11:56:00Z"/>
              </w:rPr>
            </w:pPr>
            <w:ins w:id="286" w:author="Master Repository Process" w:date="2024-01-02T11:56:00Z">
              <w:r>
                <w:t>s. 152ZB(1)</w:t>
              </w:r>
            </w:ins>
          </w:p>
          <w:p>
            <w:pPr>
              <w:pStyle w:val="TableNAm"/>
              <w:rPr>
                <w:ins w:id="287" w:author="Master Repository Process" w:date="2024-01-02T11:56:00Z"/>
              </w:rPr>
            </w:pPr>
            <w:ins w:id="288" w:author="Master Repository Process" w:date="2024-01-02T11:56:00Z">
              <w:r>
                <w:t>s. 152ZD(1)</w:t>
              </w:r>
            </w:ins>
          </w:p>
          <w:p>
            <w:pPr>
              <w:pStyle w:val="TableNAm"/>
              <w:spacing w:before="100"/>
              <w:rPr>
                <w:ins w:id="289" w:author="Master Repository Process" w:date="2024-01-02T11:56:00Z"/>
              </w:rPr>
            </w:pPr>
            <w:ins w:id="290" w:author="Master Repository Process" w:date="2024-01-02T11:56:00Z">
              <w:r>
                <w:t>s. 152ZJ(1)</w:t>
              </w:r>
            </w:ins>
          </w:p>
          <w:p>
            <w:pPr>
              <w:pStyle w:val="TableNAm"/>
              <w:spacing w:before="100"/>
            </w:pPr>
            <w:ins w:id="291" w:author="Master Repository Process" w:date="2024-01-02T11:56:00Z">
              <w:r>
                <w:t>s. </w:t>
              </w:r>
            </w:ins>
            <w:r>
              <w:t>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c>
          <w:tcPr>
            <w:tcW w:w="5245" w:type="dxa"/>
          </w:tcPr>
          <w:p>
            <w:pPr>
              <w:pStyle w:val="TableNAm"/>
              <w:keepNext/>
              <w:rPr>
                <w:i/>
              </w:rPr>
            </w:pPr>
            <w:r>
              <w:rPr>
                <w:i/>
              </w:rPr>
              <w:t xml:space="preserve">Liquor Control (Joy Springs Restricted Area) Regulations 2023 </w:t>
            </w:r>
            <w:r>
              <w:rPr>
                <w:szCs w:val="24"/>
              </w:rPr>
              <w:t>regulation 6(1)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t>Liquor Control (Mingullatharndo Restricted Area) Regulations 2023</w:t>
            </w:r>
            <w:r>
              <w:rPr>
                <w:szCs w:val="24"/>
              </w:rPr>
              <w:t xml:space="preserve"> regulation 6(1)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 SL 2023/159 r. 10; SL 2023/174 r. </w:t>
      </w:r>
      <w:ins w:id="292" w:author="Master Repository Process" w:date="2024-01-02T11:56:00Z">
        <w:r>
          <w:t>10; SL 2023/196 r. </w:t>
        </w:r>
      </w:ins>
      <w:r>
        <w:t>10.]</w:t>
      </w:r>
    </w:p>
    <w:p>
      <w:pPr>
        <w:pStyle w:val="Heading5"/>
      </w:pPr>
      <w:bookmarkStart w:id="293" w:name="_Toc153191939"/>
      <w:bookmarkStart w:id="294" w:name="_Toc155089004"/>
      <w:r>
        <w:rPr>
          <w:rStyle w:val="CharSectno"/>
        </w:rPr>
        <w:t>28</w:t>
      </w:r>
      <w:r>
        <w:t>.</w:t>
      </w:r>
      <w:r>
        <w:tab/>
        <w:t>Protected entertainment precincts (Act s. 175(1E))</w:t>
      </w:r>
      <w:bookmarkEnd w:id="293"/>
      <w:bookmarkEnd w:id="294"/>
    </w:p>
    <w:p>
      <w:pPr>
        <w:pStyle w:val="Ednotesubsection"/>
        <w:keepNext/>
      </w:pPr>
      <w:r>
        <w:tab/>
      </w:r>
      <w:del w:id="295" w:author="Master Repository Process" w:date="2024-01-02T11:56:00Z">
        <w:r>
          <w:delText>(</w:delText>
        </w:r>
      </w:del>
      <w:ins w:id="296" w:author="Master Repository Process" w:date="2024-01-02T11:56:00Z">
        <w:r>
          <w:t>[(</w:t>
        </w:r>
      </w:ins>
      <w:r>
        <w:t>1)</w:t>
      </w:r>
      <w:r>
        <w:tab/>
      </w:r>
      <w:del w:id="297" w:author="Master Repository Process" w:date="2024-01-02T11:56:00Z">
        <w:r>
          <w:delText xml:space="preserve">In this regulation — </w:delText>
        </w:r>
      </w:del>
      <w:ins w:id="298" w:author="Master Repository Process" w:date="2024-01-02T11:56:00Z">
        <w:r>
          <w:t>deleted]</w:t>
        </w:r>
      </w:ins>
    </w:p>
    <w:p>
      <w:pPr>
        <w:pStyle w:val="Defstart"/>
        <w:rPr>
          <w:del w:id="299" w:author="Master Repository Process" w:date="2024-01-02T11:56:00Z"/>
        </w:rPr>
      </w:pPr>
      <w:del w:id="300" w:author="Master Repository Process" w:date="2024-01-02T11:56:00Z">
        <w:r>
          <w:tab/>
        </w:r>
        <w:r>
          <w:rPr>
            <w:rStyle w:val="CharDefText"/>
          </w:rPr>
          <w:delText>Authority</w:delText>
        </w:r>
        <w:r>
          <w:delText xml:space="preserve"> means the Western Australian Land Information Authority established by the </w:delText>
        </w:r>
        <w:r>
          <w:rPr>
            <w:i/>
          </w:rPr>
          <w:delText>Land Information Authority Act 2006</w:delText>
        </w:r>
        <w:r>
          <w:delText xml:space="preserve"> section 5(1);</w:delText>
        </w:r>
      </w:del>
    </w:p>
    <w:p>
      <w:pPr>
        <w:pStyle w:val="Defstart"/>
        <w:rPr>
          <w:del w:id="301" w:author="Master Repository Process" w:date="2024-01-02T11:56:00Z"/>
        </w:rPr>
      </w:pPr>
      <w:del w:id="302" w:author="Master Repository Process" w:date="2024-01-02T11:56:00Z">
        <w:r>
          <w:tab/>
        </w:r>
        <w:r>
          <w:rPr>
            <w:rStyle w:val="CharDefText"/>
          </w:rPr>
          <w:delText>Deposited Plan</w:delText>
        </w:r>
        <w:r>
          <w:delText>, followed by a number, means the deposited plan of that number —</w:delText>
        </w:r>
      </w:del>
    </w:p>
    <w:p>
      <w:pPr>
        <w:pStyle w:val="Defpara"/>
        <w:rPr>
          <w:del w:id="303" w:author="Master Repository Process" w:date="2024-01-02T11:56:00Z"/>
        </w:rPr>
      </w:pPr>
      <w:del w:id="304" w:author="Master Repository Process" w:date="2024-01-02T11:56:00Z">
        <w:r>
          <w:tab/>
          <w:delText>(a)</w:delText>
        </w:r>
        <w:r>
          <w:tab/>
          <w:delText>lodged with the Authority; and</w:delText>
        </w:r>
      </w:del>
    </w:p>
    <w:p>
      <w:pPr>
        <w:pStyle w:val="Defpara"/>
        <w:rPr>
          <w:del w:id="305" w:author="Master Repository Process" w:date="2024-01-02T11:56:00Z"/>
        </w:rPr>
      </w:pPr>
      <w:del w:id="306" w:author="Master Repository Process" w:date="2024-01-02T11:56:00Z">
        <w:r>
          <w:tab/>
          <w:delText>(b)</w:delText>
        </w:r>
        <w:r>
          <w:tab/>
          <w:delText>approved by an authorised land officer as defined in the Land Administration Act 1997 section 3(1); and</w:delText>
        </w:r>
      </w:del>
    </w:p>
    <w:p>
      <w:pPr>
        <w:pStyle w:val="Defpara"/>
        <w:rPr>
          <w:del w:id="307" w:author="Master Repository Process" w:date="2024-01-02T11:56:00Z"/>
        </w:rPr>
      </w:pPr>
      <w:del w:id="308" w:author="Master Repository Process" w:date="2024-01-02T11:56:00Z">
        <w:r>
          <w:tab/>
          <w:delText>(c)</w:delText>
        </w:r>
        <w:r>
          <w:tab/>
          <w:delText>available in electronic form on the Authority’s official website.</w:delText>
        </w:r>
      </w:del>
    </w:p>
    <w:p>
      <w:pPr>
        <w:pStyle w:val="Subsection"/>
      </w:pPr>
      <w:r>
        <w:tab/>
        <w:t>(2)</w:t>
      </w:r>
      <w:r>
        <w:tab/>
        <w:t>Each area of the State described in the Table is a protected entertainment precinct.</w:t>
      </w:r>
    </w:p>
    <w:p>
      <w:pPr>
        <w:pStyle w:val="THeadingNAm"/>
      </w:pPr>
      <w:r>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rPr>
          <w:ins w:id="309" w:author="Master Repository Process" w:date="2024-01-02T11:56:00Z"/>
        </w:rPr>
      </w:pPr>
      <w:r>
        <w:tab/>
        <w:t>[Regulation 28 inserted: SL 2022/217 r. </w:t>
      </w:r>
      <w:del w:id="310" w:author="Master Repository Process" w:date="2024-01-02T11:56:00Z">
        <w:r>
          <w:delText>6</w:delText>
        </w:r>
      </w:del>
      <w:ins w:id="311" w:author="Master Repository Process" w:date="2024-01-02T11:56:00Z">
        <w:r>
          <w:t>6; amended: SL 2023/196 r. 11.]</w:t>
        </w:r>
      </w:ins>
    </w:p>
    <w:p>
      <w:pPr>
        <w:pStyle w:val="Heading5"/>
        <w:rPr>
          <w:ins w:id="312" w:author="Master Repository Process" w:date="2024-01-02T11:56:00Z"/>
        </w:rPr>
      </w:pPr>
      <w:bookmarkStart w:id="313" w:name="_Toc152946504"/>
      <w:bookmarkStart w:id="314" w:name="_Toc152946689"/>
      <w:bookmarkStart w:id="315" w:name="_Toc153191940"/>
      <w:ins w:id="316" w:author="Master Repository Process" w:date="2024-01-02T11:56:00Z">
        <w:r>
          <w:rPr>
            <w:rStyle w:val="CharSectno"/>
          </w:rPr>
          <w:t>29</w:t>
        </w:r>
        <w:r>
          <w:t>.</w:t>
        </w:r>
        <w:r>
          <w:tab/>
          <w:t>Banned drinker areas (Act s. 175(1G))</w:t>
        </w:r>
        <w:bookmarkEnd w:id="313"/>
        <w:bookmarkEnd w:id="314"/>
        <w:bookmarkEnd w:id="315"/>
      </w:ins>
    </w:p>
    <w:p>
      <w:pPr>
        <w:pStyle w:val="Subsection"/>
        <w:rPr>
          <w:ins w:id="317" w:author="Master Repository Process" w:date="2024-01-02T11:56:00Z"/>
        </w:rPr>
      </w:pPr>
      <w:ins w:id="318" w:author="Master Repository Process" w:date="2024-01-02T11:56:00Z">
        <w:r>
          <w:tab/>
          <w:t>(1)</w:t>
        </w:r>
        <w:r>
          <w:tab/>
          <w:t>Each area of the State described in the Table, other than an area described in subregulation (2), is a banned drinker area.</w:t>
        </w:r>
      </w:ins>
    </w:p>
    <w:p>
      <w:pPr>
        <w:pStyle w:val="THeadingNAm"/>
        <w:rPr>
          <w:ins w:id="319" w:author="Master Repository Process" w:date="2024-01-02T11:56:00Z"/>
        </w:rPr>
      </w:pPr>
      <w:ins w:id="320" w:author="Master Repository Process" w:date="2024-01-02T11:56:00Z">
        <w:r>
          <w:t>Table</w:t>
        </w:r>
      </w:ins>
    </w:p>
    <w:tbl>
      <w:tblPr>
        <w:tblW w:w="6096"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993"/>
        <w:gridCol w:w="1701"/>
        <w:gridCol w:w="3402"/>
      </w:tblGrid>
      <w:tr>
        <w:trPr>
          <w:tblHeader/>
          <w:ins w:id="321" w:author="Master Repository Process" w:date="2024-01-02T11:56:00Z"/>
        </w:trPr>
        <w:tc>
          <w:tcPr>
            <w:tcW w:w="993" w:type="dxa"/>
          </w:tcPr>
          <w:p>
            <w:pPr>
              <w:pStyle w:val="TableNAm"/>
              <w:jc w:val="center"/>
              <w:rPr>
                <w:ins w:id="322" w:author="Master Repository Process" w:date="2024-01-02T11:56:00Z"/>
                <w:b/>
                <w:bCs/>
              </w:rPr>
            </w:pPr>
            <w:ins w:id="323" w:author="Master Repository Process" w:date="2024-01-02T11:56:00Z">
              <w:r>
                <w:rPr>
                  <w:b/>
                  <w:bCs/>
                </w:rPr>
                <w:t>Item</w:t>
              </w:r>
            </w:ins>
          </w:p>
        </w:tc>
        <w:tc>
          <w:tcPr>
            <w:tcW w:w="1701" w:type="dxa"/>
          </w:tcPr>
          <w:p>
            <w:pPr>
              <w:pStyle w:val="TableNAm"/>
              <w:jc w:val="center"/>
              <w:rPr>
                <w:ins w:id="324" w:author="Master Repository Process" w:date="2024-01-02T11:56:00Z"/>
                <w:b/>
                <w:bCs/>
              </w:rPr>
            </w:pPr>
            <w:ins w:id="325" w:author="Master Repository Process" w:date="2024-01-02T11:56:00Z">
              <w:r>
                <w:rPr>
                  <w:b/>
                  <w:bCs/>
                </w:rPr>
                <w:t xml:space="preserve">Banned drinker area </w:t>
              </w:r>
            </w:ins>
          </w:p>
        </w:tc>
        <w:tc>
          <w:tcPr>
            <w:tcW w:w="3402" w:type="dxa"/>
          </w:tcPr>
          <w:p>
            <w:pPr>
              <w:pStyle w:val="TableNAm"/>
              <w:jc w:val="center"/>
              <w:rPr>
                <w:ins w:id="326" w:author="Master Repository Process" w:date="2024-01-02T11:56:00Z"/>
                <w:b/>
                <w:bCs/>
              </w:rPr>
            </w:pPr>
            <w:ins w:id="327" w:author="Master Repository Process" w:date="2024-01-02T11:56:00Z">
              <w:r>
                <w:rPr>
                  <w:b/>
                  <w:bCs/>
                </w:rPr>
                <w:t xml:space="preserve">Area of the State </w:t>
              </w:r>
            </w:ins>
          </w:p>
        </w:tc>
      </w:tr>
      <w:tr>
        <w:trPr>
          <w:ins w:id="328" w:author="Master Repository Process" w:date="2024-01-02T11:56:00Z"/>
        </w:trPr>
        <w:tc>
          <w:tcPr>
            <w:tcW w:w="993" w:type="dxa"/>
          </w:tcPr>
          <w:p>
            <w:pPr>
              <w:pStyle w:val="TableNAm"/>
              <w:rPr>
                <w:ins w:id="329" w:author="Master Repository Process" w:date="2024-01-02T11:56:00Z"/>
              </w:rPr>
            </w:pPr>
            <w:ins w:id="330" w:author="Master Repository Process" w:date="2024-01-02T11:56:00Z">
              <w:r>
                <w:t>1.</w:t>
              </w:r>
            </w:ins>
          </w:p>
        </w:tc>
        <w:tc>
          <w:tcPr>
            <w:tcW w:w="1701" w:type="dxa"/>
          </w:tcPr>
          <w:p>
            <w:pPr>
              <w:pStyle w:val="TableNAm"/>
              <w:rPr>
                <w:ins w:id="331" w:author="Master Repository Process" w:date="2024-01-02T11:56:00Z"/>
              </w:rPr>
            </w:pPr>
            <w:ins w:id="332" w:author="Master Repository Process" w:date="2024-01-02T11:56:00Z">
              <w:r>
                <w:t xml:space="preserve">Carnarvon and surrounds </w:t>
              </w:r>
            </w:ins>
          </w:p>
        </w:tc>
        <w:tc>
          <w:tcPr>
            <w:tcW w:w="3402" w:type="dxa"/>
          </w:tcPr>
          <w:p>
            <w:pPr>
              <w:pStyle w:val="TableNAm"/>
              <w:rPr>
                <w:ins w:id="333" w:author="Master Repository Process" w:date="2024-01-02T11:56:00Z"/>
              </w:rPr>
            </w:pPr>
            <w:ins w:id="334" w:author="Master Repository Process" w:date="2024-01-02T11:56:00Z">
              <w:r>
                <w:t>The area delineated in blue and coloured blue on Deposited Plan 426604 version 1.</w:t>
              </w:r>
            </w:ins>
          </w:p>
        </w:tc>
      </w:tr>
      <w:tr>
        <w:trPr>
          <w:ins w:id="335" w:author="Master Repository Process" w:date="2024-01-02T11:56:00Z"/>
        </w:trPr>
        <w:tc>
          <w:tcPr>
            <w:tcW w:w="993" w:type="dxa"/>
          </w:tcPr>
          <w:p>
            <w:pPr>
              <w:pStyle w:val="TableNAm"/>
              <w:rPr>
                <w:ins w:id="336" w:author="Master Repository Process" w:date="2024-01-02T11:56:00Z"/>
              </w:rPr>
            </w:pPr>
            <w:ins w:id="337" w:author="Master Repository Process" w:date="2024-01-02T11:56:00Z">
              <w:r>
                <w:t>2.</w:t>
              </w:r>
            </w:ins>
          </w:p>
        </w:tc>
        <w:tc>
          <w:tcPr>
            <w:tcW w:w="1701" w:type="dxa"/>
          </w:tcPr>
          <w:p>
            <w:pPr>
              <w:pStyle w:val="TableNAm"/>
              <w:rPr>
                <w:ins w:id="338" w:author="Master Repository Process" w:date="2024-01-02T11:56:00Z"/>
              </w:rPr>
            </w:pPr>
            <w:ins w:id="339" w:author="Master Repository Process" w:date="2024-01-02T11:56:00Z">
              <w:r>
                <w:t xml:space="preserve">Kalgoorlie and surrounds </w:t>
              </w:r>
            </w:ins>
          </w:p>
        </w:tc>
        <w:tc>
          <w:tcPr>
            <w:tcW w:w="3402" w:type="dxa"/>
          </w:tcPr>
          <w:p>
            <w:pPr>
              <w:pStyle w:val="TableNAm"/>
              <w:rPr>
                <w:ins w:id="340" w:author="Master Repository Process" w:date="2024-01-02T11:56:00Z"/>
                <w:rStyle w:val="DraftersNotes"/>
              </w:rPr>
            </w:pPr>
            <w:ins w:id="341" w:author="Master Repository Process" w:date="2024-01-02T11:56:00Z">
              <w:r>
                <w:t>The area delineated in blue and coloured blue on Deposited Plan 426610 version 1.</w:t>
              </w:r>
            </w:ins>
          </w:p>
        </w:tc>
      </w:tr>
      <w:tr>
        <w:trPr>
          <w:ins w:id="342" w:author="Master Repository Process" w:date="2024-01-02T11:56:00Z"/>
        </w:trPr>
        <w:tc>
          <w:tcPr>
            <w:tcW w:w="993" w:type="dxa"/>
          </w:tcPr>
          <w:p>
            <w:pPr>
              <w:pStyle w:val="TableNAm"/>
              <w:rPr>
                <w:ins w:id="343" w:author="Master Repository Process" w:date="2024-01-02T11:56:00Z"/>
              </w:rPr>
            </w:pPr>
            <w:ins w:id="344" w:author="Master Repository Process" w:date="2024-01-02T11:56:00Z">
              <w:r>
                <w:t>3.</w:t>
              </w:r>
            </w:ins>
          </w:p>
        </w:tc>
        <w:tc>
          <w:tcPr>
            <w:tcW w:w="1701" w:type="dxa"/>
          </w:tcPr>
          <w:p>
            <w:pPr>
              <w:pStyle w:val="TableNAm"/>
              <w:rPr>
                <w:ins w:id="345" w:author="Master Repository Process" w:date="2024-01-02T11:56:00Z"/>
              </w:rPr>
            </w:pPr>
            <w:ins w:id="346" w:author="Master Repository Process" w:date="2024-01-02T11:56:00Z">
              <w:r>
                <w:t xml:space="preserve">Kimberley region </w:t>
              </w:r>
            </w:ins>
          </w:p>
        </w:tc>
        <w:tc>
          <w:tcPr>
            <w:tcW w:w="3402" w:type="dxa"/>
          </w:tcPr>
          <w:p>
            <w:pPr>
              <w:pStyle w:val="TableNAm"/>
              <w:rPr>
                <w:ins w:id="347" w:author="Master Repository Process" w:date="2024-01-02T11:56:00Z"/>
                <w:rStyle w:val="DraftersNotes"/>
              </w:rPr>
            </w:pPr>
            <w:ins w:id="348" w:author="Master Repository Process" w:date="2024-01-02T11:56:00Z">
              <w:r>
                <w:t xml:space="preserve">The area delineated in blue and coloured blue on Deposited Plan 426608 version 1. </w:t>
              </w:r>
            </w:ins>
          </w:p>
        </w:tc>
      </w:tr>
      <w:tr>
        <w:trPr>
          <w:ins w:id="349" w:author="Master Repository Process" w:date="2024-01-02T11:56:00Z"/>
        </w:trPr>
        <w:tc>
          <w:tcPr>
            <w:tcW w:w="993" w:type="dxa"/>
          </w:tcPr>
          <w:p>
            <w:pPr>
              <w:pStyle w:val="TableNAm"/>
              <w:rPr>
                <w:ins w:id="350" w:author="Master Repository Process" w:date="2024-01-02T11:56:00Z"/>
              </w:rPr>
            </w:pPr>
            <w:ins w:id="351" w:author="Master Repository Process" w:date="2024-01-02T11:56:00Z">
              <w:r>
                <w:t>4.</w:t>
              </w:r>
            </w:ins>
          </w:p>
        </w:tc>
        <w:tc>
          <w:tcPr>
            <w:tcW w:w="1701" w:type="dxa"/>
          </w:tcPr>
          <w:p>
            <w:pPr>
              <w:pStyle w:val="TableNAm"/>
              <w:rPr>
                <w:ins w:id="352" w:author="Master Repository Process" w:date="2024-01-02T11:56:00Z"/>
              </w:rPr>
            </w:pPr>
            <w:ins w:id="353" w:author="Master Repository Process" w:date="2024-01-02T11:56:00Z">
              <w:r>
                <w:t xml:space="preserve">Pilbara region </w:t>
              </w:r>
            </w:ins>
          </w:p>
        </w:tc>
        <w:tc>
          <w:tcPr>
            <w:tcW w:w="3402" w:type="dxa"/>
          </w:tcPr>
          <w:p>
            <w:pPr>
              <w:pStyle w:val="TableNAm"/>
              <w:rPr>
                <w:ins w:id="354" w:author="Master Repository Process" w:date="2024-01-02T11:56:00Z"/>
                <w:rStyle w:val="DraftersNotes"/>
              </w:rPr>
            </w:pPr>
            <w:ins w:id="355" w:author="Master Repository Process" w:date="2024-01-02T11:56:00Z">
              <w:r>
                <w:t xml:space="preserve">The area delineated in blue and coloured blue on Deposited Plan 426609 version 1. </w:t>
              </w:r>
            </w:ins>
          </w:p>
        </w:tc>
      </w:tr>
    </w:tbl>
    <w:p>
      <w:pPr>
        <w:pStyle w:val="Subsection"/>
        <w:rPr>
          <w:ins w:id="356" w:author="Master Repository Process" w:date="2024-01-02T11:56:00Z"/>
        </w:rPr>
      </w:pPr>
      <w:ins w:id="357" w:author="Master Repository Process" w:date="2024-01-02T11:56:00Z">
        <w:r>
          <w:tab/>
          <w:t>(2)</w:t>
        </w:r>
        <w:r>
          <w:tab/>
          <w:t>For the purposes of subregulation (1), the area is an area in relation to which a special facility licence has been granted in accordance with regulation 9A(1).</w:t>
        </w:r>
      </w:ins>
    </w:p>
    <w:p>
      <w:pPr>
        <w:pStyle w:val="Footnotesection"/>
      </w:pPr>
      <w:ins w:id="358" w:author="Master Repository Process" w:date="2024-01-02T11:56:00Z">
        <w:r>
          <w:tab/>
          <w:t>[Regulation 29 inserted: SL 2023/196 r. 12</w:t>
        </w:r>
      </w:ins>
      <w:r>
        <w:t>.]</w:t>
      </w:r>
    </w:p>
    <w:p>
      <w:pPr>
        <w:sectPr>
          <w:headerReference w:type="even" r:id="rId16"/>
          <w:headerReference w:type="default" r:id="rId17"/>
          <w:footerReference w:type="even" r:id="rId18"/>
          <w:footerReference w:type="default" r:id="rId19"/>
          <w:headerReference w:type="first" r:id="rId20"/>
          <w:footerReference w:type="first" r:id="rId21"/>
          <w:pgSz w:w="11907" w:h="16840" w:code="9"/>
          <w:pgMar w:top="2381" w:right="2409" w:bottom="3543" w:left="2409" w:header="720" w:footer="3544" w:gutter="0"/>
          <w:pgNumType w:start="1"/>
          <w:cols w:space="720"/>
          <w:noEndnote/>
          <w:titlePg/>
          <w:docGrid w:linePitch="326"/>
        </w:sectPr>
      </w:pPr>
    </w:p>
    <w:p>
      <w:pPr>
        <w:pStyle w:val="yScheduleHeading"/>
      </w:pPr>
      <w:bookmarkStart w:id="359" w:name="_Toc153182615"/>
      <w:bookmarkStart w:id="360" w:name="_Toc153187426"/>
      <w:bookmarkStart w:id="361" w:name="_Toc153191941"/>
      <w:bookmarkStart w:id="362" w:name="_Toc155089005"/>
      <w:r>
        <w:rPr>
          <w:rStyle w:val="CharSchNo"/>
        </w:rPr>
        <w:t>Schedule 1</w:t>
      </w:r>
      <w:bookmarkEnd w:id="359"/>
      <w:bookmarkEnd w:id="360"/>
      <w:bookmarkEnd w:id="361"/>
      <w:bookmarkEnd w:id="362"/>
    </w:p>
    <w:p>
      <w:pPr>
        <w:pStyle w:val="yShoulderClause"/>
        <w:spacing w:before="60"/>
        <w:rPr>
          <w:snapToGrid w:val="0"/>
        </w:rPr>
      </w:pPr>
      <w:r>
        <w:rPr>
          <w:snapToGrid w:val="0"/>
        </w:rPr>
        <w:t>[Regulation 3]</w:t>
      </w:r>
    </w:p>
    <w:p>
      <w:pPr>
        <w:pStyle w:val="yHeading2"/>
      </w:pPr>
      <w:bookmarkStart w:id="363" w:name="_Toc153182616"/>
      <w:bookmarkStart w:id="364" w:name="_Toc153187427"/>
      <w:bookmarkStart w:id="365" w:name="_Toc153191942"/>
      <w:bookmarkStart w:id="366" w:name="_Toc155089006"/>
      <w:r>
        <w:rPr>
          <w:rStyle w:val="CharSchText"/>
        </w:rPr>
        <w:t>Forms</w:t>
      </w:r>
      <w:bookmarkEnd w:id="363"/>
      <w:bookmarkEnd w:id="364"/>
      <w:bookmarkEnd w:id="365"/>
      <w:bookmarkEnd w:id="366"/>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t>[Forms 21 and 22 deleted: Gazette 2 Oct 2018 p. 3801.]</w:t>
      </w:r>
    </w:p>
    <w:p>
      <w:pPr>
        <w:sectPr>
          <w:headerReference w:type="even" r:id="rId23"/>
          <w:headerReference w:type="default" r:id="rId24"/>
          <w:pgSz w:w="11907" w:h="16840" w:code="9"/>
          <w:pgMar w:top="2381" w:right="2409" w:bottom="3543" w:left="2409" w:header="720" w:footer="3544" w:gutter="0"/>
          <w:cols w:space="720"/>
          <w:noEndnote/>
          <w:docGrid w:linePitch="326"/>
        </w:sectPr>
      </w:pPr>
    </w:p>
    <w:p>
      <w:pPr>
        <w:pStyle w:val="yScheduleHeading"/>
      </w:pPr>
      <w:bookmarkStart w:id="367" w:name="_Toc153182617"/>
      <w:bookmarkStart w:id="368" w:name="_Toc153187428"/>
      <w:bookmarkStart w:id="369" w:name="_Toc153191943"/>
      <w:bookmarkStart w:id="370" w:name="_Toc155089007"/>
      <w:r>
        <w:rPr>
          <w:rStyle w:val="CharSchNo"/>
        </w:rPr>
        <w:t>Schedule 2</w:t>
      </w:r>
      <w:bookmarkEnd w:id="367"/>
      <w:bookmarkEnd w:id="368"/>
      <w:bookmarkEnd w:id="369"/>
      <w:bookmarkEnd w:id="370"/>
    </w:p>
    <w:p>
      <w:pPr>
        <w:pStyle w:val="yShoulderClause"/>
        <w:spacing w:before="60"/>
        <w:rPr>
          <w:snapToGrid w:val="0"/>
        </w:rPr>
      </w:pPr>
      <w:r>
        <w:rPr>
          <w:snapToGrid w:val="0"/>
        </w:rPr>
        <w:t>[Regulation 13]</w:t>
      </w:r>
    </w:p>
    <w:p>
      <w:pPr>
        <w:pStyle w:val="yHeading2"/>
        <w:spacing w:before="120" w:after="80"/>
      </w:pPr>
      <w:bookmarkStart w:id="371" w:name="_Toc153182618"/>
      <w:bookmarkStart w:id="372" w:name="_Toc153187429"/>
      <w:bookmarkStart w:id="373" w:name="_Toc153191944"/>
      <w:bookmarkStart w:id="374" w:name="_Toc155089008"/>
      <w:r>
        <w:rPr>
          <w:rStyle w:val="CharSchText"/>
        </w:rPr>
        <w:t>Details of applicant</w:t>
      </w:r>
      <w:bookmarkEnd w:id="371"/>
      <w:bookmarkEnd w:id="372"/>
      <w:bookmarkEnd w:id="373"/>
      <w:bookmarkEnd w:id="374"/>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375" w:name="_Toc153182619"/>
      <w:bookmarkStart w:id="376" w:name="_Toc153187430"/>
      <w:bookmarkStart w:id="377" w:name="_Toc153191945"/>
      <w:bookmarkStart w:id="378" w:name="_Toc155089009"/>
      <w:r>
        <w:rPr>
          <w:rStyle w:val="CharSchNo"/>
        </w:rPr>
        <w:t>Schedule 3</w:t>
      </w:r>
      <w:r>
        <w:t> — </w:t>
      </w:r>
      <w:r>
        <w:rPr>
          <w:rStyle w:val="CharSchText"/>
        </w:rPr>
        <w:t>Fees</w:t>
      </w:r>
      <w:bookmarkEnd w:id="375"/>
      <w:bookmarkEnd w:id="376"/>
      <w:bookmarkEnd w:id="377"/>
      <w:bookmarkEnd w:id="378"/>
    </w:p>
    <w:p>
      <w:pPr>
        <w:pStyle w:val="yShoulderClause"/>
        <w:spacing w:after="120"/>
      </w:pPr>
      <w:r>
        <w:t>[r. 11, 14ADF, 18B, 26 and 27A]</w:t>
      </w:r>
    </w:p>
    <w:p>
      <w:pPr>
        <w:pStyle w:val="yFootnoteheading"/>
      </w:pPr>
      <w:r>
        <w:tab/>
        <w:t>[Heading inserted: SL 2022/144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cente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3 788.50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971.50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930.00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640.00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314.50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an occasional licence if the anticipated number of patrons is — </w:t>
            </w:r>
          </w:p>
          <w:p>
            <w:pPr>
              <w:pStyle w:val="yTableNAm"/>
              <w:tabs>
                <w:tab w:val="left" w:leader="dot" w:pos="4934"/>
              </w:tabs>
            </w:pPr>
            <w:r>
              <w:t>(a)</w:t>
            </w:r>
            <w:r>
              <w:tab/>
              <w:t xml:space="preserve">up to 250 </w:t>
            </w:r>
            <w:r>
              <w:tab/>
            </w:r>
          </w:p>
          <w:p>
            <w:pPr>
              <w:pStyle w:val="yTableNAm"/>
              <w:tabs>
                <w:tab w:val="left" w:leader="dot" w:pos="4934"/>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jc w:val="right"/>
            </w:pPr>
            <w:r>
              <w:rPr>
                <w:szCs w:val="22"/>
              </w:rPr>
              <w:t>57.00</w:t>
            </w:r>
          </w:p>
          <w:p>
            <w:pPr>
              <w:pStyle w:val="yTableNAm"/>
              <w:jc w:val="right"/>
            </w:pPr>
            <w:r>
              <w:t>119.50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pPr>
            <w:r>
              <w:t>(c)</w:t>
            </w:r>
            <w:r>
              <w:tab/>
              <w:t xml:space="preserve">between 501 and 1 000 </w:t>
            </w:r>
            <w:r>
              <w:tab/>
            </w:r>
          </w:p>
          <w:p>
            <w:pPr>
              <w:pStyle w:val="yTableNAm"/>
              <w:tabs>
                <w:tab w:val="left" w:leader="dot" w:pos="4934"/>
              </w:tabs>
            </w:pPr>
            <w:r>
              <w:t>(d)</w:t>
            </w:r>
            <w:r>
              <w:tab/>
              <w:t xml:space="preserve">between 1 001 and 5 000 </w:t>
            </w:r>
            <w:r>
              <w:tab/>
            </w:r>
          </w:p>
          <w:p>
            <w:pPr>
              <w:pStyle w:val="yTableNAm"/>
              <w:tabs>
                <w:tab w:val="left" w:leader="dot" w:pos="4934"/>
              </w:tabs>
            </w:pPr>
            <w:r>
              <w:t>(e)</w:t>
            </w:r>
            <w:r>
              <w:tab/>
              <w:t xml:space="preserve">between 5 001 and 10 000 </w:t>
            </w:r>
            <w:r>
              <w:tab/>
            </w:r>
          </w:p>
          <w:p>
            <w:pPr>
              <w:pStyle w:val="yTableNAm"/>
              <w:tabs>
                <w:tab w:val="left" w:leader="dot" w:pos="4934"/>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245.50</w:t>
            </w:r>
          </w:p>
          <w:p>
            <w:pPr>
              <w:pStyle w:val="yTableNAm"/>
              <w:jc w:val="right"/>
            </w:pPr>
            <w:r>
              <w:rPr>
                <w:szCs w:val="22"/>
              </w:rPr>
              <w:t>1 245.50</w:t>
            </w:r>
          </w:p>
          <w:p>
            <w:pPr>
              <w:pStyle w:val="yTableNAm"/>
              <w:jc w:val="right"/>
            </w:pPr>
            <w:r>
              <w:rPr>
                <w:szCs w:val="22"/>
              </w:rPr>
              <w:t>2 494.50</w:t>
            </w:r>
          </w:p>
          <w:p>
            <w:pPr>
              <w:pStyle w:val="yTableNAm"/>
              <w:jc w:val="right"/>
            </w:pPr>
            <w:r>
              <w:rPr>
                <w:szCs w:val="22"/>
              </w:rPr>
              <w:t>5 001.50</w:t>
            </w:r>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issued for the purpose referred to in </w:t>
            </w:r>
            <w:r>
              <w:br/>
              <w:t xml:space="preserve">section 60(4)(e) </w:t>
            </w:r>
            <w:r>
              <w:tab/>
            </w:r>
          </w:p>
          <w:p>
            <w:pPr>
              <w:pStyle w:val="yTableNAm"/>
              <w:tabs>
                <w:tab w:val="left" w:leader="dot" w:pos="4934"/>
              </w:tabs>
              <w:ind w:left="518" w:hanging="518"/>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br/>
              <w:t>380.50</w:t>
            </w:r>
          </w:p>
          <w:p>
            <w:pPr>
              <w:pStyle w:val="yTableNAm"/>
              <w:jc w:val="right"/>
            </w:pPr>
            <w:r>
              <w:br/>
            </w:r>
            <w:r>
              <w:rPr>
                <w:szCs w:val="22"/>
              </w:rPr>
              <w:t>380.50</w:t>
            </w:r>
          </w:p>
        </w:tc>
      </w:tr>
      <w:tr>
        <w:tc>
          <w:tcPr>
            <w:tcW w:w="684" w:type="dxa"/>
            <w:tcBorders>
              <w:top w:val="nil"/>
              <w:left w:val="single" w:sz="4" w:space="0" w:color="auto"/>
              <w:bottom w:val="nil"/>
              <w:right w:val="single" w:sz="4" w:space="0" w:color="auto"/>
            </w:tcBorders>
            <w:noWrap/>
          </w:tcPr>
          <w:p>
            <w:pPr>
              <w:pStyle w:val="zyTableNAm"/>
              <w:keepNext/>
            </w:pPr>
          </w:p>
        </w:tc>
        <w:tc>
          <w:tcPr>
            <w:tcW w:w="5270" w:type="dxa"/>
            <w:tcBorders>
              <w:top w:val="nil"/>
              <w:left w:val="single" w:sz="4" w:space="0" w:color="auto"/>
              <w:bottom w:val="nil"/>
              <w:right w:val="single" w:sz="4" w:space="0" w:color="auto"/>
            </w:tcBorders>
            <w:noWrap/>
          </w:tcPr>
          <w:p>
            <w:pPr>
              <w:pStyle w:val="yTableNAm"/>
              <w:keepNext/>
              <w:tabs>
                <w:tab w:val="left" w:leader="dot" w:pos="4934"/>
              </w:tabs>
              <w:ind w:left="518" w:hanging="518"/>
            </w:pPr>
            <w:r>
              <w:t>(c)</w:t>
            </w:r>
            <w:r>
              <w:tab/>
              <w:t xml:space="preserve">issued for the purpose referred to in section 60(4)(ia) — </w:t>
            </w:r>
          </w:p>
          <w:p>
            <w:pPr>
              <w:pStyle w:val="yTableNAm"/>
              <w:keepNext/>
              <w:tabs>
                <w:tab w:val="left" w:pos="943"/>
                <w:tab w:val="left" w:leader="dot" w:pos="4945"/>
              </w:tabs>
              <w:ind w:left="943" w:hanging="943"/>
            </w:pPr>
            <w:r>
              <w:tab/>
              <w:t>(i)</w:t>
            </w:r>
            <w:r>
              <w:tab/>
              <w:t xml:space="preserve">if no previous application for that purpose has been made by any licensee in respect of the relevant premises </w:t>
            </w:r>
            <w:r>
              <w:tab/>
            </w:r>
          </w:p>
          <w:p>
            <w:pPr>
              <w:pStyle w:val="yTableNAm"/>
              <w:keepNext/>
              <w:tabs>
                <w:tab w:val="left" w:pos="943"/>
                <w:tab w:val="left" w:leader="dot" w:pos="4945"/>
              </w:tabs>
              <w:ind w:left="943" w:hanging="943"/>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keepNext/>
              <w:jc w:val="right"/>
            </w:pPr>
            <w:r>
              <w:rPr>
                <w:szCs w:val="22"/>
              </w:rPr>
              <w:t>380.50</w:t>
            </w:r>
          </w:p>
          <w:p>
            <w:pPr>
              <w:pStyle w:val="yTableNAm"/>
              <w:keepNext/>
              <w:jc w:val="right"/>
            </w:pPr>
            <w:r>
              <w:t>320.50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1 280.50</w:t>
            </w:r>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46.50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jc w:val="right"/>
            </w:pPr>
            <w:r>
              <w:t>195.00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jc w:val="right"/>
            </w:pPr>
            <w:r>
              <w:t>64.00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16.50</w:t>
            </w:r>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175.50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137.50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jc w:val="right"/>
            </w:pPr>
            <w:r>
              <w:t>55.50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jc w:val="right"/>
            </w:pPr>
            <w:r>
              <w:rPr>
                <w:szCs w:val="22"/>
              </w:rPr>
              <w:t>172.50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118.50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436.00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t>38.00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79.50</w:t>
            </w:r>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260.00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keepNext/>
              <w:tabs>
                <w:tab w:val="left" w:pos="943"/>
                <w:tab w:val="left" w:leader="dot" w:pos="4945"/>
              </w:tabs>
              <w:ind w:left="943" w:hanging="943"/>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47.50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302.00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22A.</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240.50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69.50</w:t>
            </w:r>
          </w:p>
        </w:tc>
      </w:tr>
      <w:tr>
        <w:tc>
          <w:tcPr>
            <w:tcW w:w="684" w:type="dxa"/>
            <w:noWrap/>
          </w:tcPr>
          <w:p>
            <w:pPr>
              <w:pStyle w:val="yTableNAm"/>
            </w:pPr>
            <w:r>
              <w:t>26.</w:t>
            </w:r>
          </w:p>
        </w:tc>
        <w:tc>
          <w:tcPr>
            <w:tcW w:w="5270" w:type="dxa"/>
            <w:noWrap/>
          </w:tcPr>
          <w:p>
            <w:pPr>
              <w:pStyle w:val="yTableNAm"/>
            </w:pPr>
            <w:r>
              <w:t xml:space="preserve">Supply of list of licensed premises, or list of owners of licensed premises, in electronic form </w:t>
            </w:r>
          </w:p>
        </w:tc>
        <w:tc>
          <w:tcPr>
            <w:tcW w:w="1114" w:type="dxa"/>
            <w:noWrap/>
            <w:vAlign w:val="bottom"/>
          </w:tcPr>
          <w:p>
            <w:pPr>
              <w:pStyle w:val="yTableNAm"/>
              <w:jc w:val="right"/>
            </w:pPr>
            <w:r>
              <w:rPr>
                <w:szCs w:val="22"/>
              </w:rPr>
              <w:t>63.00</w:t>
            </w:r>
          </w:p>
        </w:tc>
      </w:tr>
      <w:tr>
        <w:tc>
          <w:tcPr>
            <w:tcW w:w="684" w:type="dxa"/>
            <w:noWrap/>
          </w:tcPr>
          <w:p>
            <w:pPr>
              <w:pStyle w:val="yTableNAm"/>
            </w:pPr>
            <w:r>
              <w:t>27.</w:t>
            </w:r>
          </w:p>
        </w:tc>
        <w:tc>
          <w:tcPr>
            <w:tcW w:w="5270" w:type="dxa"/>
            <w:noWrap/>
          </w:tcPr>
          <w:p>
            <w:pPr>
              <w:pStyle w:val="yTableNAm"/>
            </w:pPr>
            <w:r>
              <w:t xml:space="preserve">Supply of address labels for licensed premises </w:t>
            </w:r>
          </w:p>
        </w:tc>
        <w:tc>
          <w:tcPr>
            <w:tcW w:w="1114" w:type="dxa"/>
            <w:noWrap/>
          </w:tcPr>
          <w:p>
            <w:pPr>
              <w:pStyle w:val="yTableNAm"/>
              <w:jc w:val="right"/>
            </w:pPr>
            <w:r>
              <w:rPr>
                <w:szCs w:val="22"/>
              </w:rPr>
              <w:t>154.50</w:t>
            </w:r>
          </w:p>
        </w:tc>
      </w:tr>
      <w:tr>
        <w:tc>
          <w:tcPr>
            <w:tcW w:w="684" w:type="dxa"/>
            <w:noWrap/>
          </w:tcPr>
          <w:p>
            <w:pPr>
              <w:pStyle w:val="yTableNAm"/>
            </w:pPr>
            <w:r>
              <w:t>28.</w:t>
            </w:r>
          </w:p>
        </w:tc>
        <w:tc>
          <w:tcPr>
            <w:tcW w:w="5270" w:type="dxa"/>
            <w:noWrap/>
          </w:tcPr>
          <w:p>
            <w:pPr>
              <w:pStyle w:val="yTableNAm"/>
            </w:pPr>
            <w:r>
              <w:t xml:space="preserve">Supply of approved heading for advertising an application </w:t>
            </w:r>
          </w:p>
        </w:tc>
        <w:tc>
          <w:tcPr>
            <w:tcW w:w="1114" w:type="dxa"/>
            <w:noWrap/>
            <w:vAlign w:val="bottom"/>
          </w:tcPr>
          <w:p>
            <w:pPr>
              <w:pStyle w:val="yTableNAm"/>
              <w:jc w:val="right"/>
            </w:pPr>
            <w:r>
              <w:t>29.00</w:t>
            </w:r>
          </w:p>
        </w:tc>
      </w:tr>
      <w:tr>
        <w:tc>
          <w:tcPr>
            <w:tcW w:w="684" w:type="dxa"/>
            <w:noWrap/>
          </w:tcPr>
          <w:p>
            <w:pPr>
              <w:pStyle w:val="yTableNAm"/>
            </w:pPr>
            <w:r>
              <w:t>29.</w:t>
            </w:r>
          </w:p>
        </w:tc>
        <w:tc>
          <w:tcPr>
            <w:tcW w:w="5270" w:type="dxa"/>
            <w:noWrap/>
          </w:tcPr>
          <w:p>
            <w:pPr>
              <w:pStyle w:val="yTableNAm"/>
            </w:pPr>
            <w:r>
              <w:t xml:space="preserve">Supply of copy of plan — per sheet </w:t>
            </w:r>
          </w:p>
        </w:tc>
        <w:tc>
          <w:tcPr>
            <w:tcW w:w="1114" w:type="dxa"/>
            <w:noWrap/>
          </w:tcPr>
          <w:p>
            <w:pPr>
              <w:pStyle w:val="yTableNAm"/>
              <w:jc w:val="right"/>
            </w:pPr>
            <w:r>
              <w:t>29.00</w:t>
            </w:r>
            <w:r>
              <w:br/>
              <w:t>(up to a max. of 232.00)</w:t>
            </w:r>
          </w:p>
        </w:tc>
      </w:tr>
      <w:tr>
        <w:tc>
          <w:tcPr>
            <w:tcW w:w="684" w:type="dxa"/>
            <w:noWrap/>
          </w:tcPr>
          <w:p>
            <w:pPr>
              <w:pStyle w:val="yTableNAm"/>
            </w:pPr>
            <w:r>
              <w:t>30.</w:t>
            </w:r>
          </w:p>
        </w:tc>
        <w:tc>
          <w:tcPr>
            <w:tcW w:w="5270" w:type="dxa"/>
            <w:noWrap/>
          </w:tcPr>
          <w:p>
            <w:pPr>
              <w:pStyle w:val="yTableNAm"/>
            </w:pPr>
            <w:r>
              <w:t xml:space="preserve">Supply of certified copy of plan defining licensed premises </w:t>
            </w:r>
          </w:p>
        </w:tc>
        <w:tc>
          <w:tcPr>
            <w:tcW w:w="1114" w:type="dxa"/>
            <w:noWrap/>
            <w:vAlign w:val="bottom"/>
          </w:tcPr>
          <w:p>
            <w:pPr>
              <w:pStyle w:val="yTableNAm"/>
              <w:jc w:val="right"/>
            </w:pPr>
            <w:r>
              <w:t>43.00</w:t>
            </w:r>
          </w:p>
        </w:tc>
      </w:tr>
      <w:tr>
        <w:tc>
          <w:tcPr>
            <w:tcW w:w="684" w:type="dxa"/>
            <w:noWrap/>
          </w:tcPr>
          <w:p>
            <w:pPr>
              <w:pStyle w:val="yTableNAm"/>
            </w:pPr>
            <w:r>
              <w:t>31.</w:t>
            </w:r>
          </w:p>
        </w:tc>
        <w:tc>
          <w:tcPr>
            <w:tcW w:w="5270" w:type="dxa"/>
            <w:noWrap/>
          </w:tcPr>
          <w:p>
            <w:pPr>
              <w:pStyle w:val="yTableNAm"/>
            </w:pPr>
            <w:r>
              <w:t xml:space="preserve">Supply of copy of a licence, a permit or a decision of the Commission (or the former Liquor Licensing Court) or the Director </w:t>
            </w:r>
          </w:p>
        </w:tc>
        <w:tc>
          <w:tcPr>
            <w:tcW w:w="1114" w:type="dxa"/>
            <w:noWrap/>
            <w:vAlign w:val="bottom"/>
          </w:tcPr>
          <w:p>
            <w:pPr>
              <w:pStyle w:val="yTableNAm"/>
              <w:jc w:val="right"/>
            </w:pPr>
            <w:r>
              <w:t>29.00</w:t>
            </w:r>
          </w:p>
        </w:tc>
      </w:tr>
      <w:tr>
        <w:tc>
          <w:tcPr>
            <w:tcW w:w="684" w:type="dxa"/>
            <w:noWrap/>
          </w:tcPr>
          <w:p>
            <w:pPr>
              <w:pStyle w:val="yTableNAm"/>
            </w:pPr>
            <w:r>
              <w:t>32.</w:t>
            </w:r>
          </w:p>
        </w:tc>
        <w:tc>
          <w:tcPr>
            <w:tcW w:w="5270" w:type="dxa"/>
            <w:noWrap/>
          </w:tcPr>
          <w:p>
            <w:pPr>
              <w:pStyle w:val="yTableNAm"/>
            </w:pPr>
            <w:r>
              <w:t xml:space="preserve">Certification of a copy of a licence, a permit or a decision of the Commission (or the former Liquor Licensing Court) or the Director </w:t>
            </w:r>
          </w:p>
          <w:p>
            <w:pPr>
              <w:pStyle w:val="yTableNAm"/>
            </w:pPr>
            <w:r>
              <w:rPr>
                <w:sz w:val="20"/>
              </w:rPr>
              <w:t>[In addition to the fee under item 31]</w:t>
            </w:r>
          </w:p>
        </w:tc>
        <w:tc>
          <w:tcPr>
            <w:tcW w:w="1114" w:type="dxa"/>
            <w:noWrap/>
          </w:tcPr>
          <w:p>
            <w:pPr>
              <w:pStyle w:val="yTableNAm"/>
              <w:jc w:val="right"/>
            </w:pPr>
            <w:r>
              <w:br/>
            </w:r>
            <w:r>
              <w:br/>
              <w:t>29.00</w:t>
            </w:r>
          </w:p>
        </w:tc>
      </w:tr>
      <w:tr>
        <w:tc>
          <w:tcPr>
            <w:tcW w:w="684" w:type="dxa"/>
            <w:noWrap/>
          </w:tcPr>
          <w:p>
            <w:pPr>
              <w:pStyle w:val="yTableNAm"/>
            </w:pPr>
            <w:r>
              <w:t>33.</w:t>
            </w:r>
          </w:p>
        </w:tc>
        <w:tc>
          <w:tcPr>
            <w:tcW w:w="5270" w:type="dxa"/>
            <w:noWrap/>
          </w:tcPr>
          <w:p>
            <w:pPr>
              <w:pStyle w:val="yTableNAm"/>
            </w:pPr>
            <w:r>
              <w:t xml:space="preserve">Supply of copy of documentation, other than that already prescribed — per page </w:t>
            </w:r>
          </w:p>
        </w:tc>
        <w:tc>
          <w:tcPr>
            <w:tcW w:w="1114" w:type="dxa"/>
            <w:noWrap/>
            <w:vAlign w:val="bottom"/>
          </w:tcPr>
          <w:p>
            <w:pPr>
              <w:pStyle w:val="yTableNAm"/>
              <w:jc w:val="right"/>
            </w:pPr>
            <w:r>
              <w:t>4.00</w:t>
            </w:r>
          </w:p>
        </w:tc>
      </w:tr>
      <w:tr>
        <w:tc>
          <w:tcPr>
            <w:tcW w:w="684" w:type="dxa"/>
            <w:noWrap/>
          </w:tcPr>
          <w:p>
            <w:pPr>
              <w:pStyle w:val="yTableNAm"/>
            </w:pPr>
            <w:r>
              <w:t>34.</w:t>
            </w:r>
          </w:p>
        </w:tc>
        <w:tc>
          <w:tcPr>
            <w:tcW w:w="5270" w:type="dxa"/>
            <w:noWrap/>
          </w:tcPr>
          <w:p>
            <w:pPr>
              <w:pStyle w:val="yTableNAm"/>
            </w:pPr>
            <w:r>
              <w:t xml:space="preserve">Issue of a summons to a witness </w:t>
            </w:r>
          </w:p>
        </w:tc>
        <w:tc>
          <w:tcPr>
            <w:tcW w:w="1114" w:type="dxa"/>
            <w:noWrap/>
          </w:tcPr>
          <w:p>
            <w:pPr>
              <w:pStyle w:val="yTableNAm"/>
              <w:jc w:val="right"/>
            </w:pPr>
            <w:r>
              <w:t>24.00</w:t>
            </w:r>
          </w:p>
        </w:tc>
      </w:tr>
      <w:tr>
        <w:tc>
          <w:tcPr>
            <w:tcW w:w="684" w:type="dxa"/>
            <w:noWrap/>
          </w:tcPr>
          <w:p>
            <w:pPr>
              <w:pStyle w:val="yTableNAm"/>
            </w:pPr>
            <w:r>
              <w:t>35.</w:t>
            </w:r>
          </w:p>
        </w:tc>
        <w:tc>
          <w:tcPr>
            <w:tcW w:w="5270" w:type="dxa"/>
            <w:noWrap/>
          </w:tcPr>
          <w:p>
            <w:pPr>
              <w:pStyle w:val="yTableNAm"/>
            </w:pPr>
            <w:r>
              <w:t xml:space="preserve">Search of the database of records of licences — per licence </w:t>
            </w:r>
          </w:p>
        </w:tc>
        <w:tc>
          <w:tcPr>
            <w:tcW w:w="1114" w:type="dxa"/>
            <w:noWrap/>
            <w:vAlign w:val="bottom"/>
          </w:tcPr>
          <w:p>
            <w:pPr>
              <w:pStyle w:val="yTableNAm"/>
              <w:jc w:val="right"/>
            </w:pPr>
            <w:r>
              <w:t>43.00</w:t>
            </w:r>
          </w:p>
        </w:tc>
      </w:tr>
      <w:tr>
        <w:tc>
          <w:tcPr>
            <w:tcW w:w="684" w:type="dxa"/>
            <w:noWrap/>
          </w:tcPr>
          <w:p>
            <w:pPr>
              <w:pStyle w:val="yTableNAm"/>
            </w:pPr>
            <w:r>
              <w:t>36.</w:t>
            </w:r>
          </w:p>
        </w:tc>
        <w:tc>
          <w:tcPr>
            <w:tcW w:w="5270" w:type="dxa"/>
            <w:noWrap/>
          </w:tcPr>
          <w:p>
            <w:pPr>
              <w:pStyle w:val="yTableNAm"/>
            </w:pPr>
            <w:r>
              <w:t xml:space="preserve">Full search of a licence record </w:t>
            </w:r>
          </w:p>
        </w:tc>
        <w:tc>
          <w:tcPr>
            <w:tcW w:w="1114" w:type="dxa"/>
            <w:noWrap/>
          </w:tcPr>
          <w:p>
            <w:pPr>
              <w:pStyle w:val="yTableNAm"/>
              <w:jc w:val="right"/>
            </w:pPr>
            <w:r>
              <w:rPr>
                <w:szCs w:val="22"/>
              </w:rPr>
              <w:t>55.50</w:t>
            </w:r>
          </w:p>
        </w:tc>
      </w:tr>
      <w:tr>
        <w:tc>
          <w:tcPr>
            <w:tcW w:w="684" w:type="dxa"/>
            <w:tcBorders>
              <w:bottom w:val="nil"/>
            </w:tcBorders>
            <w:noWrap/>
          </w:tcPr>
          <w:p>
            <w:pPr>
              <w:pStyle w:val="yTableNAm"/>
            </w:pPr>
            <w:r>
              <w:t>37.</w:t>
            </w:r>
          </w:p>
        </w:tc>
        <w:tc>
          <w:tcPr>
            <w:tcW w:w="5270" w:type="dxa"/>
            <w:tcBorders>
              <w:bottom w:val="nil"/>
            </w:tcBorders>
            <w:noWrap/>
          </w:tcPr>
          <w:p>
            <w:pPr>
              <w:pStyle w:val="yTableNAm"/>
            </w:pPr>
            <w:r>
              <w:t xml:space="preserve">Search of postcodes — </w:t>
            </w:r>
          </w:p>
        </w:tc>
        <w:tc>
          <w:tcPr>
            <w:tcW w:w="1114" w:type="dxa"/>
            <w:tcBorders>
              <w:bottom w:val="nil"/>
            </w:tcBorders>
            <w:noWrap/>
          </w:tcPr>
          <w:p>
            <w:pPr>
              <w:pStyle w:val="yTableNAm"/>
              <w:jc w:val="right"/>
            </w:pPr>
          </w:p>
        </w:tc>
      </w:tr>
      <w:tr>
        <w:tc>
          <w:tcPr>
            <w:tcW w:w="684" w:type="dxa"/>
            <w:tcBorders>
              <w:top w:val="nil"/>
              <w:bottom w:val="nil"/>
            </w:tcBorders>
            <w:noWrap/>
          </w:tcPr>
          <w:p>
            <w:pPr>
              <w:pStyle w:val="zyTableNAm"/>
            </w:pPr>
          </w:p>
        </w:tc>
        <w:tc>
          <w:tcPr>
            <w:tcW w:w="5270" w:type="dxa"/>
            <w:tcBorders>
              <w:top w:val="nil"/>
              <w:bottom w:val="nil"/>
            </w:tcBorders>
            <w:noWrap/>
          </w:tcPr>
          <w:p>
            <w:pPr>
              <w:pStyle w:val="yTableNAm"/>
              <w:tabs>
                <w:tab w:val="left" w:leader="dot" w:pos="4934"/>
              </w:tabs>
              <w:ind w:left="518" w:hanging="518"/>
            </w:pPr>
            <w:r>
              <w:t>(a)</w:t>
            </w:r>
            <w:r>
              <w:tab/>
              <w:t xml:space="preserve">1 to 10 postcodes </w:t>
            </w:r>
            <w:r>
              <w:tab/>
            </w:r>
          </w:p>
        </w:tc>
        <w:tc>
          <w:tcPr>
            <w:tcW w:w="1114" w:type="dxa"/>
            <w:tcBorders>
              <w:top w:val="nil"/>
              <w:bottom w:val="nil"/>
            </w:tcBorders>
            <w:noWrap/>
          </w:tcPr>
          <w:p>
            <w:pPr>
              <w:pStyle w:val="yTableNAm"/>
              <w:jc w:val="right"/>
            </w:pPr>
            <w:r>
              <w:t>43.00</w:t>
            </w:r>
          </w:p>
        </w:tc>
      </w:tr>
      <w:tr>
        <w:tc>
          <w:tcPr>
            <w:tcW w:w="684" w:type="dxa"/>
            <w:tcBorders>
              <w:top w:val="nil"/>
            </w:tcBorders>
            <w:noWrap/>
          </w:tcPr>
          <w:p>
            <w:pPr>
              <w:pStyle w:val="zyTableNAm"/>
            </w:pPr>
          </w:p>
        </w:tc>
        <w:tc>
          <w:tcPr>
            <w:tcW w:w="5270" w:type="dxa"/>
            <w:tcBorders>
              <w:top w:val="nil"/>
            </w:tcBorders>
            <w:noWrap/>
          </w:tcPr>
          <w:p>
            <w:pPr>
              <w:pStyle w:val="yTableNAm"/>
              <w:tabs>
                <w:tab w:val="left" w:leader="dot" w:pos="4934"/>
              </w:tabs>
              <w:ind w:left="518" w:hanging="518"/>
            </w:pPr>
            <w:r>
              <w:t>(b)</w:t>
            </w:r>
            <w:r>
              <w:tab/>
              <w:t xml:space="preserve">more than 10 postcodes </w:t>
            </w:r>
            <w:r>
              <w:tab/>
            </w:r>
          </w:p>
        </w:tc>
        <w:tc>
          <w:tcPr>
            <w:tcW w:w="1114" w:type="dxa"/>
            <w:tcBorders>
              <w:top w:val="nil"/>
            </w:tcBorders>
            <w:noWrap/>
          </w:tcPr>
          <w:p>
            <w:pPr>
              <w:pStyle w:val="yTableNAm"/>
              <w:jc w:val="right"/>
            </w:pPr>
            <w:r>
              <w:rPr>
                <w:szCs w:val="22"/>
              </w:rPr>
              <w:t>95.00</w:t>
            </w:r>
          </w:p>
        </w:tc>
      </w:tr>
      <w:tr>
        <w:tc>
          <w:tcPr>
            <w:tcW w:w="684" w:type="dxa"/>
            <w:tcBorders>
              <w:top w:val="nil"/>
              <w:left w:val="single" w:sz="4" w:space="0" w:color="auto"/>
              <w:bottom w:val="single" w:sz="4" w:space="0" w:color="auto"/>
              <w:right w:val="single" w:sz="4" w:space="0" w:color="auto"/>
            </w:tcBorders>
            <w:noWrap/>
          </w:tcPr>
          <w:p>
            <w:pPr>
              <w:pStyle w:val="yTableNAm"/>
            </w:pPr>
            <w:r>
              <w:t>38.</w:t>
            </w:r>
          </w:p>
        </w:tc>
        <w:tc>
          <w:tcPr>
            <w:tcW w:w="5270" w:type="dxa"/>
            <w:tcBorders>
              <w:top w:val="nil"/>
              <w:left w:val="single" w:sz="4" w:space="0" w:color="auto"/>
              <w:bottom w:val="single" w:sz="4" w:space="0" w:color="auto"/>
              <w:right w:val="single" w:sz="4" w:space="0" w:color="auto"/>
            </w:tcBorders>
            <w:noWrap/>
          </w:tcPr>
          <w:p>
            <w:pPr>
              <w:pStyle w:val="yTableNAm"/>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jc w:val="right"/>
            </w:pPr>
            <w:r>
              <w:t>161.00</w:t>
            </w:r>
          </w:p>
        </w:tc>
      </w:tr>
    </w:tbl>
    <w:p>
      <w:pPr>
        <w:pStyle w:val="yFootnotesection"/>
      </w:pPr>
      <w:r>
        <w:tab/>
        <w:t>[Schedule 3 inserted: SL 2022/144 r. 13; amended: SL 2022/217 r. 9.]</w:t>
      </w:r>
    </w:p>
    <w:p>
      <w:pPr>
        <w:sectPr>
          <w:headerReference w:type="even" r:id="rId25"/>
          <w:headerReference w:type="default" r:id="rId26"/>
          <w:pgSz w:w="11907" w:h="16840" w:code="9"/>
          <w:pgMar w:top="2381" w:right="2409" w:bottom="3543" w:left="2409" w:header="720" w:footer="3544" w:gutter="0"/>
          <w:cols w:space="720"/>
          <w:noEndnote/>
          <w:docGrid w:linePitch="326"/>
        </w:sectPr>
      </w:pPr>
    </w:p>
    <w:p>
      <w:pPr>
        <w:pStyle w:val="yScheduleHeading"/>
      </w:pPr>
      <w:bookmarkStart w:id="379" w:name="_Toc153182620"/>
      <w:bookmarkStart w:id="380" w:name="_Toc153187431"/>
      <w:bookmarkStart w:id="381" w:name="_Toc153191946"/>
      <w:bookmarkStart w:id="382" w:name="_Toc155089010"/>
      <w:r>
        <w:rPr>
          <w:rStyle w:val="CharSchNo"/>
        </w:rPr>
        <w:t>Schedule 4</w:t>
      </w:r>
      <w:r>
        <w:rPr>
          <w:rStyle w:val="CharSDivNo"/>
        </w:rPr>
        <w:t> </w:t>
      </w:r>
      <w:r>
        <w:t>—</w:t>
      </w:r>
      <w:r>
        <w:rPr>
          <w:rStyle w:val="CharSDivText"/>
        </w:rPr>
        <w:t> </w:t>
      </w:r>
      <w:r>
        <w:rPr>
          <w:rStyle w:val="CharSchText"/>
        </w:rPr>
        <w:t>Images of deposited plans showing protected entertainment precincts</w:t>
      </w:r>
      <w:bookmarkEnd w:id="379"/>
      <w:bookmarkEnd w:id="380"/>
      <w:bookmarkEnd w:id="381"/>
      <w:bookmarkEnd w:id="382"/>
    </w:p>
    <w:p>
      <w:pPr>
        <w:pStyle w:val="yShoulderClause"/>
      </w:pPr>
      <w:r>
        <w:t>[r. 28(3)]</w:t>
      </w:r>
    </w:p>
    <w:p>
      <w:pPr>
        <w:pStyle w:val="yHeading5"/>
      </w:pPr>
      <w:bookmarkStart w:id="383" w:name="_Toc153191947"/>
      <w:bookmarkStart w:id="384" w:name="_Toc155089011"/>
      <w:r>
        <w:rPr>
          <w:rStyle w:val="CharSClsNo"/>
        </w:rPr>
        <w:t>1</w:t>
      </w:r>
      <w:r>
        <w:t>.</w:t>
      </w:r>
      <w:r>
        <w:tab/>
        <w:t>Fremantle</w:t>
      </w:r>
      <w:bookmarkEnd w:id="383"/>
      <w:bookmarkEnd w:id="384"/>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5471346" cy="3793733"/>
                    </a:xfrm>
                    <a:prstGeom prst="rect">
                      <a:avLst/>
                    </a:prstGeom>
                  </pic:spPr>
                </pic:pic>
              </a:graphicData>
            </a:graphic>
          </wp:inline>
        </w:drawing>
      </w:r>
    </w:p>
    <w:p>
      <w:pPr>
        <w:pStyle w:val="yHeading5"/>
      </w:pPr>
      <w:bookmarkStart w:id="385" w:name="_Toc153191948"/>
      <w:bookmarkStart w:id="386" w:name="_Toc155089012"/>
      <w:r>
        <w:rPr>
          <w:rStyle w:val="CharSClsNo"/>
        </w:rPr>
        <w:t>2</w:t>
      </w:r>
      <w:r>
        <w:t>.</w:t>
      </w:r>
      <w:r>
        <w:tab/>
        <w:t>Hillarys</w:t>
      </w:r>
      <w:bookmarkEnd w:id="385"/>
      <w:bookmarkEnd w:id="386"/>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5414400" cy="3751200"/>
                    </a:xfrm>
                    <a:prstGeom prst="rect">
                      <a:avLst/>
                    </a:prstGeom>
                  </pic:spPr>
                </pic:pic>
              </a:graphicData>
            </a:graphic>
          </wp:inline>
        </w:drawing>
      </w:r>
    </w:p>
    <w:p>
      <w:pPr>
        <w:pStyle w:val="yHeading5"/>
      </w:pPr>
      <w:bookmarkStart w:id="387" w:name="_Toc153191949"/>
      <w:bookmarkStart w:id="388" w:name="_Toc155089013"/>
      <w:r>
        <w:rPr>
          <w:rStyle w:val="CharSClsNo"/>
        </w:rPr>
        <w:t>3</w:t>
      </w:r>
      <w:r>
        <w:t>.</w:t>
      </w:r>
      <w:r>
        <w:tab/>
        <w:t>Mandurah</w:t>
      </w:r>
      <w:bookmarkEnd w:id="387"/>
      <w:bookmarkEnd w:id="388"/>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5403600" cy="3751200"/>
                    </a:xfrm>
                    <a:prstGeom prst="rect">
                      <a:avLst/>
                    </a:prstGeom>
                  </pic:spPr>
                </pic:pic>
              </a:graphicData>
            </a:graphic>
          </wp:inline>
        </w:drawing>
      </w:r>
    </w:p>
    <w:p>
      <w:pPr>
        <w:pStyle w:val="yHeading5"/>
      </w:pPr>
      <w:bookmarkStart w:id="389" w:name="_Toc153191950"/>
      <w:bookmarkStart w:id="390" w:name="_Toc155089014"/>
      <w:r>
        <w:rPr>
          <w:rStyle w:val="CharSClsNo"/>
        </w:rPr>
        <w:t>4</w:t>
      </w:r>
      <w:r>
        <w:t>.</w:t>
      </w:r>
      <w:r>
        <w:tab/>
        <w:t>Perth and Northbridge</w:t>
      </w:r>
      <w:bookmarkEnd w:id="389"/>
      <w:bookmarkEnd w:id="390"/>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5414400" cy="3751200"/>
                    </a:xfrm>
                    <a:prstGeom prst="rect">
                      <a:avLst/>
                    </a:prstGeom>
                  </pic:spPr>
                </pic:pic>
              </a:graphicData>
            </a:graphic>
          </wp:inline>
        </w:drawing>
      </w:r>
    </w:p>
    <w:p>
      <w:pPr>
        <w:pStyle w:val="yHeading5"/>
      </w:pPr>
      <w:bookmarkStart w:id="391" w:name="_Toc153191951"/>
      <w:bookmarkStart w:id="392" w:name="_Toc155089015"/>
      <w:r>
        <w:rPr>
          <w:rStyle w:val="CharSClsNo"/>
        </w:rPr>
        <w:t>5</w:t>
      </w:r>
      <w:r>
        <w:t>.</w:t>
      </w:r>
      <w:r>
        <w:tab/>
        <w:t>Scarborough</w:t>
      </w:r>
      <w:bookmarkEnd w:id="391"/>
      <w:bookmarkEnd w:id="392"/>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3"/>
          <w:headerReference w:type="default" r:id="rId34"/>
          <w:pgSz w:w="11907" w:h="16840" w:code="9"/>
          <w:pgMar w:top="2381" w:right="2410" w:bottom="3544" w:left="2410" w:header="720" w:footer="3544" w:gutter="0"/>
          <w:cols w:space="720"/>
        </w:sectPr>
      </w:pPr>
    </w:p>
    <w:p>
      <w:pPr>
        <w:pStyle w:val="nHeading2"/>
      </w:pPr>
      <w:bookmarkStart w:id="393" w:name="_Toc153182626"/>
      <w:bookmarkStart w:id="394" w:name="_Toc153187437"/>
      <w:bookmarkStart w:id="395" w:name="_Toc153191952"/>
      <w:bookmarkStart w:id="396" w:name="_Toc155089016"/>
      <w:r>
        <w:t>Notes</w:t>
      </w:r>
      <w:bookmarkEnd w:id="393"/>
      <w:bookmarkEnd w:id="394"/>
      <w:bookmarkEnd w:id="395"/>
      <w:bookmarkEnd w:id="396"/>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397" w:name="_Toc153191953"/>
      <w:bookmarkStart w:id="398" w:name="_Toc155089017"/>
      <w:r>
        <w:t>Compilation table</w:t>
      </w:r>
      <w:bookmarkEnd w:id="397"/>
      <w:bookmarkEnd w:id="398"/>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rPr>
          <w:cantSplit/>
        </w:trP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rPr>
          <w:cantSplit/>
        </w:trP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rPr>
          <w:cantSplit/>
        </w:trP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rPr>
          <w:cantSplit/>
        </w:trPr>
        <w:tc>
          <w:tcPr>
            <w:tcW w:w="3119" w:type="dxa"/>
            <w:tcBorders>
              <w:top w:val="nil"/>
              <w:bottom w:val="nil"/>
            </w:tcBorders>
            <w:shd w:val="clear" w:color="auto" w:fill="auto"/>
          </w:tcPr>
          <w:p>
            <w:pPr>
              <w:pStyle w:val="nTable"/>
              <w:spacing w:after="40"/>
            </w:pPr>
            <w:r>
              <w:rPr>
                <w:i/>
              </w:rPr>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2023</w:t>
            </w:r>
          </w:p>
        </w:tc>
        <w:tc>
          <w:tcPr>
            <w:tcW w:w="1276" w:type="dxa"/>
            <w:tcBorders>
              <w:top w:val="nil"/>
              <w:bottom w:val="nil"/>
            </w:tcBorders>
            <w:shd w:val="clear" w:color="auto" w:fill="auto"/>
          </w:tcPr>
          <w:p>
            <w:pPr>
              <w:pStyle w:val="nTable"/>
              <w:spacing w:after="40"/>
            </w:pPr>
            <w:r>
              <w:t>SL 2023/125</w:t>
            </w:r>
          </w:p>
          <w:p>
            <w:pPr>
              <w:pStyle w:val="nTable"/>
              <w:spacing w:after="40"/>
            </w:pPr>
            <w:r>
              <w:t>9 Aug 2023</w:t>
            </w:r>
          </w:p>
        </w:tc>
        <w:tc>
          <w:tcPr>
            <w:tcW w:w="2693" w:type="dxa"/>
            <w:tcBorders>
              <w:top w:val="nil"/>
              <w:bottom w:val="nil"/>
            </w:tcBorders>
            <w:shd w:val="clear" w:color="auto" w:fill="auto"/>
          </w:tcPr>
          <w:p>
            <w:pPr>
              <w:pStyle w:val="nTable"/>
              <w:spacing w:after="40"/>
            </w:pPr>
            <w:r>
              <w:t>r. 1 and 2: 9 Aug 2023 (see r. 2(a));</w:t>
            </w:r>
          </w:p>
          <w:p>
            <w:pPr>
              <w:pStyle w:val="nTable"/>
              <w:spacing w:after="40"/>
            </w:pPr>
            <w:r>
              <w:rPr>
                <w:bCs/>
                <w:snapToGrid w:val="0"/>
                <w:spacing w:val="-2"/>
              </w:rPr>
              <w:t>Regulations other than r. 1 and 2</w:t>
            </w:r>
            <w:r>
              <w:t>: 10 Aug 2023 (see r. 2(b))</w:t>
            </w:r>
          </w:p>
        </w:tc>
      </w:tr>
      <w:tr>
        <w:trPr>
          <w:cantSplit/>
        </w:trPr>
        <w:tc>
          <w:tcPr>
            <w:tcW w:w="3119" w:type="dxa"/>
            <w:tcBorders>
              <w:top w:val="nil"/>
              <w:bottom w:val="nil"/>
            </w:tcBorders>
            <w:shd w:val="clear" w:color="auto" w:fill="auto"/>
          </w:tcPr>
          <w:p>
            <w:pPr>
              <w:pStyle w:val="nTable"/>
              <w:spacing w:after="40"/>
            </w:pPr>
            <w:r>
              <w:rPr>
                <w:i/>
              </w:rPr>
              <w:t>Liquor Control (Joy Springs Restricted Area) Regulations 2023</w:t>
            </w:r>
            <w:r>
              <w:t xml:space="preserve"> Pt. 5</w:t>
            </w:r>
          </w:p>
        </w:tc>
        <w:tc>
          <w:tcPr>
            <w:tcW w:w="1276" w:type="dxa"/>
            <w:tcBorders>
              <w:top w:val="nil"/>
              <w:bottom w:val="nil"/>
            </w:tcBorders>
            <w:shd w:val="clear" w:color="auto" w:fill="auto"/>
          </w:tcPr>
          <w:p>
            <w:pPr>
              <w:pStyle w:val="nTable"/>
              <w:spacing w:after="40"/>
            </w:pPr>
            <w:r>
              <w:t>SL 2023/159 18 Oct 2023</w:t>
            </w:r>
          </w:p>
        </w:tc>
        <w:tc>
          <w:tcPr>
            <w:tcW w:w="2693" w:type="dxa"/>
            <w:tcBorders>
              <w:top w:val="nil"/>
              <w:bottom w:val="nil"/>
            </w:tcBorders>
            <w:shd w:val="clear" w:color="auto" w:fill="auto"/>
          </w:tcPr>
          <w:p>
            <w:pPr>
              <w:pStyle w:val="nTable"/>
              <w:spacing w:after="40"/>
            </w:pPr>
            <w:r>
              <w:t>19 Oct 2023 (see r. 2(b))</w:t>
            </w:r>
          </w:p>
        </w:tc>
      </w:tr>
      <w:tr>
        <w:trPr>
          <w:cantSplit/>
        </w:trPr>
        <w:tc>
          <w:tcPr>
            <w:tcW w:w="3119" w:type="dxa"/>
            <w:tcBorders>
              <w:top w:val="nil"/>
              <w:bottom w:val="nil"/>
            </w:tcBorders>
            <w:shd w:val="clear" w:color="auto" w:fill="auto"/>
          </w:tcPr>
          <w:p>
            <w:pPr>
              <w:pStyle w:val="nTable"/>
              <w:spacing w:after="40"/>
            </w:pPr>
            <w:r>
              <w:rPr>
                <w:i/>
              </w:rPr>
              <w:t>Liquor Control (Mingullatharndo Restricted Area) Regulations 2023</w:t>
            </w:r>
            <w:r>
              <w:t xml:space="preserve"> Pt. 5</w:t>
            </w:r>
          </w:p>
        </w:tc>
        <w:tc>
          <w:tcPr>
            <w:tcW w:w="1276" w:type="dxa"/>
            <w:tcBorders>
              <w:top w:val="nil"/>
              <w:bottom w:val="nil"/>
            </w:tcBorders>
            <w:shd w:val="clear" w:color="auto" w:fill="auto"/>
          </w:tcPr>
          <w:p>
            <w:pPr>
              <w:pStyle w:val="nTable"/>
              <w:spacing w:after="40"/>
            </w:pPr>
            <w:r>
              <w:t>SL 2023/174 1 Nov 2023</w:t>
            </w:r>
          </w:p>
        </w:tc>
        <w:tc>
          <w:tcPr>
            <w:tcW w:w="2693" w:type="dxa"/>
            <w:tcBorders>
              <w:top w:val="nil"/>
              <w:bottom w:val="nil"/>
            </w:tcBorders>
            <w:shd w:val="clear" w:color="auto" w:fill="auto"/>
          </w:tcPr>
          <w:p>
            <w:pPr>
              <w:pStyle w:val="nTable"/>
              <w:spacing w:after="40"/>
            </w:pPr>
            <w:r>
              <w:t>2 Nov 2023 (see r. 2(b))</w:t>
            </w:r>
          </w:p>
        </w:tc>
      </w:tr>
      <w:tr>
        <w:trPr>
          <w:cantSplit/>
          <w:ins w:id="399" w:author="Master Repository Process" w:date="2024-01-02T11:56:00Z"/>
        </w:trPr>
        <w:tc>
          <w:tcPr>
            <w:tcW w:w="3119" w:type="dxa"/>
            <w:tcBorders>
              <w:top w:val="nil"/>
              <w:bottom w:val="single" w:sz="4" w:space="0" w:color="auto"/>
            </w:tcBorders>
            <w:shd w:val="clear" w:color="auto" w:fill="auto"/>
          </w:tcPr>
          <w:p>
            <w:pPr>
              <w:pStyle w:val="nTable"/>
              <w:spacing w:after="40"/>
              <w:rPr>
                <w:ins w:id="400" w:author="Master Repository Process" w:date="2024-01-02T11:56:00Z"/>
                <w:iCs/>
              </w:rPr>
            </w:pPr>
            <w:ins w:id="401" w:author="Master Repository Process" w:date="2024-01-02T11:56:00Z">
              <w:r>
                <w:rPr>
                  <w:i/>
                </w:rPr>
                <w:t xml:space="preserve">Liquor Control Amendment Regulations (No. 2) 2023 </w:t>
              </w:r>
              <w:r>
                <w:rPr>
                  <w:iCs/>
                </w:rPr>
                <w:t>Pt. 1 and 2</w:t>
              </w:r>
            </w:ins>
          </w:p>
        </w:tc>
        <w:tc>
          <w:tcPr>
            <w:tcW w:w="1276" w:type="dxa"/>
            <w:tcBorders>
              <w:top w:val="nil"/>
              <w:bottom w:val="single" w:sz="4" w:space="0" w:color="auto"/>
            </w:tcBorders>
            <w:shd w:val="clear" w:color="auto" w:fill="auto"/>
          </w:tcPr>
          <w:p>
            <w:pPr>
              <w:pStyle w:val="nTable"/>
              <w:spacing w:after="40"/>
              <w:rPr>
                <w:ins w:id="402" w:author="Master Repository Process" w:date="2024-01-02T11:56:00Z"/>
              </w:rPr>
            </w:pPr>
            <w:ins w:id="403" w:author="Master Repository Process" w:date="2024-01-02T11:56:00Z">
              <w:r>
                <w:t>SL 2023/196 13 Dec 2023</w:t>
              </w:r>
            </w:ins>
          </w:p>
        </w:tc>
        <w:tc>
          <w:tcPr>
            <w:tcW w:w="2693" w:type="dxa"/>
            <w:tcBorders>
              <w:top w:val="nil"/>
              <w:bottom w:val="single" w:sz="4" w:space="0" w:color="auto"/>
            </w:tcBorders>
            <w:shd w:val="clear" w:color="auto" w:fill="auto"/>
          </w:tcPr>
          <w:p>
            <w:pPr>
              <w:pStyle w:val="nTable"/>
              <w:spacing w:after="40"/>
              <w:rPr>
                <w:ins w:id="404" w:author="Master Repository Process" w:date="2024-01-02T11:56:00Z"/>
              </w:rPr>
            </w:pPr>
            <w:ins w:id="405" w:author="Master Repository Process" w:date="2024-01-02T11:56:00Z">
              <w:r>
                <w:t>Pt. 1: 13 Dec 2023 (see r. 2(a));</w:t>
              </w:r>
              <w:r>
                <w:br/>
                <w:t>Pt. 2: 14 Dec 2023 (see r. 2(b))</w:t>
              </w:r>
            </w:ins>
          </w:p>
        </w:tc>
      </w:tr>
    </w:tbl>
    <w:p>
      <w:pPr>
        <w:pStyle w:val="nHeading3"/>
      </w:pPr>
      <w:bookmarkStart w:id="406" w:name="_Toc153191954"/>
      <w:bookmarkStart w:id="407" w:name="_Toc155089018"/>
      <w:r>
        <w:t>Uncommenced provisions table</w:t>
      </w:r>
      <w:bookmarkEnd w:id="406"/>
      <w:bookmarkEnd w:id="407"/>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Borders>
              <w:bottom w:val="nil"/>
            </w:tcBorders>
          </w:tcPr>
          <w:p>
            <w:pPr>
              <w:pStyle w:val="nTable"/>
              <w:spacing w:after="40"/>
            </w:pPr>
            <w:r>
              <w:rPr>
                <w:bCs/>
                <w:i/>
                <w:noProof/>
              </w:rPr>
              <w:t>Racing</w:t>
            </w:r>
            <w:r>
              <w:rPr>
                <w:i/>
                <w:noProof/>
              </w:rPr>
              <w:t xml:space="preserve"> and Gaming Regulations Amendment (Fees and Charges) Regulations 2023 </w:t>
            </w:r>
            <w:r>
              <w:rPr>
                <w:noProof/>
              </w:rPr>
              <w:t>Pt. 6</w:t>
            </w:r>
          </w:p>
        </w:tc>
        <w:tc>
          <w:tcPr>
            <w:tcW w:w="1276" w:type="dxa"/>
            <w:tcBorders>
              <w:bottom w:val="nil"/>
            </w:tcBorders>
          </w:tcPr>
          <w:p>
            <w:pPr>
              <w:pStyle w:val="nTable"/>
              <w:spacing w:after="40"/>
            </w:pPr>
            <w:r>
              <w:t>SL 2023/156 18 Oct 2023</w:t>
            </w:r>
          </w:p>
        </w:tc>
        <w:tc>
          <w:tcPr>
            <w:tcW w:w="2693" w:type="dxa"/>
            <w:tcBorders>
              <w:bottom w:val="nil"/>
            </w:tcBorders>
          </w:tcPr>
          <w:p>
            <w:pPr>
              <w:pStyle w:val="nTable"/>
              <w:spacing w:after="40"/>
            </w:pPr>
            <w:r>
              <w:t>1 Jan 2024 (see r. 2(b))</w:t>
            </w:r>
          </w:p>
        </w:tc>
      </w:tr>
      <w:tr>
        <w:trPr>
          <w:ins w:id="408" w:author="Master Repository Process" w:date="2024-01-02T11:56:00Z"/>
        </w:trPr>
        <w:tc>
          <w:tcPr>
            <w:tcW w:w="3118" w:type="dxa"/>
            <w:tcBorders>
              <w:top w:val="nil"/>
              <w:bottom w:val="single" w:sz="4" w:space="0" w:color="auto"/>
            </w:tcBorders>
          </w:tcPr>
          <w:p>
            <w:pPr>
              <w:pStyle w:val="nTable"/>
              <w:spacing w:after="40"/>
              <w:rPr>
                <w:ins w:id="409" w:author="Master Repository Process" w:date="2024-01-02T11:56:00Z"/>
                <w:bCs/>
                <w:iCs/>
                <w:noProof/>
              </w:rPr>
            </w:pPr>
            <w:ins w:id="410" w:author="Master Repository Process" w:date="2024-01-02T11:56:00Z">
              <w:r>
                <w:rPr>
                  <w:bCs/>
                  <w:i/>
                  <w:noProof/>
                </w:rPr>
                <w:t>Liquor Control Amendment Regulations (No. 2) 2023</w:t>
              </w:r>
              <w:r>
                <w:rPr>
                  <w:bCs/>
                  <w:iCs/>
                  <w:noProof/>
                </w:rPr>
                <w:t xml:space="preserve"> Pt. 3 and 4</w:t>
              </w:r>
            </w:ins>
          </w:p>
        </w:tc>
        <w:tc>
          <w:tcPr>
            <w:tcW w:w="1276" w:type="dxa"/>
            <w:tcBorders>
              <w:top w:val="nil"/>
              <w:bottom w:val="single" w:sz="4" w:space="0" w:color="auto"/>
            </w:tcBorders>
          </w:tcPr>
          <w:p>
            <w:pPr>
              <w:pStyle w:val="nTable"/>
              <w:spacing w:after="40"/>
              <w:rPr>
                <w:ins w:id="411" w:author="Master Repository Process" w:date="2024-01-02T11:56:00Z"/>
              </w:rPr>
            </w:pPr>
            <w:ins w:id="412" w:author="Master Repository Process" w:date="2024-01-02T11:56:00Z">
              <w:r>
                <w:t>SL 2023/196 13 Dec 2023</w:t>
              </w:r>
            </w:ins>
          </w:p>
        </w:tc>
        <w:tc>
          <w:tcPr>
            <w:tcW w:w="2693" w:type="dxa"/>
            <w:tcBorders>
              <w:top w:val="nil"/>
              <w:bottom w:val="single" w:sz="4" w:space="0" w:color="auto"/>
            </w:tcBorders>
          </w:tcPr>
          <w:p>
            <w:pPr>
              <w:pStyle w:val="nTable"/>
              <w:spacing w:after="40"/>
              <w:rPr>
                <w:ins w:id="413" w:author="Master Repository Process" w:date="2024-01-02T11:56:00Z"/>
              </w:rPr>
            </w:pPr>
            <w:ins w:id="414" w:author="Master Repository Process" w:date="2024-01-02T11:56:00Z">
              <w:r>
                <w:t>Pt. 3: 1 Jan 2024 (see r. 2(c));</w:t>
              </w:r>
              <w:r>
                <w:rPr>
                  <w:highlight w:val="yellow"/>
                </w:rPr>
                <w:br/>
              </w:r>
              <w:r>
                <w:t xml:space="preserve">Pt. 4: Operative on the day on which the </w:t>
              </w:r>
              <w:r>
                <w:rPr>
                  <w:i/>
                </w:rPr>
                <w:t>Liquor Control Amendment (Banned Drinkers Register) Act 2023</w:t>
              </w:r>
              <w:r>
                <w:t xml:space="preserve"> s. 31 comes into operation (see r. 2(d))</w:t>
              </w:r>
            </w:ins>
          </w:p>
        </w:tc>
      </w:tr>
    </w:tbl>
    <w:p>
      <w:pPr>
        <w:pStyle w:val="nHeading3"/>
        <w:keepLines/>
        <w:widowControl w:val="0"/>
      </w:pPr>
      <w:bookmarkStart w:id="415" w:name="_Toc153191955"/>
      <w:bookmarkStart w:id="416" w:name="_Toc155089019"/>
      <w:r>
        <w:t>Other notes</w:t>
      </w:r>
      <w:bookmarkEnd w:id="415"/>
      <w:bookmarkEnd w:id="416"/>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5"/>
          <w:headerReference w:type="default" r:id="rId36"/>
          <w:pgSz w:w="11907" w:h="16840" w:code="9"/>
          <w:pgMar w:top="2376" w:right="2404" w:bottom="3544" w:left="2404" w:header="720" w:footer="3544" w:gutter="0"/>
          <w:cols w:space="720"/>
          <w:noEndnote/>
          <w:docGrid w:linePitch="326"/>
        </w:sectPr>
      </w:pPr>
    </w:p>
    <w:p>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Bwy86ynwIAAGgFAAAOAAAAAAAAAAAAAAAAAC4CAABkcnMv&#10;ZTJvRG9jLnhtbFBLAQItABQABgAIAAAAIQBjfy4b3AAAAAkBAAAPAAAAAAAAAAAAAAAAAPkEAABk&#10;cnMvZG93bnJldi54bWxQSwUGAAAAAAQABADzAAAAAgY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02 Nov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Dec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14-ai0-00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02 Nov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Dec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14-ai0-00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02 Nov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Dec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14-ai0-00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jc w:val="right"/>
          </w:pP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417" w:name="Compilation"/>
    <w:bookmarkEnd w:id="417"/>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418" w:name="Coversheet"/>
    <w:bookmarkEnd w:id="41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11101958"/>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0170934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17093422_GUID" w:val="a9110920-8a6b-4962-9b23-c78a17ba177b"/>
    <w:docVar w:name="WAFER_2023101709351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1017093516_GUID" w:val="8e1e8afe-4245-4474-abc0-7ef4ecf67f41"/>
    <w:docVar w:name="WAFER_2023103013480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30134801_GUID" w:val="70098155-c863-4003-b79c-9caaf5671d4a"/>
    <w:docVar w:name="WAFER_20231211101958"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211101958_GUID" w:val="4a684c71-5a29-4af9-9b3b-a0cd612d323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header" Target="header15.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8.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3.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01406-3354-4570-9568-8431872A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29868</Words>
  <Characters>141877</Characters>
  <Application>Microsoft Office Word</Application>
  <DocSecurity>0</DocSecurity>
  <Lines>4892</Lines>
  <Paragraphs>2815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168930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14-ah0-01 - 14-ai0-00</dc:title>
  <dc:subject/>
  <dc:creator/>
  <cp:keywords/>
  <dc:description/>
  <cp:lastModifiedBy>Master Repository Process</cp:lastModifiedBy>
  <cp:revision>2</cp:revision>
  <cp:lastPrinted>2019-12-05T02:25:00Z</cp:lastPrinted>
  <dcterms:created xsi:type="dcterms:W3CDTF">2024-01-02T03:56:00Z</dcterms:created>
  <dcterms:modified xsi:type="dcterms:W3CDTF">2024-01-02T03:56:00Z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Official">
    <vt:lpwstr/>
  </property>
  <property fmtid="{D5CDD505-2E9C-101B-9397-08002B2CF9AE}" pid="8" name="CommencementDate">
    <vt:lpwstr>20231214</vt:lpwstr>
  </property>
  <property fmtid="{D5CDD505-2E9C-101B-9397-08002B2CF9AE}" pid="9" name="CommencementYear">
    <vt:lpwstr>2023</vt:lpwstr>
  </property>
  <property fmtid="{D5CDD505-2E9C-101B-9397-08002B2CF9AE}" pid="10" name="CommencementAsAt">
    <vt:filetime>2023-11-01T16:00:00Z</vt:filetime>
  </property>
  <property fmtid="{D5CDD505-2E9C-101B-9397-08002B2CF9AE}" pid="11" name="FromSuffix">
    <vt:lpwstr>14-ah0-01</vt:lpwstr>
  </property>
  <property fmtid="{D5CDD505-2E9C-101B-9397-08002B2CF9AE}" pid="12" name="FromAsAtDate">
    <vt:lpwstr>02 Nov 2023</vt:lpwstr>
  </property>
  <property fmtid="{D5CDD505-2E9C-101B-9397-08002B2CF9AE}" pid="13" name="ToSuffix">
    <vt:lpwstr>14-ai0-00</vt:lpwstr>
  </property>
  <property fmtid="{D5CDD505-2E9C-101B-9397-08002B2CF9AE}" pid="14" name="ToAsAtDate">
    <vt:lpwstr>14 Dec 2023</vt:lpwstr>
  </property>
</Properties>
</file>