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84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Personal Property Securities (Commonwealth Laws)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14"/>
          <w:headerReference w:type="default" r:id="rId15"/>
          <w:footerReference w:type="even" r:id="rId16"/>
          <w:footerReference w:type="default" r:id="rId17"/>
          <w:footerReference w:type="first" r:id="rId18"/>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3436591"/>
      <w:bookmarkStart w:id="4" w:name="_Toc153528382"/>
      <w:bookmarkStart w:id="5" w:name="_Toc153781858"/>
      <w:bookmarkStart w:id="6" w:name="_Toc153781886"/>
      <w:bookmarkStart w:id="7" w:name="_Toc15516267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53781887"/>
      <w:bookmarkStart w:id="9" w:name="_Toc155162672"/>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10" w:name="_Toc153781888"/>
      <w:bookmarkStart w:id="11" w:name="_Toc155162673"/>
      <w:r>
        <w:rPr>
          <w:rStyle w:val="CharSectno"/>
        </w:rPr>
        <w:t>2</w:t>
      </w:r>
      <w:r>
        <w:rPr>
          <w:snapToGrid w:val="0"/>
        </w:rPr>
        <w:t>.</w:t>
      </w:r>
      <w:r>
        <w:rPr>
          <w:snapToGrid w:val="0"/>
        </w:rPr>
        <w:tab/>
      </w:r>
      <w:r>
        <w:t>Commencement</w:t>
      </w:r>
      <w:bookmarkEnd w:id="10"/>
      <w:bookmarkEnd w:id="11"/>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12" w:name="_Toc153436594"/>
      <w:bookmarkStart w:id="13" w:name="_Toc153528385"/>
      <w:bookmarkStart w:id="14" w:name="_Toc153781861"/>
      <w:bookmarkStart w:id="15" w:name="_Toc153781889"/>
      <w:bookmarkStart w:id="16" w:name="_Toc155162674"/>
      <w:r>
        <w:rPr>
          <w:rStyle w:val="CharPartNo"/>
        </w:rPr>
        <w:lastRenderedPageBreak/>
        <w:t>Part 2</w:t>
      </w:r>
      <w:r>
        <w:rPr>
          <w:rStyle w:val="CharDivNo"/>
        </w:rPr>
        <w:t> </w:t>
      </w:r>
      <w:r>
        <w:t>—</w:t>
      </w:r>
      <w:r>
        <w:rPr>
          <w:rStyle w:val="CharDivText"/>
        </w:rPr>
        <w:t> </w:t>
      </w:r>
      <w:r>
        <w:rPr>
          <w:rStyle w:val="CharPartText"/>
        </w:rPr>
        <w:t>Adoption and referral</w:t>
      </w:r>
      <w:bookmarkEnd w:id="12"/>
      <w:bookmarkEnd w:id="13"/>
      <w:bookmarkEnd w:id="14"/>
      <w:bookmarkEnd w:id="15"/>
      <w:bookmarkEnd w:id="16"/>
    </w:p>
    <w:p>
      <w:pPr>
        <w:pStyle w:val="Heading5"/>
        <w:rPr>
          <w:snapToGrid w:val="0"/>
        </w:rPr>
      </w:pPr>
      <w:bookmarkStart w:id="17" w:name="_Toc153781890"/>
      <w:bookmarkStart w:id="18" w:name="_Toc155162675"/>
      <w:r>
        <w:rPr>
          <w:rStyle w:val="CharSectno"/>
        </w:rPr>
        <w:t>3</w:t>
      </w:r>
      <w:r>
        <w:rPr>
          <w:snapToGrid w:val="0"/>
        </w:rPr>
        <w:t>.</w:t>
      </w:r>
      <w:r>
        <w:rPr>
          <w:snapToGrid w:val="0"/>
        </w:rPr>
        <w:tab/>
        <w:t>Terms used</w:t>
      </w:r>
      <w:bookmarkEnd w:id="17"/>
      <w:bookmarkEnd w:id="18"/>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19" w:name="_Toc153781891"/>
      <w:bookmarkStart w:id="20" w:name="_Toc155162676"/>
      <w:r>
        <w:rPr>
          <w:rStyle w:val="CharSectno"/>
        </w:rPr>
        <w:t>4</w:t>
      </w:r>
      <w:r>
        <w:t>.</w:t>
      </w:r>
      <w:r>
        <w:tab/>
        <w:t>Term used: referred PPS matters</w:t>
      </w:r>
      <w:bookmarkEnd w:id="19"/>
      <w:bookmarkEnd w:id="20"/>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keepNext/>
      </w:pPr>
      <w:r>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21" w:name="_Toc153781892"/>
      <w:bookmarkStart w:id="22" w:name="_Toc155162677"/>
      <w:r>
        <w:rPr>
          <w:rStyle w:val="CharSectno"/>
        </w:rPr>
        <w:t>5</w:t>
      </w:r>
      <w:r>
        <w:t>.</w:t>
      </w:r>
      <w:r>
        <w:tab/>
        <w:t>Term used: security interest</w:t>
      </w:r>
      <w:bookmarkEnd w:id="21"/>
      <w:bookmarkEnd w:id="22"/>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23" w:name="_Toc153781893"/>
      <w:bookmarkStart w:id="24" w:name="_Toc155162678"/>
      <w:r>
        <w:rPr>
          <w:rStyle w:val="CharSectno"/>
        </w:rPr>
        <w:t>6</w:t>
      </w:r>
      <w:r>
        <w:t>.</w:t>
      </w:r>
      <w:r>
        <w:tab/>
        <w:t>Adoption of Commonwealth PPS Act</w:t>
      </w:r>
      <w:bookmarkEnd w:id="23"/>
      <w:bookmarkEnd w:id="24"/>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25" w:name="_Toc153781894"/>
      <w:bookmarkStart w:id="26" w:name="_Toc155162679"/>
      <w:r>
        <w:rPr>
          <w:rStyle w:val="CharSectno"/>
        </w:rPr>
        <w:t>7</w:t>
      </w:r>
      <w:r>
        <w:t>.</w:t>
      </w:r>
      <w:r>
        <w:tab/>
        <w:t>Termination of adoption</w:t>
      </w:r>
      <w:bookmarkEnd w:id="25"/>
      <w:bookmarkEnd w:id="26"/>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27" w:name="_Toc153781895"/>
      <w:bookmarkStart w:id="28" w:name="_Toc155162680"/>
      <w:r>
        <w:rPr>
          <w:rStyle w:val="CharSectno"/>
        </w:rPr>
        <w:t>8</w:t>
      </w:r>
      <w:r>
        <w:t>.</w:t>
      </w:r>
      <w:r>
        <w:tab/>
        <w:t>References of matters</w:t>
      </w:r>
      <w:bookmarkEnd w:id="27"/>
      <w:bookmarkEnd w:id="28"/>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29" w:name="_Toc153781896"/>
      <w:bookmarkStart w:id="30" w:name="_Toc155162681"/>
      <w:r>
        <w:rPr>
          <w:rStyle w:val="CharSectno"/>
        </w:rPr>
        <w:t>9</w:t>
      </w:r>
      <w:r>
        <w:t>.</w:t>
      </w:r>
      <w:r>
        <w:tab/>
        <w:t>Termination of references</w:t>
      </w:r>
      <w:bookmarkEnd w:id="29"/>
      <w:bookmarkEnd w:id="30"/>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31" w:name="_Toc153781897"/>
      <w:bookmarkStart w:id="32" w:name="_Toc155162682"/>
      <w:r>
        <w:rPr>
          <w:rStyle w:val="CharSectno"/>
        </w:rPr>
        <w:t>10</w:t>
      </w:r>
      <w:r>
        <w:t>.</w:t>
      </w:r>
      <w:r>
        <w:tab/>
        <w:t>Amendment of Commonwealth law</w:t>
      </w:r>
      <w:bookmarkEnd w:id="31"/>
      <w:bookmarkEnd w:id="32"/>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33" w:name="_Toc153781898"/>
      <w:bookmarkStart w:id="34" w:name="_Toc155162683"/>
      <w:r>
        <w:rPr>
          <w:rStyle w:val="CharSectno"/>
        </w:rPr>
        <w:t>11</w:t>
      </w:r>
      <w:r>
        <w:t>.</w:t>
      </w:r>
      <w:r>
        <w:tab/>
        <w:t>Effect of termination of amendment references before termination of adoption of Commonwealth PPS Act</w:t>
      </w:r>
      <w:bookmarkEnd w:id="33"/>
      <w:bookmarkEnd w:id="34"/>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35" w:name="_Toc153436604"/>
      <w:bookmarkStart w:id="36" w:name="_Toc153528395"/>
      <w:bookmarkStart w:id="37" w:name="_Toc153781871"/>
      <w:bookmarkStart w:id="38" w:name="_Toc153781899"/>
      <w:bookmarkStart w:id="39" w:name="_Toc155162684"/>
      <w:r>
        <w:rPr>
          <w:rStyle w:val="CharPartNo"/>
        </w:rPr>
        <w:t>Part 3</w:t>
      </w:r>
      <w:r>
        <w:t> — </w:t>
      </w:r>
      <w:r>
        <w:rPr>
          <w:rStyle w:val="CharPartText"/>
        </w:rPr>
        <w:t>Consequential provisions</w:t>
      </w:r>
      <w:bookmarkEnd w:id="35"/>
      <w:bookmarkEnd w:id="36"/>
      <w:bookmarkEnd w:id="37"/>
      <w:bookmarkEnd w:id="38"/>
      <w:bookmarkEnd w:id="39"/>
    </w:p>
    <w:p>
      <w:pPr>
        <w:pStyle w:val="Heading5"/>
      </w:pPr>
      <w:bookmarkStart w:id="40" w:name="_Toc153781900"/>
      <w:bookmarkStart w:id="41" w:name="_Toc155162685"/>
      <w:r>
        <w:rPr>
          <w:rStyle w:val="CharSectno"/>
        </w:rPr>
        <w:t>12</w:t>
      </w:r>
      <w:r>
        <w:t>.</w:t>
      </w:r>
      <w:r>
        <w:tab/>
        <w:t>Terms used</w:t>
      </w:r>
      <w:bookmarkEnd w:id="40"/>
      <w:bookmarkEnd w:id="41"/>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42" w:name="_Toc153781901"/>
      <w:bookmarkStart w:id="43" w:name="_Toc155162686"/>
      <w:r>
        <w:rPr>
          <w:rStyle w:val="CharSectno"/>
        </w:rPr>
        <w:t>13</w:t>
      </w:r>
      <w:r>
        <w:t>.</w:t>
      </w:r>
      <w:r>
        <w:tab/>
        <w:t>Provision of information to the Commonwealth</w:t>
      </w:r>
      <w:bookmarkEnd w:id="42"/>
      <w:bookmarkEnd w:id="43"/>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44" w:name="_Toc153781902"/>
      <w:bookmarkStart w:id="45" w:name="_Toc155162687"/>
      <w:r>
        <w:rPr>
          <w:rStyle w:val="CharSectno"/>
        </w:rPr>
        <w:t>14</w:t>
      </w:r>
      <w:r>
        <w:t>.</w:t>
      </w:r>
      <w:r>
        <w:tab/>
        <w:t>Compensation not payable in respect of PPS transitional matters</w:t>
      </w:r>
      <w:bookmarkEnd w:id="44"/>
      <w:bookmarkEnd w:id="45"/>
    </w:p>
    <w:p>
      <w:pPr>
        <w:pStyle w:val="Subsection"/>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46" w:name="_Toc153781903"/>
      <w:bookmarkStart w:id="47" w:name="_Toc155162688"/>
      <w:r>
        <w:rPr>
          <w:rStyle w:val="CharSectno"/>
        </w:rPr>
        <w:t>15</w:t>
      </w:r>
      <w:r>
        <w:t>.</w:t>
      </w:r>
      <w:r>
        <w:tab/>
        <w:t>Implied power to make declaration that licence etc. not personal property</w:t>
      </w:r>
      <w:bookmarkEnd w:id="46"/>
      <w:bookmarkEnd w:id="47"/>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48" w:name="_Toc153781904"/>
      <w:bookmarkStart w:id="49" w:name="_Toc155162689"/>
      <w:r>
        <w:rPr>
          <w:rStyle w:val="CharSectno"/>
        </w:rPr>
        <w:t>16</w:t>
      </w:r>
      <w:r>
        <w:t>.</w:t>
      </w:r>
      <w:r>
        <w:tab/>
        <w:t>References to charges and fixed and floating charges</w:t>
      </w:r>
      <w:bookmarkEnd w:id="48"/>
      <w:bookmarkEnd w:id="49"/>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a reference to a charge, a fixed charge or a floating charge, if the charge referred to is a perfected security 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50" w:name="_Toc153781905"/>
      <w:bookmarkStart w:id="51" w:name="_Toc155162690"/>
      <w:r>
        <w:rPr>
          <w:rStyle w:val="CharSectno"/>
        </w:rPr>
        <w:t>17</w:t>
      </w:r>
      <w:r>
        <w:t>.</w:t>
      </w:r>
      <w:r>
        <w:tab/>
        <w:t>Enforcement of and other dealings with PPS security interests restricted in certain circumstances</w:t>
      </w:r>
      <w:bookmarkEnd w:id="50"/>
      <w:bookmarkEnd w:id="51"/>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National Law (WA) Act 2015</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w:t>
      </w:r>
      <w:del w:id="52" w:author="Master Repository Process" w:date="2024-01-03T08:25:00Z">
        <w:r>
          <w:rPr>
            <w:iCs/>
          </w:rPr>
          <w:delText>section 62</w:delText>
        </w:r>
      </w:del>
      <w:ins w:id="53" w:author="Master Repository Process" w:date="2024-01-03T08:25:00Z">
        <w:r>
          <w:t>sections 61 to 63C</w:t>
        </w:r>
      </w:ins>
      <w:r>
        <w:t>;</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Footnotesection"/>
      </w:pPr>
      <w:r>
        <w:tab/>
        <w:t>[Section 17 amended: No. 21 of 2015 s. </w:t>
      </w:r>
      <w:del w:id="54" w:author="Master Repository Process" w:date="2024-01-03T08:25:00Z">
        <w:r>
          <w:delText>50</w:delText>
        </w:r>
      </w:del>
      <w:ins w:id="55" w:author="Master Repository Process" w:date="2024-01-03T08:25:00Z">
        <w:r>
          <w:t>50; No. 24 of 2023 s. 106</w:t>
        </w:r>
      </w:ins>
      <w:r>
        <w:t>.]</w:t>
      </w:r>
    </w:p>
    <w:p>
      <w:pPr>
        <w:pStyle w:val="Heading5"/>
      </w:pPr>
      <w:bookmarkStart w:id="56" w:name="_Toc153781906"/>
      <w:bookmarkStart w:id="57" w:name="_Toc155162691"/>
      <w:r>
        <w:rPr>
          <w:rStyle w:val="CharSectno"/>
        </w:rPr>
        <w:t>18</w:t>
      </w:r>
      <w:r>
        <w:t>.</w:t>
      </w:r>
      <w:r>
        <w:tab/>
        <w:t>Bills of sale records</w:t>
      </w:r>
      <w:bookmarkEnd w:id="56"/>
      <w:bookmarkEnd w:id="57"/>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58" w:name="_Toc153781907"/>
      <w:bookmarkStart w:id="59" w:name="_Toc155162692"/>
      <w:r>
        <w:rPr>
          <w:rStyle w:val="CharSectno"/>
        </w:rPr>
        <w:t>19</w:t>
      </w:r>
      <w:r>
        <w:t>.</w:t>
      </w:r>
      <w:r>
        <w:tab/>
        <w:t>Regulations for transitional matters</w:t>
      </w:r>
      <w:bookmarkEnd w:id="58"/>
      <w:bookmarkEnd w:id="59"/>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60" w:name="_Toc153781908"/>
      <w:bookmarkStart w:id="61" w:name="_Toc155162693"/>
      <w:r>
        <w:rPr>
          <w:rStyle w:val="CharSectno"/>
        </w:rPr>
        <w:t>20</w:t>
      </w:r>
      <w:r>
        <w:t>.</w:t>
      </w:r>
      <w:r>
        <w:tab/>
        <w:t>Regulations</w:t>
      </w:r>
      <w:bookmarkEnd w:id="60"/>
      <w:bookmarkEnd w:id="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nHeading2"/>
      </w:pPr>
      <w:bookmarkStart w:id="62" w:name="_Toc153436614"/>
      <w:bookmarkStart w:id="63" w:name="_Toc153528405"/>
      <w:bookmarkStart w:id="64" w:name="_Toc153781881"/>
      <w:bookmarkStart w:id="65" w:name="_Toc153781909"/>
      <w:bookmarkStart w:id="66" w:name="_Toc155162694"/>
      <w:r>
        <w:t>Notes</w:t>
      </w:r>
      <w:bookmarkEnd w:id="62"/>
      <w:bookmarkEnd w:id="63"/>
      <w:bookmarkEnd w:id="64"/>
      <w:bookmarkEnd w:id="65"/>
      <w:bookmarkEnd w:id="66"/>
    </w:p>
    <w:p>
      <w:pPr>
        <w:pStyle w:val="nStatement"/>
      </w:pPr>
      <w:r>
        <w:t xml:space="preserve">This is a compilation of the </w:t>
      </w:r>
      <w:r>
        <w:rPr>
          <w:i/>
          <w:noProof/>
        </w:rPr>
        <w:t>Personal Property Securities (Commonwealth Laws)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7" w:name="_Toc153781910"/>
      <w:bookmarkStart w:id="68" w:name="_Toc155162695"/>
      <w:r>
        <w:t>Compilation table</w:t>
      </w:r>
      <w:bookmarkEnd w:id="67"/>
      <w:bookmarkEnd w:id="68"/>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tcBorders>
          </w:tcPr>
          <w:p>
            <w:pPr>
              <w:pStyle w:val="nTable"/>
              <w:spacing w:after="40"/>
            </w:pPr>
            <w:r>
              <w:t>41 of 2011</w:t>
            </w:r>
          </w:p>
        </w:tc>
        <w:tc>
          <w:tcPr>
            <w:tcW w:w="1134" w:type="dxa"/>
            <w:tcBorders>
              <w:top w:val="single" w:sz="8" w:space="0" w:color="auto"/>
            </w:tcBorders>
          </w:tcPr>
          <w:p>
            <w:pPr>
              <w:pStyle w:val="nTable"/>
              <w:spacing w:after="40"/>
            </w:pPr>
            <w:r>
              <w:t>4 Oct 2011</w:t>
            </w:r>
          </w:p>
        </w:tc>
        <w:tc>
          <w:tcPr>
            <w:tcW w:w="2552" w:type="dxa"/>
            <w:tcBorders>
              <w:top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r>
        <w:trPr>
          <w:cantSplit/>
        </w:trPr>
        <w:tc>
          <w:tcPr>
            <w:tcW w:w="2269" w:type="dxa"/>
          </w:tcPr>
          <w:p>
            <w:pPr>
              <w:pStyle w:val="nTable"/>
              <w:spacing w:after="40"/>
              <w:ind w:right="113"/>
              <w:rPr>
                <w:i/>
              </w:rPr>
            </w:pPr>
            <w:r>
              <w:rPr>
                <w:i/>
              </w:rPr>
              <w:t>Rail Safety National Law (WA) Act 2015</w:t>
            </w:r>
            <w:r>
              <w:t xml:space="preserve"> Pt. 5</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 xml:space="preserve">2 Nov 2015 (see s. 2(b) and </w:t>
            </w:r>
            <w:r>
              <w:rPr>
                <w:i/>
              </w:rPr>
              <w:t xml:space="preserve">Gazette </w:t>
            </w:r>
            <w:r>
              <w:t>16 Oct 2015 p. 4149)</w:t>
            </w:r>
          </w:p>
        </w:tc>
      </w:tr>
      <w:tr>
        <w:trPr>
          <w:cantSplit/>
          <w:ins w:id="69" w:author="Master Repository Process" w:date="2024-01-03T08:25:00Z"/>
        </w:trPr>
        <w:tc>
          <w:tcPr>
            <w:tcW w:w="2269" w:type="dxa"/>
            <w:tcBorders>
              <w:bottom w:val="single" w:sz="4" w:space="0" w:color="auto"/>
            </w:tcBorders>
          </w:tcPr>
          <w:p>
            <w:pPr>
              <w:pStyle w:val="nTable"/>
              <w:spacing w:after="40"/>
              <w:ind w:right="113"/>
              <w:rPr>
                <w:ins w:id="70" w:author="Master Repository Process" w:date="2024-01-03T08:25:00Z"/>
                <w:i/>
              </w:rPr>
            </w:pPr>
            <w:ins w:id="71" w:author="Master Repository Process" w:date="2024-01-03T08:25:00Z">
              <w:r>
                <w:rPr>
                  <w:i/>
                </w:rPr>
                <w:t>Marine Safety (Domestic Commercial Vessel National Law Application) Act 2023</w:t>
              </w:r>
              <w:r>
                <w:rPr>
                  <w:iCs/>
                </w:rPr>
                <w:t xml:space="preserve"> Pt. 10 Div. 3</w:t>
              </w:r>
            </w:ins>
          </w:p>
        </w:tc>
        <w:tc>
          <w:tcPr>
            <w:tcW w:w="1134" w:type="dxa"/>
            <w:tcBorders>
              <w:bottom w:val="single" w:sz="4" w:space="0" w:color="auto"/>
            </w:tcBorders>
          </w:tcPr>
          <w:p>
            <w:pPr>
              <w:pStyle w:val="nTable"/>
              <w:spacing w:after="40"/>
              <w:rPr>
                <w:ins w:id="72" w:author="Master Repository Process" w:date="2024-01-03T08:25:00Z"/>
              </w:rPr>
            </w:pPr>
            <w:ins w:id="73" w:author="Master Repository Process" w:date="2024-01-03T08:25:00Z">
              <w:r>
                <w:rPr>
                  <w:snapToGrid w:val="0"/>
                </w:rPr>
                <w:t>24 of 2023</w:t>
              </w:r>
            </w:ins>
          </w:p>
        </w:tc>
        <w:tc>
          <w:tcPr>
            <w:tcW w:w="1134" w:type="dxa"/>
            <w:tcBorders>
              <w:bottom w:val="single" w:sz="4" w:space="0" w:color="auto"/>
            </w:tcBorders>
          </w:tcPr>
          <w:p>
            <w:pPr>
              <w:pStyle w:val="nTable"/>
              <w:spacing w:after="40"/>
              <w:rPr>
                <w:ins w:id="74" w:author="Master Repository Process" w:date="2024-01-03T08:25:00Z"/>
              </w:rPr>
            </w:pPr>
            <w:ins w:id="75" w:author="Master Repository Process" w:date="2024-01-03T08:25:00Z">
              <w:r>
                <w:t>24 Oct 2023</w:t>
              </w:r>
            </w:ins>
          </w:p>
        </w:tc>
        <w:tc>
          <w:tcPr>
            <w:tcW w:w="2552" w:type="dxa"/>
            <w:tcBorders>
              <w:bottom w:val="single" w:sz="4" w:space="0" w:color="auto"/>
            </w:tcBorders>
          </w:tcPr>
          <w:p>
            <w:pPr>
              <w:pStyle w:val="nTable"/>
              <w:spacing w:after="40"/>
              <w:rPr>
                <w:ins w:id="76" w:author="Master Repository Process" w:date="2024-01-03T08:25:00Z"/>
                <w:sz w:val="20"/>
                <w:szCs w:val="22"/>
              </w:rPr>
            </w:pPr>
            <w:ins w:id="77" w:author="Master Repository Process" w:date="2024-01-03T08:25:00Z">
              <w:r>
                <w:rPr>
                  <w:snapToGrid w:val="0"/>
                </w:rPr>
                <w:t>21 Dec 2023 (see s. 2(b) and SL. 2023/203 cl. 2(b))</w:t>
              </w:r>
            </w:ins>
          </w:p>
        </w:tc>
      </w:tr>
    </w:tbl>
    <w:p>
      <w:pPr>
        <w:pStyle w:val="nHeading3"/>
      </w:pPr>
      <w:bookmarkStart w:id="78" w:name="_Toc153781911"/>
      <w:bookmarkStart w:id="79" w:name="_Toc155162696"/>
      <w:r>
        <w:t>Uncommenced provisions table</w:t>
      </w:r>
      <w:bookmarkEnd w:id="78"/>
      <w:bookmarkEnd w:id="79"/>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rPr>
                <w:snapToGrid w:val="0"/>
              </w:rPr>
            </w:pPr>
            <w:r>
              <w:rPr>
                <w:i/>
              </w:rPr>
              <w:t>Personal Property Securities (Commonwealth Laws) Act 2011</w:t>
            </w:r>
            <w:r>
              <w:t xml:space="preserve"> s. 8(2) and (3)</w:t>
            </w:r>
          </w:p>
        </w:tc>
        <w:tc>
          <w:tcPr>
            <w:tcW w:w="1118" w:type="dxa"/>
            <w:tcBorders>
              <w:bottom w:val="single" w:sz="4" w:space="0" w:color="auto"/>
            </w:tcBorders>
          </w:tcPr>
          <w:p>
            <w:pPr>
              <w:pStyle w:val="nTable"/>
              <w:spacing w:after="40"/>
              <w:rPr>
                <w:snapToGrid w:val="0"/>
              </w:rPr>
            </w:pPr>
            <w:r>
              <w:rPr>
                <w:snapToGrid w:val="0"/>
              </w:rPr>
              <w:t>41 of 2011</w:t>
            </w:r>
          </w:p>
        </w:tc>
        <w:tc>
          <w:tcPr>
            <w:tcW w:w="1134" w:type="dxa"/>
            <w:tcBorders>
              <w:bottom w:val="single" w:sz="4" w:space="0" w:color="auto"/>
            </w:tcBorders>
          </w:tcPr>
          <w:p>
            <w:pPr>
              <w:pStyle w:val="nTable"/>
              <w:spacing w:after="40"/>
              <w:rPr>
                <w:snapToGrid w:val="0"/>
              </w:rPr>
            </w:pPr>
            <w:r>
              <w:t>4 Oct 2011</w:t>
            </w:r>
          </w:p>
        </w:tc>
        <w:tc>
          <w:tcPr>
            <w:tcW w:w="2552" w:type="dxa"/>
            <w:tcBorders>
              <w:bottom w:val="single" w:sz="4" w:space="0" w:color="auto"/>
            </w:tcBorders>
          </w:tcPr>
          <w:p>
            <w:pPr>
              <w:pStyle w:val="nTable"/>
              <w:spacing w:after="40"/>
              <w:rPr>
                <w:snapToGrid w:val="0"/>
              </w:rPr>
            </w:pPr>
            <w:r>
              <w:rPr>
                <w:snapToGrid w:val="0"/>
              </w:rPr>
              <w:t>s. 8(2) and (3): to be proclaimed (see s. 2(1)(d) and 2(2))</w:t>
            </w:r>
          </w:p>
        </w:tc>
      </w:tr>
      <w:tr>
        <w:trPr>
          <w:del w:id="80" w:author="Master Repository Process" w:date="2024-01-03T08:25:00Z"/>
        </w:trPr>
        <w:tc>
          <w:tcPr>
            <w:tcW w:w="2268" w:type="dxa"/>
            <w:tcBorders>
              <w:top w:val="nil"/>
              <w:bottom w:val="single" w:sz="8" w:space="0" w:color="auto"/>
            </w:tcBorders>
          </w:tcPr>
          <w:p>
            <w:pPr>
              <w:pStyle w:val="nTable"/>
              <w:spacing w:after="40"/>
              <w:rPr>
                <w:del w:id="81" w:author="Master Repository Process" w:date="2024-01-03T08:25:00Z"/>
                <w:iCs/>
              </w:rPr>
            </w:pPr>
            <w:del w:id="82" w:author="Master Repository Process" w:date="2024-01-03T08:25:00Z">
              <w:r>
                <w:rPr>
                  <w:i/>
                </w:rPr>
                <w:delText>Marine Safety (Domestic Commercial Vessel National Law Application) Act 2023</w:delText>
              </w:r>
              <w:r>
                <w:rPr>
                  <w:iCs/>
                </w:rPr>
                <w:delText xml:space="preserve"> Pt. 10 Div. 3</w:delText>
              </w:r>
            </w:del>
          </w:p>
        </w:tc>
        <w:tc>
          <w:tcPr>
            <w:tcW w:w="1118" w:type="dxa"/>
            <w:tcBorders>
              <w:top w:val="nil"/>
              <w:bottom w:val="single" w:sz="8" w:space="0" w:color="auto"/>
            </w:tcBorders>
          </w:tcPr>
          <w:p>
            <w:pPr>
              <w:pStyle w:val="nTable"/>
              <w:spacing w:after="40"/>
              <w:rPr>
                <w:del w:id="83" w:author="Master Repository Process" w:date="2024-01-03T08:25:00Z"/>
                <w:snapToGrid w:val="0"/>
              </w:rPr>
            </w:pPr>
            <w:del w:id="84" w:author="Master Repository Process" w:date="2024-01-03T08:25:00Z">
              <w:r>
                <w:rPr>
                  <w:snapToGrid w:val="0"/>
                </w:rPr>
                <w:delText>24 of 2023</w:delText>
              </w:r>
            </w:del>
          </w:p>
        </w:tc>
        <w:tc>
          <w:tcPr>
            <w:tcW w:w="1134" w:type="dxa"/>
            <w:tcBorders>
              <w:top w:val="nil"/>
              <w:bottom w:val="single" w:sz="8" w:space="0" w:color="auto"/>
            </w:tcBorders>
          </w:tcPr>
          <w:p>
            <w:pPr>
              <w:pStyle w:val="nTable"/>
              <w:spacing w:after="40"/>
              <w:rPr>
                <w:del w:id="85" w:author="Master Repository Process" w:date="2024-01-03T08:25:00Z"/>
                <w:highlight w:val="yellow"/>
              </w:rPr>
            </w:pPr>
            <w:del w:id="86" w:author="Master Repository Process" w:date="2024-01-03T08:25:00Z">
              <w:r>
                <w:delText>24 Oct 2023</w:delText>
              </w:r>
            </w:del>
          </w:p>
        </w:tc>
        <w:tc>
          <w:tcPr>
            <w:tcW w:w="2552" w:type="dxa"/>
            <w:tcBorders>
              <w:top w:val="nil"/>
              <w:bottom w:val="single" w:sz="8" w:space="0" w:color="auto"/>
            </w:tcBorders>
          </w:tcPr>
          <w:p>
            <w:pPr>
              <w:pStyle w:val="nTable"/>
              <w:spacing w:after="40"/>
              <w:rPr>
                <w:del w:id="87" w:author="Master Repository Process" w:date="2024-01-03T08:25:00Z"/>
                <w:snapToGrid w:val="0"/>
              </w:rPr>
            </w:pPr>
            <w:del w:id="88" w:author="Master Repository Process" w:date="2024-01-03T08:25:00Z">
              <w:r>
                <w:rPr>
                  <w:snapToGrid w:val="0"/>
                </w:rPr>
                <w:delText>To be proclaimed (see s. 2(b))</w:delText>
              </w:r>
            </w:del>
          </w:p>
        </w:tc>
      </w:tr>
    </w:tbl>
    <w:p/>
    <w:p>
      <w:pPr>
        <w:sectPr>
          <w:headerReference w:type="even" r:id="rId22"/>
          <w:headerReference w:type="default" r:id="rId2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80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085351"/>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 w:name="WAFER_20151109112152" w:val="UpdateStyles,UsedStyles"/>
    <w:docVar w:name="WAFER_20151109112152_GUID" w:val="5eae1cd8-39c8-4927-8b16-8c9ffc663ef2"/>
    <w:docVar w:name="WAFER_202002111447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34_GUID" w:val="9d878df8-2267-4c15-8d77-6993bac6cbee"/>
    <w:docVar w:name="WAFER_20231023112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35_GUID" w:val="c0538d53-aa1c-4549-b80c-a7fa404af4f2"/>
    <w:docVar w:name="WAFER_20231214085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085351_GUID" w:val="f6feb798-411f-4def-81f8-dfda88486f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2.jpe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4696</Words>
  <Characters>23576</Characters>
  <Application>Microsoft Office Word</Application>
  <DocSecurity>0</DocSecurity>
  <Lines>637</Lines>
  <Paragraphs>307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00-e0-01 - 00-f0-00</dc:title>
  <dc:subject/>
  <dc:creator/>
  <cp:keywords/>
  <dc:description/>
  <cp:lastModifiedBy>Master Repository Process</cp:lastModifiedBy>
  <cp:revision>2</cp:revision>
  <cp:lastPrinted>2011-08-19T09:01:00Z</cp:lastPrinted>
  <dcterms:created xsi:type="dcterms:W3CDTF">2024-01-03T00:24:00Z</dcterms:created>
  <dcterms:modified xsi:type="dcterms:W3CDTF">2024-01-03T00:25:00Z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Personal Property Securities (Commonwealth Laws) Act 2011</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20231221</vt:lpwstr>
  </property>
  <property fmtid="{D5CDD505-2E9C-101B-9397-08002B2CF9AE}" pid="6" name="CommencementYear">
    <vt:lpwstr>2023</vt:lpwstr>
  </property>
  <property fmtid="{D5CDD505-2E9C-101B-9397-08002B2CF9AE}" pid="7" name="CommencementAsAt">
    <vt:filetime>2023-10-23T16:00:00Z</vt:filetime>
  </property>
  <property fmtid="{D5CDD505-2E9C-101B-9397-08002B2CF9AE}" pid="8" name="FromSuffix">
    <vt:lpwstr>00-e0-01</vt:lpwstr>
  </property>
  <property fmtid="{D5CDD505-2E9C-101B-9397-08002B2CF9AE}" pid="9" name="FromAsAtDate">
    <vt:lpwstr>24 Oct 2023</vt:lpwstr>
  </property>
  <property fmtid="{D5CDD505-2E9C-101B-9397-08002B2CF9AE}" pid="10" name="ToSuffix">
    <vt:lpwstr>00-f0-00</vt:lpwstr>
  </property>
  <property fmtid="{D5CDD505-2E9C-101B-9397-08002B2CF9AE}" pid="11" name="ToAsAtDate">
    <vt:lpwstr>21 Dec 2023</vt:lpwstr>
  </property>
</Properties>
</file>