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Aug 2023</w:t>
      </w:r>
      <w:r>
        <w:fldChar w:fldCharType="end"/>
      </w:r>
      <w:r>
        <w:t xml:space="preserve">, </w:t>
      </w:r>
      <w:r>
        <w:fldChar w:fldCharType="begin"/>
      </w:r>
      <w:r>
        <w:instrText xml:space="preserve"> DocProperty FromSuffix </w:instrText>
      </w:r>
      <w:r>
        <w:fldChar w:fldCharType="separate"/>
      </w:r>
      <w:r>
        <w:t>00-m0-01</w:t>
      </w:r>
      <w:r>
        <w:fldChar w:fldCharType="end"/>
      </w:r>
      <w:r>
        <w:t>] and [</w:t>
      </w:r>
      <w:r>
        <w:fldChar w:fldCharType="begin"/>
      </w:r>
      <w:r>
        <w:instrText xml:space="preserve"> DocProperty ToAsAtDate</w:instrText>
      </w:r>
      <w:r>
        <w:fldChar w:fldCharType="separate"/>
      </w:r>
      <w:r>
        <w:t>21 Feb 2024</w:t>
      </w:r>
      <w:r>
        <w:fldChar w:fldCharType="end"/>
      </w:r>
      <w:r>
        <w:t xml:space="preserve">, </w:t>
      </w:r>
      <w:r>
        <w:fldChar w:fldCharType="begin"/>
      </w:r>
      <w:r>
        <w:instrText xml:space="preserve"> DocProperty ToSuffix</w:instrText>
      </w:r>
      <w:r>
        <w:fldChar w:fldCharType="separate"/>
      </w:r>
      <w:r>
        <w:t>00-n0-00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58976709"/>
      <w:bookmarkStart w:id="2" w:name="_Toc158977600"/>
      <w:bookmarkStart w:id="3" w:name="_Toc158978283"/>
      <w:bookmarkStart w:id="4" w:name="_Toc15509798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p>
    <w:p>
      <w:pPr>
        <w:pStyle w:val="Heading5"/>
      </w:pPr>
      <w:bookmarkStart w:id="5" w:name="_Toc158978284"/>
      <w:bookmarkStart w:id="6" w:name="_Toc155097985"/>
      <w:r>
        <w:rPr>
          <w:rStyle w:val="CharSectno"/>
        </w:rPr>
        <w:t>1</w:t>
      </w:r>
      <w:r>
        <w:t>.</w:t>
      </w:r>
      <w:r>
        <w:tab/>
        <w:t>Citation</w:t>
      </w:r>
      <w:bookmarkEnd w:id="5"/>
      <w:bookmarkEnd w:id="6"/>
    </w:p>
    <w:p>
      <w:pPr>
        <w:pStyle w:val="Subsection"/>
        <w:rPr>
          <w:i/>
        </w:rPr>
      </w:pPr>
      <w:r>
        <w:tab/>
      </w:r>
      <w:r>
        <w:tab/>
      </w:r>
      <w:bookmarkStart w:id="7" w:name="Start_Cursor"/>
      <w:bookmarkEnd w:id="7"/>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8" w:name="_Toc158978285"/>
      <w:bookmarkStart w:id="9" w:name="_Toc155097986"/>
      <w:r>
        <w:rPr>
          <w:rStyle w:val="CharSectno"/>
        </w:rPr>
        <w:t>2</w:t>
      </w:r>
      <w:r>
        <w:rPr>
          <w:spacing w:val="-2"/>
        </w:rPr>
        <w:t>.</w:t>
      </w:r>
      <w:r>
        <w:rPr>
          <w:spacing w:val="-2"/>
        </w:rPr>
        <w:tab/>
        <w:t>Commencement</w:t>
      </w:r>
      <w:bookmarkEnd w:id="8"/>
      <w:bookmarkEnd w:id="9"/>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0" w:name="_Toc158978286"/>
      <w:bookmarkStart w:id="11" w:name="_Toc155097987"/>
      <w:r>
        <w:rPr>
          <w:rStyle w:val="CharSectno"/>
        </w:rPr>
        <w:t>3</w:t>
      </w:r>
      <w:r>
        <w:t>.</w:t>
      </w:r>
      <w:r>
        <w:tab/>
        <w:t>Terms used</w:t>
      </w:r>
      <w:bookmarkEnd w:id="10"/>
      <w:bookmarkEnd w:id="11"/>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2" w:name="_Toc158976713"/>
      <w:bookmarkStart w:id="13" w:name="_Toc158977604"/>
      <w:bookmarkStart w:id="14" w:name="_Toc158978287"/>
      <w:bookmarkStart w:id="15" w:name="_Toc155097988"/>
      <w:r>
        <w:rPr>
          <w:rStyle w:val="CharPartNo"/>
        </w:rPr>
        <w:t>Part 2</w:t>
      </w:r>
      <w:r>
        <w:rPr>
          <w:rStyle w:val="CharDivNo"/>
        </w:rPr>
        <w:t> </w:t>
      </w:r>
      <w:r>
        <w:t>—</w:t>
      </w:r>
      <w:r>
        <w:rPr>
          <w:rStyle w:val="CharDivText"/>
        </w:rPr>
        <w:t> </w:t>
      </w:r>
      <w:r>
        <w:rPr>
          <w:rStyle w:val="CharPartText"/>
        </w:rPr>
        <w:t>Works, acts and activities that do not constitute development</w:t>
      </w:r>
      <w:bookmarkEnd w:id="12"/>
      <w:bookmarkEnd w:id="13"/>
      <w:bookmarkEnd w:id="14"/>
      <w:bookmarkEnd w:id="15"/>
    </w:p>
    <w:p>
      <w:pPr>
        <w:pStyle w:val="Heading5"/>
      </w:pPr>
      <w:bookmarkStart w:id="16" w:name="_Toc158978288"/>
      <w:bookmarkStart w:id="17" w:name="_Toc155097989"/>
      <w:r>
        <w:rPr>
          <w:rStyle w:val="CharSectno"/>
        </w:rPr>
        <w:t>4</w:t>
      </w:r>
      <w:r>
        <w:t>.</w:t>
      </w:r>
      <w:r>
        <w:tab/>
        <w:t>Effect of exclusions in relation to heritage place</w:t>
      </w:r>
      <w:bookmarkEnd w:id="16"/>
      <w:bookmarkEnd w:id="17"/>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8" w:name="_Toc158978289"/>
      <w:bookmarkStart w:id="19" w:name="_Toc155097990"/>
      <w:r>
        <w:rPr>
          <w:rStyle w:val="CharSectno"/>
        </w:rPr>
        <w:t>5</w:t>
      </w:r>
      <w:r>
        <w:t>.</w:t>
      </w:r>
      <w:r>
        <w:tab/>
        <w:t>Minor and temporary works, acts and activities</w:t>
      </w:r>
      <w:bookmarkEnd w:id="18"/>
      <w:bookmarkEnd w:id="19"/>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0" w:name="_Toc158978290"/>
      <w:bookmarkStart w:id="21" w:name="_Toc155097991"/>
      <w:r>
        <w:rPr>
          <w:rStyle w:val="CharSectno"/>
        </w:rPr>
        <w:t>6</w:t>
      </w:r>
      <w:r>
        <w:t>.</w:t>
      </w:r>
      <w:r>
        <w:tab/>
        <w:t>Subdivision works</w:t>
      </w:r>
      <w:bookmarkEnd w:id="20"/>
      <w:bookmarkEnd w:id="21"/>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2" w:name="_Toc158978291"/>
      <w:bookmarkStart w:id="23" w:name="_Toc155097992"/>
      <w:r>
        <w:rPr>
          <w:rStyle w:val="CharSectno"/>
        </w:rPr>
        <w:t>8</w:t>
      </w:r>
      <w:r>
        <w:t>.</w:t>
      </w:r>
      <w:r>
        <w:tab/>
        <w:t>Certain works, acts and activities by Authority</w:t>
      </w:r>
      <w:bookmarkEnd w:id="22"/>
      <w:bookmarkEnd w:id="23"/>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24" w:name="_Toc158978292"/>
      <w:bookmarkStart w:id="25" w:name="_Toc155097993"/>
      <w:r>
        <w:rPr>
          <w:rStyle w:val="CharSectno"/>
        </w:rPr>
        <w:t>9</w:t>
      </w:r>
      <w:r>
        <w:t>.</w:t>
      </w:r>
      <w:r>
        <w:tab/>
        <w:t>Certain buildings and related works</w:t>
      </w:r>
      <w:bookmarkEnd w:id="24"/>
      <w:bookmarkEnd w:id="25"/>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26" w:name="_Toc158976719"/>
      <w:bookmarkStart w:id="27" w:name="_Toc158977610"/>
      <w:bookmarkStart w:id="28" w:name="_Toc158978293"/>
      <w:bookmarkStart w:id="29" w:name="_Toc155097994"/>
      <w:r>
        <w:rPr>
          <w:rStyle w:val="CharPartNo"/>
        </w:rPr>
        <w:t>Part 3</w:t>
      </w:r>
      <w:r>
        <w:rPr>
          <w:rStyle w:val="CharDivNo"/>
        </w:rPr>
        <w:t> </w:t>
      </w:r>
      <w:r>
        <w:t>— </w:t>
      </w:r>
      <w:r>
        <w:rPr>
          <w:rStyle w:val="CharPartText"/>
        </w:rPr>
        <w:t>Redevelopment areas</w:t>
      </w:r>
      <w:bookmarkEnd w:id="26"/>
      <w:bookmarkEnd w:id="27"/>
      <w:bookmarkEnd w:id="28"/>
      <w:bookmarkEnd w:id="29"/>
    </w:p>
    <w:p>
      <w:pPr>
        <w:pStyle w:val="Heading5"/>
      </w:pPr>
      <w:bookmarkStart w:id="30" w:name="_Toc158978294"/>
      <w:bookmarkStart w:id="31" w:name="_Toc155097995"/>
      <w:r>
        <w:rPr>
          <w:rStyle w:val="CharSectno"/>
        </w:rPr>
        <w:t>10</w:t>
      </w:r>
      <w:r>
        <w:t>.</w:t>
      </w:r>
      <w:r>
        <w:tab/>
        <w:t>Armadale redevelopment area</w:t>
      </w:r>
      <w:bookmarkEnd w:id="30"/>
      <w:bookmarkEnd w:id="31"/>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32" w:name="_Toc158978295"/>
      <w:bookmarkStart w:id="33" w:name="_Toc155097996"/>
      <w:r>
        <w:rPr>
          <w:rStyle w:val="CharSectno"/>
        </w:rPr>
        <w:t>11</w:t>
      </w:r>
      <w:r>
        <w:t>.</w:t>
      </w:r>
      <w:r>
        <w:tab/>
        <w:t>Central Perth redevelopment area</w:t>
      </w:r>
      <w:bookmarkEnd w:id="32"/>
      <w:bookmarkEnd w:id="33"/>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34" w:name="_Toc158978296"/>
      <w:bookmarkStart w:id="35" w:name="_Toc155097997"/>
      <w:r>
        <w:rPr>
          <w:rStyle w:val="CharSectno"/>
        </w:rPr>
        <w:t>12</w:t>
      </w:r>
      <w:r>
        <w:t>.</w:t>
      </w:r>
      <w:r>
        <w:tab/>
        <w:t>Midland redevelopment area</w:t>
      </w:r>
      <w:bookmarkEnd w:id="34"/>
      <w:bookmarkEnd w:id="35"/>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36" w:name="_Toc158978297"/>
      <w:bookmarkStart w:id="37" w:name="_Toc155097998"/>
      <w:r>
        <w:rPr>
          <w:rStyle w:val="CharSectno"/>
        </w:rPr>
        <w:t>13</w:t>
      </w:r>
      <w:r>
        <w:t>.</w:t>
      </w:r>
      <w:r>
        <w:tab/>
        <w:t>Subiaco redevelopment area</w:t>
      </w:r>
      <w:bookmarkEnd w:id="36"/>
      <w:bookmarkEnd w:id="37"/>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38" w:name="_Toc158978298"/>
      <w:bookmarkStart w:id="39" w:name="_Toc155097999"/>
      <w:r>
        <w:rPr>
          <w:rStyle w:val="CharSectno"/>
        </w:rPr>
        <w:t>14A</w:t>
      </w:r>
      <w:r>
        <w:t>.</w:t>
      </w:r>
      <w:r>
        <w:tab/>
        <w:t>Removal of land from, and cessation of, Scarborough redevelopment area</w:t>
      </w:r>
      <w:bookmarkEnd w:id="38"/>
      <w:bookmarkEnd w:id="39"/>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40" w:name="_Toc158978299"/>
      <w:bookmarkStart w:id="41" w:name="_Toc155098000"/>
      <w:r>
        <w:rPr>
          <w:rStyle w:val="CharSectno"/>
        </w:rPr>
        <w:t>14</w:t>
      </w:r>
      <w:r>
        <w:t>.</w:t>
      </w:r>
      <w:r>
        <w:tab/>
        <w:t>Redevelopment area objectives: s. 30(5)(c)</w:t>
      </w:r>
      <w:bookmarkEnd w:id="40"/>
      <w:bookmarkEnd w:id="41"/>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42" w:name="_Toc158978300"/>
      <w:bookmarkStart w:id="43" w:name="_Toc155098001"/>
      <w:r>
        <w:rPr>
          <w:rStyle w:val="CharSectno"/>
        </w:rPr>
        <w:t>14B</w:t>
      </w:r>
      <w:r>
        <w:t>.</w:t>
      </w:r>
      <w:r>
        <w:tab/>
        <w:t>Saving of rights where land removed from redevelopment area</w:t>
      </w:r>
      <w:bookmarkEnd w:id="42"/>
      <w:bookmarkEnd w:id="43"/>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44" w:name="_Toc158976727"/>
      <w:bookmarkStart w:id="45" w:name="_Toc158977618"/>
      <w:bookmarkStart w:id="46" w:name="_Toc158978301"/>
      <w:bookmarkStart w:id="47" w:name="_Toc155098002"/>
      <w:r>
        <w:rPr>
          <w:rStyle w:val="CharPartNo"/>
        </w:rPr>
        <w:t>Part 4</w:t>
      </w:r>
      <w:r>
        <w:rPr>
          <w:rStyle w:val="CharDivNo"/>
        </w:rPr>
        <w:t> </w:t>
      </w:r>
      <w:r>
        <w:t>—</w:t>
      </w:r>
      <w:r>
        <w:rPr>
          <w:rStyle w:val="CharDivText"/>
        </w:rPr>
        <w:t> </w:t>
      </w:r>
      <w:r>
        <w:rPr>
          <w:rStyle w:val="CharPartText"/>
        </w:rPr>
        <w:t>Development applications</w:t>
      </w:r>
      <w:bookmarkEnd w:id="44"/>
      <w:bookmarkEnd w:id="45"/>
      <w:bookmarkEnd w:id="46"/>
      <w:bookmarkEnd w:id="47"/>
    </w:p>
    <w:p>
      <w:pPr>
        <w:pStyle w:val="Heading5"/>
      </w:pPr>
      <w:bookmarkStart w:id="48" w:name="_Toc158978302"/>
      <w:bookmarkStart w:id="49" w:name="_Toc155098003"/>
      <w:r>
        <w:rPr>
          <w:rStyle w:val="CharSectno"/>
        </w:rPr>
        <w:t>15</w:t>
      </w:r>
      <w:r>
        <w:t>.</w:t>
      </w:r>
      <w:r>
        <w:tab/>
        <w:t>Criteria for determining whether development application is standard or major application: s. 63(1)</w:t>
      </w:r>
      <w:bookmarkEnd w:id="48"/>
      <w:bookmarkEnd w:id="49"/>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50" w:name="_Toc158978303"/>
      <w:bookmarkStart w:id="51" w:name="_Toc155098004"/>
      <w:r>
        <w:rPr>
          <w:rStyle w:val="CharSectno"/>
        </w:rPr>
        <w:t>16</w:t>
      </w:r>
      <w:r>
        <w:t>.</w:t>
      </w:r>
      <w:r>
        <w:tab/>
        <w:t>Development application</w:t>
      </w:r>
      <w:bookmarkEnd w:id="50"/>
      <w:bookmarkEnd w:id="51"/>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52" w:name="_Toc158978304"/>
      <w:bookmarkStart w:id="53" w:name="_Toc155098005"/>
      <w:r>
        <w:rPr>
          <w:rStyle w:val="CharSectno"/>
        </w:rPr>
        <w:t>17</w:t>
      </w:r>
      <w:r>
        <w:t>.</w:t>
      </w:r>
      <w:r>
        <w:tab/>
        <w:t>Plans to accompany development application</w:t>
      </w:r>
      <w:bookmarkEnd w:id="52"/>
      <w:bookmarkEnd w:id="53"/>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54" w:name="_Toc158978305"/>
      <w:bookmarkStart w:id="55" w:name="_Toc155098006"/>
      <w:r>
        <w:rPr>
          <w:rStyle w:val="CharSectno"/>
        </w:rPr>
        <w:t>18</w:t>
      </w:r>
      <w:r>
        <w:t>.</w:t>
      </w:r>
      <w:r>
        <w:tab/>
        <w:t>Statements to accompany development application</w:t>
      </w:r>
      <w:bookmarkEnd w:id="54"/>
      <w:bookmarkEnd w:id="55"/>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56" w:name="_Toc158978306"/>
      <w:bookmarkStart w:id="57" w:name="_Toc155098007"/>
      <w:r>
        <w:rPr>
          <w:rStyle w:val="CharSectno"/>
        </w:rPr>
        <w:t>19</w:t>
      </w:r>
      <w:r>
        <w:t>.</w:t>
      </w:r>
      <w:r>
        <w:tab/>
        <w:t>Other material to accompany development application</w:t>
      </w:r>
      <w:bookmarkEnd w:id="56"/>
      <w:bookmarkEnd w:id="57"/>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58" w:name="_Toc158978307"/>
      <w:bookmarkStart w:id="59" w:name="_Toc155098008"/>
      <w:r>
        <w:rPr>
          <w:rStyle w:val="CharSectno"/>
        </w:rPr>
        <w:t>20</w:t>
      </w:r>
      <w:r>
        <w:t>.</w:t>
      </w:r>
      <w:r>
        <w:tab/>
        <w:t>Electronic lodgment under regulation 17, 18 or 19</w:t>
      </w:r>
      <w:bookmarkEnd w:id="58"/>
      <w:bookmarkEnd w:id="59"/>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60" w:name="_Toc158978308"/>
      <w:bookmarkStart w:id="61" w:name="_Toc155098009"/>
      <w:r>
        <w:rPr>
          <w:rStyle w:val="CharSectno"/>
        </w:rPr>
        <w:t>21</w:t>
      </w:r>
      <w:r>
        <w:t>.</w:t>
      </w:r>
      <w:r>
        <w:tab/>
        <w:t>Authority may request additional information</w:t>
      </w:r>
      <w:bookmarkEnd w:id="60"/>
      <w:bookmarkEnd w:id="61"/>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62" w:name="_Toc158978309"/>
      <w:bookmarkStart w:id="63" w:name="_Toc155098010"/>
      <w:r>
        <w:rPr>
          <w:rStyle w:val="CharSectno"/>
        </w:rPr>
        <w:t>22</w:t>
      </w:r>
      <w:r>
        <w:t>.</w:t>
      </w:r>
      <w:r>
        <w:tab/>
        <w:t>Amending development approval on application</w:t>
      </w:r>
      <w:bookmarkEnd w:id="62"/>
      <w:bookmarkEnd w:id="63"/>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64" w:name="_Toc158978310"/>
      <w:bookmarkStart w:id="65" w:name="_Toc155098011"/>
      <w:r>
        <w:rPr>
          <w:rStyle w:val="CharSectno"/>
        </w:rPr>
        <w:t>23</w:t>
      </w:r>
      <w:r>
        <w:t>.</w:t>
      </w:r>
      <w:r>
        <w:tab/>
        <w:t>Review of Authority’s decision by SAT</w:t>
      </w:r>
      <w:bookmarkEnd w:id="64"/>
      <w:bookmarkEnd w:id="65"/>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66" w:name="_Toc158976737"/>
      <w:bookmarkStart w:id="67" w:name="_Toc158977628"/>
      <w:bookmarkStart w:id="68" w:name="_Toc158978311"/>
      <w:bookmarkStart w:id="69" w:name="_Toc155098012"/>
      <w:r>
        <w:rPr>
          <w:rStyle w:val="CharPartNo"/>
        </w:rPr>
        <w:t>Part 5</w:t>
      </w:r>
      <w:r>
        <w:rPr>
          <w:rStyle w:val="CharDivNo"/>
        </w:rPr>
        <w:t> </w:t>
      </w:r>
      <w:r>
        <w:t>—</w:t>
      </w:r>
      <w:r>
        <w:rPr>
          <w:rStyle w:val="CharDivText"/>
        </w:rPr>
        <w:t> </w:t>
      </w:r>
      <w:r>
        <w:rPr>
          <w:rStyle w:val="CharPartText"/>
        </w:rPr>
        <w:t>Functions of Authority</w:t>
      </w:r>
      <w:bookmarkEnd w:id="66"/>
      <w:bookmarkEnd w:id="67"/>
      <w:bookmarkEnd w:id="68"/>
      <w:bookmarkEnd w:id="69"/>
    </w:p>
    <w:p>
      <w:pPr>
        <w:pStyle w:val="Heading5"/>
      </w:pPr>
      <w:bookmarkStart w:id="70" w:name="_Toc158978312"/>
      <w:bookmarkStart w:id="71" w:name="_Toc155098013"/>
      <w:r>
        <w:rPr>
          <w:rStyle w:val="CharSectno"/>
        </w:rPr>
        <w:t>24</w:t>
      </w:r>
      <w:r>
        <w:t>.</w:t>
      </w:r>
      <w:r>
        <w:tab/>
        <w:t>Delegation: s. 14</w:t>
      </w:r>
      <w:bookmarkEnd w:id="70"/>
      <w:bookmarkEnd w:id="71"/>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72" w:name="_Toc158978313"/>
      <w:bookmarkStart w:id="73" w:name="_Toc155098014"/>
      <w:r>
        <w:rPr>
          <w:rStyle w:val="CharSectno"/>
        </w:rPr>
        <w:t>25</w:t>
      </w:r>
      <w:r>
        <w:t>.</w:t>
      </w:r>
      <w:r>
        <w:tab/>
        <w:t>Value of land acquired or disposed of: s. 18</w:t>
      </w:r>
      <w:bookmarkEnd w:id="72"/>
      <w:bookmarkEnd w:id="73"/>
    </w:p>
    <w:p>
      <w:pPr>
        <w:pStyle w:val="Subsection"/>
      </w:pPr>
      <w:r>
        <w:tab/>
      </w:r>
      <w:r>
        <w:tab/>
        <w:t>For the purposes of section 18(2), the amount prescribed is $5 million.</w:t>
      </w:r>
    </w:p>
    <w:p>
      <w:pPr>
        <w:pStyle w:val="Heading5"/>
      </w:pPr>
      <w:bookmarkStart w:id="74" w:name="_Toc158978314"/>
      <w:bookmarkStart w:id="75" w:name="_Toc155098015"/>
      <w:r>
        <w:rPr>
          <w:rStyle w:val="CharSectno"/>
        </w:rPr>
        <w:t>26</w:t>
      </w:r>
      <w:r>
        <w:t>.</w:t>
      </w:r>
      <w:r>
        <w:tab/>
        <w:t>Business plans: s. 113</w:t>
      </w:r>
      <w:bookmarkEnd w:id="74"/>
      <w:bookmarkEnd w:id="7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76" w:name="_Toc158978315"/>
      <w:bookmarkStart w:id="77" w:name="_Toc155098016"/>
      <w:r>
        <w:rPr>
          <w:rStyle w:val="CharSectno"/>
        </w:rPr>
        <w:t>27</w:t>
      </w:r>
      <w:r>
        <w:t>.</w:t>
      </w:r>
      <w:r>
        <w:tab/>
        <w:t>Operational plans: s. 113</w:t>
      </w:r>
      <w:bookmarkEnd w:id="76"/>
      <w:bookmarkEnd w:id="77"/>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78" w:name="_Toc158976742"/>
      <w:bookmarkStart w:id="79" w:name="_Toc158977633"/>
      <w:bookmarkStart w:id="80" w:name="_Toc158978316"/>
      <w:bookmarkStart w:id="81" w:name="_Toc155098017"/>
      <w:r>
        <w:rPr>
          <w:rStyle w:val="CharPartNo"/>
        </w:rPr>
        <w:t>Part 6</w:t>
      </w:r>
      <w:r>
        <w:t> — </w:t>
      </w:r>
      <w:r>
        <w:rPr>
          <w:rStyle w:val="CharPartText"/>
        </w:rPr>
        <w:t>Fees and charges</w:t>
      </w:r>
      <w:bookmarkEnd w:id="78"/>
      <w:bookmarkEnd w:id="79"/>
      <w:bookmarkEnd w:id="80"/>
      <w:bookmarkEnd w:id="81"/>
    </w:p>
    <w:p>
      <w:pPr>
        <w:pStyle w:val="Heading3"/>
      </w:pPr>
      <w:bookmarkStart w:id="82" w:name="_Toc158976743"/>
      <w:bookmarkStart w:id="83" w:name="_Toc158977634"/>
      <w:bookmarkStart w:id="84" w:name="_Toc158978317"/>
      <w:bookmarkStart w:id="85" w:name="_Toc155098018"/>
      <w:r>
        <w:rPr>
          <w:rStyle w:val="CharDivNo"/>
        </w:rPr>
        <w:t>Division 1</w:t>
      </w:r>
      <w:r>
        <w:t> — </w:t>
      </w:r>
      <w:r>
        <w:rPr>
          <w:rStyle w:val="CharDivText"/>
        </w:rPr>
        <w:t>General</w:t>
      </w:r>
      <w:bookmarkEnd w:id="82"/>
      <w:bookmarkEnd w:id="83"/>
      <w:bookmarkEnd w:id="84"/>
      <w:bookmarkEnd w:id="85"/>
    </w:p>
    <w:p>
      <w:pPr>
        <w:pStyle w:val="Heading5"/>
      </w:pPr>
      <w:bookmarkStart w:id="86" w:name="_Toc158978318"/>
      <w:bookmarkStart w:id="87" w:name="_Toc155098019"/>
      <w:r>
        <w:rPr>
          <w:rStyle w:val="CharSectno"/>
        </w:rPr>
        <w:t>28</w:t>
      </w:r>
      <w:r>
        <w:t>.</w:t>
      </w:r>
      <w:r>
        <w:tab/>
        <w:t>Terms used</w:t>
      </w:r>
      <w:bookmarkEnd w:id="86"/>
      <w:bookmarkEnd w:id="87"/>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88" w:name="_Toc158978319"/>
      <w:bookmarkStart w:id="89" w:name="_Toc155098020"/>
      <w:r>
        <w:rPr>
          <w:rStyle w:val="CharSectno"/>
        </w:rPr>
        <w:t>29</w:t>
      </w:r>
      <w:r>
        <w:t>.</w:t>
      </w:r>
      <w:r>
        <w:tab/>
        <w:t>Fees for certain services</w:t>
      </w:r>
      <w:bookmarkEnd w:id="88"/>
      <w:bookmarkEnd w:id="89"/>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90" w:name="_Toc158978320"/>
      <w:bookmarkStart w:id="91" w:name="_Toc155098021"/>
      <w:r>
        <w:rPr>
          <w:rStyle w:val="CharSectno"/>
        </w:rPr>
        <w:t>30</w:t>
      </w:r>
      <w:r>
        <w:t>.</w:t>
      </w:r>
      <w:r>
        <w:tab/>
        <w:t>Fees relating to structure plans and scheme amendments etc.</w:t>
      </w:r>
      <w:bookmarkEnd w:id="90"/>
      <w:bookmarkEnd w:id="91"/>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92" w:name="_Toc158978321"/>
      <w:bookmarkStart w:id="93" w:name="_Toc155098022"/>
      <w:r>
        <w:rPr>
          <w:rStyle w:val="CharSectno"/>
        </w:rPr>
        <w:t>31</w:t>
      </w:r>
      <w:r>
        <w:t>.</w:t>
      </w:r>
      <w:r>
        <w:tab/>
        <w:t>Additional costs and expenses payable by applicants</w:t>
      </w:r>
      <w:bookmarkEnd w:id="92"/>
      <w:bookmarkEnd w:id="93"/>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94" w:name="_Toc158978322"/>
      <w:bookmarkStart w:id="95" w:name="_Toc155098023"/>
      <w:r>
        <w:rPr>
          <w:rStyle w:val="CharSectno"/>
        </w:rPr>
        <w:t>32</w:t>
      </w:r>
      <w:r>
        <w:t>.</w:t>
      </w:r>
      <w:r>
        <w:tab/>
        <w:t>Itemised account to be provided on request</w:t>
      </w:r>
      <w:bookmarkEnd w:id="94"/>
      <w:bookmarkEnd w:id="95"/>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96" w:name="_Toc158978323"/>
      <w:bookmarkStart w:id="97" w:name="_Toc155098024"/>
      <w:r>
        <w:rPr>
          <w:rStyle w:val="CharSectno"/>
        </w:rPr>
        <w:t>33</w:t>
      </w:r>
      <w:r>
        <w:t>.</w:t>
      </w:r>
      <w:r>
        <w:tab/>
        <w:t>Dispute as to amount payable</w:t>
      </w:r>
      <w:bookmarkEnd w:id="96"/>
      <w:bookmarkEnd w:id="97"/>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98" w:name="_Toc158978324"/>
      <w:bookmarkStart w:id="99" w:name="_Toc155098025"/>
      <w:r>
        <w:rPr>
          <w:rStyle w:val="CharSectno"/>
        </w:rPr>
        <w:t>34</w:t>
      </w:r>
      <w:r>
        <w:t>.</w:t>
      </w:r>
      <w:r>
        <w:tab/>
        <w:t>Authority may waive or refund fee</w:t>
      </w:r>
      <w:bookmarkEnd w:id="98"/>
      <w:bookmarkEnd w:id="99"/>
    </w:p>
    <w:p>
      <w:pPr>
        <w:pStyle w:val="Subsection"/>
      </w:pPr>
      <w:r>
        <w:tab/>
      </w:r>
      <w:r>
        <w:tab/>
        <w:t>The Authority may waive or refund, in whole or in part, the payment of a fee imposed under this Division.</w:t>
      </w:r>
    </w:p>
    <w:p>
      <w:pPr>
        <w:pStyle w:val="Heading3"/>
      </w:pPr>
      <w:bookmarkStart w:id="100" w:name="_Toc158976751"/>
      <w:bookmarkStart w:id="101" w:name="_Toc158977642"/>
      <w:bookmarkStart w:id="102" w:name="_Toc158978325"/>
      <w:bookmarkStart w:id="103" w:name="_Toc155098026"/>
      <w:r>
        <w:rPr>
          <w:rStyle w:val="CharDivNo"/>
        </w:rPr>
        <w:t>Division 2</w:t>
      </w:r>
      <w:r>
        <w:t> — </w:t>
      </w:r>
      <w:r>
        <w:rPr>
          <w:rStyle w:val="CharDivText"/>
        </w:rPr>
        <w:t>Fees Arbitration Panels</w:t>
      </w:r>
      <w:bookmarkEnd w:id="100"/>
      <w:bookmarkEnd w:id="101"/>
      <w:bookmarkEnd w:id="102"/>
      <w:bookmarkEnd w:id="103"/>
    </w:p>
    <w:p>
      <w:pPr>
        <w:pStyle w:val="Heading5"/>
      </w:pPr>
      <w:bookmarkStart w:id="104" w:name="_Toc158978326"/>
      <w:bookmarkStart w:id="105" w:name="_Toc155098027"/>
      <w:r>
        <w:rPr>
          <w:rStyle w:val="CharSectno"/>
        </w:rPr>
        <w:t>35</w:t>
      </w:r>
      <w:r>
        <w:t>.</w:t>
      </w:r>
      <w:r>
        <w:tab/>
        <w:t>Fees Arbitration Panels</w:t>
      </w:r>
      <w:bookmarkEnd w:id="104"/>
      <w:bookmarkEnd w:id="105"/>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06" w:name="_Toc158978327"/>
      <w:bookmarkStart w:id="107" w:name="_Toc155098028"/>
      <w:r>
        <w:rPr>
          <w:rStyle w:val="CharSectno"/>
        </w:rPr>
        <w:t>36</w:t>
      </w:r>
      <w:r>
        <w:t>.</w:t>
      </w:r>
      <w:r>
        <w:tab/>
        <w:t>Panel meetings</w:t>
      </w:r>
      <w:bookmarkEnd w:id="106"/>
      <w:bookmarkEnd w:id="107"/>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08" w:name="_Toc158978328"/>
      <w:bookmarkStart w:id="109" w:name="_Toc155098029"/>
      <w:r>
        <w:rPr>
          <w:rStyle w:val="CharSectno"/>
        </w:rPr>
        <w:t>37</w:t>
      </w:r>
      <w:r>
        <w:t>.</w:t>
      </w:r>
      <w:r>
        <w:tab/>
        <w:t>Decisions of a Panel</w:t>
      </w:r>
      <w:bookmarkEnd w:id="108"/>
      <w:bookmarkEnd w:id="109"/>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10" w:name="_Toc158976755"/>
      <w:bookmarkStart w:id="111" w:name="_Toc158977646"/>
      <w:bookmarkStart w:id="112" w:name="_Toc158978329"/>
      <w:bookmarkStart w:id="113" w:name="_Toc155098030"/>
      <w:r>
        <w:rPr>
          <w:rStyle w:val="CharPartNo"/>
        </w:rPr>
        <w:t>Part 7</w:t>
      </w:r>
      <w:r>
        <w:rPr>
          <w:rStyle w:val="CharDivNo"/>
        </w:rPr>
        <w:t> </w:t>
      </w:r>
      <w:r>
        <w:t>—</w:t>
      </w:r>
      <w:r>
        <w:rPr>
          <w:rStyle w:val="CharDivText"/>
        </w:rPr>
        <w:t> </w:t>
      </w:r>
      <w:r>
        <w:rPr>
          <w:rStyle w:val="CharPartText"/>
        </w:rPr>
        <w:t>Miscellaneous</w:t>
      </w:r>
      <w:bookmarkEnd w:id="110"/>
      <w:bookmarkEnd w:id="111"/>
      <w:bookmarkEnd w:id="112"/>
      <w:bookmarkEnd w:id="113"/>
    </w:p>
    <w:p>
      <w:pPr>
        <w:pStyle w:val="Heading5"/>
      </w:pPr>
      <w:bookmarkStart w:id="114" w:name="_Toc158978330"/>
      <w:bookmarkStart w:id="115" w:name="_Toc155098031"/>
      <w:r>
        <w:rPr>
          <w:rStyle w:val="CharSectno"/>
        </w:rPr>
        <w:t>38</w:t>
      </w:r>
      <w:r>
        <w:t>.</w:t>
      </w:r>
      <w:r>
        <w:tab/>
        <w:t>Closely associated persons: s. 95</w:t>
      </w:r>
      <w:bookmarkEnd w:id="114"/>
      <w:bookmarkEnd w:id="115"/>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16" w:name="_Toc158978331"/>
      <w:bookmarkStart w:id="117" w:name="_Toc155098032"/>
      <w:r>
        <w:rPr>
          <w:rStyle w:val="CharSectno"/>
        </w:rPr>
        <w:t>39</w:t>
      </w:r>
      <w:r>
        <w:t>.</w:t>
      </w:r>
      <w:r>
        <w:tab/>
        <w:t>Offences</w:t>
      </w:r>
      <w:bookmarkEnd w:id="116"/>
      <w:bookmarkEnd w:id="117"/>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118" w:name="_Toc158976758"/>
      <w:bookmarkStart w:id="119" w:name="_Toc158977649"/>
      <w:bookmarkStart w:id="120" w:name="_Toc158978332"/>
      <w:bookmarkStart w:id="121" w:name="_Toc155098033"/>
      <w:r>
        <w:rPr>
          <w:rStyle w:val="CharSchNo"/>
        </w:rPr>
        <w:t>Schedule 1</w:t>
      </w:r>
      <w:r>
        <w:t> — </w:t>
      </w:r>
      <w:r>
        <w:rPr>
          <w:rStyle w:val="CharSchText"/>
        </w:rPr>
        <w:t>Armadale redevelopment area</w:t>
      </w:r>
      <w:bookmarkEnd w:id="118"/>
      <w:bookmarkEnd w:id="119"/>
      <w:bookmarkEnd w:id="120"/>
      <w:bookmarkEnd w:id="121"/>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1"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122" w:name="_Toc158976759"/>
      <w:bookmarkStart w:id="123" w:name="_Toc158977650"/>
      <w:bookmarkStart w:id="124" w:name="_Toc158978333"/>
      <w:bookmarkStart w:id="125" w:name="_Toc155098034"/>
      <w:r>
        <w:rPr>
          <w:rStyle w:val="CharSchNo"/>
        </w:rPr>
        <w:t>Schedule 2</w:t>
      </w:r>
      <w:r>
        <w:t> — </w:t>
      </w:r>
      <w:r>
        <w:rPr>
          <w:rStyle w:val="CharSchText"/>
        </w:rPr>
        <w:t>Central Perth redevelopment area</w:t>
      </w:r>
      <w:bookmarkEnd w:id="122"/>
      <w:bookmarkEnd w:id="123"/>
      <w:bookmarkEnd w:id="124"/>
      <w:bookmarkEnd w:id="125"/>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2"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126" w:name="_Toc158976760"/>
      <w:bookmarkStart w:id="127" w:name="_Toc158977651"/>
      <w:bookmarkStart w:id="128" w:name="_Toc158978334"/>
      <w:bookmarkStart w:id="129" w:name="_Toc155098035"/>
      <w:r>
        <w:rPr>
          <w:rStyle w:val="CharSchNo"/>
        </w:rPr>
        <w:t>Schedule 3</w:t>
      </w:r>
      <w:r>
        <w:t> — </w:t>
      </w:r>
      <w:r>
        <w:rPr>
          <w:rStyle w:val="CharSchText"/>
        </w:rPr>
        <w:t>Midland redevelopment area</w:t>
      </w:r>
      <w:bookmarkEnd w:id="126"/>
      <w:bookmarkEnd w:id="127"/>
      <w:bookmarkEnd w:id="128"/>
      <w:bookmarkEnd w:id="129"/>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3"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30" w:name="_Toc158976761"/>
      <w:bookmarkStart w:id="131" w:name="_Toc158977652"/>
      <w:bookmarkStart w:id="132" w:name="_Toc158978335"/>
      <w:bookmarkStart w:id="133" w:name="_Toc155098036"/>
      <w:r>
        <w:rPr>
          <w:rStyle w:val="CharSchNo"/>
        </w:rPr>
        <w:t>Schedule 4</w:t>
      </w:r>
      <w:r>
        <w:rPr>
          <w:rStyle w:val="CharSDivNo"/>
        </w:rPr>
        <w:t> </w:t>
      </w:r>
      <w:r>
        <w:t>—</w:t>
      </w:r>
      <w:r>
        <w:rPr>
          <w:rStyle w:val="CharSDivText"/>
        </w:rPr>
        <w:t> </w:t>
      </w:r>
      <w:r>
        <w:rPr>
          <w:rStyle w:val="CharSchText"/>
        </w:rPr>
        <w:t>Subiaco redevelopment area</w:t>
      </w:r>
      <w:bookmarkEnd w:id="130"/>
      <w:bookmarkEnd w:id="131"/>
      <w:bookmarkEnd w:id="132"/>
      <w:bookmarkEnd w:id="133"/>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134" w:name="_Toc158976762"/>
      <w:bookmarkStart w:id="135" w:name="_Toc158977653"/>
      <w:bookmarkStart w:id="136" w:name="_Toc158978336"/>
      <w:bookmarkStart w:id="137" w:name="_Toc155098037"/>
      <w:r>
        <w:rPr>
          <w:rStyle w:val="CharSchNo"/>
        </w:rPr>
        <w:t>Schedule 5</w:t>
      </w:r>
      <w:r>
        <w:rPr>
          <w:rStyle w:val="CharSDivNo"/>
        </w:rPr>
        <w:t> </w:t>
      </w:r>
      <w:r>
        <w:t>—</w:t>
      </w:r>
      <w:r>
        <w:rPr>
          <w:rStyle w:val="CharSDivText"/>
        </w:rPr>
        <w:t> </w:t>
      </w:r>
      <w:r>
        <w:rPr>
          <w:rStyle w:val="CharSchText"/>
        </w:rPr>
        <w:t>Fees</w:t>
      </w:r>
      <w:bookmarkEnd w:id="134"/>
      <w:bookmarkEnd w:id="135"/>
      <w:bookmarkEnd w:id="136"/>
      <w:bookmarkEnd w:id="137"/>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6"/>
          <w:headerReference w:type="default" r:id="rId27"/>
          <w:pgSz w:w="11907" w:h="16840" w:code="9"/>
          <w:pgMar w:top="2381" w:right="2410" w:bottom="3544" w:left="2410" w:header="720" w:footer="3544" w:gutter="0"/>
          <w:cols w:space="720"/>
          <w:docGrid w:linePitch="78"/>
        </w:sectPr>
      </w:pPr>
    </w:p>
    <w:p>
      <w:pPr>
        <w:pStyle w:val="nHeading2"/>
      </w:pPr>
      <w:bookmarkStart w:id="139" w:name="_Toc158976763"/>
      <w:bookmarkStart w:id="140" w:name="_Toc158977654"/>
      <w:bookmarkStart w:id="141" w:name="_Toc158978337"/>
      <w:bookmarkStart w:id="142" w:name="_Toc155098038"/>
      <w:r>
        <w:t>Notes</w:t>
      </w:r>
      <w:bookmarkEnd w:id="139"/>
      <w:bookmarkEnd w:id="140"/>
      <w:bookmarkEnd w:id="141"/>
      <w:bookmarkEnd w:id="142"/>
    </w:p>
    <w:p>
      <w:pPr>
        <w:pStyle w:val="nStatement"/>
      </w:pPr>
      <w:r>
        <w:t xml:space="preserve">This is a compilation of the </w:t>
      </w:r>
      <w:r>
        <w:rPr>
          <w:i/>
          <w:noProof/>
        </w:rPr>
        <w:t>Metropolitan Redevelopment Authority Regulations</w:t>
      </w:r>
      <w:del w:id="143" w:author="Master Repository Process" w:date="2024-02-20T15:10:00Z">
        <w:r>
          <w:rPr>
            <w:i/>
            <w:noProof/>
          </w:rPr>
          <w:delText> </w:delText>
        </w:r>
      </w:del>
      <w:ins w:id="144" w:author="Master Repository Process" w:date="2024-02-20T15:10:00Z">
        <w:r>
          <w:rPr>
            <w:i/>
            <w:noProof/>
          </w:rPr>
          <w:t xml:space="preserve"> </w:t>
        </w:r>
      </w:ins>
      <w:r>
        <w:rPr>
          <w:i/>
          <w:noProof/>
        </w:rPr>
        <w:t>2011</w:t>
      </w:r>
      <w:r>
        <w:t xml:space="preserve"> and includes amendments made by other written laws. For provisions that have come into operation see the compilation table. </w:t>
      </w:r>
      <w:ins w:id="145" w:author="Master Repository Process" w:date="2024-02-20T15:10:00Z">
        <w:r>
          <w:t>For provisions that have not yet come into operation see the uncommenced provisions table.</w:t>
        </w:r>
      </w:ins>
    </w:p>
    <w:p>
      <w:pPr>
        <w:pStyle w:val="nHeading3"/>
      </w:pPr>
      <w:bookmarkStart w:id="146" w:name="_Toc158978338"/>
      <w:bookmarkStart w:id="147" w:name="_Toc155098039"/>
      <w:r>
        <w:t>Compilation table</w:t>
      </w:r>
      <w:bookmarkEnd w:id="146"/>
      <w:bookmarkEnd w:id="14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2023</w:t>
            </w:r>
          </w:p>
        </w:tc>
        <w:tc>
          <w:tcPr>
            <w:tcW w:w="1276" w:type="dxa"/>
            <w:tcBorders>
              <w:top w:val="nil"/>
              <w:bottom w:val="single" w:sz="4" w:space="0" w:color="auto"/>
            </w:tcBorders>
          </w:tcPr>
          <w:p>
            <w:pPr>
              <w:pStyle w:val="nTable"/>
              <w:keepNext/>
              <w:keepLines/>
              <w:spacing w:after="40"/>
            </w:pPr>
            <w:r>
              <w:t>SL 2023/114 26 Jul 2023</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bl>
    <w:p>
      <w:pPr>
        <w:rPr>
          <w:del w:id="148" w:author="Master Repository Process" w:date="2024-02-20T15:10:00Z"/>
        </w:rPr>
      </w:pPr>
      <w:bookmarkStart w:id="149" w:name="_Toc158978339"/>
    </w:p>
    <w:p>
      <w:pPr>
        <w:rPr>
          <w:del w:id="150" w:author="Master Repository Process" w:date="2024-02-20T15:10:00Z"/>
        </w:rPr>
        <w:sectPr>
          <w:headerReference w:type="even" r:id="rId28"/>
          <w:headerReference w:type="default" r:id="rId29"/>
          <w:pgSz w:w="11907" w:h="16840" w:code="9"/>
          <w:pgMar w:top="2376" w:right="2404" w:bottom="3544" w:left="2404" w:header="720" w:footer="3544" w:gutter="0"/>
          <w:cols w:space="720"/>
          <w:noEndnote/>
          <w:docGrid w:linePitch="326"/>
        </w:sectPr>
      </w:pPr>
    </w:p>
    <w:p>
      <w:pPr>
        <w:pStyle w:val="nHeading3"/>
        <w:rPr>
          <w:ins w:id="151" w:author="Master Repository Process" w:date="2024-02-20T15:10:00Z"/>
        </w:rPr>
      </w:pPr>
      <w:ins w:id="152" w:author="Master Repository Process" w:date="2024-02-20T15:10:00Z">
        <w:r>
          <w:t>Uncommenced provisions table</w:t>
        </w:r>
        <w:bookmarkEnd w:id="149"/>
      </w:ins>
    </w:p>
    <w:p>
      <w:pPr>
        <w:pStyle w:val="nStatement"/>
        <w:keepNext/>
        <w:spacing w:after="240"/>
        <w:rPr>
          <w:ins w:id="153" w:author="Master Repository Process" w:date="2024-02-20T15:10:00Z"/>
        </w:rPr>
      </w:pPr>
      <w:ins w:id="154" w:author="Master Repository Process" w:date="2024-02-20T15:10: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155" w:author="Master Repository Process" w:date="2024-02-20T15:10:00Z"/>
        </w:trPr>
        <w:tc>
          <w:tcPr>
            <w:tcW w:w="3118" w:type="dxa"/>
          </w:tcPr>
          <w:p>
            <w:pPr>
              <w:pStyle w:val="nTable"/>
              <w:spacing w:after="40"/>
              <w:rPr>
                <w:ins w:id="156" w:author="Master Repository Process" w:date="2024-02-20T15:10:00Z"/>
                <w:b/>
              </w:rPr>
            </w:pPr>
            <w:ins w:id="157" w:author="Master Repository Process" w:date="2024-02-20T15:10:00Z">
              <w:r>
                <w:rPr>
                  <w:b/>
                </w:rPr>
                <w:t>Citation</w:t>
              </w:r>
            </w:ins>
          </w:p>
        </w:tc>
        <w:tc>
          <w:tcPr>
            <w:tcW w:w="1276" w:type="dxa"/>
          </w:tcPr>
          <w:p>
            <w:pPr>
              <w:pStyle w:val="nTable"/>
              <w:spacing w:after="40"/>
              <w:rPr>
                <w:ins w:id="158" w:author="Master Repository Process" w:date="2024-02-20T15:10:00Z"/>
                <w:b/>
              </w:rPr>
            </w:pPr>
            <w:ins w:id="159" w:author="Master Repository Process" w:date="2024-02-20T15:10:00Z">
              <w:r>
                <w:rPr>
                  <w:b/>
                </w:rPr>
                <w:t>Published</w:t>
              </w:r>
            </w:ins>
          </w:p>
        </w:tc>
        <w:tc>
          <w:tcPr>
            <w:tcW w:w="2693" w:type="dxa"/>
          </w:tcPr>
          <w:p>
            <w:pPr>
              <w:pStyle w:val="nTable"/>
              <w:spacing w:after="40"/>
              <w:rPr>
                <w:ins w:id="160" w:author="Master Repository Process" w:date="2024-02-20T15:10:00Z"/>
                <w:b/>
              </w:rPr>
            </w:pPr>
            <w:ins w:id="161" w:author="Master Repository Process" w:date="2024-02-20T15:10:00Z">
              <w:r>
                <w:rPr>
                  <w:b/>
                </w:rPr>
                <w:t>Commencement</w:t>
              </w:r>
            </w:ins>
          </w:p>
        </w:tc>
      </w:tr>
      <w:tr>
        <w:trPr>
          <w:ins w:id="162" w:author="Master Repository Process" w:date="2024-02-20T15:10:00Z"/>
        </w:trPr>
        <w:tc>
          <w:tcPr>
            <w:tcW w:w="3118" w:type="dxa"/>
          </w:tcPr>
          <w:p>
            <w:pPr>
              <w:pStyle w:val="nTable"/>
              <w:spacing w:after="40"/>
              <w:rPr>
                <w:ins w:id="163" w:author="Master Repository Process" w:date="2024-02-20T15:10:00Z"/>
              </w:rPr>
            </w:pPr>
            <w:ins w:id="164" w:author="Master Repository Process" w:date="2024-02-20T15:10:00Z">
              <w:r>
                <w:rPr>
                  <w:i/>
                </w:rPr>
                <w:t xml:space="preserve">Lands Regulations Amendment Regulations 2024 </w:t>
              </w:r>
              <w:r>
                <w:rPr>
                  <w:iCs/>
                </w:rPr>
                <w:t>Pt. 2</w:t>
              </w:r>
            </w:ins>
          </w:p>
        </w:tc>
        <w:tc>
          <w:tcPr>
            <w:tcW w:w="1276" w:type="dxa"/>
          </w:tcPr>
          <w:p>
            <w:pPr>
              <w:pStyle w:val="nTable"/>
              <w:spacing w:after="40"/>
              <w:rPr>
                <w:ins w:id="165" w:author="Master Repository Process" w:date="2024-02-20T15:10:00Z"/>
              </w:rPr>
            </w:pPr>
            <w:ins w:id="166" w:author="Master Repository Process" w:date="2024-02-20T15:10:00Z">
              <w:r>
                <w:t>SL 2024/18 21 Feb 2024</w:t>
              </w:r>
            </w:ins>
          </w:p>
        </w:tc>
        <w:tc>
          <w:tcPr>
            <w:tcW w:w="2693" w:type="dxa"/>
          </w:tcPr>
          <w:p>
            <w:pPr>
              <w:pStyle w:val="nTable"/>
              <w:spacing w:after="40"/>
              <w:rPr>
                <w:ins w:id="167" w:author="Master Repository Process" w:date="2024-02-20T15:10:00Z"/>
              </w:rPr>
            </w:pPr>
            <w:ins w:id="168" w:author="Master Repository Process" w:date="2024-02-20T15:10:00Z">
              <w:r>
                <w:t>1 Mar 2024 (see r. 2(b))</w:t>
              </w:r>
            </w:ins>
          </w:p>
        </w:tc>
      </w:tr>
    </w:tbl>
    <w:p>
      <w:pPr>
        <w:rPr>
          <w:ins w:id="169" w:author="Master Repository Process" w:date="2024-02-20T15:10:00Z"/>
        </w:rPr>
        <w:sectPr>
          <w:headerReference w:type="even" r:id="rId30"/>
          <w:headerReference w:type="default" r:id="rId31"/>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del w:id="171" w:author="Master Repository Process" w:date="2024-02-20T15:10:00Z">
                              <w:r>
                                <w:rPr>
                                  <w:sz w:val="16"/>
                                </w:rPr>
                                <w:delText>2023</w:delText>
                              </w:r>
                            </w:del>
                            <w:ins w:id="172" w:author="Master Repository Process" w:date="2024-02-20T15:10:00Z">
                              <w:r>
                                <w:rPr>
                                  <w:sz w:val="16"/>
                                </w:rPr>
                                <w:t>2024</w:t>
                              </w:r>
                            </w:ins>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del w:id="173" w:author="Master Repository Process" w:date="2024-02-20T15:10:00Z">
                              <w:r>
                                <w:rPr>
                                  <w:sz w:val="16"/>
                                </w:rPr>
                                <w:delText>2023</w:delText>
                              </w:r>
                            </w:del>
                            <w:ins w:id="174" w:author="Master Repository Process" w:date="2024-02-20T15:10:00Z">
                              <w:r>
                                <w:rPr>
                                  <w:sz w:val="16"/>
                                </w:rPr>
                                <w:t>2024</w:t>
                              </w:r>
                            </w:ins>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del w:id="175" w:author="Master Repository Process" w:date="2024-02-20T15:10:00Z">
                        <w:r>
                          <w:rPr>
                            <w:sz w:val="16"/>
                          </w:rPr>
                          <w:delText>2023</w:delText>
                        </w:r>
                      </w:del>
                      <w:ins w:id="176" w:author="Master Repository Process" w:date="2024-02-20T15:10:00Z">
                        <w:r>
                          <w:rPr>
                            <w:sz w:val="16"/>
                          </w:rPr>
                          <w:t>2024</w:t>
                        </w:r>
                      </w:ins>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del w:id="177" w:author="Master Repository Process" w:date="2024-02-20T15:10:00Z">
                        <w:r>
                          <w:rPr>
                            <w:sz w:val="16"/>
                          </w:rPr>
                          <w:delText>2023</w:delText>
                        </w:r>
                      </w:del>
                      <w:ins w:id="178" w:author="Master Repository Process" w:date="2024-02-20T15:10:00Z">
                        <w:r>
                          <w:rPr>
                            <w:sz w:val="16"/>
                          </w:rPr>
                          <w:t>2024</w:t>
                        </w:r>
                      </w:ins>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Aug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00-m0-01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Feb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00-n0-00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Aug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00-m0-01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Feb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00-n0-00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Aug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00-m0-01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Feb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00-n0-00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70" w:name="Compilation"/>
    <w:bookmarkEnd w:id="170"/>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179" w:name="Coversheet"/>
    <w:bookmarkEnd w:id="17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38" w:name="Schedule"/>
    <w:bookmarkEnd w:id="13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216114849"/>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 w:name="WAFER_202402161148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16114849_GUID" w:val="0f075952-094e-48ed-8ade-eef9ffb3294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microsoft.com/office/2011/relationships/people" Target="people.xml"/><Relationship Id="rId21" Type="http://schemas.openxmlformats.org/officeDocument/2006/relationships/image" Target="media/image2.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3.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5F3C-A8E4-45D5-8671-F450F4E7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6729</Words>
  <Characters>33512</Characters>
  <Application>Microsoft Office Word</Application>
  <DocSecurity>0</DocSecurity>
  <Lines>1015</Lines>
  <Paragraphs>551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00-m0-01 - 00-n0-00</dc:title>
  <dc:subject/>
  <dc:creator/>
  <cp:keywords/>
  <dc:description/>
  <cp:lastModifiedBy>Master Repository Process</cp:lastModifiedBy>
  <cp:revision>2</cp:revision>
  <cp:lastPrinted>2011-12-08T07:54:00Z</cp:lastPrinted>
  <dcterms:created xsi:type="dcterms:W3CDTF">2024-02-20T07:10:00Z</dcterms:created>
  <dcterms:modified xsi:type="dcterms:W3CDTF">2024-02-20T07:10:00Z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Official">
    <vt:lpwstr/>
  </property>
  <property fmtid="{D5CDD505-2E9C-101B-9397-08002B2CF9AE}" pid="5" name="CommencementDate">
    <vt:lpwstr>20240221</vt:lpwstr>
  </property>
  <property fmtid="{D5CDD505-2E9C-101B-9397-08002B2CF9AE}" pid="6" name="CommencementAsAt">
    <vt:filetime>2024-02-20T16:00:00Z</vt:filetime>
  </property>
  <property fmtid="{D5CDD505-2E9C-101B-9397-08002B2CF9AE}" pid="7" name="CommencementYear">
    <vt:lpwstr>2024</vt:lpwstr>
  </property>
  <property fmtid="{D5CDD505-2E9C-101B-9397-08002B2CF9AE}" pid="8" name="FromSuffix">
    <vt:lpwstr>00-m0-01</vt:lpwstr>
  </property>
  <property fmtid="{D5CDD505-2E9C-101B-9397-08002B2CF9AE}" pid="9" name="FromAsAtDate">
    <vt:lpwstr>09 Aug 2023</vt:lpwstr>
  </property>
  <property fmtid="{D5CDD505-2E9C-101B-9397-08002B2CF9AE}" pid="10" name="ToSuffix">
    <vt:lpwstr>00-n0-00</vt:lpwstr>
  </property>
  <property fmtid="{D5CDD505-2E9C-101B-9397-08002B2CF9AE}" pid="11" name="ToAsAtDate">
    <vt:lpwstr>21 Feb 2024</vt:lpwstr>
  </property>
</Properties>
</file>