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Sep 2023</w:t>
      </w:r>
      <w:r>
        <w:fldChar w:fldCharType="end"/>
      </w:r>
      <w:r>
        <w:t xml:space="preserve">, </w:t>
      </w:r>
      <w:r>
        <w:fldChar w:fldCharType="begin"/>
      </w:r>
      <w:r>
        <w:instrText xml:space="preserve"> DocProperty FromSuffix </w:instrText>
      </w:r>
      <w:r>
        <w:fldChar w:fldCharType="separate"/>
      </w:r>
      <w:r>
        <w:t>00-p0-02</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00-q0-01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65383656"/>
      <w:bookmarkStart w:id="3" w:name="_Toc165384767"/>
      <w:bookmarkStart w:id="4" w:name="_Toc165449113"/>
      <w:bookmarkStart w:id="5" w:name="_Toc158974457"/>
      <w:bookmarkStart w:id="6" w:name="_Toc158974788"/>
      <w:bookmarkStart w:id="7" w:name="_Toc15898086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165449114"/>
      <w:bookmarkStart w:id="9" w:name="_Toc158980869"/>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10" w:name="_Toc165449115"/>
      <w:bookmarkStart w:id="11" w:name="_Toc158980870"/>
      <w:r>
        <w:rPr>
          <w:rStyle w:val="CharSectno"/>
        </w:rPr>
        <w:t>2</w:t>
      </w:r>
      <w:r>
        <w:rPr>
          <w:snapToGrid w:val="0"/>
        </w:rPr>
        <w:t>.</w:t>
      </w:r>
      <w:r>
        <w:rPr>
          <w:snapToGrid w:val="0"/>
        </w:rPr>
        <w:tab/>
      </w:r>
      <w:r>
        <w:t>Commencement</w:t>
      </w:r>
      <w:bookmarkEnd w:id="10"/>
      <w:bookmarkEnd w:id="11"/>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12" w:name="_Toc165449116"/>
      <w:bookmarkStart w:id="13" w:name="_Toc158980871"/>
      <w:r>
        <w:rPr>
          <w:rStyle w:val="CharSectno"/>
        </w:rPr>
        <w:t>3</w:t>
      </w:r>
      <w:r>
        <w:t>.</w:t>
      </w:r>
      <w:r>
        <w:tab/>
        <w:t>Objects and principles</w:t>
      </w:r>
      <w:bookmarkEnd w:id="12"/>
      <w:bookmarkEnd w:id="13"/>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14" w:name="_Toc165449117"/>
      <w:bookmarkStart w:id="15" w:name="_Toc158980872"/>
      <w:r>
        <w:rPr>
          <w:rStyle w:val="CharSectno"/>
        </w:rPr>
        <w:t>4</w:t>
      </w:r>
      <w:r>
        <w:t>.</w:t>
      </w:r>
      <w:r>
        <w:tab/>
        <w:t>Terms used</w:t>
      </w:r>
      <w:bookmarkEnd w:id="14"/>
      <w:bookmarkEnd w:id="15"/>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Defstart"/>
      </w:pPr>
      <w:r>
        <w:tab/>
      </w:r>
      <w:r>
        <w:rPr>
          <w:rStyle w:val="CharDefText"/>
        </w:rPr>
        <w:t>COVID</w:t>
      </w:r>
      <w:r>
        <w:rPr>
          <w:rStyle w:val="CharDefText"/>
        </w:rPr>
        <w:noBreakHyphen/>
        <w:t>19 management</w:t>
      </w:r>
      <w:r>
        <w:t xml:space="preserve"> has the meaning given in the </w:t>
      </w:r>
      <w:r>
        <w:rPr>
          <w:i/>
        </w:rPr>
        <w:t>Emergency Management Act 2005</w:t>
      </w:r>
      <w:r>
        <w:t xml:space="preserve"> section 77B;</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pPr>
      <w:r>
        <w:tab/>
      </w:r>
      <w:r>
        <w:rPr>
          <w:rStyle w:val="CharDefText"/>
        </w:rPr>
        <w:t>emergency officer</w:t>
      </w:r>
      <w:r>
        <w:t xml:space="preserve"> means — </w:t>
      </w:r>
    </w:p>
    <w:p>
      <w:pPr>
        <w:pStyle w:val="Defpara"/>
      </w:pPr>
      <w:r>
        <w:tab/>
        <w:t>(a)</w:t>
      </w:r>
      <w:r>
        <w:tab/>
        <w:t>the Chief Health Officer; or</w:t>
      </w:r>
    </w:p>
    <w:p>
      <w:pPr>
        <w:pStyle w:val="Defpara"/>
      </w:pPr>
      <w:r>
        <w:tab/>
        <w:t>(b)</w:t>
      </w:r>
      <w:r>
        <w:tab/>
        <w:t>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rPr>
          <w:ins w:id="16" w:author="Master Repository Process" w:date="2024-05-01T10:47:00Z"/>
        </w:rPr>
      </w:pPr>
      <w:ins w:id="17" w:author="Master Repository Process" w:date="2024-05-01T10:47:00Z">
        <w:r>
          <w:tab/>
        </w:r>
        <w:r>
          <w:rPr>
            <w:rStyle w:val="CharDefText"/>
          </w:rPr>
          <w:t>health profession</w:t>
        </w:r>
        <w:r>
          <w:t xml:space="preserve"> has the meaning given in the </w:t>
        </w:r>
        <w:r>
          <w:rPr>
            <w:i/>
          </w:rPr>
          <w:t>Health Practitioner Regulation National Law (Western Australia)</w:t>
        </w:r>
        <w:r>
          <w:t xml:space="preserve"> section 5;</w:t>
        </w:r>
      </w:ins>
    </w:p>
    <w:p>
      <w:pPr>
        <w:pStyle w:val="Defstart"/>
      </w:pPr>
      <w:r>
        <w:tab/>
      </w:r>
      <w:r>
        <w:rPr>
          <w:rStyle w:val="CharDefText"/>
        </w:rPr>
        <w:t>IDEC declaration</w:t>
      </w:r>
      <w:r>
        <w:t xml:space="preserve"> has the meaning given in section 202A(1);</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keepNex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del w:id="18" w:author="Master Repository Process" w:date="2024-05-01T10:47:00Z">
        <w:r>
          <w:delText>;</w:delText>
        </w:r>
      </w:del>
      <w:ins w:id="19" w:author="Master Repository Process" w:date="2024-05-01T10:47:00Z">
        <w:r>
          <w:t xml:space="preserve"> (other than as a student);</w:t>
        </w:r>
      </w:ins>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del w:id="20" w:author="Master Repository Process" w:date="2024-05-01T10:47:00Z">
        <w:r>
          <w:delText>;</w:delText>
        </w:r>
      </w:del>
      <w:ins w:id="21" w:author="Master Repository Process" w:date="2024-05-01T10:47:00Z">
        <w:r>
          <w:t xml:space="preserve"> (other than as a student);</w:t>
        </w:r>
      </w:ins>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del w:id="22" w:author="Master Repository Process" w:date="2024-05-01T10:47:00Z">
        <w:r>
          <w:delText>;</w:delText>
        </w:r>
      </w:del>
      <w:ins w:id="23" w:author="Master Repository Process" w:date="2024-05-01T10:47:00Z">
        <w:r>
          <w:t xml:space="preserve"> (other than as a student);</w:t>
        </w:r>
      </w:ins>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 xml:space="preserve">in the nursing profession </w:t>
      </w:r>
      <w:ins w:id="24" w:author="Master Repository Process" w:date="2024-05-01T10:47:00Z">
        <w:r>
          <w:t xml:space="preserve">(other than as a student) </w:t>
        </w:r>
      </w:ins>
      <w:r>
        <w:t>whose registration under that Law is endorsed as nurse practitioner;</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keepNex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 or 1A or Part 6A Division 4, the effect of which is that the person must remain — </w:t>
      </w:r>
    </w:p>
    <w:p>
      <w:pPr>
        <w:pStyle w:val="Defpara"/>
      </w:pPr>
      <w:r>
        <w:tab/>
        <w:t>(a)</w:t>
      </w:r>
      <w:r>
        <w:tab/>
        <w:t>at premises for quarantine</w:t>
      </w:r>
      <w:r>
        <w:noBreakHyphen/>
        <w:t>related purposes; or</w:t>
      </w:r>
    </w:p>
    <w:p>
      <w:pPr>
        <w:pStyle w:val="Defpara"/>
      </w:pPr>
      <w:r>
        <w:tab/>
        <w:t>(b)</w:t>
      </w:r>
      <w:r>
        <w:tab/>
        <w:t>in an area for quarantine</w:t>
      </w:r>
      <w:r>
        <w:noBreakHyphen/>
        <w:t>related purposes; or</w:t>
      </w:r>
    </w:p>
    <w:p>
      <w:pPr>
        <w:pStyle w:val="Defpara"/>
      </w:pPr>
      <w:r>
        <w:tab/>
        <w:t>(c)</w:t>
      </w:r>
      <w:r>
        <w:tab/>
        <w:t>quarantined from other persons;</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rPr>
          <w:ins w:id="25" w:author="Master Repository Process" w:date="2024-05-01T10:47:00Z"/>
        </w:rPr>
      </w:pPr>
      <w:ins w:id="26" w:author="Master Repository Process" w:date="2024-05-01T10:47:00Z">
        <w:r>
          <w:tab/>
        </w:r>
        <w:r>
          <w:rPr>
            <w:rStyle w:val="CharDefText"/>
          </w:rPr>
          <w:t>student</w:t>
        </w:r>
        <w:r>
          <w:t>, in relation to a health profession, has the meaning given in section 202MA;</w:t>
        </w:r>
      </w:ins>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keepNext/>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keepNex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keepNext/>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(ab)</w:t>
      </w:r>
      <w:r>
        <w:tab/>
        <w:t>includes a reference to the Chief Health Officer; and</w:t>
      </w:r>
    </w:p>
    <w:p>
      <w:pPr>
        <w:pStyle w:val="Indenta"/>
      </w:pPr>
      <w:r>
        <w:tab/>
        <w:t>(b)</w:t>
      </w:r>
      <w:r>
        <w:tab/>
        <w:t>includes a reference to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 No. 33 of 2020 s. 4; No. 33 of 2022 s. 19; No. 9 of 2023 s. 126</w:t>
      </w:r>
      <w:ins w:id="27" w:author="Master Repository Process" w:date="2024-05-01T10:47:00Z">
        <w:r>
          <w:t>; No. 20 of 2023 s. 6</w:t>
        </w:r>
      </w:ins>
      <w:r>
        <w:t>.]</w:t>
      </w:r>
    </w:p>
    <w:p>
      <w:pPr>
        <w:pStyle w:val="Heading5"/>
      </w:pPr>
      <w:bookmarkStart w:id="28" w:name="_Toc165449118"/>
      <w:bookmarkStart w:id="29" w:name="_Toc158980873"/>
      <w:r>
        <w:rPr>
          <w:rStyle w:val="CharSectno"/>
        </w:rPr>
        <w:t>5</w:t>
      </w:r>
      <w:r>
        <w:t>.</w:t>
      </w:r>
      <w:r>
        <w:tab/>
        <w:t>Crown bound</w:t>
      </w:r>
      <w:bookmarkEnd w:id="28"/>
      <w:bookmarkEnd w:id="29"/>
    </w:p>
    <w:p>
      <w:pPr>
        <w:pStyle w:val="Subsection"/>
        <w:keepNext/>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30" w:name="_Toc165383662"/>
      <w:bookmarkStart w:id="31" w:name="_Toc165384773"/>
      <w:bookmarkStart w:id="32" w:name="_Toc165449119"/>
      <w:bookmarkStart w:id="33" w:name="_Toc158974463"/>
      <w:bookmarkStart w:id="34" w:name="_Toc158974794"/>
      <w:bookmarkStart w:id="35" w:name="_Toc158980874"/>
      <w:r>
        <w:rPr>
          <w:rStyle w:val="CharPartNo"/>
        </w:rPr>
        <w:t>Part 2</w:t>
      </w:r>
      <w:r>
        <w:t> — </w:t>
      </w:r>
      <w:r>
        <w:rPr>
          <w:rStyle w:val="CharPartText"/>
        </w:rPr>
        <w:t>Administration</w:t>
      </w:r>
      <w:bookmarkEnd w:id="30"/>
      <w:bookmarkEnd w:id="31"/>
      <w:bookmarkEnd w:id="32"/>
      <w:bookmarkEnd w:id="33"/>
      <w:bookmarkEnd w:id="34"/>
      <w:bookmarkEnd w:id="35"/>
    </w:p>
    <w:p>
      <w:pPr>
        <w:pStyle w:val="Heading3"/>
      </w:pPr>
      <w:bookmarkStart w:id="36" w:name="_Toc165383663"/>
      <w:bookmarkStart w:id="37" w:name="_Toc165384774"/>
      <w:bookmarkStart w:id="38" w:name="_Toc165449120"/>
      <w:bookmarkStart w:id="39" w:name="_Toc158974464"/>
      <w:bookmarkStart w:id="40" w:name="_Toc158974795"/>
      <w:bookmarkStart w:id="41" w:name="_Toc158980875"/>
      <w:r>
        <w:rPr>
          <w:rStyle w:val="CharDivNo"/>
        </w:rPr>
        <w:t>Division 1</w:t>
      </w:r>
      <w:r>
        <w:t> — </w:t>
      </w:r>
      <w:r>
        <w:rPr>
          <w:rStyle w:val="CharDivText"/>
        </w:rPr>
        <w:t>Chief Health Officer</w:t>
      </w:r>
      <w:bookmarkEnd w:id="36"/>
      <w:bookmarkEnd w:id="37"/>
      <w:bookmarkEnd w:id="38"/>
      <w:bookmarkEnd w:id="39"/>
      <w:bookmarkEnd w:id="40"/>
      <w:bookmarkEnd w:id="41"/>
    </w:p>
    <w:p>
      <w:pPr>
        <w:pStyle w:val="Heading4"/>
      </w:pPr>
      <w:bookmarkStart w:id="42" w:name="_Toc165383664"/>
      <w:bookmarkStart w:id="43" w:name="_Toc165384775"/>
      <w:bookmarkStart w:id="44" w:name="_Toc165449121"/>
      <w:bookmarkStart w:id="45" w:name="_Toc158974465"/>
      <w:bookmarkStart w:id="46" w:name="_Toc158974796"/>
      <w:bookmarkStart w:id="47" w:name="_Toc158980876"/>
      <w:r>
        <w:t>Subdivision 1 — Functions of Chief Health Officer</w:t>
      </w:r>
      <w:bookmarkEnd w:id="42"/>
      <w:bookmarkEnd w:id="43"/>
      <w:bookmarkEnd w:id="44"/>
      <w:bookmarkEnd w:id="45"/>
      <w:bookmarkEnd w:id="46"/>
      <w:bookmarkEnd w:id="47"/>
    </w:p>
    <w:p>
      <w:pPr>
        <w:pStyle w:val="Heading5"/>
      </w:pPr>
      <w:bookmarkStart w:id="48" w:name="_Toc165449122"/>
      <w:bookmarkStart w:id="49" w:name="_Toc158980877"/>
      <w:r>
        <w:rPr>
          <w:rStyle w:val="CharSectno"/>
        </w:rPr>
        <w:t>6</w:t>
      </w:r>
      <w:r>
        <w:t>.</w:t>
      </w:r>
      <w:r>
        <w:tab/>
        <w:t>Functions of Chief Health Officer</w:t>
      </w:r>
      <w:bookmarkEnd w:id="48"/>
      <w:bookmarkEnd w:id="49"/>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50" w:name="_Toc165449123"/>
      <w:bookmarkStart w:id="51" w:name="_Toc158980878"/>
      <w:r>
        <w:rPr>
          <w:rStyle w:val="CharSectno"/>
        </w:rPr>
        <w:t>9</w:t>
      </w:r>
      <w:r>
        <w:t>.</w:t>
      </w:r>
      <w:r>
        <w:tab/>
        <w:t>Chief Health Officer may delegate</w:t>
      </w:r>
      <w:bookmarkEnd w:id="50"/>
      <w:bookmarkEnd w:id="51"/>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Subsection"/>
      </w:pPr>
      <w:r>
        <w:tab/>
        <w:t>(6)</w:t>
      </w:r>
      <w:r>
        <w:tab/>
        <w:t>Without limiting subsection (1), the Chief Health Officer may, under this section, delegate any function of the Chief Health Officer under Part 12B to a public service officer employed in a department of the Public Service.</w:t>
      </w:r>
    </w:p>
    <w:p>
      <w:pPr>
        <w:pStyle w:val="Footnotesection"/>
      </w:pPr>
      <w:r>
        <w:tab/>
        <w:t>[Section 9 amended: No. 33 of 2020 s. 5.]</w:t>
      </w:r>
    </w:p>
    <w:p>
      <w:pPr>
        <w:pStyle w:val="Heading5"/>
      </w:pPr>
      <w:bookmarkStart w:id="52" w:name="_Toc165449124"/>
      <w:bookmarkStart w:id="53" w:name="_Toc158980879"/>
      <w:r>
        <w:rPr>
          <w:rStyle w:val="CharSectno"/>
        </w:rPr>
        <w:t>10</w:t>
      </w:r>
      <w:r>
        <w:t>.</w:t>
      </w:r>
      <w:r>
        <w:tab/>
        <w:t xml:space="preserve">Power to delegate under </w:t>
      </w:r>
      <w:r>
        <w:rPr>
          <w:i/>
        </w:rPr>
        <w:t>Health Legislation Administration Act 1984</w:t>
      </w:r>
      <w:r>
        <w:t xml:space="preserve"> section 9 excluded</w:t>
      </w:r>
      <w:bookmarkEnd w:id="52"/>
      <w:bookmarkEnd w:id="53"/>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54" w:name="_Toc165383668"/>
      <w:bookmarkStart w:id="55" w:name="_Toc165384779"/>
      <w:bookmarkStart w:id="56" w:name="_Toc165449125"/>
      <w:bookmarkStart w:id="57" w:name="_Toc158974469"/>
      <w:bookmarkStart w:id="58" w:name="_Toc158974800"/>
      <w:bookmarkStart w:id="59" w:name="_Toc158980880"/>
      <w:r>
        <w:t>Subdivision 2 — Designation of Chief Health Officer</w:t>
      </w:r>
      <w:bookmarkEnd w:id="54"/>
      <w:bookmarkEnd w:id="55"/>
      <w:bookmarkEnd w:id="56"/>
      <w:bookmarkEnd w:id="57"/>
      <w:bookmarkEnd w:id="58"/>
      <w:bookmarkEnd w:id="59"/>
    </w:p>
    <w:p>
      <w:pPr>
        <w:pStyle w:val="Heading5"/>
      </w:pPr>
      <w:bookmarkStart w:id="60" w:name="_Toc165449126"/>
      <w:bookmarkStart w:id="61" w:name="_Toc158980881"/>
      <w:r>
        <w:rPr>
          <w:rStyle w:val="CharSectno"/>
        </w:rPr>
        <w:t>11</w:t>
      </w:r>
      <w:r>
        <w:t>.</w:t>
      </w:r>
      <w:r>
        <w:tab/>
        <w:t>Minister to designate Chief Health Officer</w:t>
      </w:r>
      <w:bookmarkEnd w:id="60"/>
      <w:bookmarkEnd w:id="61"/>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62" w:name="_Toc165449127"/>
      <w:bookmarkStart w:id="63" w:name="_Toc158980882"/>
      <w:r>
        <w:rPr>
          <w:rStyle w:val="CharSectno"/>
        </w:rPr>
        <w:t>12</w:t>
      </w:r>
      <w:r>
        <w:t>.</w:t>
      </w:r>
      <w:r>
        <w:tab/>
        <w:t>Term of office and remuneration of Chief Health Officer</w:t>
      </w:r>
      <w:bookmarkEnd w:id="62"/>
      <w:bookmarkEnd w:id="63"/>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64" w:name="_Toc165449128"/>
      <w:bookmarkStart w:id="65" w:name="_Toc158980883"/>
      <w:r>
        <w:rPr>
          <w:rStyle w:val="CharSectno"/>
        </w:rPr>
        <w:t>13</w:t>
      </w:r>
      <w:r>
        <w:t>.</w:t>
      </w:r>
      <w:r>
        <w:tab/>
        <w:t>Resignation, vacation of office and removal from office</w:t>
      </w:r>
      <w:bookmarkEnd w:id="64"/>
      <w:bookmarkEnd w:id="65"/>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66" w:name="_Toc165449129"/>
      <w:bookmarkStart w:id="67" w:name="_Toc158980884"/>
      <w:r>
        <w:rPr>
          <w:rStyle w:val="CharSectno"/>
        </w:rPr>
        <w:t>14</w:t>
      </w:r>
      <w:r>
        <w:t>.</w:t>
      </w:r>
      <w:r>
        <w:tab/>
        <w:t>Acting Chief Health Officer</w:t>
      </w:r>
      <w:bookmarkEnd w:id="66"/>
      <w:bookmarkEnd w:id="67"/>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68" w:name="_Toc165449130"/>
      <w:bookmarkStart w:id="69" w:name="_Toc158980885"/>
      <w:r>
        <w:rPr>
          <w:rStyle w:val="CharSectno"/>
        </w:rPr>
        <w:t>15</w:t>
      </w:r>
      <w:r>
        <w:t>.</w:t>
      </w:r>
      <w:r>
        <w:tab/>
        <w:t>Authority of Acting Chief Health Officer</w:t>
      </w:r>
      <w:bookmarkEnd w:id="68"/>
      <w:bookmarkEnd w:id="69"/>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pPr>
      <w:bookmarkStart w:id="70" w:name="_Toc165383674"/>
      <w:bookmarkStart w:id="71" w:name="_Toc165384785"/>
      <w:bookmarkStart w:id="72" w:name="_Toc165449131"/>
      <w:bookmarkStart w:id="73" w:name="_Toc158974475"/>
      <w:bookmarkStart w:id="74" w:name="_Toc158974806"/>
      <w:bookmarkStart w:id="75" w:name="_Toc158980886"/>
      <w:r>
        <w:rPr>
          <w:rStyle w:val="CharDivNo"/>
        </w:rPr>
        <w:t>Division 2</w:t>
      </w:r>
      <w:r>
        <w:t> — </w:t>
      </w:r>
      <w:r>
        <w:rPr>
          <w:rStyle w:val="CharDivText"/>
        </w:rPr>
        <w:t>Functions of local governments</w:t>
      </w:r>
      <w:bookmarkEnd w:id="70"/>
      <w:bookmarkEnd w:id="71"/>
      <w:bookmarkEnd w:id="72"/>
      <w:bookmarkEnd w:id="73"/>
      <w:bookmarkEnd w:id="74"/>
      <w:bookmarkEnd w:id="75"/>
    </w:p>
    <w:p>
      <w:pPr>
        <w:pStyle w:val="Heading5"/>
      </w:pPr>
      <w:bookmarkStart w:id="76" w:name="_Toc165449132"/>
      <w:bookmarkStart w:id="77" w:name="_Toc158980887"/>
      <w:r>
        <w:rPr>
          <w:rStyle w:val="CharSectno"/>
        </w:rPr>
        <w:t>16</w:t>
      </w:r>
      <w:r>
        <w:t>.</w:t>
      </w:r>
      <w:r>
        <w:tab/>
        <w:t>Functions of local governments</w:t>
      </w:r>
      <w:bookmarkEnd w:id="76"/>
      <w:bookmarkEnd w:id="77"/>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78" w:name="_Toc165449133"/>
      <w:bookmarkStart w:id="79" w:name="_Toc158980888"/>
      <w:r>
        <w:rPr>
          <w:rStyle w:val="CharSectno"/>
        </w:rPr>
        <w:t>17</w:t>
      </w:r>
      <w:r>
        <w:t>.</w:t>
      </w:r>
      <w:r>
        <w:tab/>
        <w:t>Appointment of environmental health officers</w:t>
      </w:r>
      <w:bookmarkEnd w:id="78"/>
      <w:bookmarkEnd w:id="79"/>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80" w:name="_Toc165449134"/>
      <w:bookmarkStart w:id="81" w:name="_Toc158980889"/>
      <w:r>
        <w:rPr>
          <w:rStyle w:val="CharSectno"/>
        </w:rPr>
        <w:t>18</w:t>
      </w:r>
      <w:r>
        <w:t>.</w:t>
      </w:r>
      <w:r>
        <w:tab/>
        <w:t>Chief Health Officer to approve qualifications and experience required by environmental health officers</w:t>
      </w:r>
      <w:bookmarkEnd w:id="80"/>
      <w:bookmarkEnd w:id="81"/>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82" w:name="_Toc165383678"/>
      <w:bookmarkStart w:id="83" w:name="_Toc165384789"/>
      <w:bookmarkStart w:id="84" w:name="_Toc165449135"/>
      <w:bookmarkStart w:id="85" w:name="_Toc158974479"/>
      <w:bookmarkStart w:id="86" w:name="_Toc158974810"/>
      <w:bookmarkStart w:id="87" w:name="_Toc158980890"/>
      <w:r>
        <w:rPr>
          <w:rStyle w:val="CharDivNo"/>
        </w:rPr>
        <w:t>Division 3</w:t>
      </w:r>
      <w:r>
        <w:t> — </w:t>
      </w:r>
      <w:r>
        <w:rPr>
          <w:rStyle w:val="CharDivText"/>
        </w:rPr>
        <w:t>Functions of enforcement agencies</w:t>
      </w:r>
      <w:bookmarkEnd w:id="82"/>
      <w:bookmarkEnd w:id="83"/>
      <w:bookmarkEnd w:id="84"/>
      <w:bookmarkEnd w:id="85"/>
      <w:bookmarkEnd w:id="86"/>
      <w:bookmarkEnd w:id="87"/>
    </w:p>
    <w:p>
      <w:pPr>
        <w:pStyle w:val="Heading5"/>
      </w:pPr>
      <w:bookmarkStart w:id="88" w:name="_Toc165449136"/>
      <w:bookmarkStart w:id="89" w:name="_Toc158980891"/>
      <w:r>
        <w:rPr>
          <w:rStyle w:val="CharSectno"/>
        </w:rPr>
        <w:t>19</w:t>
      </w:r>
      <w:r>
        <w:t>.</w:t>
      </w:r>
      <w:r>
        <w:tab/>
        <w:t>Functions of enforcement agencies</w:t>
      </w:r>
      <w:bookmarkEnd w:id="88"/>
      <w:bookmarkEnd w:id="89"/>
    </w:p>
    <w:p>
      <w:pPr>
        <w:pStyle w:val="Subsection"/>
      </w:pPr>
      <w:r>
        <w:tab/>
      </w:r>
      <w:r>
        <w:tab/>
        <w:t>An enforcement agency has the functions in relation to the administration of this Act that are conferred or imposed on the agency by or under this Act.</w:t>
      </w:r>
    </w:p>
    <w:p>
      <w:pPr>
        <w:pStyle w:val="Heading5"/>
      </w:pPr>
      <w:bookmarkStart w:id="90" w:name="_Toc165449137"/>
      <w:bookmarkStart w:id="91" w:name="_Toc158980892"/>
      <w:r>
        <w:rPr>
          <w:rStyle w:val="CharSectno"/>
        </w:rPr>
        <w:t>20</w:t>
      </w:r>
      <w:r>
        <w:t>.</w:t>
      </w:r>
      <w:r>
        <w:tab/>
        <w:t>Conditions on performance of functions by enforcement agencies</w:t>
      </w:r>
      <w:bookmarkEnd w:id="90"/>
      <w:bookmarkEnd w:id="91"/>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92" w:name="_Toc165449138"/>
      <w:bookmarkStart w:id="93" w:name="_Toc158980893"/>
      <w:r>
        <w:rPr>
          <w:rStyle w:val="CharSectno"/>
        </w:rPr>
        <w:t>21</w:t>
      </w:r>
      <w:r>
        <w:t>.</w:t>
      </w:r>
      <w:r>
        <w:tab/>
        <w:t>Enforcement agency may delegate</w:t>
      </w:r>
      <w:bookmarkEnd w:id="92"/>
      <w:bookmarkEnd w:id="93"/>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94" w:name="_Toc165449139"/>
      <w:bookmarkStart w:id="95" w:name="_Toc158980894"/>
      <w:r>
        <w:rPr>
          <w:rStyle w:val="CharSectno"/>
        </w:rPr>
        <w:t>22</w:t>
      </w:r>
      <w:r>
        <w:t>.</w:t>
      </w:r>
      <w:r>
        <w:tab/>
        <w:t>Reports by and about enforcement agencies</w:t>
      </w:r>
      <w:bookmarkEnd w:id="94"/>
      <w:bookmarkEnd w:id="95"/>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96" w:name="_Toc165383683"/>
      <w:bookmarkStart w:id="97" w:name="_Toc165384794"/>
      <w:bookmarkStart w:id="98" w:name="_Toc165449140"/>
      <w:bookmarkStart w:id="99" w:name="_Toc158974484"/>
      <w:bookmarkStart w:id="100" w:name="_Toc158974815"/>
      <w:bookmarkStart w:id="101" w:name="_Toc158980895"/>
      <w:r>
        <w:rPr>
          <w:rStyle w:val="CharDivNo"/>
        </w:rPr>
        <w:t>Division 4</w:t>
      </w:r>
      <w:r>
        <w:t> — </w:t>
      </w:r>
      <w:r>
        <w:rPr>
          <w:rStyle w:val="CharDivText"/>
        </w:rPr>
        <w:t>Authorised officers</w:t>
      </w:r>
      <w:bookmarkEnd w:id="96"/>
      <w:bookmarkEnd w:id="97"/>
      <w:bookmarkEnd w:id="98"/>
      <w:bookmarkEnd w:id="99"/>
      <w:bookmarkEnd w:id="100"/>
      <w:bookmarkEnd w:id="101"/>
    </w:p>
    <w:p>
      <w:pPr>
        <w:pStyle w:val="Heading5"/>
      </w:pPr>
      <w:bookmarkStart w:id="102" w:name="_Toc165449141"/>
      <w:bookmarkStart w:id="103" w:name="_Toc158980896"/>
      <w:r>
        <w:rPr>
          <w:rStyle w:val="CharSectno"/>
        </w:rPr>
        <w:t>23</w:t>
      </w:r>
      <w:r>
        <w:t>.</w:t>
      </w:r>
      <w:r>
        <w:tab/>
        <w:t>Terms used</w:t>
      </w:r>
      <w:bookmarkEnd w:id="102"/>
      <w:bookmarkEnd w:id="103"/>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104" w:name="_Toc165449142"/>
      <w:bookmarkStart w:id="105" w:name="_Toc158980897"/>
      <w:r>
        <w:rPr>
          <w:rStyle w:val="CharSectno"/>
        </w:rPr>
        <w:t>24</w:t>
      </w:r>
      <w:r>
        <w:t>.</w:t>
      </w:r>
      <w:r>
        <w:tab/>
        <w:t>Designation of authorised officers</w:t>
      </w:r>
      <w:bookmarkEnd w:id="104"/>
      <w:bookmarkEnd w:id="105"/>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keepNext/>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106" w:name="_Toc165449143"/>
      <w:bookmarkStart w:id="107" w:name="_Toc158980898"/>
      <w:r>
        <w:rPr>
          <w:rStyle w:val="CharSectno"/>
        </w:rPr>
        <w:t>25</w:t>
      </w:r>
      <w:r>
        <w:t>.</w:t>
      </w:r>
      <w:r>
        <w:tab/>
        <w:t>Certain authorised officers required to have qualifications and experience</w:t>
      </w:r>
      <w:bookmarkEnd w:id="106"/>
      <w:bookmarkEnd w:id="107"/>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108" w:name="_Toc165449144"/>
      <w:bookmarkStart w:id="109" w:name="_Toc158980899"/>
      <w:r>
        <w:rPr>
          <w:rStyle w:val="CharSectno"/>
        </w:rPr>
        <w:t>26</w:t>
      </w:r>
      <w:r>
        <w:t>.</w:t>
      </w:r>
      <w:r>
        <w:tab/>
        <w:t>Further provisions relating to designations</w:t>
      </w:r>
      <w:bookmarkEnd w:id="108"/>
      <w:bookmarkEnd w:id="109"/>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110" w:name="_Toc165449145"/>
      <w:bookmarkStart w:id="111" w:name="_Toc158980900"/>
      <w:r>
        <w:rPr>
          <w:rStyle w:val="CharSectno"/>
        </w:rPr>
        <w:t>27</w:t>
      </w:r>
      <w:r>
        <w:t>.</w:t>
      </w:r>
      <w:r>
        <w:tab/>
        <w:t>Lists of authorised officers to be maintained</w:t>
      </w:r>
      <w:bookmarkEnd w:id="110"/>
      <w:bookmarkEnd w:id="111"/>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112" w:name="_Toc165449146"/>
      <w:bookmarkStart w:id="113" w:name="_Toc158980901"/>
      <w:r>
        <w:rPr>
          <w:rStyle w:val="CharSectno"/>
        </w:rPr>
        <w:t>28</w:t>
      </w:r>
      <w:r>
        <w:t>.</w:t>
      </w:r>
      <w:r>
        <w:tab/>
        <w:t>When designation as authorised officer ceases</w:t>
      </w:r>
      <w:bookmarkEnd w:id="112"/>
      <w:bookmarkEnd w:id="113"/>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114" w:name="_Toc165449147"/>
      <w:bookmarkStart w:id="115" w:name="_Toc158980902"/>
      <w:r>
        <w:rPr>
          <w:rStyle w:val="CharSectno"/>
        </w:rPr>
        <w:t>29</w:t>
      </w:r>
      <w:r>
        <w:t>.</w:t>
      </w:r>
      <w:r>
        <w:tab/>
        <w:t>Chief Health Officer may issue guidelines about qualifications and experience of authorised officers</w:t>
      </w:r>
      <w:bookmarkEnd w:id="114"/>
      <w:bookmarkEnd w:id="115"/>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116" w:name="_Toc165449148"/>
      <w:bookmarkStart w:id="117" w:name="_Toc158980903"/>
      <w:r>
        <w:rPr>
          <w:rStyle w:val="CharSectno"/>
        </w:rPr>
        <w:t>30</w:t>
      </w:r>
      <w:r>
        <w:t>.</w:t>
      </w:r>
      <w:r>
        <w:tab/>
        <w:t>Certificates of authority</w:t>
      </w:r>
      <w:bookmarkEnd w:id="116"/>
      <w:bookmarkEnd w:id="117"/>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118" w:name="_Toc165449149"/>
      <w:bookmarkStart w:id="119" w:name="_Toc158980904"/>
      <w:r>
        <w:rPr>
          <w:rStyle w:val="CharSectno"/>
        </w:rPr>
        <w:t>31</w:t>
      </w:r>
      <w:r>
        <w:t>.</w:t>
      </w:r>
      <w:r>
        <w:tab/>
        <w:t>Issuing and production of certificate of authority for purposes of other written laws</w:t>
      </w:r>
      <w:bookmarkEnd w:id="118"/>
      <w:bookmarkEnd w:id="119"/>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120" w:name="_Toc165449150"/>
      <w:bookmarkStart w:id="121" w:name="_Toc158980905"/>
      <w:r>
        <w:rPr>
          <w:rStyle w:val="CharSectno"/>
        </w:rPr>
        <w:t>32</w:t>
      </w:r>
      <w:r>
        <w:t>.</w:t>
      </w:r>
      <w:r>
        <w:tab/>
        <w:t>Certificate of authority to be returned</w:t>
      </w:r>
      <w:bookmarkEnd w:id="120"/>
      <w:bookmarkEnd w:id="121"/>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Lines/>
        <w:widowControl w:val="0"/>
      </w:pPr>
      <w:bookmarkStart w:id="122" w:name="_Toc165383694"/>
      <w:bookmarkStart w:id="123" w:name="_Toc165384805"/>
      <w:bookmarkStart w:id="124" w:name="_Toc165449151"/>
      <w:bookmarkStart w:id="125" w:name="_Toc158974495"/>
      <w:bookmarkStart w:id="126" w:name="_Toc158974826"/>
      <w:bookmarkStart w:id="127" w:name="_Toc158980906"/>
      <w:r>
        <w:rPr>
          <w:rStyle w:val="CharDivNo"/>
        </w:rPr>
        <w:t>Division 5</w:t>
      </w:r>
      <w:r>
        <w:t> — </w:t>
      </w:r>
      <w:r>
        <w:rPr>
          <w:rStyle w:val="CharDivText"/>
        </w:rPr>
        <w:t>Advisory committees</w:t>
      </w:r>
      <w:bookmarkEnd w:id="122"/>
      <w:bookmarkEnd w:id="123"/>
      <w:bookmarkEnd w:id="124"/>
      <w:bookmarkEnd w:id="125"/>
      <w:bookmarkEnd w:id="126"/>
      <w:bookmarkEnd w:id="127"/>
    </w:p>
    <w:p>
      <w:pPr>
        <w:pStyle w:val="Heading5"/>
      </w:pPr>
      <w:bookmarkStart w:id="128" w:name="_Toc165449152"/>
      <w:bookmarkStart w:id="129" w:name="_Toc158980907"/>
      <w:r>
        <w:rPr>
          <w:rStyle w:val="CharSectno"/>
        </w:rPr>
        <w:t>33</w:t>
      </w:r>
      <w:r>
        <w:t>.</w:t>
      </w:r>
      <w:r>
        <w:tab/>
        <w:t>Establishment and functions of advisory committees</w:t>
      </w:r>
      <w:bookmarkEnd w:id="128"/>
      <w:bookmarkEnd w:id="129"/>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130" w:name="_Toc165383696"/>
      <w:bookmarkStart w:id="131" w:name="_Toc165384807"/>
      <w:bookmarkStart w:id="132" w:name="_Toc165449153"/>
      <w:bookmarkStart w:id="133" w:name="_Toc158974497"/>
      <w:bookmarkStart w:id="134" w:name="_Toc158974828"/>
      <w:bookmarkStart w:id="135" w:name="_Toc158980908"/>
      <w:r>
        <w:rPr>
          <w:rStyle w:val="CharPartNo"/>
        </w:rPr>
        <w:t>Part 3</w:t>
      </w:r>
      <w:r>
        <w:rPr>
          <w:rStyle w:val="CharDivNo"/>
        </w:rPr>
        <w:t> </w:t>
      </w:r>
      <w:r>
        <w:t>—</w:t>
      </w:r>
      <w:r>
        <w:rPr>
          <w:rStyle w:val="CharDivText"/>
        </w:rPr>
        <w:t> </w:t>
      </w:r>
      <w:r>
        <w:rPr>
          <w:rStyle w:val="CharPartText"/>
        </w:rPr>
        <w:t>General public health duty</w:t>
      </w:r>
      <w:bookmarkEnd w:id="130"/>
      <w:bookmarkEnd w:id="131"/>
      <w:bookmarkEnd w:id="132"/>
      <w:bookmarkEnd w:id="133"/>
      <w:bookmarkEnd w:id="134"/>
      <w:bookmarkEnd w:id="135"/>
    </w:p>
    <w:p>
      <w:pPr>
        <w:pStyle w:val="Heading5"/>
      </w:pPr>
      <w:bookmarkStart w:id="136" w:name="_Toc165449154"/>
      <w:bookmarkStart w:id="137" w:name="_Toc158980909"/>
      <w:r>
        <w:rPr>
          <w:rStyle w:val="CharSectno"/>
        </w:rPr>
        <w:t>34</w:t>
      </w:r>
      <w:r>
        <w:t>.</w:t>
      </w:r>
      <w:r>
        <w:tab/>
        <w:t>General public health duty</w:t>
      </w:r>
      <w:bookmarkEnd w:id="136"/>
      <w:bookmarkEnd w:id="137"/>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138" w:name="_Toc165449155"/>
      <w:bookmarkStart w:id="139" w:name="_Toc158980910"/>
      <w:r>
        <w:rPr>
          <w:rStyle w:val="CharSectno"/>
        </w:rPr>
        <w:t>35</w:t>
      </w:r>
      <w:r>
        <w:t>.</w:t>
      </w:r>
      <w:r>
        <w:tab/>
        <w:t>Consequences of failure to comply with general public health duty</w:t>
      </w:r>
      <w:bookmarkEnd w:id="138"/>
      <w:bookmarkEnd w:id="139"/>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140" w:name="_Toc165383699"/>
      <w:bookmarkStart w:id="141" w:name="_Toc165384810"/>
      <w:bookmarkStart w:id="142" w:name="_Toc165449156"/>
      <w:bookmarkStart w:id="143" w:name="_Toc158974500"/>
      <w:bookmarkStart w:id="144" w:name="_Toc158974831"/>
      <w:bookmarkStart w:id="145" w:name="_Toc158980911"/>
      <w:r>
        <w:rPr>
          <w:rStyle w:val="CharPartNo"/>
        </w:rPr>
        <w:t>Part 4</w:t>
      </w:r>
      <w:r>
        <w:rPr>
          <w:rStyle w:val="CharDivNo"/>
        </w:rPr>
        <w:t> </w:t>
      </w:r>
      <w:r>
        <w:t>—</w:t>
      </w:r>
      <w:r>
        <w:rPr>
          <w:rStyle w:val="CharDivText"/>
        </w:rPr>
        <w:t> </w:t>
      </w:r>
      <w:r>
        <w:rPr>
          <w:rStyle w:val="CharPartText"/>
        </w:rPr>
        <w:t>Serious public health risks and material public health risks</w:t>
      </w:r>
      <w:bookmarkEnd w:id="140"/>
      <w:bookmarkEnd w:id="141"/>
      <w:bookmarkEnd w:id="142"/>
      <w:bookmarkEnd w:id="143"/>
      <w:bookmarkEnd w:id="144"/>
      <w:bookmarkEnd w:id="145"/>
    </w:p>
    <w:p>
      <w:pPr>
        <w:pStyle w:val="Heading5"/>
      </w:pPr>
      <w:bookmarkStart w:id="146" w:name="_Toc165449157"/>
      <w:bookmarkStart w:id="147" w:name="_Toc158980912"/>
      <w:r>
        <w:rPr>
          <w:rStyle w:val="CharSectno"/>
        </w:rPr>
        <w:t>36</w:t>
      </w:r>
      <w:r>
        <w:t>.</w:t>
      </w:r>
      <w:r>
        <w:tab/>
        <w:t>Term used: engage in conduct</w:t>
      </w:r>
      <w:bookmarkEnd w:id="146"/>
      <w:bookmarkEnd w:id="147"/>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148" w:name="_Toc165449158"/>
      <w:bookmarkStart w:id="149" w:name="_Toc158980913"/>
      <w:r>
        <w:rPr>
          <w:rStyle w:val="CharSectno"/>
        </w:rPr>
        <w:t>37</w:t>
      </w:r>
      <w:r>
        <w:t>.</w:t>
      </w:r>
      <w:r>
        <w:tab/>
        <w:t>Offences relating to serious public health risks</w:t>
      </w:r>
      <w:bookmarkEnd w:id="148"/>
      <w:bookmarkEnd w:id="149"/>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150" w:name="_Toc165449159"/>
      <w:bookmarkStart w:id="151" w:name="_Toc158980914"/>
      <w:r>
        <w:rPr>
          <w:rStyle w:val="CharSectno"/>
        </w:rPr>
        <w:t>38</w:t>
      </w:r>
      <w:r>
        <w:t>.</w:t>
      </w:r>
      <w:r>
        <w:tab/>
        <w:t>Offences relating to material public health risks</w:t>
      </w:r>
      <w:bookmarkEnd w:id="150"/>
      <w:bookmarkEnd w:id="151"/>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152" w:name="_Toc165449160"/>
      <w:bookmarkStart w:id="153" w:name="_Toc158980915"/>
      <w:r>
        <w:rPr>
          <w:rStyle w:val="CharSectno"/>
        </w:rPr>
        <w:t>39</w:t>
      </w:r>
      <w:r>
        <w:t>.</w:t>
      </w:r>
      <w:r>
        <w:tab/>
        <w:t>Defence of due diligence</w:t>
      </w:r>
      <w:bookmarkEnd w:id="152"/>
      <w:bookmarkEnd w:id="153"/>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154" w:name="_Toc165449161"/>
      <w:bookmarkStart w:id="155" w:name="_Toc158980916"/>
      <w:r>
        <w:rPr>
          <w:rStyle w:val="CharSectno"/>
        </w:rPr>
        <w:t>40</w:t>
      </w:r>
      <w:r>
        <w:t>.</w:t>
      </w:r>
      <w:r>
        <w:tab/>
        <w:t>Alternative verdicts for certain offences</w:t>
      </w:r>
      <w:bookmarkEnd w:id="154"/>
      <w:bookmarkEnd w:id="155"/>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156" w:name="_Toc165449162"/>
      <w:bookmarkStart w:id="157" w:name="_Toc158980917"/>
      <w:r>
        <w:rPr>
          <w:rStyle w:val="CharSectno"/>
        </w:rPr>
        <w:t>41</w:t>
      </w:r>
      <w:r>
        <w:t>.</w:t>
      </w:r>
      <w:r>
        <w:tab/>
        <w:t>Determination by court of appropriate punishment</w:t>
      </w:r>
      <w:bookmarkEnd w:id="156"/>
      <w:bookmarkEnd w:id="157"/>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158" w:name="_Toc165383706"/>
      <w:bookmarkStart w:id="159" w:name="_Toc165384817"/>
      <w:bookmarkStart w:id="160" w:name="_Toc165449163"/>
      <w:bookmarkStart w:id="161" w:name="_Toc158974507"/>
      <w:bookmarkStart w:id="162" w:name="_Toc158974838"/>
      <w:bookmarkStart w:id="163" w:name="_Toc158980918"/>
      <w:r>
        <w:rPr>
          <w:rStyle w:val="CharPartNo"/>
        </w:rPr>
        <w:t>Part 9</w:t>
      </w:r>
      <w:r>
        <w:t> — </w:t>
      </w:r>
      <w:r>
        <w:rPr>
          <w:rStyle w:val="CharPartText"/>
        </w:rPr>
        <w:t>Notifiable infectious diseases and related conditions</w:t>
      </w:r>
      <w:bookmarkEnd w:id="158"/>
      <w:bookmarkEnd w:id="159"/>
      <w:bookmarkEnd w:id="160"/>
      <w:bookmarkEnd w:id="161"/>
      <w:bookmarkEnd w:id="162"/>
      <w:bookmarkEnd w:id="163"/>
    </w:p>
    <w:p>
      <w:pPr>
        <w:pStyle w:val="Heading3"/>
      </w:pPr>
      <w:bookmarkStart w:id="164" w:name="_Toc165383707"/>
      <w:bookmarkStart w:id="165" w:name="_Toc165384818"/>
      <w:bookmarkStart w:id="166" w:name="_Toc165449164"/>
      <w:bookmarkStart w:id="167" w:name="_Toc158974508"/>
      <w:bookmarkStart w:id="168" w:name="_Toc158974839"/>
      <w:bookmarkStart w:id="169" w:name="_Toc158980919"/>
      <w:r>
        <w:rPr>
          <w:rStyle w:val="CharDivNo"/>
        </w:rPr>
        <w:t>Division 1</w:t>
      </w:r>
      <w:r>
        <w:t> — </w:t>
      </w:r>
      <w:r>
        <w:rPr>
          <w:rStyle w:val="CharDivText"/>
        </w:rPr>
        <w:t>Principles and declarations</w:t>
      </w:r>
      <w:bookmarkEnd w:id="164"/>
      <w:bookmarkEnd w:id="165"/>
      <w:bookmarkEnd w:id="166"/>
      <w:bookmarkEnd w:id="167"/>
      <w:bookmarkEnd w:id="168"/>
      <w:bookmarkEnd w:id="169"/>
    </w:p>
    <w:p>
      <w:pPr>
        <w:pStyle w:val="Heading5"/>
      </w:pPr>
      <w:bookmarkStart w:id="170" w:name="_Toc165449165"/>
      <w:bookmarkStart w:id="171" w:name="_Toc158980920"/>
      <w:r>
        <w:rPr>
          <w:rStyle w:val="CharSectno"/>
        </w:rPr>
        <w:t>87</w:t>
      </w:r>
      <w:r>
        <w:t>.</w:t>
      </w:r>
      <w:r>
        <w:tab/>
        <w:t>Principles applying in relation to this Part</w:t>
      </w:r>
      <w:bookmarkEnd w:id="170"/>
      <w:bookmarkEnd w:id="171"/>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172" w:name="_Toc165449166"/>
      <w:bookmarkStart w:id="173" w:name="_Toc158980921"/>
      <w:r>
        <w:rPr>
          <w:rStyle w:val="CharSectno"/>
        </w:rPr>
        <w:t>88</w:t>
      </w:r>
      <w:r>
        <w:t>.</w:t>
      </w:r>
      <w:r>
        <w:tab/>
        <w:t>Principles listed</w:t>
      </w:r>
      <w:bookmarkEnd w:id="172"/>
      <w:bookmarkEnd w:id="173"/>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keepNext/>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174" w:name="_Toc165449167"/>
      <w:bookmarkStart w:id="175" w:name="_Toc158980922"/>
      <w:r>
        <w:rPr>
          <w:rStyle w:val="CharSectno"/>
        </w:rPr>
        <w:t>89</w:t>
      </w:r>
      <w:r>
        <w:t>.</w:t>
      </w:r>
      <w:r>
        <w:tab/>
        <w:t>Further provisions relating to application of principles</w:t>
      </w:r>
      <w:bookmarkEnd w:id="174"/>
      <w:bookmarkEnd w:id="175"/>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176" w:name="_Toc165449168"/>
      <w:bookmarkStart w:id="177" w:name="_Toc158980923"/>
      <w:r>
        <w:rPr>
          <w:rStyle w:val="CharSectno"/>
        </w:rPr>
        <w:t>90</w:t>
      </w:r>
      <w:r>
        <w:t>.</w:t>
      </w:r>
      <w:r>
        <w:tab/>
        <w:t>Declaration of notifiable infectious diseases</w:t>
      </w:r>
      <w:bookmarkEnd w:id="176"/>
      <w:bookmarkEnd w:id="177"/>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178" w:name="_Toc165449169"/>
      <w:bookmarkStart w:id="179" w:name="_Toc158980924"/>
      <w:r>
        <w:rPr>
          <w:rStyle w:val="CharSectno"/>
        </w:rPr>
        <w:t>91</w:t>
      </w:r>
      <w:r>
        <w:t>.</w:t>
      </w:r>
      <w:r>
        <w:tab/>
        <w:t>Declaration of notifiable infectious disease</w:t>
      </w:r>
      <w:r>
        <w:noBreakHyphen/>
        <w:t>related conditions</w:t>
      </w:r>
      <w:bookmarkEnd w:id="178"/>
      <w:bookmarkEnd w:id="179"/>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180" w:name="_Toc165449170"/>
      <w:bookmarkStart w:id="181" w:name="_Toc158980925"/>
      <w:r>
        <w:rPr>
          <w:rStyle w:val="CharSectno"/>
        </w:rPr>
        <w:t>92</w:t>
      </w:r>
      <w:r>
        <w:t>.</w:t>
      </w:r>
      <w:r>
        <w:tab/>
        <w:t>Orders by Minister</w:t>
      </w:r>
      <w:bookmarkEnd w:id="180"/>
      <w:bookmarkEnd w:id="181"/>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182" w:name="_Toc165383714"/>
      <w:bookmarkStart w:id="183" w:name="_Toc165384825"/>
      <w:bookmarkStart w:id="184" w:name="_Toc165449171"/>
      <w:bookmarkStart w:id="185" w:name="_Toc158974515"/>
      <w:bookmarkStart w:id="186" w:name="_Toc158974846"/>
      <w:bookmarkStart w:id="187" w:name="_Toc158980926"/>
      <w:r>
        <w:rPr>
          <w:rStyle w:val="CharDivNo"/>
        </w:rPr>
        <w:t>Division 2</w:t>
      </w:r>
      <w:r>
        <w:t> — </w:t>
      </w:r>
      <w:r>
        <w:rPr>
          <w:rStyle w:val="CharDivText"/>
        </w:rPr>
        <w:t>Notification</w:t>
      </w:r>
      <w:bookmarkEnd w:id="182"/>
      <w:bookmarkEnd w:id="183"/>
      <w:bookmarkEnd w:id="184"/>
      <w:bookmarkEnd w:id="185"/>
      <w:bookmarkEnd w:id="186"/>
      <w:bookmarkEnd w:id="187"/>
    </w:p>
    <w:p>
      <w:pPr>
        <w:pStyle w:val="Heading5"/>
      </w:pPr>
      <w:bookmarkStart w:id="188" w:name="_Toc165449172"/>
      <w:bookmarkStart w:id="189" w:name="_Toc158980927"/>
      <w:r>
        <w:rPr>
          <w:rStyle w:val="CharSectno"/>
        </w:rPr>
        <w:t>93</w:t>
      </w:r>
      <w:r>
        <w:t>.</w:t>
      </w:r>
      <w:r>
        <w:tab/>
        <w:t>Term used: responsible pathologist</w:t>
      </w:r>
      <w:bookmarkEnd w:id="188"/>
      <w:bookmarkEnd w:id="189"/>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190" w:name="_Toc165449173"/>
      <w:bookmarkStart w:id="191" w:name="_Toc158980928"/>
      <w:r>
        <w:rPr>
          <w:rStyle w:val="CharSectno"/>
        </w:rPr>
        <w:t>94</w:t>
      </w:r>
      <w:r>
        <w:t>.</w:t>
      </w:r>
      <w:r>
        <w:tab/>
        <w:t>Notification of notifiable infectious diseases and notifiable infectious disease</w:t>
      </w:r>
      <w:r>
        <w:noBreakHyphen/>
        <w:t>related conditions</w:t>
      </w:r>
      <w:bookmarkEnd w:id="190"/>
      <w:bookmarkEnd w:id="191"/>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192" w:name="_Toc165449174"/>
      <w:bookmarkStart w:id="193" w:name="_Toc158980929"/>
      <w:r>
        <w:rPr>
          <w:rStyle w:val="CharSectno"/>
        </w:rPr>
        <w:t>95</w:t>
      </w:r>
      <w:r>
        <w:t>.</w:t>
      </w:r>
      <w:r>
        <w:tab/>
        <w:t>Offence of failing to notify Chief Health Officer</w:t>
      </w:r>
      <w:bookmarkEnd w:id="192"/>
      <w:bookmarkEnd w:id="193"/>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194" w:name="_Toc165449175"/>
      <w:bookmarkStart w:id="195" w:name="_Toc158980930"/>
      <w:r>
        <w:rPr>
          <w:rStyle w:val="CharSectno"/>
        </w:rPr>
        <w:t>96</w:t>
      </w:r>
      <w:r>
        <w:t>.</w:t>
      </w:r>
      <w:r>
        <w:tab/>
        <w:t>No liability for notifying Chief Health Officer</w:t>
      </w:r>
      <w:bookmarkEnd w:id="194"/>
      <w:bookmarkEnd w:id="195"/>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196" w:name="_Toc165383719"/>
      <w:bookmarkStart w:id="197" w:name="_Toc165384830"/>
      <w:bookmarkStart w:id="198" w:name="_Toc165449176"/>
      <w:bookmarkStart w:id="199" w:name="_Toc158974520"/>
      <w:bookmarkStart w:id="200" w:name="_Toc158974851"/>
      <w:bookmarkStart w:id="201" w:name="_Toc158980931"/>
      <w:r>
        <w:rPr>
          <w:rStyle w:val="CharDivNo"/>
        </w:rPr>
        <w:t>Division 3</w:t>
      </w:r>
      <w:r>
        <w:t> — </w:t>
      </w:r>
      <w:r>
        <w:rPr>
          <w:rStyle w:val="CharDivText"/>
        </w:rPr>
        <w:t>Duty to inform</w:t>
      </w:r>
      <w:bookmarkEnd w:id="196"/>
      <w:bookmarkEnd w:id="197"/>
      <w:bookmarkEnd w:id="198"/>
      <w:bookmarkEnd w:id="199"/>
      <w:bookmarkEnd w:id="200"/>
      <w:bookmarkEnd w:id="201"/>
    </w:p>
    <w:p>
      <w:pPr>
        <w:pStyle w:val="Heading5"/>
      </w:pPr>
      <w:bookmarkStart w:id="202" w:name="_Toc165449177"/>
      <w:bookmarkStart w:id="203" w:name="_Toc158980932"/>
      <w:r>
        <w:rPr>
          <w:rStyle w:val="CharSectno"/>
        </w:rPr>
        <w:t>97</w:t>
      </w:r>
      <w:r>
        <w:t>.</w:t>
      </w:r>
      <w:r>
        <w:tab/>
        <w:t>Practitioners to provide patients with information</w:t>
      </w:r>
      <w:bookmarkEnd w:id="202"/>
      <w:bookmarkEnd w:id="203"/>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keepNext/>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204" w:name="_Toc165449178"/>
      <w:bookmarkStart w:id="205" w:name="_Toc158980933"/>
      <w:r>
        <w:rPr>
          <w:rStyle w:val="CharSectno"/>
        </w:rPr>
        <w:t>98</w:t>
      </w:r>
      <w:r>
        <w:t>.</w:t>
      </w:r>
      <w:r>
        <w:tab/>
        <w:t>Offence of failing to provide patient with information</w:t>
      </w:r>
      <w:bookmarkEnd w:id="204"/>
      <w:bookmarkEnd w:id="205"/>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206" w:name="_Toc165383722"/>
      <w:bookmarkStart w:id="207" w:name="_Toc165384833"/>
      <w:bookmarkStart w:id="208" w:name="_Toc165449179"/>
      <w:bookmarkStart w:id="209" w:name="_Toc158974523"/>
      <w:bookmarkStart w:id="210" w:name="_Toc158974854"/>
      <w:bookmarkStart w:id="211" w:name="_Toc158980934"/>
      <w:r>
        <w:rPr>
          <w:rStyle w:val="CharDivNo"/>
        </w:rPr>
        <w:t>Division 4</w:t>
      </w:r>
      <w:r>
        <w:t> — </w:t>
      </w:r>
      <w:r>
        <w:rPr>
          <w:rStyle w:val="CharDivText"/>
        </w:rPr>
        <w:t>Test orders</w:t>
      </w:r>
      <w:bookmarkEnd w:id="206"/>
      <w:bookmarkEnd w:id="207"/>
      <w:bookmarkEnd w:id="208"/>
      <w:bookmarkEnd w:id="209"/>
      <w:bookmarkEnd w:id="210"/>
      <w:bookmarkEnd w:id="211"/>
    </w:p>
    <w:p>
      <w:pPr>
        <w:pStyle w:val="Heading5"/>
      </w:pPr>
      <w:bookmarkStart w:id="212" w:name="_Toc165449180"/>
      <w:bookmarkStart w:id="213" w:name="_Toc158980935"/>
      <w:r>
        <w:rPr>
          <w:rStyle w:val="CharSectno"/>
        </w:rPr>
        <w:t>99</w:t>
      </w:r>
      <w:r>
        <w:t>.</w:t>
      </w:r>
      <w:r>
        <w:tab/>
        <w:t>Terms used</w:t>
      </w:r>
      <w:bookmarkEnd w:id="212"/>
      <w:bookmarkEnd w:id="213"/>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keepNext/>
        <w:keepLines w:val="0"/>
      </w:pPr>
      <w:r>
        <w:tab/>
        <w:t>(iv)</w:t>
      </w:r>
      <w:r>
        <w:tab/>
        <w:t>if no person mentioned in another subparagraph of this paragraph is available, a person, or a person in a class of persons, prescribed by the regulations for the purposes of this subparagraph;</w:t>
      </w:r>
    </w:p>
    <w:p>
      <w:pPr>
        <w:pStyle w:val="Defpara"/>
        <w:keepNext/>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214" w:name="_Toc165449181"/>
      <w:bookmarkStart w:id="215" w:name="_Toc158980936"/>
      <w:r>
        <w:rPr>
          <w:rStyle w:val="CharSectno"/>
        </w:rPr>
        <w:t>100</w:t>
      </w:r>
      <w:r>
        <w:t>.</w:t>
      </w:r>
      <w:r>
        <w:tab/>
        <w:t>Chief Health Officer may make test orders</w:t>
      </w:r>
      <w:bookmarkEnd w:id="214"/>
      <w:bookmarkEnd w:id="215"/>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keepNext/>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216" w:name="_Toc165449182"/>
      <w:bookmarkStart w:id="217" w:name="_Toc158980937"/>
      <w:r>
        <w:rPr>
          <w:rStyle w:val="CharSectno"/>
        </w:rPr>
        <w:t>101</w:t>
      </w:r>
      <w:r>
        <w:t>.</w:t>
      </w:r>
      <w:r>
        <w:tab/>
        <w:t>Process for making test order</w:t>
      </w:r>
      <w:bookmarkEnd w:id="216"/>
      <w:bookmarkEnd w:id="217"/>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218" w:name="_Toc165449183"/>
      <w:bookmarkStart w:id="219" w:name="_Toc158980938"/>
      <w:r>
        <w:rPr>
          <w:rStyle w:val="CharSectno"/>
        </w:rPr>
        <w:t>102</w:t>
      </w:r>
      <w:r>
        <w:t>.</w:t>
      </w:r>
      <w:r>
        <w:tab/>
        <w:t>Explanation of test order</w:t>
      </w:r>
      <w:bookmarkEnd w:id="218"/>
      <w:bookmarkEnd w:id="219"/>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220" w:name="_Toc165449184"/>
      <w:bookmarkStart w:id="221" w:name="_Toc158980939"/>
      <w:r>
        <w:rPr>
          <w:rStyle w:val="CharSectno"/>
        </w:rPr>
        <w:t>103</w:t>
      </w:r>
      <w:r>
        <w:t>.</w:t>
      </w:r>
      <w:r>
        <w:tab/>
        <w:t>Effect of test orders</w:t>
      </w:r>
      <w:bookmarkEnd w:id="220"/>
      <w:bookmarkEnd w:id="221"/>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keepNext/>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222" w:name="_Toc165449185"/>
      <w:bookmarkStart w:id="223" w:name="_Toc158980940"/>
      <w:r>
        <w:rPr>
          <w:rStyle w:val="CharSectno"/>
        </w:rPr>
        <w:t>104</w:t>
      </w:r>
      <w:r>
        <w:t>.</w:t>
      </w:r>
      <w:r>
        <w:tab/>
        <w:t>Offences of failing to comply with test order</w:t>
      </w:r>
      <w:bookmarkEnd w:id="222"/>
      <w:bookmarkEnd w:id="223"/>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224" w:name="_Toc165449186"/>
      <w:bookmarkStart w:id="225" w:name="_Toc158980941"/>
      <w:r>
        <w:rPr>
          <w:rStyle w:val="CharSectno"/>
        </w:rPr>
        <w:t>105</w:t>
      </w:r>
      <w:r>
        <w:t>.</w:t>
      </w:r>
      <w:r>
        <w:tab/>
        <w:t>No payment may be required in relation to testing under test order</w:t>
      </w:r>
      <w:bookmarkEnd w:id="224"/>
      <w:bookmarkEnd w:id="225"/>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226" w:name="_Toc165449187"/>
      <w:bookmarkStart w:id="227" w:name="_Toc158980942"/>
      <w:r>
        <w:rPr>
          <w:rStyle w:val="CharSectno"/>
        </w:rPr>
        <w:t>106</w:t>
      </w:r>
      <w:r>
        <w:t>.</w:t>
      </w:r>
      <w:r>
        <w:tab/>
        <w:t>Enforcement of test orders</w:t>
      </w:r>
      <w:bookmarkEnd w:id="226"/>
      <w:bookmarkEnd w:id="227"/>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28" w:name="_Toc165449188"/>
      <w:bookmarkStart w:id="229" w:name="_Toc158980943"/>
      <w:r>
        <w:rPr>
          <w:rStyle w:val="CharSectno"/>
        </w:rPr>
        <w:t>107</w:t>
      </w:r>
      <w:r>
        <w:t>.</w:t>
      </w:r>
      <w:r>
        <w:tab/>
        <w:t>Warrant to enforce test order</w:t>
      </w:r>
      <w:bookmarkEnd w:id="228"/>
      <w:bookmarkEnd w:id="229"/>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230" w:name="_Toc165449189"/>
      <w:bookmarkStart w:id="231" w:name="_Toc158980944"/>
      <w:r>
        <w:rPr>
          <w:rStyle w:val="CharSectno"/>
        </w:rPr>
        <w:t>108</w:t>
      </w:r>
      <w:r>
        <w:t>.</w:t>
      </w:r>
      <w:r>
        <w:tab/>
        <w:t>Further provisions relating to warrant</w:t>
      </w:r>
      <w:bookmarkEnd w:id="230"/>
      <w:bookmarkEnd w:id="231"/>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32" w:name="_Toc165449190"/>
      <w:bookmarkStart w:id="233" w:name="_Toc158980945"/>
      <w:r>
        <w:rPr>
          <w:rStyle w:val="CharSectno"/>
        </w:rPr>
        <w:t>109</w:t>
      </w:r>
      <w:r>
        <w:t>.</w:t>
      </w:r>
      <w:r>
        <w:tab/>
        <w:t>Review by State Administrative Tribunal</w:t>
      </w:r>
      <w:bookmarkEnd w:id="232"/>
      <w:bookmarkEnd w:id="233"/>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234" w:name="_Toc165449191"/>
      <w:bookmarkStart w:id="235" w:name="_Toc158980946"/>
      <w:r>
        <w:rPr>
          <w:rStyle w:val="CharSectno"/>
        </w:rPr>
        <w:t>110</w:t>
      </w:r>
      <w:r>
        <w:t>.</w:t>
      </w:r>
      <w:r>
        <w:tab/>
        <w:t>Obtaining or taking samples under test orders</w:t>
      </w:r>
      <w:bookmarkEnd w:id="234"/>
      <w:bookmarkEnd w:id="235"/>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236" w:name="_Toc165449192"/>
      <w:bookmarkStart w:id="237" w:name="_Toc158980947"/>
      <w:r>
        <w:rPr>
          <w:rStyle w:val="CharSectno"/>
        </w:rPr>
        <w:t>111</w:t>
      </w:r>
      <w:r>
        <w:t>.</w:t>
      </w:r>
      <w:r>
        <w:tab/>
        <w:t>Test results to be reported</w:t>
      </w:r>
      <w:bookmarkEnd w:id="236"/>
      <w:bookmarkEnd w:id="237"/>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keepNext/>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238" w:name="_Toc165449193"/>
      <w:bookmarkStart w:id="239" w:name="_Toc158980948"/>
      <w:r>
        <w:rPr>
          <w:rStyle w:val="CharSectno"/>
        </w:rPr>
        <w:t>112</w:t>
      </w:r>
      <w:r>
        <w:t>.</w:t>
      </w:r>
      <w:r>
        <w:tab/>
        <w:t>Person tested not to be identified</w:t>
      </w:r>
      <w:bookmarkEnd w:id="238"/>
      <w:bookmarkEnd w:id="239"/>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240" w:name="_Toc165449194"/>
      <w:bookmarkStart w:id="241" w:name="_Toc158980949"/>
      <w:r>
        <w:rPr>
          <w:rStyle w:val="CharSectno"/>
        </w:rPr>
        <w:t>113</w:t>
      </w:r>
      <w:r>
        <w:t>.</w:t>
      </w:r>
      <w:r>
        <w:tab/>
        <w:t>No liability for reporting test results</w:t>
      </w:r>
      <w:bookmarkEnd w:id="240"/>
      <w:bookmarkEnd w:id="241"/>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242" w:name="_Toc165449195"/>
      <w:bookmarkStart w:id="243" w:name="_Toc158980950"/>
      <w:r>
        <w:rPr>
          <w:rStyle w:val="CharSectno"/>
        </w:rPr>
        <w:t>114</w:t>
      </w:r>
      <w:r>
        <w:t>.</w:t>
      </w:r>
      <w:r>
        <w:tab/>
        <w:t xml:space="preserve">Division not limited by </w:t>
      </w:r>
      <w:r>
        <w:rPr>
          <w:i/>
        </w:rPr>
        <w:t>Mandatory Testing (Infectious Diseases) Act 2014</w:t>
      </w:r>
      <w:bookmarkEnd w:id="242"/>
      <w:bookmarkEnd w:id="243"/>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244" w:name="_Toc165383739"/>
      <w:bookmarkStart w:id="245" w:name="_Toc165384850"/>
      <w:bookmarkStart w:id="246" w:name="_Toc165449196"/>
      <w:bookmarkStart w:id="247" w:name="_Toc158974540"/>
      <w:bookmarkStart w:id="248" w:name="_Toc158974871"/>
      <w:bookmarkStart w:id="249" w:name="_Toc158980951"/>
      <w:r>
        <w:rPr>
          <w:rStyle w:val="CharDivNo"/>
        </w:rPr>
        <w:t>Division 5</w:t>
      </w:r>
      <w:r>
        <w:t> — </w:t>
      </w:r>
      <w:r>
        <w:rPr>
          <w:rStyle w:val="CharDivText"/>
        </w:rPr>
        <w:t>Public health orders</w:t>
      </w:r>
      <w:bookmarkEnd w:id="244"/>
      <w:bookmarkEnd w:id="245"/>
      <w:bookmarkEnd w:id="246"/>
      <w:bookmarkEnd w:id="247"/>
      <w:bookmarkEnd w:id="248"/>
      <w:bookmarkEnd w:id="249"/>
    </w:p>
    <w:p>
      <w:pPr>
        <w:pStyle w:val="Heading5"/>
      </w:pPr>
      <w:bookmarkStart w:id="250" w:name="_Toc165449197"/>
      <w:bookmarkStart w:id="251" w:name="_Toc158980952"/>
      <w:r>
        <w:rPr>
          <w:rStyle w:val="CharSectno"/>
        </w:rPr>
        <w:t>115</w:t>
      </w:r>
      <w:r>
        <w:t>.</w:t>
      </w:r>
      <w:r>
        <w:tab/>
        <w:t>Terms used</w:t>
      </w:r>
      <w:bookmarkEnd w:id="250"/>
      <w:bookmarkEnd w:id="251"/>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252" w:name="_Toc165449198"/>
      <w:bookmarkStart w:id="253" w:name="_Toc158980953"/>
      <w:r>
        <w:rPr>
          <w:rStyle w:val="CharSectno"/>
        </w:rPr>
        <w:t>116</w:t>
      </w:r>
      <w:r>
        <w:t>.</w:t>
      </w:r>
      <w:r>
        <w:tab/>
        <w:t>Chief Health Officer may make public health orders</w:t>
      </w:r>
      <w:bookmarkEnd w:id="252"/>
      <w:bookmarkEnd w:id="253"/>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254" w:name="_Toc165449199"/>
      <w:bookmarkStart w:id="255" w:name="_Toc158980954"/>
      <w:r>
        <w:rPr>
          <w:rStyle w:val="CharSectno"/>
        </w:rPr>
        <w:t>117</w:t>
      </w:r>
      <w:r>
        <w:t>.</w:t>
      </w:r>
      <w:r>
        <w:tab/>
        <w:t>Effect of public health orders</w:t>
      </w:r>
      <w:bookmarkEnd w:id="254"/>
      <w:bookmarkEnd w:id="255"/>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keepNext/>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256" w:name="_Toc165449200"/>
      <w:bookmarkStart w:id="257" w:name="_Toc158980955"/>
      <w:r>
        <w:rPr>
          <w:rStyle w:val="CharSectno"/>
        </w:rPr>
        <w:t>118</w:t>
      </w:r>
      <w:r>
        <w:t>.</w:t>
      </w:r>
      <w:r>
        <w:tab/>
        <w:t>Personal service of orders required</w:t>
      </w:r>
      <w:bookmarkEnd w:id="256"/>
      <w:bookmarkEnd w:id="257"/>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258" w:name="_Toc165449201"/>
      <w:bookmarkStart w:id="259" w:name="_Toc158980956"/>
      <w:r>
        <w:rPr>
          <w:rStyle w:val="CharSectno"/>
        </w:rPr>
        <w:t>119</w:t>
      </w:r>
      <w:r>
        <w:t>.</w:t>
      </w:r>
      <w:r>
        <w:tab/>
        <w:t>Explanation of public health order</w:t>
      </w:r>
      <w:bookmarkEnd w:id="258"/>
      <w:bookmarkEnd w:id="259"/>
    </w:p>
    <w:p>
      <w:pPr>
        <w:pStyle w:val="Subsection"/>
        <w:keepNext/>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260" w:name="_Toc165449202"/>
      <w:bookmarkStart w:id="261" w:name="_Toc158980957"/>
      <w:r>
        <w:rPr>
          <w:rStyle w:val="CharSectno"/>
        </w:rPr>
        <w:t>120</w:t>
      </w:r>
      <w:r>
        <w:t>.</w:t>
      </w:r>
      <w:r>
        <w:tab/>
        <w:t>Provisions applying if person detained under public health order</w:t>
      </w:r>
      <w:bookmarkEnd w:id="260"/>
      <w:bookmarkEnd w:id="261"/>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262" w:name="_Toc165449203"/>
      <w:bookmarkStart w:id="263" w:name="_Toc158980958"/>
      <w:r>
        <w:rPr>
          <w:rStyle w:val="CharSectno"/>
        </w:rPr>
        <w:t>121</w:t>
      </w:r>
      <w:r>
        <w:t>.</w:t>
      </w:r>
      <w:r>
        <w:tab/>
        <w:t>Minister to be informed of detention or release from detention under public health order</w:t>
      </w:r>
      <w:bookmarkEnd w:id="262"/>
      <w:bookmarkEnd w:id="263"/>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64" w:name="_Toc165449204"/>
      <w:bookmarkStart w:id="265" w:name="_Toc158980959"/>
      <w:r>
        <w:rPr>
          <w:rStyle w:val="CharSectno"/>
        </w:rPr>
        <w:t>122</w:t>
      </w:r>
      <w:r>
        <w:t>.</w:t>
      </w:r>
      <w:r>
        <w:tab/>
        <w:t>Offence to fail to comply with public health order</w:t>
      </w:r>
      <w:bookmarkEnd w:id="264"/>
      <w:bookmarkEnd w:id="265"/>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266" w:name="_Toc165449205"/>
      <w:bookmarkStart w:id="267" w:name="_Toc158980960"/>
      <w:r>
        <w:rPr>
          <w:rStyle w:val="CharSectno"/>
        </w:rPr>
        <w:t>123</w:t>
      </w:r>
      <w:r>
        <w:t>.</w:t>
      </w:r>
      <w:r>
        <w:tab/>
        <w:t>Responsible persons to facilitate compliance with public health order</w:t>
      </w:r>
      <w:bookmarkEnd w:id="266"/>
      <w:bookmarkEnd w:id="267"/>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268" w:name="_Toc165449206"/>
      <w:bookmarkStart w:id="269" w:name="_Toc158980961"/>
      <w:r>
        <w:rPr>
          <w:rStyle w:val="CharSectno"/>
        </w:rPr>
        <w:t>124</w:t>
      </w:r>
      <w:r>
        <w:t>.</w:t>
      </w:r>
      <w:r>
        <w:tab/>
        <w:t>Enforcement of public health orders</w:t>
      </w:r>
      <w:bookmarkEnd w:id="268"/>
      <w:bookmarkEnd w:id="269"/>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70" w:name="_Toc165449207"/>
      <w:bookmarkStart w:id="271" w:name="_Toc158980962"/>
      <w:r>
        <w:rPr>
          <w:rStyle w:val="CharSectno"/>
        </w:rPr>
        <w:t>125</w:t>
      </w:r>
      <w:r>
        <w:t>.</w:t>
      </w:r>
      <w:r>
        <w:tab/>
        <w:t>Warrant to apprehend person to whom public health order applies</w:t>
      </w:r>
      <w:bookmarkEnd w:id="270"/>
      <w:bookmarkEnd w:id="271"/>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keepNext/>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272" w:name="_Toc165449208"/>
      <w:bookmarkStart w:id="273" w:name="_Toc158980963"/>
      <w:r>
        <w:rPr>
          <w:rStyle w:val="CharSectno"/>
        </w:rPr>
        <w:t>126</w:t>
      </w:r>
      <w:r>
        <w:t>.</w:t>
      </w:r>
      <w:r>
        <w:tab/>
        <w:t>Further provisions relating to warrant</w:t>
      </w:r>
      <w:bookmarkEnd w:id="272"/>
      <w:bookmarkEnd w:id="273"/>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74" w:name="_Toc165449209"/>
      <w:bookmarkStart w:id="275" w:name="_Toc158980964"/>
      <w:r>
        <w:rPr>
          <w:rStyle w:val="CharSectno"/>
        </w:rPr>
        <w:t>127</w:t>
      </w:r>
      <w:r>
        <w:t>.</w:t>
      </w:r>
      <w:r>
        <w:tab/>
        <w:t>Review by State Administrative Tribunal</w:t>
      </w:r>
      <w:bookmarkEnd w:id="274"/>
      <w:bookmarkEnd w:id="275"/>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keepLines w:val="0"/>
      </w:pPr>
      <w:bookmarkStart w:id="276" w:name="_Toc165449210"/>
      <w:bookmarkStart w:id="277" w:name="_Toc158980965"/>
      <w:r>
        <w:rPr>
          <w:rStyle w:val="CharSectno"/>
        </w:rPr>
        <w:t>128</w:t>
      </w:r>
      <w:r>
        <w:t>.</w:t>
      </w:r>
      <w:r>
        <w:tab/>
        <w:t>Restriction on making of further public health order</w:t>
      </w:r>
      <w:bookmarkEnd w:id="276"/>
      <w:bookmarkEnd w:id="277"/>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278" w:name="_Toc165449211"/>
      <w:bookmarkStart w:id="279" w:name="_Toc158980966"/>
      <w:r>
        <w:rPr>
          <w:rStyle w:val="CharSectno"/>
        </w:rPr>
        <w:t>129</w:t>
      </w:r>
      <w:r>
        <w:t>.</w:t>
      </w:r>
      <w:r>
        <w:tab/>
        <w:t>Recognition of interstate public health orders</w:t>
      </w:r>
      <w:bookmarkEnd w:id="278"/>
      <w:bookmarkEnd w:id="279"/>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280" w:name="_Toc165449212"/>
      <w:bookmarkStart w:id="281" w:name="_Toc158980967"/>
      <w:r>
        <w:rPr>
          <w:rStyle w:val="CharSectno"/>
        </w:rPr>
        <w:t>130</w:t>
      </w:r>
      <w:r>
        <w:t>.</w:t>
      </w:r>
      <w:r>
        <w:tab/>
        <w:t>Further provisions applying to interstate public health orders operating in this State</w:t>
      </w:r>
      <w:bookmarkEnd w:id="280"/>
      <w:bookmarkEnd w:id="281"/>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282" w:name="_Toc165383756"/>
      <w:bookmarkStart w:id="283" w:name="_Toc165384867"/>
      <w:bookmarkStart w:id="284" w:name="_Toc165449213"/>
      <w:bookmarkStart w:id="285" w:name="_Toc158974557"/>
      <w:bookmarkStart w:id="286" w:name="_Toc158974888"/>
      <w:bookmarkStart w:id="287" w:name="_Toc158980968"/>
      <w:r>
        <w:rPr>
          <w:rStyle w:val="CharDivNo"/>
        </w:rPr>
        <w:t>Division 6</w:t>
      </w:r>
      <w:r>
        <w:t> — </w:t>
      </w:r>
      <w:r>
        <w:rPr>
          <w:rStyle w:val="CharDivText"/>
        </w:rPr>
        <w:t>Reporting requirements</w:t>
      </w:r>
      <w:bookmarkEnd w:id="282"/>
      <w:bookmarkEnd w:id="283"/>
      <w:bookmarkEnd w:id="284"/>
      <w:bookmarkEnd w:id="285"/>
      <w:bookmarkEnd w:id="286"/>
      <w:bookmarkEnd w:id="287"/>
    </w:p>
    <w:p>
      <w:pPr>
        <w:pStyle w:val="Heading5"/>
      </w:pPr>
      <w:bookmarkStart w:id="288" w:name="_Toc165449214"/>
      <w:bookmarkStart w:id="289" w:name="_Toc158980969"/>
      <w:r>
        <w:rPr>
          <w:rStyle w:val="CharSectno"/>
        </w:rPr>
        <w:t>131</w:t>
      </w:r>
      <w:r>
        <w:t>.</w:t>
      </w:r>
      <w:r>
        <w:tab/>
        <w:t>Annual report to include information about test orders and public health orders</w:t>
      </w:r>
      <w:bookmarkEnd w:id="288"/>
      <w:bookmarkEnd w:id="289"/>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290" w:name="_Toc165383758"/>
      <w:bookmarkStart w:id="291" w:name="_Toc165384869"/>
      <w:bookmarkStart w:id="292" w:name="_Toc165449215"/>
      <w:bookmarkStart w:id="293" w:name="_Toc158974559"/>
      <w:bookmarkStart w:id="294" w:name="_Toc158974890"/>
      <w:bookmarkStart w:id="295" w:name="_Toc158980970"/>
      <w:r>
        <w:rPr>
          <w:rStyle w:val="CharDivNo"/>
        </w:rPr>
        <w:t>Division 7</w:t>
      </w:r>
      <w:r>
        <w:t> — </w:t>
      </w:r>
      <w:r>
        <w:rPr>
          <w:rStyle w:val="CharDivText"/>
        </w:rPr>
        <w:t>Identifying and informing contact persons</w:t>
      </w:r>
      <w:bookmarkEnd w:id="290"/>
      <w:bookmarkEnd w:id="291"/>
      <w:bookmarkEnd w:id="292"/>
      <w:bookmarkEnd w:id="293"/>
      <w:bookmarkEnd w:id="294"/>
      <w:bookmarkEnd w:id="295"/>
    </w:p>
    <w:p>
      <w:pPr>
        <w:pStyle w:val="Heading5"/>
      </w:pPr>
      <w:bookmarkStart w:id="296" w:name="_Toc165449216"/>
      <w:bookmarkStart w:id="297" w:name="_Toc158980971"/>
      <w:r>
        <w:rPr>
          <w:rStyle w:val="CharSectno"/>
        </w:rPr>
        <w:t>132</w:t>
      </w:r>
      <w:r>
        <w:t>.</w:t>
      </w:r>
      <w:r>
        <w:tab/>
        <w:t>Terms used</w:t>
      </w:r>
      <w:bookmarkEnd w:id="296"/>
      <w:bookmarkEnd w:id="297"/>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298" w:name="_Toc165449217"/>
      <w:bookmarkStart w:id="299" w:name="_Toc158980972"/>
      <w:r>
        <w:rPr>
          <w:rStyle w:val="CharSectno"/>
        </w:rPr>
        <w:t>133</w:t>
      </w:r>
      <w:r>
        <w:t>.</w:t>
      </w:r>
      <w:r>
        <w:tab/>
        <w:t>Requiring information where person believed to have notifiable infectious disease</w:t>
      </w:r>
      <w:bookmarkEnd w:id="298"/>
      <w:bookmarkEnd w:id="299"/>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00" w:name="_Toc165449218"/>
      <w:bookmarkStart w:id="301" w:name="_Toc158980973"/>
      <w:r>
        <w:rPr>
          <w:rStyle w:val="CharSectno"/>
        </w:rPr>
        <w:t>134</w:t>
      </w:r>
      <w:r>
        <w:t>.</w:t>
      </w:r>
      <w:r>
        <w:tab/>
        <w:t>Requiring information where person believed to have been exposed to notifiable infectious disease</w:t>
      </w:r>
      <w:bookmarkEnd w:id="300"/>
      <w:bookmarkEnd w:id="301"/>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02" w:name="_Toc165449219"/>
      <w:bookmarkStart w:id="303" w:name="_Toc158980974"/>
      <w:r>
        <w:rPr>
          <w:rStyle w:val="CharSectno"/>
        </w:rPr>
        <w:t>135</w:t>
      </w:r>
      <w:r>
        <w:t>.</w:t>
      </w:r>
      <w:r>
        <w:tab/>
        <w:t>Requiring other persons to give required information</w:t>
      </w:r>
      <w:bookmarkEnd w:id="302"/>
      <w:bookmarkEnd w:id="303"/>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304" w:name="_Toc165449220"/>
      <w:bookmarkStart w:id="305" w:name="_Toc158980975"/>
      <w:r>
        <w:rPr>
          <w:rStyle w:val="CharSectno"/>
        </w:rPr>
        <w:t>136</w:t>
      </w:r>
      <w:r>
        <w:t>.</w:t>
      </w:r>
      <w:r>
        <w:tab/>
        <w:t>Authorised officer to produce evidence of authority</w:t>
      </w:r>
      <w:bookmarkEnd w:id="304"/>
      <w:bookmarkEnd w:id="305"/>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306" w:name="_Toc165449221"/>
      <w:bookmarkStart w:id="307" w:name="_Toc158980976"/>
      <w:r>
        <w:rPr>
          <w:rStyle w:val="CharSectno"/>
        </w:rPr>
        <w:t>137</w:t>
      </w:r>
      <w:r>
        <w:t>.</w:t>
      </w:r>
      <w:r>
        <w:tab/>
        <w:t>Offence to fail to comply with requirement to provide information</w:t>
      </w:r>
      <w:bookmarkEnd w:id="306"/>
      <w:bookmarkEnd w:id="307"/>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08" w:name="_Toc165449222"/>
      <w:bookmarkStart w:id="309" w:name="_Toc158980977"/>
      <w:r>
        <w:rPr>
          <w:rStyle w:val="CharSectno"/>
        </w:rPr>
        <w:t>138</w:t>
      </w:r>
      <w:r>
        <w:t>.</w:t>
      </w:r>
      <w:r>
        <w:tab/>
        <w:t>Protection from liability</w:t>
      </w:r>
      <w:bookmarkEnd w:id="308"/>
      <w:bookmarkEnd w:id="309"/>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10" w:name="_Toc165449223"/>
      <w:bookmarkStart w:id="311" w:name="_Toc158980978"/>
      <w:r>
        <w:rPr>
          <w:rStyle w:val="CharSectno"/>
        </w:rPr>
        <w:t>139</w:t>
      </w:r>
      <w:r>
        <w:t>.</w:t>
      </w:r>
      <w:r>
        <w:tab/>
        <w:t>Informing contact persons</w:t>
      </w:r>
      <w:bookmarkEnd w:id="310"/>
      <w:bookmarkEnd w:id="311"/>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keepLines/>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312" w:name="_Toc165449224"/>
      <w:bookmarkStart w:id="313" w:name="_Toc158980979"/>
      <w:r>
        <w:rPr>
          <w:rStyle w:val="CharSectno"/>
        </w:rPr>
        <w:t>140</w:t>
      </w:r>
      <w:r>
        <w:t>.</w:t>
      </w:r>
      <w:r>
        <w:tab/>
        <w:t>Chief Health Officer may issue guidelines</w:t>
      </w:r>
      <w:bookmarkEnd w:id="312"/>
      <w:bookmarkEnd w:id="313"/>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314" w:name="_Toc165449225"/>
      <w:bookmarkStart w:id="315" w:name="_Toc158980980"/>
      <w:r>
        <w:rPr>
          <w:rStyle w:val="CharSectno"/>
        </w:rPr>
        <w:t>141</w:t>
      </w:r>
      <w:r>
        <w:t>.</w:t>
      </w:r>
      <w:r>
        <w:tab/>
        <w:t>Protection from liability</w:t>
      </w:r>
      <w:bookmarkEnd w:id="314"/>
      <w:bookmarkEnd w:id="315"/>
    </w:p>
    <w:p>
      <w:pPr>
        <w:pStyle w:val="Subsection"/>
      </w:pPr>
      <w:r>
        <w:tab/>
        <w:t>(1)</w:t>
      </w:r>
      <w:r>
        <w:tab/>
        <w:t xml:space="preserve">This section applies if — </w:t>
      </w:r>
    </w:p>
    <w:p>
      <w:pPr>
        <w:pStyle w:val="Indenta"/>
        <w:keepNext/>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316" w:name="_Toc165383769"/>
      <w:bookmarkStart w:id="317" w:name="_Toc165384880"/>
      <w:bookmarkStart w:id="318" w:name="_Toc165449226"/>
      <w:bookmarkStart w:id="319" w:name="_Toc158974570"/>
      <w:bookmarkStart w:id="320" w:name="_Toc158974901"/>
      <w:bookmarkStart w:id="321" w:name="_Toc158980981"/>
      <w:r>
        <w:rPr>
          <w:rStyle w:val="CharDivNo"/>
        </w:rPr>
        <w:t>Division 8</w:t>
      </w:r>
      <w:r>
        <w:t> — </w:t>
      </w:r>
      <w:r>
        <w:rPr>
          <w:rStyle w:val="CharDivText"/>
        </w:rPr>
        <w:t>Immunisation status of children</w:t>
      </w:r>
      <w:bookmarkEnd w:id="316"/>
      <w:bookmarkEnd w:id="317"/>
      <w:bookmarkEnd w:id="318"/>
      <w:bookmarkEnd w:id="319"/>
      <w:bookmarkEnd w:id="320"/>
      <w:bookmarkEnd w:id="321"/>
    </w:p>
    <w:p>
      <w:pPr>
        <w:pStyle w:val="Footnoteheading"/>
        <w:keepNext/>
        <w:keepLines/>
      </w:pPr>
      <w:r>
        <w:tab/>
        <w:t>[Heading inserted: No. 14 of 2019 s. 8.]</w:t>
      </w:r>
    </w:p>
    <w:p>
      <w:pPr>
        <w:pStyle w:val="Heading4"/>
        <w:keepLines/>
      </w:pPr>
      <w:bookmarkStart w:id="322" w:name="_Toc165383770"/>
      <w:bookmarkStart w:id="323" w:name="_Toc165384881"/>
      <w:bookmarkStart w:id="324" w:name="_Toc165449227"/>
      <w:bookmarkStart w:id="325" w:name="_Toc158974571"/>
      <w:bookmarkStart w:id="326" w:name="_Toc158974902"/>
      <w:bookmarkStart w:id="327" w:name="_Toc158980982"/>
      <w:r>
        <w:t>Subdivision 1 — Preliminary</w:t>
      </w:r>
      <w:bookmarkEnd w:id="322"/>
      <w:bookmarkEnd w:id="323"/>
      <w:bookmarkEnd w:id="324"/>
      <w:bookmarkEnd w:id="325"/>
      <w:bookmarkEnd w:id="326"/>
      <w:bookmarkEnd w:id="327"/>
    </w:p>
    <w:p>
      <w:pPr>
        <w:pStyle w:val="Footnoteheading"/>
        <w:keepNext/>
        <w:keepLines/>
      </w:pPr>
      <w:r>
        <w:tab/>
        <w:t>[Heading inserted: No. 14 of 2019 s. 8.]</w:t>
      </w:r>
    </w:p>
    <w:p>
      <w:pPr>
        <w:pStyle w:val="Heading5"/>
      </w:pPr>
      <w:bookmarkStart w:id="328" w:name="_Toc165449228"/>
      <w:bookmarkStart w:id="329" w:name="_Toc158980983"/>
      <w:r>
        <w:rPr>
          <w:rStyle w:val="CharSectno"/>
        </w:rPr>
        <w:t>141A</w:t>
      </w:r>
      <w:r>
        <w:t>.</w:t>
      </w:r>
      <w:r>
        <w:tab/>
        <w:t>Terms used</w:t>
      </w:r>
      <w:bookmarkEnd w:id="328"/>
      <w:bookmarkEnd w:id="329"/>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330" w:name="_Toc165383772"/>
      <w:bookmarkStart w:id="331" w:name="_Toc165384883"/>
      <w:bookmarkStart w:id="332" w:name="_Toc165449229"/>
      <w:bookmarkStart w:id="333" w:name="_Toc158974573"/>
      <w:bookmarkStart w:id="334" w:name="_Toc158974904"/>
      <w:bookmarkStart w:id="335" w:name="_Toc158980984"/>
      <w:r>
        <w:t>Subdivision 2 — Immunisation requirements for enrolment</w:t>
      </w:r>
      <w:bookmarkEnd w:id="330"/>
      <w:bookmarkEnd w:id="331"/>
      <w:bookmarkEnd w:id="332"/>
      <w:bookmarkEnd w:id="333"/>
      <w:bookmarkEnd w:id="334"/>
      <w:bookmarkEnd w:id="335"/>
    </w:p>
    <w:p>
      <w:pPr>
        <w:pStyle w:val="Footnoteheading"/>
      </w:pPr>
      <w:r>
        <w:tab/>
        <w:t>[Heading inserted: No. 14 of 2019 s. 8.]</w:t>
      </w:r>
    </w:p>
    <w:p>
      <w:pPr>
        <w:pStyle w:val="Heading5"/>
      </w:pPr>
      <w:bookmarkStart w:id="336" w:name="_Toc165449230"/>
      <w:bookmarkStart w:id="337" w:name="_Toc158980985"/>
      <w:r>
        <w:rPr>
          <w:rStyle w:val="CharSectno"/>
        </w:rPr>
        <w:t>141B</w:t>
      </w:r>
      <w:r>
        <w:t>.</w:t>
      </w:r>
      <w:r>
        <w:tab/>
        <w:t>Responsible person to give immunisation status to person in charge</w:t>
      </w:r>
      <w:bookmarkEnd w:id="336"/>
      <w:bookmarkEnd w:id="337"/>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338" w:name="_Toc165449231"/>
      <w:bookmarkStart w:id="339" w:name="_Toc158980986"/>
      <w:r>
        <w:rPr>
          <w:rStyle w:val="CharSectno"/>
        </w:rPr>
        <w:t>141C</w:t>
      </w:r>
      <w:r>
        <w:t>.</w:t>
      </w:r>
      <w:r>
        <w:tab/>
        <w:t>Immunisation certificates issued or declared by Chief Health Officer</w:t>
      </w:r>
      <w:bookmarkEnd w:id="338"/>
      <w:bookmarkEnd w:id="339"/>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340" w:name="_Toc165449232"/>
      <w:bookmarkStart w:id="341" w:name="_Toc158980987"/>
      <w:r>
        <w:rPr>
          <w:rStyle w:val="CharSectno"/>
        </w:rPr>
        <w:t>141D</w:t>
      </w:r>
      <w:r>
        <w:t>.</w:t>
      </w:r>
      <w:r>
        <w:tab/>
        <w:t>Immunisation or exemption a condition of enrolment</w:t>
      </w:r>
      <w:bookmarkEnd w:id="340"/>
      <w:bookmarkEnd w:id="341"/>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342" w:name="_Toc165383776"/>
      <w:bookmarkStart w:id="343" w:name="_Toc165384887"/>
      <w:bookmarkStart w:id="344" w:name="_Toc165449233"/>
      <w:bookmarkStart w:id="345" w:name="_Toc158974577"/>
      <w:bookmarkStart w:id="346" w:name="_Toc158974908"/>
      <w:bookmarkStart w:id="347" w:name="_Toc158980988"/>
      <w:r>
        <w:t>Subdivision 3 — Regulations relating to immunisation status of children</w:t>
      </w:r>
      <w:bookmarkEnd w:id="342"/>
      <w:bookmarkEnd w:id="343"/>
      <w:bookmarkEnd w:id="344"/>
      <w:bookmarkEnd w:id="345"/>
      <w:bookmarkEnd w:id="346"/>
      <w:bookmarkEnd w:id="347"/>
    </w:p>
    <w:p>
      <w:pPr>
        <w:pStyle w:val="Footnoteheading"/>
      </w:pPr>
      <w:r>
        <w:tab/>
        <w:t>[Heading inserted: No. 14 of 2019 s. 8.]</w:t>
      </w:r>
    </w:p>
    <w:p>
      <w:pPr>
        <w:pStyle w:val="Heading5"/>
      </w:pPr>
      <w:bookmarkStart w:id="348" w:name="_Toc165449234"/>
      <w:bookmarkStart w:id="349" w:name="_Toc158980989"/>
      <w:r>
        <w:rPr>
          <w:rStyle w:val="CharSectno"/>
        </w:rPr>
        <w:t>142</w:t>
      </w:r>
      <w:r>
        <w:t>.</w:t>
      </w:r>
      <w:r>
        <w:tab/>
        <w:t>Regulations relating to immunisation status of children and control of disease</w:t>
      </w:r>
      <w:bookmarkEnd w:id="348"/>
      <w:bookmarkEnd w:id="349"/>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350" w:name="_Toc165383778"/>
      <w:bookmarkStart w:id="351" w:name="_Toc165384889"/>
      <w:bookmarkStart w:id="352" w:name="_Toc165449235"/>
      <w:bookmarkStart w:id="353" w:name="_Toc158974579"/>
      <w:bookmarkStart w:id="354" w:name="_Toc158974910"/>
      <w:bookmarkStart w:id="355" w:name="_Toc158980990"/>
      <w:r>
        <w:t>Subdivision 4 — Reporting requirements</w:t>
      </w:r>
      <w:bookmarkEnd w:id="350"/>
      <w:bookmarkEnd w:id="351"/>
      <w:bookmarkEnd w:id="352"/>
      <w:bookmarkEnd w:id="353"/>
      <w:bookmarkEnd w:id="354"/>
      <w:bookmarkEnd w:id="355"/>
    </w:p>
    <w:p>
      <w:pPr>
        <w:pStyle w:val="Footnoteheading"/>
      </w:pPr>
      <w:r>
        <w:tab/>
        <w:t>[Heading inserted: No. 14 of 2019 s. 8.]</w:t>
      </w:r>
    </w:p>
    <w:p>
      <w:pPr>
        <w:pStyle w:val="Heading5"/>
      </w:pPr>
      <w:bookmarkStart w:id="356" w:name="_Toc165449236"/>
      <w:bookmarkStart w:id="357" w:name="_Toc158980991"/>
      <w:r>
        <w:rPr>
          <w:rStyle w:val="CharSectno"/>
        </w:rPr>
        <w:t>142A</w:t>
      </w:r>
      <w:r>
        <w:t>.</w:t>
      </w:r>
      <w:r>
        <w:tab/>
        <w:t>Annual report to include information about enrolments</w:t>
      </w:r>
      <w:bookmarkEnd w:id="356"/>
      <w:bookmarkEnd w:id="357"/>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358" w:name="_Toc165383780"/>
      <w:bookmarkStart w:id="359" w:name="_Toc165384891"/>
      <w:bookmarkStart w:id="360" w:name="_Toc165449237"/>
      <w:bookmarkStart w:id="361" w:name="_Toc158974581"/>
      <w:bookmarkStart w:id="362" w:name="_Toc158974912"/>
      <w:bookmarkStart w:id="363" w:name="_Toc158980992"/>
      <w:r>
        <w:rPr>
          <w:rStyle w:val="CharDivNo"/>
        </w:rPr>
        <w:t>Division 9</w:t>
      </w:r>
      <w:r>
        <w:t> — </w:t>
      </w:r>
      <w:r>
        <w:rPr>
          <w:rStyle w:val="CharDivText"/>
        </w:rPr>
        <w:t>Advisory Panels</w:t>
      </w:r>
      <w:bookmarkEnd w:id="358"/>
      <w:bookmarkEnd w:id="359"/>
      <w:bookmarkEnd w:id="360"/>
      <w:bookmarkEnd w:id="361"/>
      <w:bookmarkEnd w:id="362"/>
      <w:bookmarkEnd w:id="363"/>
    </w:p>
    <w:p>
      <w:pPr>
        <w:pStyle w:val="Heading5"/>
      </w:pPr>
      <w:bookmarkStart w:id="364" w:name="_Toc165449238"/>
      <w:bookmarkStart w:id="365" w:name="_Toc158980993"/>
      <w:r>
        <w:rPr>
          <w:rStyle w:val="CharSectno"/>
        </w:rPr>
        <w:t>143</w:t>
      </w:r>
      <w:r>
        <w:t>.</w:t>
      </w:r>
      <w:r>
        <w:tab/>
        <w:t>Term used: Advisory Panel</w:t>
      </w:r>
      <w:bookmarkEnd w:id="364"/>
      <w:bookmarkEnd w:id="365"/>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366" w:name="_Toc165449239"/>
      <w:bookmarkStart w:id="367" w:name="_Toc158980994"/>
      <w:r>
        <w:rPr>
          <w:rStyle w:val="CharSectno"/>
        </w:rPr>
        <w:t>144</w:t>
      </w:r>
      <w:r>
        <w:t>.</w:t>
      </w:r>
      <w:r>
        <w:tab/>
        <w:t>Advisory Panels</w:t>
      </w:r>
      <w:bookmarkEnd w:id="366"/>
      <w:bookmarkEnd w:id="367"/>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368" w:name="_Toc165449240"/>
      <w:bookmarkStart w:id="369" w:name="_Toc158980995"/>
      <w:r>
        <w:rPr>
          <w:rStyle w:val="CharSectno"/>
        </w:rPr>
        <w:t>145</w:t>
      </w:r>
      <w:r>
        <w:t>.</w:t>
      </w:r>
      <w:r>
        <w:tab/>
        <w:t>Performance of functions and procedures</w:t>
      </w:r>
      <w:bookmarkEnd w:id="368"/>
      <w:bookmarkEnd w:id="369"/>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370" w:name="_Toc165449241"/>
      <w:bookmarkStart w:id="371" w:name="_Toc158980996"/>
      <w:r>
        <w:rPr>
          <w:rStyle w:val="CharSectno"/>
        </w:rPr>
        <w:t>146</w:t>
      </w:r>
      <w:r>
        <w:t>.</w:t>
      </w:r>
      <w:r>
        <w:tab/>
        <w:t>Protocols</w:t>
      </w:r>
      <w:bookmarkEnd w:id="370"/>
      <w:bookmarkEnd w:id="371"/>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372" w:name="_Toc165449242"/>
      <w:bookmarkStart w:id="373" w:name="_Toc158980997"/>
      <w:r>
        <w:rPr>
          <w:rStyle w:val="CharSectno"/>
        </w:rPr>
        <w:t>147</w:t>
      </w:r>
      <w:r>
        <w:t>.</w:t>
      </w:r>
      <w:r>
        <w:tab/>
        <w:t>Access to information</w:t>
      </w:r>
      <w:bookmarkEnd w:id="372"/>
      <w:bookmarkEnd w:id="373"/>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374" w:name="_Toc165383786"/>
      <w:bookmarkStart w:id="375" w:name="_Toc165384897"/>
      <w:bookmarkStart w:id="376" w:name="_Toc165449243"/>
      <w:bookmarkStart w:id="377" w:name="_Toc158974587"/>
      <w:bookmarkStart w:id="378" w:name="_Toc158974918"/>
      <w:bookmarkStart w:id="379" w:name="_Toc158980998"/>
      <w:r>
        <w:rPr>
          <w:rStyle w:val="CharPartNo"/>
        </w:rPr>
        <w:t>Part 11</w:t>
      </w:r>
      <w:r>
        <w:t> — </w:t>
      </w:r>
      <w:r>
        <w:rPr>
          <w:rStyle w:val="CharPartText"/>
        </w:rPr>
        <w:t>Serious public health incident powers</w:t>
      </w:r>
      <w:bookmarkEnd w:id="374"/>
      <w:bookmarkEnd w:id="375"/>
      <w:bookmarkEnd w:id="376"/>
      <w:bookmarkEnd w:id="377"/>
      <w:bookmarkEnd w:id="378"/>
      <w:bookmarkEnd w:id="379"/>
    </w:p>
    <w:p>
      <w:pPr>
        <w:pStyle w:val="Heading3"/>
      </w:pPr>
      <w:bookmarkStart w:id="380" w:name="_Toc165383787"/>
      <w:bookmarkStart w:id="381" w:name="_Toc165384898"/>
      <w:bookmarkStart w:id="382" w:name="_Toc165449244"/>
      <w:bookmarkStart w:id="383" w:name="_Toc158974588"/>
      <w:bookmarkStart w:id="384" w:name="_Toc158974919"/>
      <w:bookmarkStart w:id="385" w:name="_Toc158980999"/>
      <w:r>
        <w:rPr>
          <w:rStyle w:val="CharDivNo"/>
        </w:rPr>
        <w:t>Division 1</w:t>
      </w:r>
      <w:r>
        <w:t> — </w:t>
      </w:r>
      <w:r>
        <w:rPr>
          <w:rStyle w:val="CharDivText"/>
        </w:rPr>
        <w:t>Authorisation to exercise serious public health incident powers</w:t>
      </w:r>
      <w:bookmarkEnd w:id="380"/>
      <w:bookmarkEnd w:id="381"/>
      <w:bookmarkEnd w:id="382"/>
      <w:bookmarkEnd w:id="383"/>
      <w:bookmarkEnd w:id="384"/>
      <w:bookmarkEnd w:id="385"/>
    </w:p>
    <w:p>
      <w:pPr>
        <w:pStyle w:val="Heading5"/>
      </w:pPr>
      <w:bookmarkStart w:id="386" w:name="_Toc165449245"/>
      <w:bookmarkStart w:id="387" w:name="_Toc158981000"/>
      <w:r>
        <w:rPr>
          <w:rStyle w:val="CharSectno"/>
        </w:rPr>
        <w:t>152</w:t>
      </w:r>
      <w:r>
        <w:t>.</w:t>
      </w:r>
      <w:r>
        <w:tab/>
        <w:t>Authorisation to exercise serious public health incident powers</w:t>
      </w:r>
      <w:bookmarkEnd w:id="386"/>
      <w:bookmarkEnd w:id="387"/>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388" w:name="_Toc165449246"/>
      <w:bookmarkStart w:id="389" w:name="_Toc158981001"/>
      <w:r>
        <w:rPr>
          <w:rStyle w:val="CharSectno"/>
        </w:rPr>
        <w:t>153</w:t>
      </w:r>
      <w:r>
        <w:t>.</w:t>
      </w:r>
      <w:r>
        <w:tab/>
        <w:t>Authorisation to state certain matters</w:t>
      </w:r>
      <w:bookmarkEnd w:id="388"/>
      <w:bookmarkEnd w:id="389"/>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390" w:name="_Toc165449247"/>
      <w:bookmarkStart w:id="391" w:name="_Toc158981002"/>
      <w:r>
        <w:rPr>
          <w:rStyle w:val="CharSectno"/>
        </w:rPr>
        <w:t>154</w:t>
      </w:r>
      <w:r>
        <w:t>.</w:t>
      </w:r>
      <w:r>
        <w:tab/>
        <w:t>Authorisation may be given orally or in writing</w:t>
      </w:r>
      <w:bookmarkEnd w:id="390"/>
      <w:bookmarkEnd w:id="391"/>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392" w:name="_Toc165383791"/>
      <w:bookmarkStart w:id="393" w:name="_Toc165384902"/>
      <w:bookmarkStart w:id="394" w:name="_Toc165449248"/>
      <w:bookmarkStart w:id="395" w:name="_Toc158974592"/>
      <w:bookmarkStart w:id="396" w:name="_Toc158974923"/>
      <w:bookmarkStart w:id="397" w:name="_Toc158981003"/>
      <w:r>
        <w:rPr>
          <w:rStyle w:val="CharDivNo"/>
        </w:rPr>
        <w:t>Division 2</w:t>
      </w:r>
      <w:r>
        <w:t> — </w:t>
      </w:r>
      <w:r>
        <w:rPr>
          <w:rStyle w:val="CharDivText"/>
        </w:rPr>
        <w:t>Serious public health incident powers</w:t>
      </w:r>
      <w:bookmarkEnd w:id="392"/>
      <w:bookmarkEnd w:id="393"/>
      <w:bookmarkEnd w:id="394"/>
      <w:bookmarkEnd w:id="395"/>
      <w:bookmarkEnd w:id="396"/>
      <w:bookmarkEnd w:id="397"/>
    </w:p>
    <w:p>
      <w:pPr>
        <w:pStyle w:val="Heading5"/>
      </w:pPr>
      <w:bookmarkStart w:id="398" w:name="_Toc165449249"/>
      <w:bookmarkStart w:id="399" w:name="_Toc158981004"/>
      <w:r>
        <w:rPr>
          <w:rStyle w:val="CharSectno"/>
        </w:rPr>
        <w:t>155</w:t>
      </w:r>
      <w:r>
        <w:t>.</w:t>
      </w:r>
      <w:r>
        <w:tab/>
        <w:t>Terms used</w:t>
      </w:r>
      <w:bookmarkEnd w:id="398"/>
      <w:bookmarkEnd w:id="399"/>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00" w:name="_Toc165449250"/>
      <w:bookmarkStart w:id="401" w:name="_Toc158981005"/>
      <w:r>
        <w:rPr>
          <w:rStyle w:val="CharSectno"/>
        </w:rPr>
        <w:t>156</w:t>
      </w:r>
      <w:r>
        <w:t>.</w:t>
      </w:r>
      <w:r>
        <w:tab/>
        <w:t>Operation of this Division</w:t>
      </w:r>
      <w:bookmarkEnd w:id="400"/>
      <w:bookmarkEnd w:id="401"/>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402" w:name="_Toc165449251"/>
      <w:bookmarkStart w:id="403" w:name="_Toc158981006"/>
      <w:r>
        <w:rPr>
          <w:rStyle w:val="CharSectno"/>
        </w:rPr>
        <w:t>157</w:t>
      </w:r>
      <w:r>
        <w:t>.</w:t>
      </w:r>
      <w:r>
        <w:tab/>
        <w:t>Serious public health incident powers</w:t>
      </w:r>
      <w:bookmarkEnd w:id="402"/>
      <w:bookmarkEnd w:id="403"/>
    </w:p>
    <w:p>
      <w:pPr>
        <w:pStyle w:val="Subsection"/>
      </w:pPr>
      <w:r>
        <w:tab/>
        <w:t>(1)</w:t>
      </w:r>
      <w:r>
        <w:tab/>
        <w:t xml:space="preserve">An authorised officer may do all or any of these — </w:t>
      </w:r>
    </w:p>
    <w:p>
      <w:pPr>
        <w:pStyle w:val="Indenta"/>
      </w:pPr>
      <w:r>
        <w:tab/>
        <w:t>(a)</w:t>
      </w:r>
      <w:r>
        <w:tab/>
        <w:t>close any premises, or direct any person to 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Subsection"/>
      </w:pPr>
      <w:r>
        <w:tab/>
        <w:t>(4)</w:t>
      </w:r>
      <w:r>
        <w:tab/>
        <w:t>A direction under subsection (1)(a), (b), (c), (i), (j) or (k) may be given to a class of person or in respect of a class of premises.</w:t>
      </w:r>
    </w:p>
    <w:p>
      <w:pPr>
        <w:pStyle w:val="Subsection"/>
      </w:pPr>
      <w:r>
        <w:tab/>
        <w:t>(5)</w:t>
      </w:r>
      <w:r>
        <w:tab/>
        <w:t xml:space="preserve">A direction under subsection (1)(a), (b), (c), (i) or (k) that is given to a class of person or in respect of a class of premises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serious public health incident.</w:t>
      </w:r>
    </w:p>
    <w:p>
      <w:pPr>
        <w:pStyle w:val="Footnotesection"/>
      </w:pPr>
      <w:r>
        <w:tab/>
        <w:t>[Section 157 amended: No. 33 of 2020 s. 6.]</w:t>
      </w:r>
    </w:p>
    <w:p>
      <w:pPr>
        <w:pStyle w:val="Heading5"/>
        <w:keepNext w:val="0"/>
        <w:keepLines w:val="0"/>
        <w:widowControl w:val="0"/>
      </w:pPr>
      <w:bookmarkStart w:id="404" w:name="_Toc165449252"/>
      <w:bookmarkStart w:id="405" w:name="_Toc158981007"/>
      <w:r>
        <w:rPr>
          <w:rStyle w:val="CharSectno"/>
        </w:rPr>
        <w:t>158</w:t>
      </w:r>
      <w:r>
        <w:t>.</w:t>
      </w:r>
      <w:r>
        <w:tab/>
        <w:t>Enforcement of requirement to undergo medical observation, medical examination</w:t>
      </w:r>
      <w:bookmarkEnd w:id="404"/>
      <w:bookmarkEnd w:id="405"/>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406" w:name="_Toc165449253"/>
      <w:bookmarkStart w:id="407" w:name="_Toc158981008"/>
      <w:r>
        <w:rPr>
          <w:rStyle w:val="CharSectno"/>
        </w:rPr>
        <w:t>159</w:t>
      </w:r>
      <w:r>
        <w:t>.</w:t>
      </w:r>
      <w:r>
        <w:tab/>
        <w:t>Provisions relating to requirement to remain at premises or remain quarantined</w:t>
      </w:r>
      <w:bookmarkEnd w:id="406"/>
      <w:bookmarkEnd w:id="407"/>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Subsection"/>
        <w:keepNext/>
      </w:pPr>
      <w:r>
        <w:tab/>
        <w:t>(5)</w:t>
      </w:r>
      <w:r>
        <w:tab/>
        <w:t>Despite subsection (1), if a direction under section 157(1)(c) or (i) is given to a class of person, the explanation required by subsection (1) may be set out in the direction.</w:t>
      </w:r>
    </w:p>
    <w:p>
      <w:pPr>
        <w:pStyle w:val="Footnotesection"/>
      </w:pPr>
      <w:r>
        <w:tab/>
        <w:t>[Section 159 amended: No. 33 of 2020 s. 7.]</w:t>
      </w:r>
    </w:p>
    <w:p>
      <w:pPr>
        <w:pStyle w:val="Heading5"/>
      </w:pPr>
      <w:bookmarkStart w:id="408" w:name="_Toc165449254"/>
      <w:bookmarkStart w:id="409" w:name="_Toc158981009"/>
      <w:r>
        <w:rPr>
          <w:rStyle w:val="CharSectno"/>
        </w:rPr>
        <w:t>160</w:t>
      </w:r>
      <w:r>
        <w:t>.</w:t>
      </w:r>
      <w:r>
        <w:tab/>
        <w:t>Review of requirement to remain at premises or remain quarantined</w:t>
      </w:r>
      <w:bookmarkEnd w:id="408"/>
      <w:bookmarkEnd w:id="409"/>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keepNext/>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Subsection"/>
      </w:pPr>
      <w:r>
        <w:tab/>
        <w:t>(3)</w:t>
      </w:r>
      <w:r>
        <w:tab/>
        <w:t>This section does not apply to a direction under section 157(1)(c) or (i)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160 amended: No. 33 of 2020 s. 8.]</w:t>
      </w:r>
    </w:p>
    <w:p>
      <w:pPr>
        <w:pStyle w:val="Heading5"/>
      </w:pPr>
      <w:bookmarkStart w:id="410" w:name="_Toc165449255"/>
      <w:bookmarkStart w:id="411" w:name="_Toc158981010"/>
      <w:r>
        <w:rPr>
          <w:rStyle w:val="CharSectno"/>
        </w:rPr>
        <w:t>161</w:t>
      </w:r>
      <w:r>
        <w:t>.</w:t>
      </w:r>
      <w:r>
        <w:tab/>
        <w:t>Authorised officer may be given assistance, and may use force</w:t>
      </w:r>
      <w:bookmarkEnd w:id="410"/>
      <w:bookmarkEnd w:id="411"/>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412" w:name="_Toc165449256"/>
      <w:bookmarkStart w:id="413" w:name="_Toc158981011"/>
      <w:r>
        <w:rPr>
          <w:rStyle w:val="CharSectno"/>
        </w:rPr>
        <w:t>162</w:t>
      </w:r>
      <w:r>
        <w:t>.</w:t>
      </w:r>
      <w:r>
        <w:tab/>
        <w:t>Failure to comply with requirements and directions</w:t>
      </w:r>
      <w:bookmarkEnd w:id="412"/>
      <w:bookmarkEnd w:id="413"/>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14" w:name="_Toc165449257"/>
      <w:bookmarkStart w:id="415" w:name="_Toc158981012"/>
      <w:r>
        <w:rPr>
          <w:rStyle w:val="CharSectno"/>
        </w:rPr>
        <w:t>163</w:t>
      </w:r>
      <w:r>
        <w:t>.</w:t>
      </w:r>
      <w:r>
        <w:tab/>
        <w:t>Review by State Administrative Tribunal</w:t>
      </w:r>
      <w:bookmarkEnd w:id="414"/>
      <w:bookmarkEnd w:id="415"/>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416" w:name="_Toc165383801"/>
      <w:bookmarkStart w:id="417" w:name="_Toc165384912"/>
      <w:bookmarkStart w:id="418" w:name="_Toc165449258"/>
      <w:bookmarkStart w:id="419" w:name="_Toc158974602"/>
      <w:bookmarkStart w:id="420" w:name="_Toc158974933"/>
      <w:bookmarkStart w:id="421" w:name="_Toc158981013"/>
      <w:r>
        <w:rPr>
          <w:rStyle w:val="CharPartNo"/>
        </w:rPr>
        <w:t>Part 12</w:t>
      </w:r>
      <w:r>
        <w:t> — </w:t>
      </w:r>
      <w:r>
        <w:rPr>
          <w:rStyle w:val="CharPartText"/>
        </w:rPr>
        <w:t>Public health emergencies</w:t>
      </w:r>
      <w:bookmarkEnd w:id="416"/>
      <w:bookmarkEnd w:id="417"/>
      <w:bookmarkEnd w:id="418"/>
      <w:bookmarkEnd w:id="419"/>
      <w:bookmarkEnd w:id="420"/>
      <w:bookmarkEnd w:id="421"/>
    </w:p>
    <w:p>
      <w:pPr>
        <w:pStyle w:val="Heading3"/>
      </w:pPr>
      <w:bookmarkStart w:id="422" w:name="_Toc165383802"/>
      <w:bookmarkStart w:id="423" w:name="_Toc165384913"/>
      <w:bookmarkStart w:id="424" w:name="_Toc165449259"/>
      <w:bookmarkStart w:id="425" w:name="_Toc158974603"/>
      <w:bookmarkStart w:id="426" w:name="_Toc158974934"/>
      <w:bookmarkStart w:id="427" w:name="_Toc158981014"/>
      <w:r>
        <w:rPr>
          <w:rStyle w:val="CharDivNo"/>
        </w:rPr>
        <w:t>Division 1</w:t>
      </w:r>
      <w:r>
        <w:t> — </w:t>
      </w:r>
      <w:r>
        <w:rPr>
          <w:rStyle w:val="CharDivText"/>
        </w:rPr>
        <w:t xml:space="preserve">Relationship to </w:t>
      </w:r>
      <w:r>
        <w:rPr>
          <w:rStyle w:val="CharDivText"/>
          <w:i/>
          <w:iCs/>
        </w:rPr>
        <w:t>Emergency Management Act 2005</w:t>
      </w:r>
      <w:bookmarkEnd w:id="422"/>
      <w:bookmarkEnd w:id="423"/>
      <w:bookmarkEnd w:id="424"/>
      <w:bookmarkEnd w:id="425"/>
      <w:bookmarkEnd w:id="426"/>
      <w:bookmarkEnd w:id="427"/>
    </w:p>
    <w:p>
      <w:pPr>
        <w:pStyle w:val="Heading5"/>
      </w:pPr>
      <w:bookmarkStart w:id="428" w:name="_Toc165449260"/>
      <w:bookmarkStart w:id="429" w:name="_Toc158981015"/>
      <w:r>
        <w:rPr>
          <w:rStyle w:val="CharSectno"/>
        </w:rPr>
        <w:t>164</w:t>
      </w:r>
      <w:r>
        <w:t>.</w:t>
      </w:r>
      <w:r>
        <w:tab/>
        <w:t xml:space="preserve">Relationship to </w:t>
      </w:r>
      <w:r>
        <w:rPr>
          <w:i/>
          <w:iCs/>
        </w:rPr>
        <w:t>Emergency Management Act 2005</w:t>
      </w:r>
      <w:bookmarkEnd w:id="428"/>
      <w:bookmarkEnd w:id="429"/>
    </w:p>
    <w:p>
      <w:pPr>
        <w:pStyle w:val="Subsection"/>
      </w:pPr>
      <w:r>
        <w:tab/>
        <w:t>(1)</w:t>
      </w:r>
      <w:r>
        <w:tab/>
        <w:t>Nothing in this Part prevents the making of an emergency situation declaration, a state of emergency declaration or a COVID</w:t>
      </w:r>
      <w:r>
        <w:noBreakHyphen/>
        <w:t xml:space="preserve">19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Footnotesection"/>
      </w:pPr>
      <w:r>
        <w:tab/>
        <w:t>[Section 164 amended: No. 33 of 2022 s. 20.]</w:t>
      </w:r>
    </w:p>
    <w:p>
      <w:pPr>
        <w:pStyle w:val="Heading3"/>
      </w:pPr>
      <w:bookmarkStart w:id="430" w:name="_Toc165383804"/>
      <w:bookmarkStart w:id="431" w:name="_Toc165384915"/>
      <w:bookmarkStart w:id="432" w:name="_Toc165449261"/>
      <w:bookmarkStart w:id="433" w:name="_Toc158974605"/>
      <w:bookmarkStart w:id="434" w:name="_Toc158974936"/>
      <w:bookmarkStart w:id="435" w:name="_Toc158981016"/>
      <w:r>
        <w:rPr>
          <w:rStyle w:val="CharDivNo"/>
        </w:rPr>
        <w:t>Division 2</w:t>
      </w:r>
      <w:r>
        <w:t> — </w:t>
      </w:r>
      <w:r>
        <w:rPr>
          <w:rStyle w:val="CharDivText"/>
        </w:rPr>
        <w:t>Public health emergency management plans</w:t>
      </w:r>
      <w:bookmarkEnd w:id="430"/>
      <w:bookmarkEnd w:id="431"/>
      <w:bookmarkEnd w:id="432"/>
      <w:bookmarkEnd w:id="433"/>
      <w:bookmarkEnd w:id="434"/>
      <w:bookmarkEnd w:id="435"/>
    </w:p>
    <w:p>
      <w:pPr>
        <w:pStyle w:val="Heading5"/>
      </w:pPr>
      <w:bookmarkStart w:id="436" w:name="_Toc165449262"/>
      <w:bookmarkStart w:id="437" w:name="_Toc158981017"/>
      <w:r>
        <w:rPr>
          <w:rStyle w:val="CharSectno"/>
        </w:rPr>
        <w:t>165</w:t>
      </w:r>
      <w:r>
        <w:t>.</w:t>
      </w:r>
      <w:r>
        <w:tab/>
        <w:t>Public health emergency management plans</w:t>
      </w:r>
      <w:bookmarkEnd w:id="436"/>
      <w:bookmarkEnd w:id="437"/>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438" w:name="_Toc165449263"/>
      <w:bookmarkStart w:id="439" w:name="_Toc158981018"/>
      <w:r>
        <w:rPr>
          <w:rStyle w:val="CharSectno"/>
        </w:rPr>
        <w:t>166</w:t>
      </w:r>
      <w:r>
        <w:t>.</w:t>
      </w:r>
      <w:r>
        <w:tab/>
        <w:t>Directions to, and duties of, public authorities</w:t>
      </w:r>
      <w:bookmarkEnd w:id="438"/>
      <w:bookmarkEnd w:id="439"/>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440" w:name="_Toc165383807"/>
      <w:bookmarkStart w:id="441" w:name="_Toc165384918"/>
      <w:bookmarkStart w:id="442" w:name="_Toc165449264"/>
      <w:bookmarkStart w:id="443" w:name="_Toc158974608"/>
      <w:bookmarkStart w:id="444" w:name="_Toc158974939"/>
      <w:bookmarkStart w:id="445" w:name="_Toc158981019"/>
      <w:r>
        <w:rPr>
          <w:rStyle w:val="CharDivNo"/>
        </w:rPr>
        <w:t>Division 3</w:t>
      </w:r>
      <w:r>
        <w:t> — </w:t>
      </w:r>
      <w:r>
        <w:rPr>
          <w:rStyle w:val="CharDivText"/>
        </w:rPr>
        <w:t>Public health state of emergency declarations</w:t>
      </w:r>
      <w:bookmarkEnd w:id="440"/>
      <w:bookmarkEnd w:id="441"/>
      <w:bookmarkEnd w:id="442"/>
      <w:bookmarkEnd w:id="443"/>
      <w:bookmarkEnd w:id="444"/>
      <w:bookmarkEnd w:id="445"/>
    </w:p>
    <w:p>
      <w:pPr>
        <w:pStyle w:val="Heading5"/>
      </w:pPr>
      <w:bookmarkStart w:id="446" w:name="_Toc165449265"/>
      <w:bookmarkStart w:id="447" w:name="_Toc158981020"/>
      <w:r>
        <w:rPr>
          <w:rStyle w:val="CharSectno"/>
        </w:rPr>
        <w:t>167</w:t>
      </w:r>
      <w:r>
        <w:t>.</w:t>
      </w:r>
      <w:r>
        <w:tab/>
        <w:t>Minister may make public health state of emergency declaration</w:t>
      </w:r>
      <w:bookmarkEnd w:id="446"/>
      <w:bookmarkEnd w:id="447"/>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448" w:name="_Toc165449266"/>
      <w:bookmarkStart w:id="449" w:name="_Toc158981021"/>
      <w:r>
        <w:rPr>
          <w:rStyle w:val="CharSectno"/>
        </w:rPr>
        <w:t>168</w:t>
      </w:r>
      <w:r>
        <w:t>.</w:t>
      </w:r>
      <w:r>
        <w:tab/>
        <w:t>Duration of public health state of emergency declaration</w:t>
      </w:r>
      <w:bookmarkEnd w:id="448"/>
      <w:bookmarkEnd w:id="449"/>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450" w:name="_Toc165449267"/>
      <w:bookmarkStart w:id="451" w:name="_Toc158981022"/>
      <w:r>
        <w:rPr>
          <w:rStyle w:val="CharSectno"/>
        </w:rPr>
        <w:t>169</w:t>
      </w:r>
      <w:r>
        <w:t>.</w:t>
      </w:r>
      <w:r>
        <w:tab/>
        <w:t>Amendment of public health state of emergency declaration</w:t>
      </w:r>
      <w:bookmarkEnd w:id="450"/>
      <w:bookmarkEnd w:id="451"/>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452" w:name="_Toc165449268"/>
      <w:bookmarkStart w:id="453" w:name="_Toc158981023"/>
      <w:r>
        <w:rPr>
          <w:rStyle w:val="CharSectno"/>
        </w:rPr>
        <w:t>170</w:t>
      </w:r>
      <w:r>
        <w:t>.</w:t>
      </w:r>
      <w:r>
        <w:tab/>
        <w:t>Extension of public health state of emergency declaration</w:t>
      </w:r>
      <w:bookmarkEnd w:id="452"/>
      <w:bookmarkEnd w:id="453"/>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454" w:name="_Toc165449269"/>
      <w:bookmarkStart w:id="455" w:name="_Toc158981024"/>
      <w:r>
        <w:rPr>
          <w:rStyle w:val="CharSectno"/>
        </w:rPr>
        <w:t>171</w:t>
      </w:r>
      <w:r>
        <w:t>.</w:t>
      </w:r>
      <w:r>
        <w:tab/>
        <w:t>Revocation of public health state of emergency declaration</w:t>
      </w:r>
      <w:bookmarkEnd w:id="454"/>
      <w:bookmarkEnd w:id="455"/>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456" w:name="_Toc165449270"/>
      <w:bookmarkStart w:id="457" w:name="_Toc158981025"/>
      <w:r>
        <w:rPr>
          <w:rStyle w:val="CharSectno"/>
        </w:rPr>
        <w:t>172</w:t>
      </w:r>
      <w:r>
        <w:t>.</w:t>
      </w:r>
      <w:r>
        <w:tab/>
        <w:t>Notice of declaration</w:t>
      </w:r>
      <w:bookmarkEnd w:id="456"/>
      <w:bookmarkEnd w:id="457"/>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458" w:name="_Toc165449271"/>
      <w:bookmarkStart w:id="459" w:name="_Toc158981026"/>
      <w:r>
        <w:rPr>
          <w:rStyle w:val="CharSectno"/>
        </w:rPr>
        <w:t>173</w:t>
      </w:r>
      <w:r>
        <w:t>.</w:t>
      </w:r>
      <w:r>
        <w:tab/>
        <w:t>Limitation of stay of operation of public health state of emergency declaration</w:t>
      </w:r>
      <w:bookmarkEnd w:id="458"/>
      <w:bookmarkEnd w:id="459"/>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460" w:name="_Toc165383815"/>
      <w:bookmarkStart w:id="461" w:name="_Toc165384926"/>
      <w:bookmarkStart w:id="462" w:name="_Toc165449272"/>
      <w:bookmarkStart w:id="463" w:name="_Toc158974616"/>
      <w:bookmarkStart w:id="464" w:name="_Toc158974947"/>
      <w:bookmarkStart w:id="465" w:name="_Toc158981027"/>
      <w:r>
        <w:rPr>
          <w:rStyle w:val="CharDivNo"/>
        </w:rPr>
        <w:t>Division 4</w:t>
      </w:r>
      <w:r>
        <w:t> — </w:t>
      </w:r>
      <w:r>
        <w:rPr>
          <w:rStyle w:val="CharDivText"/>
        </w:rPr>
        <w:t>Authorisation to exercise emergency powers</w:t>
      </w:r>
      <w:bookmarkEnd w:id="460"/>
      <w:bookmarkEnd w:id="461"/>
      <w:bookmarkEnd w:id="462"/>
      <w:bookmarkEnd w:id="463"/>
      <w:bookmarkEnd w:id="464"/>
      <w:bookmarkEnd w:id="465"/>
    </w:p>
    <w:p>
      <w:pPr>
        <w:pStyle w:val="Heading5"/>
      </w:pPr>
      <w:bookmarkStart w:id="466" w:name="_Toc165449273"/>
      <w:bookmarkStart w:id="467" w:name="_Toc158981028"/>
      <w:r>
        <w:rPr>
          <w:rStyle w:val="CharSectno"/>
        </w:rPr>
        <w:t>174</w:t>
      </w:r>
      <w:r>
        <w:t>.</w:t>
      </w:r>
      <w:r>
        <w:tab/>
        <w:t>Authorisation to exercise emergency powers during public health state of emergency</w:t>
      </w:r>
      <w:bookmarkEnd w:id="466"/>
      <w:bookmarkEnd w:id="467"/>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keepNext/>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468" w:name="_Toc165449274"/>
      <w:bookmarkStart w:id="469" w:name="_Toc158981029"/>
      <w:r>
        <w:rPr>
          <w:rStyle w:val="CharSectno"/>
        </w:rPr>
        <w:t>175</w:t>
      </w:r>
      <w:r>
        <w:t>.</w:t>
      </w:r>
      <w:r>
        <w:tab/>
        <w:t>Authorisation to state certain matters</w:t>
      </w:r>
      <w:bookmarkEnd w:id="468"/>
      <w:bookmarkEnd w:id="469"/>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470" w:name="_Toc165449275"/>
      <w:bookmarkStart w:id="471" w:name="_Toc158981030"/>
      <w:r>
        <w:rPr>
          <w:rStyle w:val="CharSectno"/>
        </w:rPr>
        <w:t>176</w:t>
      </w:r>
      <w:r>
        <w:t>.</w:t>
      </w:r>
      <w:r>
        <w:tab/>
        <w:t>Authorisation may be given orally or in writing</w:t>
      </w:r>
      <w:bookmarkEnd w:id="470"/>
      <w:bookmarkEnd w:id="471"/>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472" w:name="_Toc165383819"/>
      <w:bookmarkStart w:id="473" w:name="_Toc165384930"/>
      <w:bookmarkStart w:id="474" w:name="_Toc165449276"/>
      <w:bookmarkStart w:id="475" w:name="_Toc158974620"/>
      <w:bookmarkStart w:id="476" w:name="_Toc158974951"/>
      <w:bookmarkStart w:id="477" w:name="_Toc158981031"/>
      <w:r>
        <w:rPr>
          <w:rStyle w:val="CharDivNo"/>
        </w:rPr>
        <w:t>Division 5</w:t>
      </w:r>
      <w:r>
        <w:t> — </w:t>
      </w:r>
      <w:r>
        <w:rPr>
          <w:rStyle w:val="CharDivText"/>
        </w:rPr>
        <w:t>Emergency powers</w:t>
      </w:r>
      <w:bookmarkEnd w:id="472"/>
      <w:bookmarkEnd w:id="473"/>
      <w:bookmarkEnd w:id="474"/>
      <w:bookmarkEnd w:id="475"/>
      <w:bookmarkEnd w:id="476"/>
      <w:bookmarkEnd w:id="477"/>
    </w:p>
    <w:p>
      <w:pPr>
        <w:pStyle w:val="Heading5"/>
      </w:pPr>
      <w:bookmarkStart w:id="478" w:name="_Toc165449277"/>
      <w:bookmarkStart w:id="479" w:name="_Toc158981032"/>
      <w:r>
        <w:rPr>
          <w:rStyle w:val="CharSectno"/>
        </w:rPr>
        <w:t>177</w:t>
      </w:r>
      <w:r>
        <w:t>.</w:t>
      </w:r>
      <w:r>
        <w:tab/>
        <w:t>Terms used</w:t>
      </w:r>
      <w:bookmarkEnd w:id="478"/>
      <w:bookmarkEnd w:id="479"/>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80" w:name="_Toc165449278"/>
      <w:bookmarkStart w:id="481" w:name="_Toc158981033"/>
      <w:r>
        <w:rPr>
          <w:rStyle w:val="CharSectno"/>
        </w:rPr>
        <w:t>178</w:t>
      </w:r>
      <w:r>
        <w:t>.</w:t>
      </w:r>
      <w:r>
        <w:tab/>
        <w:t>Operation of this Division</w:t>
      </w:r>
      <w:bookmarkEnd w:id="480"/>
      <w:bookmarkEnd w:id="481"/>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482" w:name="_Toc165449279"/>
      <w:bookmarkStart w:id="483" w:name="_Toc158981034"/>
      <w:r>
        <w:rPr>
          <w:rStyle w:val="CharSectno"/>
        </w:rPr>
        <w:t>179</w:t>
      </w:r>
      <w:r>
        <w:t>.</w:t>
      </w:r>
      <w:r>
        <w:tab/>
        <w:t>Powers to obtain identifying particulars</w:t>
      </w:r>
      <w:bookmarkEnd w:id="482"/>
      <w:bookmarkEnd w:id="483"/>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484" w:name="_Toc165449280"/>
      <w:bookmarkStart w:id="485" w:name="_Toc158981035"/>
      <w:r>
        <w:rPr>
          <w:rStyle w:val="CharSectno"/>
        </w:rPr>
        <w:t>180</w:t>
      </w:r>
      <w:r>
        <w:t>.</w:t>
      </w:r>
      <w:r>
        <w:tab/>
        <w:t>Powers relating to movement and evacuation</w:t>
      </w:r>
      <w:bookmarkEnd w:id="484"/>
      <w:bookmarkEnd w:id="485"/>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 or</w:t>
      </w:r>
    </w:p>
    <w:p>
      <w:pPr>
        <w:pStyle w:val="Indenta"/>
      </w:pPr>
      <w:r>
        <w:tab/>
        <w:t>(d)</w:t>
      </w:r>
      <w:r>
        <w:tab/>
        <w:t>direct that any road, access route or area of water in or leading to the emergency area be closed.</w:t>
      </w:r>
    </w:p>
    <w:p>
      <w:pPr>
        <w:pStyle w:val="Footnotesection"/>
      </w:pPr>
      <w:r>
        <w:tab/>
        <w:t>[Section 180 amended: No. 33 of 2020 s. 9.]</w:t>
      </w:r>
    </w:p>
    <w:p>
      <w:pPr>
        <w:pStyle w:val="Heading5"/>
      </w:pPr>
      <w:bookmarkStart w:id="486" w:name="_Toc165449281"/>
      <w:bookmarkStart w:id="487" w:name="_Toc158981036"/>
      <w:r>
        <w:rPr>
          <w:rStyle w:val="CharSectno"/>
        </w:rPr>
        <w:t>181</w:t>
      </w:r>
      <w:r>
        <w:t>.</w:t>
      </w:r>
      <w:r>
        <w:tab/>
        <w:t>Powers to use vehicles</w:t>
      </w:r>
      <w:bookmarkEnd w:id="486"/>
      <w:bookmarkEnd w:id="487"/>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488" w:name="_Toc165449282"/>
      <w:bookmarkStart w:id="489" w:name="_Toc158981037"/>
      <w:r>
        <w:rPr>
          <w:rStyle w:val="CharSectno"/>
        </w:rPr>
        <w:t>182</w:t>
      </w:r>
      <w:r>
        <w:t>.</w:t>
      </w:r>
      <w:r>
        <w:tab/>
        <w:t>Powers to control or use premises or property</w:t>
      </w:r>
      <w:bookmarkEnd w:id="488"/>
      <w:bookmarkEnd w:id="489"/>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490" w:name="_Toc165449283"/>
      <w:bookmarkStart w:id="491" w:name="_Toc158981038"/>
      <w:r>
        <w:rPr>
          <w:rStyle w:val="CharSectno"/>
        </w:rPr>
        <w:t>183</w:t>
      </w:r>
      <w:r>
        <w:t>.</w:t>
      </w:r>
      <w:r>
        <w:tab/>
        <w:t>Powers in relation to drugs and vaccines</w:t>
      </w:r>
      <w:bookmarkEnd w:id="490"/>
      <w:bookmarkEnd w:id="491"/>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492" w:name="_Toc165449284"/>
      <w:bookmarkStart w:id="493" w:name="_Toc158981039"/>
      <w:r>
        <w:rPr>
          <w:rStyle w:val="CharSectno"/>
        </w:rPr>
        <w:t>184</w:t>
      </w:r>
      <w:r>
        <w:t>.</w:t>
      </w:r>
      <w:r>
        <w:tab/>
        <w:t>Powers in relation to quarantine and medical or other procedures</w:t>
      </w:r>
      <w:bookmarkEnd w:id="492"/>
      <w:bookmarkEnd w:id="493"/>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Subsection"/>
      </w:pPr>
      <w:r>
        <w:tab/>
        <w:t>(3)</w:t>
      </w:r>
      <w:r>
        <w:tab/>
        <w:t>A direction under subsection (1) may be given to a class of person.</w:t>
      </w:r>
    </w:p>
    <w:p>
      <w:pPr>
        <w:pStyle w:val="Footnotesection"/>
      </w:pPr>
      <w:r>
        <w:tab/>
        <w:t>[Section 184 amended: No. 33 of 2020 s. 10.]</w:t>
      </w:r>
    </w:p>
    <w:p>
      <w:pPr>
        <w:pStyle w:val="Heading5"/>
      </w:pPr>
      <w:bookmarkStart w:id="494" w:name="_Toc165449285"/>
      <w:bookmarkStart w:id="495" w:name="_Toc158981040"/>
      <w:r>
        <w:rPr>
          <w:rStyle w:val="CharSectno"/>
        </w:rPr>
        <w:t>185</w:t>
      </w:r>
      <w:r>
        <w:t>.</w:t>
      </w:r>
      <w:r>
        <w:tab/>
        <w:t>Enforcement of requirement to undergo medical observation or medical or other procedure</w:t>
      </w:r>
      <w:bookmarkEnd w:id="494"/>
      <w:bookmarkEnd w:id="495"/>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keepNext/>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496" w:name="_Toc165449286"/>
      <w:bookmarkStart w:id="497" w:name="_Toc158981041"/>
      <w:r>
        <w:rPr>
          <w:rStyle w:val="CharSectno"/>
        </w:rPr>
        <w:t>186</w:t>
      </w:r>
      <w:r>
        <w:t>.</w:t>
      </w:r>
      <w:r>
        <w:tab/>
        <w:t>Further provisions relating to requirement to remain in area or remain quarantined</w:t>
      </w:r>
      <w:bookmarkEnd w:id="496"/>
      <w:bookmarkEnd w:id="497"/>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Subsection"/>
        <w:keepLines/>
      </w:pPr>
      <w:r>
        <w:tab/>
        <w:t>(5)</w:t>
      </w:r>
      <w:r>
        <w:tab/>
        <w:t>Despite subsection (1), if a direction under section 184(1)(a) or (b) is given to a class of person, the explanation required by subsection (1) may be set out in the direction.</w:t>
      </w:r>
    </w:p>
    <w:p>
      <w:pPr>
        <w:pStyle w:val="Footnotesection"/>
      </w:pPr>
      <w:r>
        <w:tab/>
        <w:t>[Section 186 amended: No. 33 of 2020 s. 11.]</w:t>
      </w:r>
    </w:p>
    <w:p>
      <w:pPr>
        <w:pStyle w:val="Heading5"/>
      </w:pPr>
      <w:bookmarkStart w:id="498" w:name="_Toc165449287"/>
      <w:bookmarkStart w:id="499" w:name="_Toc158981042"/>
      <w:r>
        <w:rPr>
          <w:rStyle w:val="CharSectno"/>
        </w:rPr>
        <w:t>187</w:t>
      </w:r>
      <w:r>
        <w:t>.</w:t>
      </w:r>
      <w:r>
        <w:tab/>
        <w:t>Review of requirement to remain in area or remain quarantined</w:t>
      </w:r>
      <w:bookmarkEnd w:id="498"/>
      <w:bookmarkEnd w:id="499"/>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Subsection"/>
      </w:pPr>
      <w:r>
        <w:tab/>
        <w:t>(3)</w:t>
      </w:r>
      <w:r>
        <w:tab/>
        <w:t>This section does not apply to a direction under section 184(1)(a) or (b)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187 amended: No. 33 of 2020 s. 12.]</w:t>
      </w:r>
    </w:p>
    <w:p>
      <w:pPr>
        <w:pStyle w:val="Heading5"/>
      </w:pPr>
      <w:bookmarkStart w:id="500" w:name="_Toc165449288"/>
      <w:bookmarkStart w:id="501" w:name="_Toc158981043"/>
      <w:r>
        <w:rPr>
          <w:rStyle w:val="CharSectno"/>
        </w:rPr>
        <w:t>188</w:t>
      </w:r>
      <w:r>
        <w:t>.</w:t>
      </w:r>
      <w:r>
        <w:tab/>
        <w:t>Information sharing</w:t>
      </w:r>
      <w:bookmarkEnd w:id="500"/>
      <w:bookmarkEnd w:id="501"/>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502" w:name="_Toc165449289"/>
      <w:bookmarkStart w:id="503" w:name="_Toc158981044"/>
      <w:r>
        <w:rPr>
          <w:rStyle w:val="CharSectno"/>
        </w:rPr>
        <w:t>189</w:t>
      </w:r>
      <w:r>
        <w:t>.</w:t>
      </w:r>
      <w:r>
        <w:tab/>
        <w:t>Regulations about information sharing for purposes of section 188</w:t>
      </w:r>
      <w:bookmarkEnd w:id="502"/>
      <w:bookmarkEnd w:id="503"/>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504" w:name="_Toc165449290"/>
      <w:bookmarkStart w:id="505" w:name="_Toc158981045"/>
      <w:r>
        <w:rPr>
          <w:rStyle w:val="CharSectno"/>
        </w:rPr>
        <w:t>190</w:t>
      </w:r>
      <w:r>
        <w:t>.</w:t>
      </w:r>
      <w:r>
        <w:tab/>
        <w:t>Other emergency powers</w:t>
      </w:r>
      <w:bookmarkEnd w:id="504"/>
      <w:bookmarkEnd w:id="505"/>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506" w:name="_Toc165449291"/>
      <w:bookmarkStart w:id="507" w:name="_Toc158981046"/>
      <w:r>
        <w:rPr>
          <w:rStyle w:val="CharSectno"/>
        </w:rPr>
        <w:t>191</w:t>
      </w:r>
      <w:r>
        <w:t>.</w:t>
      </w:r>
      <w:r>
        <w:tab/>
        <w:t>Further provisions relating to power to detain under section 185(1) or 190(1)(o)</w:t>
      </w:r>
      <w:bookmarkEnd w:id="506"/>
      <w:bookmarkEnd w:id="507"/>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keepNext/>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keepNext/>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508" w:name="_Toc165449292"/>
      <w:bookmarkStart w:id="509" w:name="_Toc158981047"/>
      <w:r>
        <w:rPr>
          <w:rStyle w:val="CharSectno"/>
        </w:rPr>
        <w:t>192</w:t>
      </w:r>
      <w:r>
        <w:t>.</w:t>
      </w:r>
      <w:r>
        <w:tab/>
        <w:t>Review of detention</w:t>
      </w:r>
      <w:bookmarkEnd w:id="508"/>
      <w:bookmarkEnd w:id="509"/>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510" w:name="_Toc165449293"/>
      <w:bookmarkStart w:id="511" w:name="_Toc158981048"/>
      <w:r>
        <w:rPr>
          <w:rStyle w:val="CharSectno"/>
        </w:rPr>
        <w:t>193</w:t>
      </w:r>
      <w:r>
        <w:t>.</w:t>
      </w:r>
      <w:r>
        <w:tab/>
        <w:t>Minister to be informed of detention or release from detention</w:t>
      </w:r>
      <w:bookmarkEnd w:id="510"/>
      <w:bookmarkEnd w:id="511"/>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512" w:name="_Toc165449294"/>
      <w:bookmarkStart w:id="513" w:name="_Toc158981049"/>
      <w:r>
        <w:rPr>
          <w:rStyle w:val="CharSectno"/>
        </w:rPr>
        <w:t>194</w:t>
      </w:r>
      <w:r>
        <w:t>.</w:t>
      </w:r>
      <w:r>
        <w:tab/>
        <w:t>Review by State Administrative Tribunal</w:t>
      </w:r>
      <w:bookmarkEnd w:id="512"/>
      <w:bookmarkEnd w:id="513"/>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514" w:name="_Toc165383838"/>
      <w:bookmarkStart w:id="515" w:name="_Toc165384949"/>
      <w:bookmarkStart w:id="516" w:name="_Toc165449295"/>
      <w:bookmarkStart w:id="517" w:name="_Toc158974639"/>
      <w:bookmarkStart w:id="518" w:name="_Toc158974970"/>
      <w:bookmarkStart w:id="519" w:name="_Toc158981050"/>
      <w:r>
        <w:rPr>
          <w:rStyle w:val="CharDivNo"/>
        </w:rPr>
        <w:t>Division 6</w:t>
      </w:r>
      <w:r>
        <w:t> — </w:t>
      </w:r>
      <w:r>
        <w:rPr>
          <w:rStyle w:val="CharDivText"/>
        </w:rPr>
        <w:t>Other powers exercisable during public health state of emergency</w:t>
      </w:r>
      <w:bookmarkEnd w:id="514"/>
      <w:bookmarkEnd w:id="515"/>
      <w:bookmarkEnd w:id="516"/>
      <w:bookmarkEnd w:id="517"/>
      <w:bookmarkEnd w:id="518"/>
      <w:bookmarkEnd w:id="519"/>
    </w:p>
    <w:p>
      <w:pPr>
        <w:pStyle w:val="Heading5"/>
      </w:pPr>
      <w:bookmarkStart w:id="520" w:name="_Toc165449296"/>
      <w:bookmarkStart w:id="521" w:name="_Toc158981051"/>
      <w:r>
        <w:rPr>
          <w:rStyle w:val="CharSectno"/>
        </w:rPr>
        <w:t>195</w:t>
      </w:r>
      <w:r>
        <w:t>.</w:t>
      </w:r>
      <w:r>
        <w:tab/>
        <w:t>Powers of police relating to closure of places, movement and evacuation</w:t>
      </w:r>
      <w:bookmarkEnd w:id="520"/>
      <w:bookmarkEnd w:id="521"/>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522" w:name="_Toc165449297"/>
      <w:bookmarkStart w:id="523" w:name="_Toc158981052"/>
      <w:r>
        <w:rPr>
          <w:rStyle w:val="CharSectno"/>
        </w:rPr>
        <w:t>196</w:t>
      </w:r>
      <w:r>
        <w:t>.</w:t>
      </w:r>
      <w:r>
        <w:tab/>
        <w:t>Power of Chief Health Officer to direct public authorities during public health state of emergency</w:t>
      </w:r>
      <w:bookmarkEnd w:id="522"/>
      <w:bookmarkEnd w:id="523"/>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keepNext/>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524" w:name="_Toc165449298"/>
      <w:bookmarkStart w:id="525" w:name="_Toc158981053"/>
      <w:r>
        <w:rPr>
          <w:rStyle w:val="CharSectno"/>
        </w:rPr>
        <w:t>197</w:t>
      </w:r>
      <w:r>
        <w:t>.</w:t>
      </w:r>
      <w:r>
        <w:tab/>
        <w:t>Chief Health Officer may authorise persons to administer, manufacture, supply or prescribe poisons</w:t>
      </w:r>
      <w:bookmarkEnd w:id="524"/>
      <w:bookmarkEnd w:id="525"/>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For the purposes of emergency management during a public health state of emergency, or COVID</w:t>
      </w:r>
      <w:r>
        <w:noBreakHyphen/>
        <w:t>19 management while a COVID</w:t>
      </w:r>
      <w:r>
        <w:noBreakHyphen/>
        <w:t xml:space="preserve">19 declaration is in force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Footnotesection"/>
      </w:pPr>
      <w:r>
        <w:tab/>
        <w:t>[Section 197 amended: No. 33 of 2022 s. 21.]</w:t>
      </w:r>
    </w:p>
    <w:p>
      <w:pPr>
        <w:pStyle w:val="Heading5"/>
      </w:pPr>
      <w:bookmarkStart w:id="526" w:name="_Toc165449299"/>
      <w:bookmarkStart w:id="527" w:name="_Toc158981054"/>
      <w:r>
        <w:rPr>
          <w:rStyle w:val="CharSectno"/>
        </w:rPr>
        <w:t>198</w:t>
      </w:r>
      <w:r>
        <w:t>.</w:t>
      </w:r>
      <w:r>
        <w:tab/>
        <w:t>Further provisions relating to authority to administer, manufacture, supply or prescribe poisons</w:t>
      </w:r>
      <w:bookmarkEnd w:id="526"/>
      <w:bookmarkEnd w:id="527"/>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or COVID</w:t>
      </w:r>
      <w:r>
        <w:noBreakHyphen/>
        <w:t>19 declaration,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Footnotesection"/>
      </w:pPr>
      <w:r>
        <w:tab/>
        <w:t>[Section 198 amended: No. 33 of 2022 s. 22.]</w:t>
      </w:r>
    </w:p>
    <w:p>
      <w:pPr>
        <w:pStyle w:val="Heading3"/>
      </w:pPr>
      <w:bookmarkStart w:id="528" w:name="_Toc165383843"/>
      <w:bookmarkStart w:id="529" w:name="_Toc165384954"/>
      <w:bookmarkStart w:id="530" w:name="_Toc165449300"/>
      <w:bookmarkStart w:id="531" w:name="_Toc158974644"/>
      <w:bookmarkStart w:id="532" w:name="_Toc158974975"/>
      <w:bookmarkStart w:id="533" w:name="_Toc158981055"/>
      <w:r>
        <w:rPr>
          <w:rStyle w:val="CharDivNo"/>
        </w:rPr>
        <w:t>Division 7</w:t>
      </w:r>
      <w:r>
        <w:t> — </w:t>
      </w:r>
      <w:r>
        <w:rPr>
          <w:rStyle w:val="CharDivText"/>
        </w:rPr>
        <w:t>General provisions</w:t>
      </w:r>
      <w:bookmarkEnd w:id="528"/>
      <w:bookmarkEnd w:id="529"/>
      <w:bookmarkEnd w:id="530"/>
      <w:bookmarkEnd w:id="531"/>
      <w:bookmarkEnd w:id="532"/>
      <w:bookmarkEnd w:id="533"/>
    </w:p>
    <w:p>
      <w:pPr>
        <w:pStyle w:val="Heading5"/>
        <w:spacing w:before="180"/>
      </w:pPr>
      <w:bookmarkStart w:id="534" w:name="_Toc165449301"/>
      <w:bookmarkStart w:id="535" w:name="_Toc158981056"/>
      <w:r>
        <w:rPr>
          <w:rStyle w:val="CharSectno"/>
        </w:rPr>
        <w:t>199</w:t>
      </w:r>
      <w:r>
        <w:t>.</w:t>
      </w:r>
      <w:r>
        <w:tab/>
        <w:t>General provisions regarding powers</w:t>
      </w:r>
      <w:bookmarkEnd w:id="534"/>
      <w:bookmarkEnd w:id="535"/>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536" w:name="_Toc165449302"/>
      <w:bookmarkStart w:id="537" w:name="_Toc158981057"/>
      <w:r>
        <w:rPr>
          <w:rStyle w:val="CharSectno"/>
        </w:rPr>
        <w:t>200</w:t>
      </w:r>
      <w:r>
        <w:t>.</w:t>
      </w:r>
      <w:r>
        <w:tab/>
        <w:t>General provisions regarding directions</w:t>
      </w:r>
      <w:bookmarkEnd w:id="536"/>
      <w:bookmarkEnd w:id="537"/>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(2A)</w:t>
      </w:r>
      <w:r>
        <w:tab/>
        <w:t xml:space="preserve">A direction under section 180 or 184(1)(a) or (b) that is given to a class of person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public health emergency.</w:t>
      </w:r>
    </w:p>
    <w:p>
      <w:pPr>
        <w:pStyle w:val="Subsection"/>
      </w:pPr>
      <w:r>
        <w:tab/>
        <w:t>(3)</w:t>
      </w:r>
      <w:r>
        <w:tab/>
        <w:t>Failure to comply with subsection (2) does not invalidate the direction.</w:t>
      </w:r>
    </w:p>
    <w:p>
      <w:pPr>
        <w:pStyle w:val="Footnotesection"/>
      </w:pPr>
      <w:r>
        <w:tab/>
        <w:t>[Section 200 amended: No. 33 of 2020 s. 13.]</w:t>
      </w:r>
    </w:p>
    <w:p>
      <w:pPr>
        <w:pStyle w:val="Heading5"/>
      </w:pPr>
      <w:bookmarkStart w:id="538" w:name="_Toc165449303"/>
      <w:bookmarkStart w:id="539" w:name="_Toc158981058"/>
      <w:r>
        <w:rPr>
          <w:rStyle w:val="CharSectno"/>
        </w:rPr>
        <w:t>201</w:t>
      </w:r>
      <w:r>
        <w:t>.</w:t>
      </w:r>
      <w:r>
        <w:tab/>
        <w:t xml:space="preserve">Direction under </w:t>
      </w:r>
      <w:r>
        <w:rPr>
          <w:i/>
        </w:rPr>
        <w:t>Emergency Management Act 2005</w:t>
      </w:r>
      <w:r>
        <w:t xml:space="preserve"> prevails over inconsistent direction under this Part</w:t>
      </w:r>
      <w:bookmarkEnd w:id="538"/>
      <w:bookmarkEnd w:id="539"/>
    </w:p>
    <w:p>
      <w:pPr>
        <w:pStyle w:val="Subsection"/>
      </w:pPr>
      <w:r>
        <w:tab/>
      </w:r>
      <w:r>
        <w:tab/>
        <w:t xml:space="preserve">If a direction given under this Part is in conflict or inconsistent with a direction given under the </w:t>
      </w:r>
      <w:r>
        <w:rPr>
          <w:i/>
        </w:rPr>
        <w:t>Emergency Management Act 2005</w:t>
      </w:r>
      <w:r>
        <w:t xml:space="preserve"> Part 6 or 6A, the direction given under that Part of that Act prevails to the extent to which the directions are in conflict or inconsistent.</w:t>
      </w:r>
    </w:p>
    <w:p>
      <w:pPr>
        <w:pStyle w:val="Footnotesection"/>
      </w:pPr>
      <w:r>
        <w:tab/>
        <w:t>[Section 201 amended: No. 33 of 2022 s. 23.]</w:t>
      </w:r>
    </w:p>
    <w:p>
      <w:pPr>
        <w:pStyle w:val="Heading5"/>
      </w:pPr>
      <w:bookmarkStart w:id="540" w:name="_Toc165449304"/>
      <w:bookmarkStart w:id="541" w:name="_Toc158981059"/>
      <w:r>
        <w:rPr>
          <w:rStyle w:val="CharSectno"/>
        </w:rPr>
        <w:t>202</w:t>
      </w:r>
      <w:r>
        <w:t>.</w:t>
      </w:r>
      <w:r>
        <w:tab/>
        <w:t>Failure to comply with directions</w:t>
      </w:r>
      <w:bookmarkEnd w:id="540"/>
      <w:bookmarkEnd w:id="541"/>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542" w:name="_Toc165383848"/>
      <w:bookmarkStart w:id="543" w:name="_Toc165384959"/>
      <w:bookmarkStart w:id="544" w:name="_Toc165449305"/>
      <w:bookmarkStart w:id="545" w:name="_Toc158974649"/>
      <w:bookmarkStart w:id="546" w:name="_Toc158974980"/>
      <w:bookmarkStart w:id="547" w:name="_Toc158981060"/>
      <w:r>
        <w:rPr>
          <w:rStyle w:val="CharPartNo"/>
        </w:rPr>
        <w:t>Part 12A</w:t>
      </w:r>
      <w:r>
        <w:rPr>
          <w:rStyle w:val="CharDivNo"/>
        </w:rPr>
        <w:t> </w:t>
      </w:r>
      <w:r>
        <w:t>—</w:t>
      </w:r>
      <w:r>
        <w:rPr>
          <w:rStyle w:val="CharDivText"/>
        </w:rPr>
        <w:t> </w:t>
      </w:r>
      <w:r>
        <w:rPr>
          <w:rStyle w:val="CharPartText"/>
        </w:rPr>
        <w:t>Infectious disease extreme circumstance declarations</w:t>
      </w:r>
      <w:bookmarkEnd w:id="542"/>
      <w:bookmarkEnd w:id="543"/>
      <w:bookmarkEnd w:id="544"/>
      <w:bookmarkEnd w:id="545"/>
      <w:bookmarkEnd w:id="546"/>
      <w:bookmarkEnd w:id="547"/>
    </w:p>
    <w:p>
      <w:pPr>
        <w:pStyle w:val="Footnoteheading"/>
      </w:pPr>
      <w:r>
        <w:tab/>
        <w:t>[Heading inserted: No. 33 of 2020 s. 14.]</w:t>
      </w:r>
    </w:p>
    <w:p>
      <w:pPr>
        <w:pStyle w:val="Heading5"/>
      </w:pPr>
      <w:bookmarkStart w:id="548" w:name="_Toc165449306"/>
      <w:bookmarkStart w:id="549" w:name="_Toc158981061"/>
      <w:r>
        <w:rPr>
          <w:rStyle w:val="CharSectno"/>
        </w:rPr>
        <w:t>202A</w:t>
      </w:r>
      <w:r>
        <w:t>.</w:t>
      </w:r>
      <w:r>
        <w:tab/>
        <w:t>Minister may make IDEC declaration</w:t>
      </w:r>
      <w:bookmarkEnd w:id="548"/>
      <w:bookmarkEnd w:id="549"/>
    </w:p>
    <w:p>
      <w:pPr>
        <w:pStyle w:val="Subsection"/>
      </w:pPr>
      <w:r>
        <w:tab/>
        <w:t>(1)</w:t>
      </w:r>
      <w:r>
        <w:tab/>
        <w:t xml:space="preserve">In this section — </w:t>
      </w:r>
    </w:p>
    <w:p>
      <w:pPr>
        <w:pStyle w:val="Defstart"/>
      </w:pPr>
      <w:r>
        <w:tab/>
      </w:r>
      <w:r>
        <w:rPr>
          <w:rStyle w:val="CharDefText"/>
        </w:rPr>
        <w:t>IDEC declaration</w:t>
      </w:r>
      <w:r>
        <w:t xml:space="preserve"> means an infectious disease extreme circumstance declaration under subsection (2).</w:t>
      </w:r>
    </w:p>
    <w:p>
      <w:pPr>
        <w:pStyle w:val="Subsection"/>
      </w:pPr>
      <w:r>
        <w:tab/>
        <w:t>(2)</w:t>
      </w:r>
      <w:r>
        <w:tab/>
        <w:t>The Minister may, in writing, make a declaration that an infectious disease extreme circumstance exists in the whole of the State or in any area or areas of the State.</w:t>
      </w:r>
    </w:p>
    <w:p>
      <w:pPr>
        <w:pStyle w:val="Subsection"/>
      </w:pPr>
      <w:r>
        <w:tab/>
        <w:t>(3)</w:t>
      </w:r>
      <w:r>
        <w:tab/>
        <w:t xml:space="preserve">The Minister cannot make an IDEC declaration unless the Minister — </w:t>
      </w:r>
    </w:p>
    <w:p>
      <w:pPr>
        <w:pStyle w:val="Indenta"/>
      </w:pPr>
      <w:r>
        <w:tab/>
        <w:t>(a)</w:t>
      </w:r>
      <w:r>
        <w:tab/>
        <w:t>has considered the advice of the Chief Health Officer; and</w:t>
      </w:r>
    </w:p>
    <w:p>
      <w:pPr>
        <w:pStyle w:val="Indenta"/>
      </w:pPr>
      <w:r>
        <w:tab/>
        <w:t>(b)</w:t>
      </w:r>
      <w:r>
        <w:tab/>
        <w:t>is satisfied that an urgently notifiable infectious disease is posing a severe and immediate threat, or is causing harm, to human health on a significant scale; and</w:t>
      </w:r>
    </w:p>
    <w:p>
      <w:pPr>
        <w:pStyle w:val="Indenta"/>
      </w:pPr>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p>
    <w:p>
      <w:pPr>
        <w:pStyle w:val="Indenti"/>
      </w:pPr>
      <w:r>
        <w:tab/>
        <w:t>(i)</w:t>
      </w:r>
      <w:r>
        <w:tab/>
        <w:t>the entry of the disease into the State; or</w:t>
      </w:r>
    </w:p>
    <w:p>
      <w:pPr>
        <w:pStyle w:val="Indenti"/>
      </w:pPr>
      <w:r>
        <w:tab/>
        <w:t>(ii)</w:t>
      </w:r>
      <w:r>
        <w:tab/>
        <w:t>the emergence, establishment or spread of the disease in the State.</w:t>
      </w:r>
    </w:p>
    <w:p>
      <w:pPr>
        <w:pStyle w:val="Subsection"/>
      </w:pPr>
      <w:r>
        <w:tab/>
        <w:t>(4)</w:t>
      </w:r>
      <w:r>
        <w:tab/>
        <w:t xml:space="preserve">An IDEC declaration must — </w:t>
      </w:r>
    </w:p>
    <w:p>
      <w:pPr>
        <w:pStyle w:val="Indenta"/>
      </w:pPr>
      <w:r>
        <w:tab/>
        <w:t>(a)</w:t>
      </w:r>
      <w:r>
        <w:tab/>
        <w:t>specify the urgently notifiable infectious disease to which it relates; and</w:t>
      </w:r>
    </w:p>
    <w:p>
      <w:pPr>
        <w:pStyle w:val="Indenta"/>
      </w:pPr>
      <w:r>
        <w:tab/>
        <w:t>(b)</w:t>
      </w:r>
      <w:r>
        <w:tab/>
        <w:t xml:space="preserve">include — </w:t>
      </w:r>
    </w:p>
    <w:p>
      <w:pPr>
        <w:pStyle w:val="Indenti"/>
      </w:pPr>
      <w:r>
        <w:tab/>
        <w:t>(i)</w:t>
      </w:r>
      <w:r>
        <w:tab/>
        <w:t>details of the infectious disease extreme circumstance that is the basis of the declaration; and</w:t>
      </w:r>
    </w:p>
    <w:p>
      <w:pPr>
        <w:pStyle w:val="Indenti"/>
      </w:pPr>
      <w:r>
        <w:tab/>
        <w:t>(ii)</w:t>
      </w:r>
      <w:r>
        <w:tab/>
        <w:t>the time when, and date on which, the declaration is made.</w:t>
      </w:r>
    </w:p>
    <w:p>
      <w:pPr>
        <w:pStyle w:val="Subsection"/>
      </w:pPr>
      <w:r>
        <w:tab/>
        <w:t>(5)</w:t>
      </w:r>
      <w:r>
        <w:tab/>
        <w:t>The making of an IDEC declaration does not prevent the making of further IDEC declarations in relation to the same or a different infectious disease extreme circumstance.</w:t>
      </w:r>
    </w:p>
    <w:p>
      <w:pPr>
        <w:pStyle w:val="Footnotesection"/>
      </w:pPr>
      <w:r>
        <w:tab/>
        <w:t>[Section 202A inserted: No. 33 of 2020 s. 14.]</w:t>
      </w:r>
    </w:p>
    <w:p>
      <w:pPr>
        <w:pStyle w:val="Heading5"/>
      </w:pPr>
      <w:bookmarkStart w:id="550" w:name="_Toc165449307"/>
      <w:bookmarkStart w:id="551" w:name="_Toc158981062"/>
      <w:r>
        <w:rPr>
          <w:rStyle w:val="CharSectno"/>
        </w:rPr>
        <w:t>202B</w:t>
      </w:r>
      <w:r>
        <w:t>.</w:t>
      </w:r>
      <w:r>
        <w:tab/>
        <w:t>Duration of IDEC declaration</w:t>
      </w:r>
      <w:bookmarkEnd w:id="550"/>
      <w:bookmarkEnd w:id="551"/>
    </w:p>
    <w:p>
      <w:pPr>
        <w:pStyle w:val="Subsection"/>
      </w:pPr>
      <w:r>
        <w:tab/>
      </w:r>
      <w:r>
        <w:tab/>
        <w:t xml:space="preserve">An IDEC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202C or sooner revoked under section 202D, remains in force until the end of the period of 3 months commencing on the day on which it first has effect.</w:t>
      </w:r>
    </w:p>
    <w:p>
      <w:pPr>
        <w:pStyle w:val="Footnotesection"/>
      </w:pPr>
      <w:r>
        <w:tab/>
        <w:t>[Section 202B inserted: No. 33 of 2020 s. 14.]</w:t>
      </w:r>
    </w:p>
    <w:p>
      <w:pPr>
        <w:pStyle w:val="Heading5"/>
      </w:pPr>
      <w:bookmarkStart w:id="552" w:name="_Toc165449308"/>
      <w:bookmarkStart w:id="553" w:name="_Toc158981063"/>
      <w:r>
        <w:rPr>
          <w:rStyle w:val="CharSectno"/>
        </w:rPr>
        <w:t>202C</w:t>
      </w:r>
      <w:r>
        <w:t>.</w:t>
      </w:r>
      <w:r>
        <w:tab/>
        <w:t>Extension of IDEC declaration</w:t>
      </w:r>
      <w:bookmarkEnd w:id="552"/>
      <w:bookmarkEnd w:id="553"/>
    </w:p>
    <w:p>
      <w:pPr>
        <w:pStyle w:val="Subsection"/>
      </w:pPr>
      <w:r>
        <w:tab/>
        <w:t>(1)</w:t>
      </w:r>
      <w:r>
        <w:tab/>
        <w:t>The Minister may by written declaration extend, or from time to time further extend, the duration of an IDEC declaration.</w:t>
      </w:r>
    </w:p>
    <w:p>
      <w:pPr>
        <w:pStyle w:val="Subsection"/>
      </w:pPr>
      <w:r>
        <w:tab/>
        <w:t>(2)</w:t>
      </w:r>
      <w:r>
        <w:tab/>
        <w:t>Section 202A(3) applies in relation to a declaration extending, or further extending, the duration of an IDEC declaration in the same way that it applies to the original IDEC declaration.</w:t>
      </w:r>
    </w:p>
    <w:p>
      <w:pPr>
        <w:pStyle w:val="Subsection"/>
      </w:pPr>
      <w:r>
        <w:tab/>
        <w:t>(3)</w:t>
      </w:r>
      <w:r>
        <w:tab/>
        <w:t xml:space="preserve">A declaration extending, or further extending, the duration of an IDEC declaration — </w:t>
      </w:r>
    </w:p>
    <w:p>
      <w:pPr>
        <w:pStyle w:val="Indenta"/>
      </w:pPr>
      <w:r>
        <w:tab/>
        <w:t>(a)</w:t>
      </w:r>
      <w:r>
        <w:tab/>
        <w:t>must state the period by which the duration of the IDEC declaration is extended; and</w:t>
      </w:r>
    </w:p>
    <w:p>
      <w:pPr>
        <w:pStyle w:val="Indenta"/>
      </w:pPr>
      <w:r>
        <w:tab/>
        <w:t>(b)</w:t>
      </w:r>
      <w:r>
        <w:tab/>
        <w:t>must include the time when, and date on which, it is made; and</w:t>
      </w:r>
    </w:p>
    <w:p>
      <w:pPr>
        <w:pStyle w:val="Indenta"/>
      </w:pPr>
      <w:r>
        <w:tab/>
        <w:t>(c)</w:t>
      </w:r>
      <w:r>
        <w:tab/>
        <w:t>remains in force until the end of the period stated under paragraph (a) unless the IDEC declaration is sooner revoked under section 202D.</w:t>
      </w:r>
    </w:p>
    <w:p>
      <w:pPr>
        <w:pStyle w:val="Subsection"/>
      </w:pPr>
      <w:r>
        <w:tab/>
        <w:t>(4)</w:t>
      </w:r>
      <w:r>
        <w:tab/>
        <w:t>Each extension, or further extension, of the duration of an IDEC declaration cannot exceed 3 months, but there is no limit on the number of extensions as long as subsection (2) is complied with.</w:t>
      </w:r>
    </w:p>
    <w:p>
      <w:pPr>
        <w:pStyle w:val="Subsection"/>
      </w:pPr>
      <w:r>
        <w:tab/>
        <w:t>(5)</w:t>
      </w:r>
      <w:r>
        <w:tab/>
        <w:t>A declaration extending, or further extending, the duration of an IDEC declaration has effect on and from the time it is made.</w:t>
      </w:r>
    </w:p>
    <w:p>
      <w:pPr>
        <w:pStyle w:val="Footnotesection"/>
      </w:pPr>
      <w:r>
        <w:tab/>
        <w:t>[Section 202C inserted: No. 33 of 2020 s. 14.]</w:t>
      </w:r>
    </w:p>
    <w:p>
      <w:pPr>
        <w:pStyle w:val="Heading5"/>
      </w:pPr>
      <w:bookmarkStart w:id="554" w:name="_Toc165449309"/>
      <w:bookmarkStart w:id="555" w:name="_Toc158981064"/>
      <w:r>
        <w:rPr>
          <w:rStyle w:val="CharSectno"/>
        </w:rPr>
        <w:t>202D</w:t>
      </w:r>
      <w:r>
        <w:t>.</w:t>
      </w:r>
      <w:r>
        <w:tab/>
        <w:t>Revocation of IDEC declaration</w:t>
      </w:r>
      <w:bookmarkEnd w:id="554"/>
      <w:bookmarkEnd w:id="555"/>
    </w:p>
    <w:p>
      <w:pPr>
        <w:pStyle w:val="Subsection"/>
      </w:pPr>
      <w:r>
        <w:tab/>
        <w:t>(1)</w:t>
      </w:r>
      <w:r>
        <w:tab/>
        <w:t>The Minister may, by written declaration, revoke an IDEC declaration at any time.</w:t>
      </w:r>
    </w:p>
    <w:p>
      <w:pPr>
        <w:pStyle w:val="Subsection"/>
      </w:pPr>
      <w:r>
        <w:tab/>
        <w:t>(2)</w:t>
      </w:r>
      <w:r>
        <w:tab/>
        <w:t>The revocation must include the time when, and date on which, it is made.</w:t>
      </w:r>
    </w:p>
    <w:p>
      <w:pPr>
        <w:pStyle w:val="Subsection"/>
      </w:pPr>
      <w:r>
        <w:tab/>
        <w:t>(3)</w:t>
      </w:r>
      <w:r>
        <w:tab/>
        <w:t>A declaration under this section has effect at the time it is made, or any later time specified in the declaration.</w:t>
      </w:r>
    </w:p>
    <w:p>
      <w:pPr>
        <w:pStyle w:val="Subsection"/>
      </w:pPr>
      <w:r>
        <w:tab/>
        <w:t>(4)</w:t>
      </w:r>
      <w:r>
        <w:tab/>
        <w:t xml:space="preserve">Despite any other written law, the revocation of an IDEC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Footnotesection"/>
      </w:pPr>
      <w:r>
        <w:tab/>
        <w:t>[Section 202D inserted: No. 33 of 2020 s. 14.]</w:t>
      </w:r>
    </w:p>
    <w:p>
      <w:pPr>
        <w:pStyle w:val="Heading5"/>
      </w:pPr>
      <w:bookmarkStart w:id="556" w:name="_Toc165449310"/>
      <w:bookmarkStart w:id="557" w:name="_Toc158981065"/>
      <w:r>
        <w:rPr>
          <w:rStyle w:val="CharSectno"/>
        </w:rPr>
        <w:t>202E</w:t>
      </w:r>
      <w:r>
        <w:t>.</w:t>
      </w:r>
      <w:r>
        <w:tab/>
        <w:t>Notice of declaration</w:t>
      </w:r>
      <w:bookmarkEnd w:id="556"/>
      <w:bookmarkEnd w:id="557"/>
    </w:p>
    <w:p>
      <w:pPr>
        <w:pStyle w:val="Subsection"/>
      </w:pPr>
      <w:r>
        <w:tab/>
        <w:t>(1)</w:t>
      </w:r>
      <w:r>
        <w:tab/>
        <w:t>The Minister must publish notice of a declaration made under section 202A, 202C or 202D.</w:t>
      </w:r>
    </w:p>
    <w:p>
      <w:pPr>
        <w:pStyle w:val="Subsection"/>
      </w:pPr>
      <w:r>
        <w:tab/>
        <w:t>(2)</w:t>
      </w:r>
      <w:r>
        <w:tab/>
        <w:t xml:space="preserve">The notice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 xml:space="preserve">Gazette </w:t>
      </w:r>
      <w:r>
        <w:t>as soon as is practicable after the declaration is made.</w:t>
      </w:r>
    </w:p>
    <w:p>
      <w:pPr>
        <w:pStyle w:val="Subsection"/>
      </w:pPr>
      <w:r>
        <w:tab/>
        <w:t>(3)</w:t>
      </w:r>
      <w:r>
        <w:tab/>
        <w:t>A failure to publish notice of the declaration does not affect the validity of the declaration.</w:t>
      </w:r>
    </w:p>
    <w:p>
      <w:pPr>
        <w:pStyle w:val="Footnotesection"/>
      </w:pPr>
      <w:r>
        <w:tab/>
        <w:t>[Section 202E inserted: No. 33 of 2020 s. 14.]</w:t>
      </w:r>
    </w:p>
    <w:p>
      <w:pPr>
        <w:pStyle w:val="Heading5"/>
      </w:pPr>
      <w:bookmarkStart w:id="558" w:name="_Toc165449311"/>
      <w:bookmarkStart w:id="559" w:name="_Toc158981066"/>
      <w:r>
        <w:rPr>
          <w:rStyle w:val="CharSectno"/>
        </w:rPr>
        <w:t>202F</w:t>
      </w:r>
      <w:r>
        <w:t>.</w:t>
      </w:r>
      <w:r>
        <w:tab/>
        <w:t>Limitation of stay of operation of IDEC declaration</w:t>
      </w:r>
      <w:bookmarkEnd w:id="558"/>
      <w:bookmarkEnd w:id="559"/>
    </w:p>
    <w:p>
      <w:pPr>
        <w:pStyle w:val="Subsection"/>
      </w:pPr>
      <w:r>
        <w:tab/>
        <w:t>(1)</w:t>
      </w:r>
      <w:r>
        <w:tab/>
        <w:t>In any proceedings for judicial review or in any other proceedings, a court or tribunal is not authorised to make an interlocutory order that has the effect of staying the operation of an IDEC declaration.</w:t>
      </w:r>
    </w:p>
    <w:p>
      <w:pPr>
        <w:pStyle w:val="Subsection"/>
      </w:pPr>
      <w:r>
        <w:tab/>
        <w:t>(2)</w:t>
      </w:r>
      <w:r>
        <w:tab/>
        <w:t>This section does not limit judicial review for jurisdictional error.</w:t>
      </w:r>
    </w:p>
    <w:p>
      <w:pPr>
        <w:pStyle w:val="Footnotesection"/>
      </w:pPr>
      <w:r>
        <w:tab/>
        <w:t>[Section 202F inserted: No. 33 of 2020 s. 14.]</w:t>
      </w:r>
    </w:p>
    <w:p>
      <w:pPr>
        <w:pStyle w:val="Heading2"/>
      </w:pPr>
      <w:bookmarkStart w:id="560" w:name="_Toc165383855"/>
      <w:bookmarkStart w:id="561" w:name="_Toc165384966"/>
      <w:bookmarkStart w:id="562" w:name="_Toc165449312"/>
      <w:bookmarkStart w:id="563" w:name="_Toc158974656"/>
      <w:bookmarkStart w:id="564" w:name="_Toc158974987"/>
      <w:bookmarkStart w:id="565" w:name="_Toc158981067"/>
      <w:r>
        <w:rPr>
          <w:rStyle w:val="CharPartNo"/>
        </w:rPr>
        <w:t>Part 12B</w:t>
      </w:r>
      <w:r>
        <w:t> — </w:t>
      </w:r>
      <w:r>
        <w:rPr>
          <w:rStyle w:val="CharPartText"/>
        </w:rPr>
        <w:t>Recovery of certain costs relating to exercise of powers</w:t>
      </w:r>
      <w:bookmarkEnd w:id="560"/>
      <w:bookmarkEnd w:id="561"/>
      <w:bookmarkEnd w:id="562"/>
      <w:bookmarkEnd w:id="563"/>
      <w:bookmarkEnd w:id="564"/>
      <w:bookmarkEnd w:id="565"/>
    </w:p>
    <w:p>
      <w:pPr>
        <w:pStyle w:val="Footnoteheading"/>
      </w:pPr>
      <w:r>
        <w:tab/>
        <w:t>[Heading inserted: No. 33 of 2020 s. 14.]</w:t>
      </w:r>
    </w:p>
    <w:p>
      <w:pPr>
        <w:pStyle w:val="Heading3"/>
      </w:pPr>
      <w:bookmarkStart w:id="566" w:name="_Toc165383856"/>
      <w:bookmarkStart w:id="567" w:name="_Toc165384967"/>
      <w:bookmarkStart w:id="568" w:name="_Toc165449313"/>
      <w:bookmarkStart w:id="569" w:name="_Toc158974657"/>
      <w:bookmarkStart w:id="570" w:name="_Toc158974988"/>
      <w:bookmarkStart w:id="571" w:name="_Toc158981068"/>
      <w:r>
        <w:rPr>
          <w:rStyle w:val="CharDivNo"/>
        </w:rPr>
        <w:t>Division 1</w:t>
      </w:r>
      <w:r>
        <w:t> — </w:t>
      </w:r>
      <w:r>
        <w:rPr>
          <w:rStyle w:val="CharDivText"/>
        </w:rPr>
        <w:t>Fees payable by hotel</w:t>
      </w:r>
      <w:r>
        <w:rPr>
          <w:rStyle w:val="CharDivText"/>
        </w:rPr>
        <w:noBreakHyphen/>
        <w:t>quarantined persons</w:t>
      </w:r>
      <w:bookmarkEnd w:id="566"/>
      <w:bookmarkEnd w:id="567"/>
      <w:bookmarkEnd w:id="568"/>
      <w:bookmarkEnd w:id="569"/>
      <w:bookmarkEnd w:id="570"/>
      <w:bookmarkEnd w:id="571"/>
    </w:p>
    <w:p>
      <w:pPr>
        <w:pStyle w:val="Footnoteheading"/>
      </w:pPr>
      <w:r>
        <w:tab/>
        <w:t>[Heading inserted: No. 33 of 2020 s. 14.]</w:t>
      </w:r>
    </w:p>
    <w:p>
      <w:pPr>
        <w:pStyle w:val="Heading5"/>
      </w:pPr>
      <w:bookmarkStart w:id="572" w:name="_Toc165449314"/>
      <w:bookmarkStart w:id="573" w:name="_Toc158981069"/>
      <w:r>
        <w:rPr>
          <w:rStyle w:val="CharSectno"/>
        </w:rPr>
        <w:t>202G</w:t>
      </w:r>
      <w:r>
        <w:t>.</w:t>
      </w:r>
      <w:r>
        <w:tab/>
        <w:t>Terms used</w:t>
      </w:r>
      <w:bookmarkEnd w:id="572"/>
      <w:bookmarkEnd w:id="573"/>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p>
    <w:p>
      <w:pPr>
        <w:pStyle w:val="Defstart"/>
      </w:pPr>
      <w:r>
        <w:rPr>
          <w:b/>
        </w:rPr>
        <w:tab/>
      </w:r>
      <w:r>
        <w:rPr>
          <w:rStyle w:val="CharDefText"/>
        </w:rPr>
        <w:t xml:space="preserve">hotel </w:t>
      </w:r>
      <w:r>
        <w:t xml:space="preserve">includes any of the following — </w:t>
      </w:r>
    </w:p>
    <w:p>
      <w:pPr>
        <w:pStyle w:val="Defpara"/>
      </w:pPr>
      <w:r>
        <w:tab/>
        <w:t>(a)</w:t>
      </w:r>
      <w:r>
        <w:tab/>
        <w:t>a motel;</w:t>
      </w:r>
    </w:p>
    <w:p>
      <w:pPr>
        <w:pStyle w:val="Defpara"/>
      </w:pPr>
      <w:r>
        <w:tab/>
        <w:t>(b)</w:t>
      </w:r>
      <w:r>
        <w:tab/>
        <w:t>a hostel;</w:t>
      </w:r>
    </w:p>
    <w:p>
      <w:pPr>
        <w:pStyle w:val="Defpara"/>
      </w:pPr>
      <w:r>
        <w:tab/>
        <w:t>(c)</w:t>
      </w:r>
      <w:r>
        <w:tab/>
        <w:t>a lodging house;</w:t>
      </w:r>
    </w:p>
    <w:p>
      <w:pPr>
        <w:pStyle w:val="Defpara"/>
      </w:pPr>
      <w:r>
        <w:tab/>
        <w:t>(d)</w:t>
      </w:r>
      <w:r>
        <w:tab/>
        <w:t>a boarding house;</w:t>
      </w:r>
    </w:p>
    <w:p>
      <w:pPr>
        <w:pStyle w:val="Defpara"/>
      </w:pPr>
      <w:r>
        <w:tab/>
        <w:t>(e)</w:t>
      </w:r>
      <w:r>
        <w:tab/>
        <w:t>a serviced apartment;</w:t>
      </w:r>
    </w:p>
    <w:p>
      <w:pPr>
        <w:pStyle w:val="Defpara"/>
      </w:pPr>
      <w:r>
        <w:tab/>
        <w:t>(f)</w:t>
      </w:r>
      <w:r>
        <w:tab/>
        <w:t>any other premises prescribed by the regulations;</w:t>
      </w:r>
    </w:p>
    <w:p>
      <w:pPr>
        <w:pStyle w:val="Defstart"/>
      </w:pPr>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p>
    <w:p>
      <w:pPr>
        <w:pStyle w:val="Defpara"/>
      </w:pPr>
      <w:r>
        <w:tab/>
        <w:t>(a)</w:t>
      </w:r>
      <w:r>
        <w:tab/>
        <w:t>is or was subject to a quarantine direction in relation to that entry that requires or required the person to remain in a hotel for a specified period; or</w:t>
      </w:r>
    </w:p>
    <w:p>
      <w:pPr>
        <w:pStyle w:val="Defpara"/>
      </w:pPr>
      <w:r>
        <w:tab/>
        <w:t>(b)</w:t>
      </w:r>
      <w:r>
        <w:tab/>
        <w:t>while subject to the quarantine direction referred to in paragraph (a) — is or was given a subsequent quarantine direction that requires or required the person to remain in a hotel for a specified period;</w:t>
      </w:r>
    </w:p>
    <w:p>
      <w:pPr>
        <w:pStyle w:val="Defstart"/>
      </w:pPr>
      <w:r>
        <w:rPr>
          <w:b/>
        </w:rPr>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Footnotesection"/>
      </w:pPr>
      <w:r>
        <w:tab/>
        <w:t>[Section 202G inserted: No. 33 of 2020 s. 14.]</w:t>
      </w:r>
    </w:p>
    <w:p>
      <w:pPr>
        <w:pStyle w:val="Heading5"/>
      </w:pPr>
      <w:bookmarkStart w:id="574" w:name="_Toc165449315"/>
      <w:bookmarkStart w:id="575" w:name="_Toc158981070"/>
      <w:r>
        <w:rPr>
          <w:rStyle w:val="CharSectno"/>
        </w:rPr>
        <w:t>202H</w:t>
      </w:r>
      <w:r>
        <w:t>.</w:t>
      </w:r>
      <w:r>
        <w:tab/>
        <w:t>Fee payable by hotel</w:t>
      </w:r>
      <w:r>
        <w:noBreakHyphen/>
        <w:t>quarantined person in relation to cost of quarantine</w:t>
      </w:r>
      <w:bookmarkEnd w:id="574"/>
      <w:bookmarkEnd w:id="575"/>
    </w:p>
    <w:p>
      <w:pPr>
        <w:pStyle w:val="Subsection"/>
      </w:pPr>
      <w:r>
        <w:tab/>
        <w:t>(1)</w:t>
      </w:r>
      <w:r>
        <w:tab/>
        <w:t>A hotel</w:t>
      </w:r>
      <w:r>
        <w:noBreakHyphen/>
        <w:t xml:space="preserve">quarantined person is liable to pay the fee prescribed by the regulations. </w:t>
      </w:r>
    </w:p>
    <w:p>
      <w:pPr>
        <w:pStyle w:val="Subsection"/>
      </w:pPr>
      <w:r>
        <w:tab/>
        <w:t>(2)</w:t>
      </w:r>
      <w:r>
        <w:tab/>
        <w:t xml:space="preserve">For the purposes of subsection (1), the Chief Health Officer may issue to the person an invoice stating — </w:t>
      </w:r>
    </w:p>
    <w:p>
      <w:pPr>
        <w:pStyle w:val="Indenta"/>
      </w:pPr>
      <w:r>
        <w:tab/>
        <w:t>(a)</w:t>
      </w:r>
      <w:r>
        <w:tab/>
        <w:t>the date of the invoice; and</w:t>
      </w:r>
    </w:p>
    <w:p>
      <w:pPr>
        <w:pStyle w:val="Indenta"/>
      </w:pPr>
      <w:r>
        <w:tab/>
        <w:t>(b)</w:t>
      </w:r>
      <w:r>
        <w:tab/>
        <w:t>the name of the hotel</w:t>
      </w:r>
      <w:r>
        <w:noBreakHyphen/>
        <w:t>quarantined person to whom the invoice relates; and</w:t>
      </w:r>
    </w:p>
    <w:p>
      <w:pPr>
        <w:pStyle w:val="Indenta"/>
      </w:pPr>
      <w:r>
        <w:tab/>
        <w:t>(c)</w:t>
      </w:r>
      <w:r>
        <w:tab/>
        <w:t>the amount of the fee payable by the hotel</w:t>
      </w:r>
      <w:r>
        <w:noBreakHyphen/>
        <w:t>quarantined person to whom the invoice relates.</w:t>
      </w:r>
    </w:p>
    <w:p>
      <w:pPr>
        <w:pStyle w:val="Subsection"/>
      </w:pPr>
      <w:r>
        <w:tab/>
        <w:t>(3)</w:t>
      </w:r>
      <w:r>
        <w:tab/>
        <w:t>If the hotel</w:t>
      </w:r>
      <w:r>
        <w:noBreakHyphen/>
        <w:t xml:space="preserve">quarantined person is a child — </w:t>
      </w:r>
    </w:p>
    <w:p>
      <w:pPr>
        <w:pStyle w:val="Indenta"/>
      </w:pPr>
      <w:r>
        <w:tab/>
        <w:t>(a)</w:t>
      </w:r>
      <w:r>
        <w:tab/>
        <w:t>the Chief Health Officer may issue the invoice to the child’s parent or guardian; and</w:t>
      </w:r>
    </w:p>
    <w:p>
      <w:pPr>
        <w:pStyle w:val="Indenta"/>
      </w:pPr>
      <w:r>
        <w:tab/>
        <w:t>(b)</w:t>
      </w:r>
      <w:r>
        <w:tab/>
        <w:t>the child’s parent or guardian is liable to pay the fee.</w:t>
      </w:r>
    </w:p>
    <w:p>
      <w:pPr>
        <w:pStyle w:val="Subsection"/>
      </w:pPr>
      <w:r>
        <w:tab/>
        <w:t>(4)</w:t>
      </w:r>
      <w:r>
        <w:tab/>
        <w:t>The regulations may provide for a combined fee for 2 or more hotel</w:t>
      </w:r>
      <w:r>
        <w:noBreakHyphen/>
        <w:t xml:space="preserve">quarantined persons who are required or permitted to comply with a quarantine direction in shared accommodation, in which case — </w:t>
      </w:r>
    </w:p>
    <w:p>
      <w:pPr>
        <w:pStyle w:val="Indenta"/>
      </w:pPr>
      <w:r>
        <w:tab/>
        <w:t>(a)</w:t>
      </w:r>
      <w:r>
        <w:tab/>
        <w:t>the Chief Health Officer may issue a single invoice; and</w:t>
      </w:r>
    </w:p>
    <w:p>
      <w:pPr>
        <w:pStyle w:val="Indenta"/>
      </w:pPr>
      <w:r>
        <w:tab/>
        <w:t>(b)</w:t>
      </w:r>
      <w:r>
        <w:tab/>
        <w:t>each person (other than a child) is jointly and severally liable for the combined fee.</w:t>
      </w:r>
    </w:p>
    <w:p>
      <w:pPr>
        <w:pStyle w:val="Footnotesection"/>
      </w:pPr>
      <w:r>
        <w:tab/>
        <w:t>[Section 202H inserted: No. 33 of 2020 s. 14.]</w:t>
      </w:r>
    </w:p>
    <w:p>
      <w:pPr>
        <w:pStyle w:val="Heading5"/>
      </w:pPr>
      <w:bookmarkStart w:id="576" w:name="_Toc165449316"/>
      <w:bookmarkStart w:id="577" w:name="_Toc158981071"/>
      <w:r>
        <w:rPr>
          <w:rStyle w:val="CharSectno"/>
        </w:rPr>
        <w:t>202I</w:t>
      </w:r>
      <w:r>
        <w:t>.</w:t>
      </w:r>
      <w:r>
        <w:tab/>
        <w:t>Period for payment of fee</w:t>
      </w:r>
      <w:bookmarkEnd w:id="576"/>
      <w:bookmarkEnd w:id="577"/>
    </w:p>
    <w:p>
      <w:pPr>
        <w:pStyle w:val="Subsection"/>
      </w:pPr>
      <w:r>
        <w:tab/>
        <w:t>(1)</w:t>
      </w:r>
      <w:r>
        <w:tab/>
        <w:t>A person liable to pay a fee under section 202H must, subject to section 202L, pay the fee within 30 days after receiving the invoice for the fee.</w:t>
      </w:r>
    </w:p>
    <w:p>
      <w:pPr>
        <w:pStyle w:val="Subsection"/>
      </w:pPr>
      <w:r>
        <w:tab/>
        <w:t>(2)</w:t>
      </w:r>
      <w:r>
        <w:tab/>
        <w:t>The Chief Health Officer may extend and further extend the time for payment of the fee.</w:t>
      </w:r>
    </w:p>
    <w:p>
      <w:pPr>
        <w:pStyle w:val="Footnotesection"/>
      </w:pPr>
      <w:r>
        <w:tab/>
        <w:t>[Section 202I inserted: No. 33 of 2020 s. 14.]</w:t>
      </w:r>
    </w:p>
    <w:p>
      <w:pPr>
        <w:pStyle w:val="Heading5"/>
      </w:pPr>
      <w:bookmarkStart w:id="578" w:name="_Toc165449317"/>
      <w:bookmarkStart w:id="579" w:name="_Toc158981072"/>
      <w:r>
        <w:rPr>
          <w:rStyle w:val="CharSectno"/>
        </w:rPr>
        <w:t>202J</w:t>
      </w:r>
      <w:r>
        <w:t>.</w:t>
      </w:r>
      <w:r>
        <w:tab/>
        <w:t>Fee may be waived</w:t>
      </w:r>
      <w:bookmarkEnd w:id="578"/>
      <w:bookmarkEnd w:id="579"/>
    </w:p>
    <w:p>
      <w:pPr>
        <w:pStyle w:val="Subsection"/>
      </w:pPr>
      <w:r>
        <w:tab/>
      </w:r>
      <w:r>
        <w:tab/>
        <w:t>The Chief Health Officer may waive the whole or part of the fee payable by a hotel</w:t>
      </w:r>
      <w:r>
        <w:noBreakHyphen/>
        <w:t>quarantined person under this Division if the Chief Health Officer —</w:t>
      </w:r>
    </w:p>
    <w:p>
      <w:pPr>
        <w:pStyle w:val="Indenta"/>
      </w:pPr>
      <w:r>
        <w:tab/>
        <w:t>(a)</w:t>
      </w:r>
      <w:r>
        <w:tab/>
        <w:t>considers that payment of the whole or part of the fee would cause financial hardship to the person; or</w:t>
      </w:r>
    </w:p>
    <w:p>
      <w:pPr>
        <w:pStyle w:val="Indenta"/>
      </w:pPr>
      <w:r>
        <w:tab/>
        <w:t>(b)</w:t>
      </w:r>
      <w:r>
        <w:tab/>
        <w:t>otherwise considers that it is appropriate in the circumstances to do so.</w:t>
      </w:r>
    </w:p>
    <w:p>
      <w:pPr>
        <w:pStyle w:val="Footnotesection"/>
      </w:pPr>
      <w:r>
        <w:tab/>
        <w:t>[Section 202J inserted: No. 33 of 2020 s. 14.]</w:t>
      </w:r>
    </w:p>
    <w:p>
      <w:pPr>
        <w:pStyle w:val="Heading5"/>
      </w:pPr>
      <w:bookmarkStart w:id="580" w:name="_Toc165449318"/>
      <w:bookmarkStart w:id="581" w:name="_Toc158981073"/>
      <w:r>
        <w:rPr>
          <w:rStyle w:val="CharSectno"/>
        </w:rPr>
        <w:t>202K</w:t>
      </w:r>
      <w:r>
        <w:t>.</w:t>
      </w:r>
      <w:r>
        <w:tab/>
        <w:t>Recovery of fees</w:t>
      </w:r>
      <w:bookmarkEnd w:id="580"/>
      <w:bookmarkEnd w:id="581"/>
    </w:p>
    <w:p>
      <w:pPr>
        <w:pStyle w:val="Subsection"/>
      </w:pPr>
      <w:r>
        <w:tab/>
      </w:r>
      <w:r>
        <w:tab/>
        <w:t>An amount not paid by a person in accordance with this Division is recoverable in a court of competent jurisdiction as a debt due to the State from the person.</w:t>
      </w:r>
    </w:p>
    <w:p>
      <w:pPr>
        <w:pStyle w:val="Footnotesection"/>
      </w:pPr>
      <w:r>
        <w:tab/>
        <w:t>[Section 202K inserted: No. 33 of 2020 s. 14.]</w:t>
      </w:r>
    </w:p>
    <w:p>
      <w:pPr>
        <w:pStyle w:val="Heading5"/>
      </w:pPr>
      <w:bookmarkStart w:id="582" w:name="_Toc165449319"/>
      <w:bookmarkStart w:id="583" w:name="_Toc158981074"/>
      <w:r>
        <w:rPr>
          <w:rStyle w:val="CharSectno"/>
        </w:rPr>
        <w:t>202L</w:t>
      </w:r>
      <w:r>
        <w:t>.</w:t>
      </w:r>
      <w:r>
        <w:tab/>
        <w:t>Regulations</w:t>
      </w:r>
      <w:bookmarkEnd w:id="582"/>
      <w:bookmarkEnd w:id="583"/>
    </w:p>
    <w:p>
      <w:pPr>
        <w:pStyle w:val="Subsection"/>
      </w:pPr>
      <w:r>
        <w:tab/>
      </w:r>
      <w:r>
        <w:tab/>
        <w:t xml:space="preserve">For the purposes of this Division, the regulations may provide for — </w:t>
      </w:r>
    </w:p>
    <w:p>
      <w:pPr>
        <w:pStyle w:val="Indenta"/>
      </w:pPr>
      <w:r>
        <w:tab/>
        <w:t>(a)</w:t>
      </w:r>
      <w:r>
        <w:tab/>
        <w:t>the payment of fees by instalments; and</w:t>
      </w:r>
    </w:p>
    <w:p>
      <w:pPr>
        <w:pStyle w:val="Indenta"/>
      </w:pPr>
      <w:r>
        <w:tab/>
        <w:t>(b)</w:t>
      </w:r>
      <w:r>
        <w:tab/>
        <w:t>the recovery of fees; and</w:t>
      </w:r>
    </w:p>
    <w:p>
      <w:pPr>
        <w:pStyle w:val="Indenta"/>
        <w:keepNext/>
      </w:pPr>
      <w:r>
        <w:tab/>
        <w:t>(c)</w:t>
      </w:r>
      <w:r>
        <w:tab/>
        <w:t>the payment of interest for the late payment or non</w:t>
      </w:r>
      <w:r>
        <w:noBreakHyphen/>
        <w:t>payment of fees or instalments.</w:t>
      </w:r>
    </w:p>
    <w:p>
      <w:pPr>
        <w:pStyle w:val="Footnotesection"/>
      </w:pPr>
      <w:r>
        <w:tab/>
        <w:t>[Section 202L inserted: No. 33 of 2020 s. 14.]</w:t>
      </w:r>
    </w:p>
    <w:p>
      <w:pPr>
        <w:pStyle w:val="Heading3"/>
      </w:pPr>
      <w:bookmarkStart w:id="584" w:name="_Toc165383863"/>
      <w:bookmarkStart w:id="585" w:name="_Toc165384974"/>
      <w:bookmarkStart w:id="586" w:name="_Toc165449320"/>
      <w:bookmarkStart w:id="587" w:name="_Toc158974664"/>
      <w:bookmarkStart w:id="588" w:name="_Toc158974995"/>
      <w:bookmarkStart w:id="589" w:name="_Toc158981075"/>
      <w:r>
        <w:rPr>
          <w:rStyle w:val="CharDivNo"/>
        </w:rPr>
        <w:t>Division 2</w:t>
      </w:r>
      <w:r>
        <w:t> — </w:t>
      </w:r>
      <w:r>
        <w:rPr>
          <w:rStyle w:val="CharDivText"/>
        </w:rPr>
        <w:t>Recovery of certain costs and expenses</w:t>
      </w:r>
      <w:bookmarkEnd w:id="584"/>
      <w:bookmarkEnd w:id="585"/>
      <w:bookmarkEnd w:id="586"/>
      <w:bookmarkEnd w:id="587"/>
      <w:bookmarkEnd w:id="588"/>
      <w:bookmarkEnd w:id="589"/>
    </w:p>
    <w:p>
      <w:pPr>
        <w:pStyle w:val="Footnoteheading"/>
      </w:pPr>
      <w:r>
        <w:tab/>
        <w:t>[Heading inserted: No. 33 of 2020 s. 14.]</w:t>
      </w:r>
    </w:p>
    <w:p>
      <w:pPr>
        <w:pStyle w:val="Heading5"/>
      </w:pPr>
      <w:bookmarkStart w:id="590" w:name="_Toc165449321"/>
      <w:bookmarkStart w:id="591" w:name="_Toc158981076"/>
      <w:r>
        <w:rPr>
          <w:rStyle w:val="CharSectno"/>
        </w:rPr>
        <w:t>202M</w:t>
      </w:r>
      <w:r>
        <w:t>.</w:t>
      </w:r>
      <w:r>
        <w:tab/>
        <w:t>Recovery of costs and expenses of requiring premises to be cleaned</w:t>
      </w:r>
      <w:bookmarkEnd w:id="590"/>
      <w:bookmarkEnd w:id="591"/>
    </w:p>
    <w:p>
      <w:pPr>
        <w:pStyle w:val="Subsection"/>
      </w:pPr>
      <w:r>
        <w:tab/>
        <w:t>(1)</w:t>
      </w:r>
      <w:r>
        <w:tab/>
        <w:t xml:space="preserve">The Chief Health Officer may recover the reasonable costs and expenses incurred by the State as a consequence of premises having been cleaned or disinfected under a requirement under Part 11 or 12 or under a direction under the </w:t>
      </w:r>
      <w:r>
        <w:rPr>
          <w:i/>
        </w:rPr>
        <w:t>Emergency Management Act 2005</w:t>
      </w:r>
      <w:r>
        <w:t xml:space="preserve"> Part 6 Division 1 or 1A or Part 6A Division 4.</w:t>
      </w:r>
    </w:p>
    <w:p>
      <w:pPr>
        <w:pStyle w:val="Subsection"/>
      </w:pPr>
      <w:r>
        <w:tab/>
        <w:t>(2)</w:t>
      </w:r>
      <w:r>
        <w:tab/>
        <w:t xml:space="preserve">The costs and expenses are recoverable jointly and severally from — </w:t>
      </w:r>
    </w:p>
    <w:p>
      <w:pPr>
        <w:pStyle w:val="Indenta"/>
      </w:pPr>
      <w:r>
        <w:tab/>
        <w:t>(a)</w:t>
      </w:r>
      <w:r>
        <w:tab/>
        <w:t>in relation to premises that are not a vehicle — the owner, occupier or person in possession of the premises at the time that the premises were required to be cleaned or disinfected; and</w:t>
      </w:r>
    </w:p>
    <w:p>
      <w:pPr>
        <w:pStyle w:val="Indenta"/>
      </w:pPr>
      <w:r>
        <w:tab/>
        <w:t>(b)</w:t>
      </w:r>
      <w:r>
        <w:tab/>
        <w:t>in relation to a vehicle — the owner, operator, lessee or charterer (as is relevant) of the vehicle at the time that the vehicle was required to be cleaned or disinfected.</w:t>
      </w:r>
    </w:p>
    <w:p>
      <w:pPr>
        <w:pStyle w:val="Subsection"/>
      </w:pPr>
      <w:r>
        <w:tab/>
        <w:t>(3)</w:t>
      </w:r>
      <w:r>
        <w:tab/>
        <w:t>The costs and expenses are recoverable in a court of competent jurisdiction.</w:t>
      </w:r>
    </w:p>
    <w:p>
      <w:pPr>
        <w:pStyle w:val="Footnotesection"/>
      </w:pPr>
      <w:r>
        <w:tab/>
        <w:t>[Section 202M inserted: No. 33 of 2020 s. 14; amended: No. 33 of 2022 s. 24.]</w:t>
      </w:r>
    </w:p>
    <w:p>
      <w:pPr>
        <w:pStyle w:val="Heading2"/>
      </w:pPr>
      <w:bookmarkStart w:id="592" w:name="_Toc158974666"/>
      <w:bookmarkStart w:id="593" w:name="_Toc158974997"/>
      <w:bookmarkStart w:id="594" w:name="_Toc158981077"/>
      <w:bookmarkStart w:id="595" w:name="_Toc165383865"/>
      <w:bookmarkStart w:id="596" w:name="_Toc165384976"/>
      <w:bookmarkStart w:id="597" w:name="_Toc165449322"/>
      <w:r>
        <w:rPr>
          <w:rStyle w:val="CharPartNo"/>
        </w:rPr>
        <w:t>Part 12C</w:t>
      </w:r>
      <w:r>
        <w:t> — </w:t>
      </w:r>
      <w:del w:id="598" w:author="Master Repository Process" w:date="2024-05-01T10:47:00Z">
        <w:r>
          <w:rPr>
            <w:rStyle w:val="CharPartText"/>
          </w:rPr>
          <w:delText>Safe access to premises at which abortions are provided</w:delText>
        </w:r>
      </w:del>
      <w:bookmarkEnd w:id="592"/>
      <w:bookmarkEnd w:id="593"/>
      <w:bookmarkEnd w:id="594"/>
      <w:ins w:id="599" w:author="Master Repository Process" w:date="2024-05-01T10:47:00Z">
        <w:r>
          <w:rPr>
            <w:rStyle w:val="CharPartText"/>
          </w:rPr>
          <w:t>Abortion</w:t>
        </w:r>
      </w:ins>
      <w:bookmarkEnd w:id="595"/>
      <w:bookmarkEnd w:id="596"/>
      <w:bookmarkEnd w:id="597"/>
    </w:p>
    <w:p>
      <w:pPr>
        <w:pStyle w:val="Footnoteheading"/>
        <w:rPr>
          <w:ins w:id="600" w:author="Master Repository Process" w:date="2024-05-01T10:47:00Z"/>
        </w:rPr>
      </w:pPr>
      <w:r>
        <w:tab/>
        <w:t>[Heading inserted: No. </w:t>
      </w:r>
      <w:del w:id="601" w:author="Master Repository Process" w:date="2024-05-01T10:47:00Z">
        <w:r>
          <w:delText>9</w:delText>
        </w:r>
      </w:del>
      <w:ins w:id="602" w:author="Master Repository Process" w:date="2024-05-01T10:47:00Z">
        <w:r>
          <w:t>20</w:t>
        </w:r>
      </w:ins>
      <w:r>
        <w:t xml:space="preserve"> of </w:t>
      </w:r>
      <w:del w:id="603" w:author="Master Repository Process" w:date="2024-05-01T10:47:00Z">
        <w:r>
          <w:delText>2021</w:delText>
        </w:r>
      </w:del>
      <w:ins w:id="604" w:author="Master Repository Process" w:date="2024-05-01T10:47:00Z">
        <w:r>
          <w:t>2023</w:t>
        </w:r>
      </w:ins>
      <w:r>
        <w:t xml:space="preserve"> s. </w:t>
      </w:r>
      <w:ins w:id="605" w:author="Master Repository Process" w:date="2024-05-01T10:47:00Z">
        <w:r>
          <w:t>7.]</w:t>
        </w:r>
      </w:ins>
    </w:p>
    <w:p>
      <w:pPr>
        <w:pStyle w:val="Heading3"/>
        <w:rPr>
          <w:ins w:id="606" w:author="Master Repository Process" w:date="2024-05-01T10:47:00Z"/>
        </w:rPr>
      </w:pPr>
      <w:bookmarkStart w:id="607" w:name="_Toc165383866"/>
      <w:bookmarkStart w:id="608" w:name="_Toc165384977"/>
      <w:bookmarkStart w:id="609" w:name="_Toc165449323"/>
      <w:ins w:id="610" w:author="Master Repository Process" w:date="2024-05-01T10:47:00Z">
        <w:r>
          <w:rPr>
            <w:rStyle w:val="CharDivNo"/>
          </w:rPr>
          <w:t>Division 1</w:t>
        </w:r>
        <w:r>
          <w:t> — </w:t>
        </w:r>
        <w:r>
          <w:rPr>
            <w:rStyle w:val="CharDivText"/>
          </w:rPr>
          <w:t>Preliminary</w:t>
        </w:r>
        <w:bookmarkEnd w:id="607"/>
        <w:bookmarkEnd w:id="608"/>
        <w:bookmarkEnd w:id="609"/>
      </w:ins>
    </w:p>
    <w:p>
      <w:pPr>
        <w:pStyle w:val="Footnoteheading"/>
        <w:rPr>
          <w:ins w:id="611" w:author="Master Repository Process" w:date="2024-05-01T10:47:00Z"/>
        </w:rPr>
      </w:pPr>
      <w:ins w:id="612" w:author="Master Repository Process" w:date="2024-05-01T10:47:00Z">
        <w:r>
          <w:tab/>
          <w:t>[Heading inserted: No. 20 of 2023 s. 8.]</w:t>
        </w:r>
      </w:ins>
    </w:p>
    <w:p>
      <w:pPr>
        <w:pStyle w:val="Heading5"/>
        <w:rPr>
          <w:ins w:id="613" w:author="Master Repository Process" w:date="2024-05-01T10:47:00Z"/>
        </w:rPr>
      </w:pPr>
      <w:bookmarkStart w:id="614" w:name="_Toc165449324"/>
      <w:ins w:id="615" w:author="Master Repository Process" w:date="2024-05-01T10:47:00Z">
        <w:r>
          <w:rPr>
            <w:rStyle w:val="CharSectno"/>
          </w:rPr>
          <w:t>202MA</w:t>
        </w:r>
        <w:r>
          <w:t>.</w:t>
        </w:r>
        <w:r>
          <w:tab/>
          <w:t>Terms used</w:t>
        </w:r>
        <w:bookmarkEnd w:id="614"/>
      </w:ins>
    </w:p>
    <w:p>
      <w:pPr>
        <w:pStyle w:val="Subsection"/>
        <w:rPr>
          <w:ins w:id="616" w:author="Master Repository Process" w:date="2024-05-01T10:47:00Z"/>
        </w:rPr>
      </w:pPr>
      <w:ins w:id="617" w:author="Master Repository Process" w:date="2024-05-01T10:47:00Z">
        <w:r>
          <w:tab/>
        </w:r>
        <w:r>
          <w:tab/>
          <w:t xml:space="preserve">In this Part — </w:t>
        </w:r>
      </w:ins>
    </w:p>
    <w:p>
      <w:pPr>
        <w:pStyle w:val="Defstart"/>
        <w:rPr>
          <w:ins w:id="618" w:author="Master Repository Process" w:date="2024-05-01T10:47:00Z"/>
        </w:rPr>
      </w:pPr>
      <w:ins w:id="619" w:author="Master Repository Process" w:date="2024-05-01T10:47:00Z">
        <w:r>
          <w:tab/>
        </w:r>
        <w:r>
          <w:rPr>
            <w:rStyle w:val="CharDefText"/>
          </w:rPr>
          <w:t>abortion drug</w:t>
        </w:r>
        <w:r>
          <w:t xml:space="preserve"> means a medicine of a kind used to cause the termination of a pregnancy of a person;</w:t>
        </w:r>
      </w:ins>
    </w:p>
    <w:p>
      <w:pPr>
        <w:pStyle w:val="Defstart"/>
        <w:rPr>
          <w:ins w:id="620" w:author="Master Repository Process" w:date="2024-05-01T10:47:00Z"/>
        </w:rPr>
      </w:pPr>
      <w:ins w:id="621" w:author="Master Repository Process" w:date="2024-05-01T10:47:00Z">
        <w:r>
          <w:tab/>
        </w:r>
        <w:r>
          <w:rPr>
            <w:rStyle w:val="CharDefText"/>
          </w:rPr>
          <w:t>dispense</w:t>
        </w:r>
        <w:r>
          <w:t xml:space="preserve"> means to supply in accordance with a prescription;</w:t>
        </w:r>
      </w:ins>
    </w:p>
    <w:p>
      <w:pPr>
        <w:pStyle w:val="Defstart"/>
        <w:rPr>
          <w:ins w:id="622" w:author="Master Repository Process" w:date="2024-05-01T10:47:00Z"/>
        </w:rPr>
      </w:pPr>
      <w:ins w:id="623" w:author="Master Repository Process" w:date="2024-05-01T10:47:00Z">
        <w:r>
          <w:tab/>
        </w:r>
        <w:r>
          <w:rPr>
            <w:rStyle w:val="CharDefText"/>
          </w:rPr>
          <w:t>health service</w:t>
        </w:r>
        <w:r>
          <w:t xml:space="preserve"> has the meaning given in the </w:t>
        </w:r>
        <w:r>
          <w:rPr>
            <w:i/>
          </w:rPr>
          <w:t>Health Services Act 2016</w:t>
        </w:r>
        <w:r>
          <w:t xml:space="preserve"> section 7;</w:t>
        </w:r>
      </w:ins>
    </w:p>
    <w:p>
      <w:pPr>
        <w:pStyle w:val="Defstart"/>
        <w:rPr>
          <w:ins w:id="624" w:author="Master Repository Process" w:date="2024-05-01T10:47:00Z"/>
        </w:rPr>
      </w:pPr>
      <w:ins w:id="625" w:author="Master Repository Process" w:date="2024-05-01T10:47:00Z">
        <w:r>
          <w:tab/>
        </w:r>
        <w:r>
          <w:rPr>
            <w:rStyle w:val="CharDefText"/>
          </w:rPr>
          <w:t>health service provider</w:t>
        </w:r>
        <w:r>
          <w:t xml:space="preserve"> has the meaning given in the </w:t>
        </w:r>
        <w:r>
          <w:rPr>
            <w:i/>
          </w:rPr>
          <w:t>Health Services Act 2016</w:t>
        </w:r>
        <w:r>
          <w:t xml:space="preserve"> section 6;</w:t>
        </w:r>
      </w:ins>
    </w:p>
    <w:p>
      <w:pPr>
        <w:pStyle w:val="Defstart"/>
        <w:rPr>
          <w:ins w:id="626" w:author="Master Repository Process" w:date="2024-05-01T10:47:00Z"/>
        </w:rPr>
      </w:pPr>
      <w:ins w:id="627" w:author="Master Repository Process" w:date="2024-05-01T10:47:00Z">
        <w:r>
          <w:tab/>
        </w:r>
        <w:r>
          <w:rPr>
            <w:rStyle w:val="CharDefText"/>
          </w:rPr>
          <w:t>medicine</w:t>
        </w:r>
        <w:r>
          <w:t xml:space="preserve"> has the meaning given in the </w:t>
        </w:r>
        <w:r>
          <w:rPr>
            <w:i/>
          </w:rPr>
          <w:t xml:space="preserve">Medicines and Poisons Act 2014 </w:t>
        </w:r>
        <w:r>
          <w:t>section 3;</w:t>
        </w:r>
      </w:ins>
    </w:p>
    <w:p>
      <w:pPr>
        <w:pStyle w:val="Defstart"/>
        <w:rPr>
          <w:ins w:id="628" w:author="Master Repository Process" w:date="2024-05-01T10:47:00Z"/>
        </w:rPr>
      </w:pPr>
      <w:ins w:id="629" w:author="Master Repository Process" w:date="2024-05-01T10:47:00Z">
        <w:r>
          <w:tab/>
        </w:r>
        <w:r>
          <w:rPr>
            <w:rStyle w:val="CharDefText"/>
          </w:rPr>
          <w:t>perform an abortion</w:t>
        </w:r>
        <w:r>
          <w:t xml:space="preserve"> has the meaning given in section 202MB;</w:t>
        </w:r>
      </w:ins>
    </w:p>
    <w:p>
      <w:pPr>
        <w:pStyle w:val="Defstart"/>
        <w:rPr>
          <w:ins w:id="630" w:author="Master Repository Process" w:date="2024-05-01T10:47:00Z"/>
        </w:rPr>
      </w:pPr>
      <w:ins w:id="631" w:author="Master Repository Process" w:date="2024-05-01T10:47:00Z">
        <w:r>
          <w:tab/>
        </w:r>
        <w:r>
          <w:rPr>
            <w:rStyle w:val="CharDefText"/>
          </w:rPr>
          <w:t>person</w:t>
        </w:r>
        <w:r>
          <w:t>, when used in the context of the person upon whom an abortion is or may be performed, means a person of any age;</w:t>
        </w:r>
      </w:ins>
    </w:p>
    <w:p>
      <w:pPr>
        <w:pStyle w:val="Defstart"/>
        <w:rPr>
          <w:ins w:id="632" w:author="Master Repository Process" w:date="2024-05-01T10:47:00Z"/>
        </w:rPr>
      </w:pPr>
      <w:ins w:id="633" w:author="Master Repository Process" w:date="2024-05-01T10:47:00Z">
        <w:r>
          <w:tab/>
        </w:r>
        <w:r>
          <w:rPr>
            <w:rStyle w:val="CharDefText"/>
          </w:rPr>
          <w:t>pharmacist</w:t>
        </w:r>
        <w:r>
          <w:t xml:space="preserve"> means a person registered under the </w:t>
        </w:r>
        <w:r>
          <w:rPr>
            <w:i/>
          </w:rPr>
          <w:t>Health Practitioner Regulation National Law (Western Australia)</w:t>
        </w:r>
        <w:r>
          <w:t xml:space="preserve"> in the pharmacy profession (other than as a student);</w:t>
        </w:r>
      </w:ins>
    </w:p>
    <w:p>
      <w:pPr>
        <w:pStyle w:val="Defstart"/>
        <w:rPr>
          <w:ins w:id="634" w:author="Master Repository Process" w:date="2024-05-01T10:47:00Z"/>
        </w:rPr>
      </w:pPr>
      <w:ins w:id="635" w:author="Master Repository Process" w:date="2024-05-01T10:47:00Z">
        <w:r>
          <w:tab/>
        </w:r>
        <w:r>
          <w:rPr>
            <w:rStyle w:val="CharDefText"/>
          </w:rPr>
          <w:t>prescribe</w:t>
        </w:r>
        <w:r>
          <w:t>, in relation to an abortion drug, means to issue a prescription for the drug;</w:t>
        </w:r>
      </w:ins>
    </w:p>
    <w:p>
      <w:pPr>
        <w:pStyle w:val="Defstart"/>
        <w:rPr>
          <w:ins w:id="636" w:author="Master Repository Process" w:date="2024-05-01T10:47:00Z"/>
        </w:rPr>
      </w:pPr>
      <w:ins w:id="637" w:author="Master Repository Process" w:date="2024-05-01T10:47:00Z">
        <w:r>
          <w:tab/>
        </w:r>
        <w:r>
          <w:rPr>
            <w:rStyle w:val="CharDefText"/>
          </w:rPr>
          <w:t>prescribing practitioner</w:t>
        </w:r>
        <w:r>
          <w:t xml:space="preserve"> has the meaning given in section 202MD(1);</w:t>
        </w:r>
      </w:ins>
    </w:p>
    <w:p>
      <w:pPr>
        <w:pStyle w:val="Defstart"/>
        <w:rPr>
          <w:ins w:id="638" w:author="Master Repository Process" w:date="2024-05-01T10:47:00Z"/>
        </w:rPr>
      </w:pPr>
      <w:ins w:id="639" w:author="Master Repository Process" w:date="2024-05-01T10:47:00Z">
        <w:r>
          <w:tab/>
        </w:r>
        <w:r>
          <w:rPr>
            <w:rStyle w:val="CharDefText"/>
          </w:rPr>
          <w:t>prescription</w:t>
        </w:r>
        <w:r>
          <w:t>, in relation to an abortion drug, has the same meaning as it has, in relation to a Schedule </w:t>
        </w:r>
      </w:ins>
      <w:r>
        <w:t>4</w:t>
      </w:r>
      <w:ins w:id="640" w:author="Master Repository Process" w:date="2024-05-01T10:47:00Z">
        <w:r>
          <w:t xml:space="preserve"> or 8 poison, in the </w:t>
        </w:r>
        <w:r>
          <w:rPr>
            <w:i/>
          </w:rPr>
          <w:t>Medicines and Poisons Act 2014</w:t>
        </w:r>
        <w:r>
          <w:t xml:space="preserve"> section 7(1);</w:t>
        </w:r>
      </w:ins>
    </w:p>
    <w:p>
      <w:pPr>
        <w:pStyle w:val="Defstart"/>
        <w:keepLines/>
        <w:rPr>
          <w:ins w:id="641" w:author="Master Repository Process" w:date="2024-05-01T10:47:00Z"/>
        </w:rPr>
      </w:pPr>
      <w:ins w:id="642" w:author="Master Repository Process" w:date="2024-05-01T10:47:00Z">
        <w:r>
          <w:tab/>
        </w:r>
        <w:r>
          <w:rPr>
            <w:rStyle w:val="CharDefText"/>
          </w:rPr>
          <w:t>primary clinical supervisor</w:t>
        </w:r>
        <w:r>
          <w:t xml:space="preserve">, in relation to a student, means a registered health practitioner who has primary responsibility for supervising the clinical work performed by the student in connection with the student’s program of study for, or the student’s clinical training in, the student’s health profession; </w:t>
        </w:r>
      </w:ins>
    </w:p>
    <w:p>
      <w:pPr>
        <w:pStyle w:val="Defstart"/>
        <w:rPr>
          <w:ins w:id="643" w:author="Master Repository Process" w:date="2024-05-01T10:47:00Z"/>
        </w:rPr>
      </w:pPr>
      <w:ins w:id="644" w:author="Master Repository Process" w:date="2024-05-01T10:47:00Z">
        <w:r>
          <w:tab/>
        </w:r>
        <w:r>
          <w:rPr>
            <w:rStyle w:val="CharDefText"/>
          </w:rPr>
          <w:t>private hospital service provider</w:t>
        </w:r>
        <w:r>
          <w:t xml:space="preserve"> has the meaning given in the </w:t>
        </w:r>
        <w:r>
          <w:rPr>
            <w:i/>
          </w:rPr>
          <w:t>Private Hospitals and Health Services Act 1927</w:t>
        </w:r>
        <w:r>
          <w:t xml:space="preserve"> section 2(1);</w:t>
        </w:r>
      </w:ins>
    </w:p>
    <w:p>
      <w:pPr>
        <w:pStyle w:val="Defstart"/>
        <w:rPr>
          <w:ins w:id="645" w:author="Master Repository Process" w:date="2024-05-01T10:47:00Z"/>
        </w:rPr>
      </w:pPr>
      <w:ins w:id="646" w:author="Master Repository Process" w:date="2024-05-01T10:47:00Z">
        <w:r>
          <w:tab/>
        </w:r>
        <w:r>
          <w:rPr>
            <w:rStyle w:val="CharDefText"/>
          </w:rPr>
          <w:t>registered health practitioner</w:t>
        </w:r>
        <w:r>
          <w:t xml:space="preserve"> means a person registered under the </w:t>
        </w:r>
        <w:r>
          <w:rPr>
            <w:i/>
          </w:rPr>
          <w:t>Health Practitioner Regulation National Law (Western Australia)</w:t>
        </w:r>
        <w:r>
          <w:t xml:space="preserve"> to practice a health profession (other than as a student);</w:t>
        </w:r>
      </w:ins>
    </w:p>
    <w:p>
      <w:pPr>
        <w:pStyle w:val="Defstart"/>
        <w:rPr>
          <w:ins w:id="647" w:author="Master Repository Process" w:date="2024-05-01T10:47:00Z"/>
        </w:rPr>
      </w:pPr>
      <w:ins w:id="648" w:author="Master Repository Process" w:date="2024-05-01T10:47:00Z">
        <w:r>
          <w:tab/>
        </w:r>
        <w:r>
          <w:rPr>
            <w:rStyle w:val="CharDefText"/>
          </w:rPr>
          <w:t>relevant health profession</w:t>
        </w:r>
        <w:r>
          <w:t xml:space="preserve"> means any of the following health professions — </w:t>
        </w:r>
      </w:ins>
    </w:p>
    <w:p>
      <w:pPr>
        <w:pStyle w:val="Defpara"/>
        <w:rPr>
          <w:ins w:id="649" w:author="Master Repository Process" w:date="2024-05-01T10:47:00Z"/>
        </w:rPr>
      </w:pPr>
      <w:ins w:id="650" w:author="Master Repository Process" w:date="2024-05-01T10:47:00Z">
        <w:r>
          <w:tab/>
          <w:t>(a)</w:t>
        </w:r>
        <w:r>
          <w:tab/>
          <w:t>Aboriginal and Torres Strait Islander health practice;</w:t>
        </w:r>
      </w:ins>
    </w:p>
    <w:p>
      <w:pPr>
        <w:pStyle w:val="Defpara"/>
        <w:rPr>
          <w:ins w:id="651" w:author="Master Repository Process" w:date="2024-05-01T10:47:00Z"/>
        </w:rPr>
      </w:pPr>
      <w:ins w:id="652" w:author="Master Repository Process" w:date="2024-05-01T10:47:00Z">
        <w:r>
          <w:tab/>
          <w:t>(b)</w:t>
        </w:r>
        <w:r>
          <w:tab/>
          <w:t xml:space="preserve">medical; </w:t>
        </w:r>
      </w:ins>
    </w:p>
    <w:p>
      <w:pPr>
        <w:pStyle w:val="Defpara"/>
        <w:rPr>
          <w:ins w:id="653" w:author="Master Repository Process" w:date="2024-05-01T10:47:00Z"/>
        </w:rPr>
      </w:pPr>
      <w:ins w:id="654" w:author="Master Repository Process" w:date="2024-05-01T10:47:00Z">
        <w:r>
          <w:tab/>
          <w:t>(c)</w:t>
        </w:r>
        <w:r>
          <w:tab/>
          <w:t>midwifery;</w:t>
        </w:r>
      </w:ins>
    </w:p>
    <w:p>
      <w:pPr>
        <w:pStyle w:val="Defpara"/>
        <w:rPr>
          <w:ins w:id="655" w:author="Master Repository Process" w:date="2024-05-01T10:47:00Z"/>
        </w:rPr>
      </w:pPr>
      <w:ins w:id="656" w:author="Master Repository Process" w:date="2024-05-01T10:47:00Z">
        <w:r>
          <w:tab/>
          <w:t>(d)</w:t>
        </w:r>
        <w:r>
          <w:tab/>
          <w:t xml:space="preserve">nursing; </w:t>
        </w:r>
      </w:ins>
    </w:p>
    <w:p>
      <w:pPr>
        <w:pStyle w:val="Defpara"/>
        <w:rPr>
          <w:ins w:id="657" w:author="Master Repository Process" w:date="2024-05-01T10:47:00Z"/>
        </w:rPr>
      </w:pPr>
      <w:ins w:id="658" w:author="Master Repository Process" w:date="2024-05-01T10:47:00Z">
        <w:r>
          <w:tab/>
          <w:t>(e)</w:t>
        </w:r>
        <w:r>
          <w:tab/>
          <w:t>pharmacy;</w:t>
        </w:r>
      </w:ins>
    </w:p>
    <w:p>
      <w:pPr>
        <w:pStyle w:val="Defpara"/>
        <w:rPr>
          <w:ins w:id="659" w:author="Master Repository Process" w:date="2024-05-01T10:47:00Z"/>
        </w:rPr>
      </w:pPr>
      <w:ins w:id="660" w:author="Master Repository Process" w:date="2024-05-01T10:47:00Z">
        <w:r>
          <w:tab/>
          <w:t>(f)</w:t>
        </w:r>
        <w:r>
          <w:tab/>
          <w:t>a health profession that is prescribed by the regulations for the purposes of this definition;</w:t>
        </w:r>
      </w:ins>
    </w:p>
    <w:p>
      <w:pPr>
        <w:pStyle w:val="Defstart"/>
        <w:rPr>
          <w:ins w:id="661" w:author="Master Repository Process" w:date="2024-05-01T10:47:00Z"/>
        </w:rPr>
      </w:pPr>
      <w:ins w:id="662" w:author="Master Repository Process" w:date="2024-05-01T10:47:00Z">
        <w:r>
          <w:tab/>
        </w:r>
        <w:r>
          <w:rPr>
            <w:rStyle w:val="CharDefText"/>
          </w:rPr>
          <w:t>relevant person</w:t>
        </w:r>
        <w:r>
          <w:t xml:space="preserve"> means — </w:t>
        </w:r>
      </w:ins>
    </w:p>
    <w:p>
      <w:pPr>
        <w:pStyle w:val="Defpara"/>
        <w:rPr>
          <w:ins w:id="663" w:author="Master Repository Process" w:date="2024-05-01T10:47:00Z"/>
        </w:rPr>
      </w:pPr>
      <w:ins w:id="664" w:author="Master Repository Process" w:date="2024-05-01T10:47:00Z">
        <w:r>
          <w:tab/>
          <w:t>(a)</w:t>
        </w:r>
        <w:r>
          <w:tab/>
          <w:t>a registered health practitioner who is authorised under Division 2 to perform an abortion; or</w:t>
        </w:r>
      </w:ins>
    </w:p>
    <w:p>
      <w:pPr>
        <w:pStyle w:val="Defpara"/>
        <w:rPr>
          <w:ins w:id="665" w:author="Master Repository Process" w:date="2024-05-01T10:47:00Z"/>
        </w:rPr>
      </w:pPr>
      <w:ins w:id="666" w:author="Master Repository Process" w:date="2024-05-01T10:47:00Z">
        <w:r>
          <w:tab/>
          <w:t>(b)</w:t>
        </w:r>
        <w:r>
          <w:tab/>
          <w:t>the chief executive of a health service provider that provides health services that include, or are related to, the performance of abortions under Division 2; or</w:t>
        </w:r>
      </w:ins>
    </w:p>
    <w:p>
      <w:pPr>
        <w:pStyle w:val="Defpara"/>
        <w:rPr>
          <w:ins w:id="667" w:author="Master Repository Process" w:date="2024-05-01T10:47:00Z"/>
        </w:rPr>
      </w:pPr>
      <w:ins w:id="668" w:author="Master Repository Process" w:date="2024-05-01T10:47:00Z">
        <w:r>
          <w:tab/>
          <w:t>(c)</w:t>
        </w:r>
        <w:r>
          <w:tab/>
          <w:t>a private hospital service provider that provides health services that include, or are related to, the performance of abortions under Division 2;</w:t>
        </w:r>
      </w:ins>
    </w:p>
    <w:p>
      <w:pPr>
        <w:pStyle w:val="Defstart"/>
        <w:keepNext/>
        <w:keepLines/>
        <w:rPr>
          <w:ins w:id="669" w:author="Master Repository Process" w:date="2024-05-01T10:47:00Z"/>
        </w:rPr>
      </w:pPr>
      <w:ins w:id="670" w:author="Master Repository Process" w:date="2024-05-01T10:47:00Z">
        <w:r>
          <w:tab/>
        </w:r>
        <w:r>
          <w:rPr>
            <w:rStyle w:val="CharDefText"/>
          </w:rPr>
          <w:t>student</w:t>
        </w:r>
        <w:r>
          <w:t xml:space="preserve">, in relation to a health profession, means a person whose name is entered in a student register for the health profession as being currently registered under the </w:t>
        </w:r>
        <w:r>
          <w:rPr>
            <w:i/>
          </w:rPr>
          <w:t>Health Practitioner Regulation National Law (Western Australia)</w:t>
        </w:r>
        <w:r>
          <w:t>;</w:t>
        </w:r>
      </w:ins>
    </w:p>
    <w:p>
      <w:pPr>
        <w:pStyle w:val="Defstart"/>
        <w:rPr>
          <w:ins w:id="671" w:author="Master Repository Process" w:date="2024-05-01T10:47:00Z"/>
        </w:rPr>
      </w:pPr>
      <w:ins w:id="672" w:author="Master Repository Process" w:date="2024-05-01T10:47:00Z">
        <w:r>
          <w:tab/>
        </w:r>
        <w:r>
          <w:rPr>
            <w:rStyle w:val="CharDefText"/>
          </w:rPr>
          <w:t>student register</w:t>
        </w:r>
        <w:r>
          <w:t xml:space="preserve">, for a health profession, has the meaning given in the </w:t>
        </w:r>
        <w:r>
          <w:rPr>
            <w:i/>
          </w:rPr>
          <w:t>Health Practitioner Regulation National Law (Western Australia)</w:t>
        </w:r>
        <w:r>
          <w:t xml:space="preserve"> section 5;</w:t>
        </w:r>
      </w:ins>
    </w:p>
    <w:p>
      <w:pPr>
        <w:pStyle w:val="Defstart"/>
        <w:rPr>
          <w:ins w:id="673" w:author="Master Repository Process" w:date="2024-05-01T10:47:00Z"/>
        </w:rPr>
      </w:pPr>
      <w:ins w:id="674" w:author="Master Repository Process" w:date="2024-05-01T10:47:00Z">
        <w:r>
          <w:tab/>
        </w:r>
        <w:r>
          <w:rPr>
            <w:rStyle w:val="CharDefText"/>
          </w:rPr>
          <w:t>supply</w:t>
        </w:r>
        <w:r>
          <w:t xml:space="preserve">, in relation to an abortion drug, has the same meaning as it has, in relation to a poison, in the </w:t>
        </w:r>
        <w:r>
          <w:rPr>
            <w:i/>
          </w:rPr>
          <w:t>Medicines and Poisons Act 2014</w:t>
        </w:r>
        <w:r>
          <w:t xml:space="preserve"> section 8.</w:t>
        </w:r>
      </w:ins>
    </w:p>
    <w:p>
      <w:pPr>
        <w:pStyle w:val="Footnotesection"/>
        <w:rPr>
          <w:ins w:id="675" w:author="Master Repository Process" w:date="2024-05-01T10:47:00Z"/>
        </w:rPr>
      </w:pPr>
      <w:ins w:id="676" w:author="Master Repository Process" w:date="2024-05-01T10:47:00Z">
        <w:r>
          <w:tab/>
          <w:t>[Section 202MA inserted: No. 20 of 2023 s. 8.]</w:t>
        </w:r>
      </w:ins>
    </w:p>
    <w:p>
      <w:pPr>
        <w:pStyle w:val="Heading5"/>
        <w:rPr>
          <w:ins w:id="677" w:author="Master Repository Process" w:date="2024-05-01T10:47:00Z"/>
        </w:rPr>
      </w:pPr>
      <w:bookmarkStart w:id="678" w:name="_Toc165449325"/>
      <w:ins w:id="679" w:author="Master Repository Process" w:date="2024-05-01T10:47:00Z">
        <w:r>
          <w:rPr>
            <w:rStyle w:val="CharSectno"/>
          </w:rPr>
          <w:t>202MB</w:t>
        </w:r>
        <w:r>
          <w:t>.</w:t>
        </w:r>
        <w:r>
          <w:tab/>
          <w:t>Performance of abortion</w:t>
        </w:r>
        <w:bookmarkEnd w:id="678"/>
      </w:ins>
    </w:p>
    <w:p>
      <w:pPr>
        <w:pStyle w:val="Subsection"/>
        <w:rPr>
          <w:ins w:id="680" w:author="Master Repository Process" w:date="2024-05-01T10:47:00Z"/>
        </w:rPr>
      </w:pPr>
      <w:ins w:id="681" w:author="Master Repository Process" w:date="2024-05-01T10:47:00Z">
        <w:r>
          <w:tab/>
          <w:t>(1)</w:t>
        </w:r>
        <w:r>
          <w:tab/>
          <w:t xml:space="preserve">A person </w:t>
        </w:r>
        <w:r>
          <w:rPr>
            <w:rStyle w:val="CharDefText"/>
          </w:rPr>
          <w:t>performs an abortion</w:t>
        </w:r>
        <w:r>
          <w:t xml:space="preserve"> on another person if the person does any act with the intention of causing the termination of the pregnancy of the other person.</w:t>
        </w:r>
      </w:ins>
    </w:p>
    <w:p>
      <w:pPr>
        <w:pStyle w:val="Subsection"/>
        <w:rPr>
          <w:ins w:id="682" w:author="Master Repository Process" w:date="2024-05-01T10:47:00Z"/>
        </w:rPr>
      </w:pPr>
      <w:ins w:id="683" w:author="Master Repository Process" w:date="2024-05-01T10:47:00Z">
        <w:r>
          <w:tab/>
          <w:t>(2)</w:t>
        </w:r>
        <w:r>
          <w:tab/>
          <w:t xml:space="preserve">Without limiting subsection (1), the acts to which it applies include the following — </w:t>
        </w:r>
      </w:ins>
    </w:p>
    <w:p>
      <w:pPr>
        <w:pStyle w:val="Indenta"/>
        <w:rPr>
          <w:ins w:id="684" w:author="Master Repository Process" w:date="2024-05-01T10:47:00Z"/>
        </w:rPr>
      </w:pPr>
      <w:ins w:id="685" w:author="Master Repository Process" w:date="2024-05-01T10:47:00Z">
        <w:r>
          <w:tab/>
          <w:t>(a)</w:t>
        </w:r>
        <w:r>
          <w:tab/>
          <w:t xml:space="preserve">prescribing an abortion drug for the other person; </w:t>
        </w:r>
      </w:ins>
    </w:p>
    <w:p>
      <w:pPr>
        <w:pStyle w:val="Indenta"/>
        <w:rPr>
          <w:ins w:id="686" w:author="Master Repository Process" w:date="2024-05-01T10:47:00Z"/>
        </w:rPr>
      </w:pPr>
      <w:ins w:id="687" w:author="Master Repository Process" w:date="2024-05-01T10:47:00Z">
        <w:r>
          <w:tab/>
          <w:t>(b)</w:t>
        </w:r>
        <w:r>
          <w:tab/>
          <w:t>supplying an abortion drug to the other person;</w:t>
        </w:r>
      </w:ins>
    </w:p>
    <w:p>
      <w:pPr>
        <w:pStyle w:val="Indenta"/>
        <w:rPr>
          <w:ins w:id="688" w:author="Master Repository Process" w:date="2024-05-01T10:47:00Z"/>
        </w:rPr>
      </w:pPr>
      <w:ins w:id="689" w:author="Master Repository Process" w:date="2024-05-01T10:47:00Z">
        <w:r>
          <w:tab/>
          <w:t>(c)</w:t>
        </w:r>
        <w:r>
          <w:tab/>
          <w:t xml:space="preserve">administering an abortion drug to the other person; </w:t>
        </w:r>
      </w:ins>
    </w:p>
    <w:p>
      <w:pPr>
        <w:pStyle w:val="Indenta"/>
        <w:rPr>
          <w:ins w:id="690" w:author="Master Repository Process" w:date="2024-05-01T10:47:00Z"/>
        </w:rPr>
      </w:pPr>
      <w:ins w:id="691" w:author="Master Repository Process" w:date="2024-05-01T10:47:00Z">
        <w:r>
          <w:tab/>
          <w:t>(d)</w:t>
        </w:r>
        <w:r>
          <w:tab/>
          <w:t>carrying out a surgical or other procedure on the other person.</w:t>
        </w:r>
      </w:ins>
    </w:p>
    <w:p>
      <w:pPr>
        <w:pStyle w:val="Subsection"/>
        <w:rPr>
          <w:ins w:id="692" w:author="Master Repository Process" w:date="2024-05-01T10:47:00Z"/>
        </w:rPr>
      </w:pPr>
      <w:ins w:id="693" w:author="Master Repository Process" w:date="2024-05-01T10:47:00Z">
        <w:r>
          <w:tab/>
          <w:t>(3)</w:t>
        </w:r>
        <w:r>
          <w:tab/>
          <w:t>However, assisting a person to do an act done with the intention of causing the termination of a pregnancy of another person is not an act to which subsection (1) applies.</w:t>
        </w:r>
      </w:ins>
    </w:p>
    <w:p>
      <w:pPr>
        <w:pStyle w:val="Footnotesection"/>
        <w:rPr>
          <w:ins w:id="694" w:author="Master Repository Process" w:date="2024-05-01T10:47:00Z"/>
        </w:rPr>
      </w:pPr>
      <w:ins w:id="695" w:author="Master Repository Process" w:date="2024-05-01T10:47:00Z">
        <w:r>
          <w:tab/>
          <w:t>[Section 202MB inserted: No. 20 of 2023 s. 8.]</w:t>
        </w:r>
      </w:ins>
    </w:p>
    <w:p>
      <w:pPr>
        <w:pStyle w:val="Heading3"/>
        <w:rPr>
          <w:ins w:id="696" w:author="Master Repository Process" w:date="2024-05-01T10:47:00Z"/>
        </w:rPr>
      </w:pPr>
      <w:bookmarkStart w:id="697" w:name="_Toc165383869"/>
      <w:bookmarkStart w:id="698" w:name="_Toc165384980"/>
      <w:bookmarkStart w:id="699" w:name="_Toc165449326"/>
      <w:ins w:id="700" w:author="Master Repository Process" w:date="2024-05-01T10:47:00Z">
        <w:r>
          <w:rPr>
            <w:rStyle w:val="CharDivNo"/>
          </w:rPr>
          <w:t>Division 2</w:t>
        </w:r>
        <w:r>
          <w:t> — </w:t>
        </w:r>
        <w:r>
          <w:rPr>
            <w:rStyle w:val="CharDivText"/>
          </w:rPr>
          <w:t>Performance of abortion by registered health practitioners</w:t>
        </w:r>
        <w:bookmarkEnd w:id="697"/>
        <w:bookmarkEnd w:id="698"/>
        <w:bookmarkEnd w:id="699"/>
      </w:ins>
    </w:p>
    <w:p>
      <w:pPr>
        <w:pStyle w:val="Footnoteheading"/>
        <w:keepNext/>
        <w:rPr>
          <w:ins w:id="701" w:author="Master Repository Process" w:date="2024-05-01T10:47:00Z"/>
        </w:rPr>
      </w:pPr>
      <w:ins w:id="702" w:author="Master Repository Process" w:date="2024-05-01T10:47:00Z">
        <w:r>
          <w:tab/>
          <w:t>[Heading inserted: No. 20 of 2023 s. 8.]</w:t>
        </w:r>
      </w:ins>
    </w:p>
    <w:p>
      <w:pPr>
        <w:pStyle w:val="Heading5"/>
        <w:rPr>
          <w:ins w:id="703" w:author="Master Repository Process" w:date="2024-05-01T10:47:00Z"/>
        </w:rPr>
      </w:pPr>
      <w:bookmarkStart w:id="704" w:name="_Toc165449327"/>
      <w:ins w:id="705" w:author="Master Repository Process" w:date="2024-05-01T10:47:00Z">
        <w:r>
          <w:rPr>
            <w:rStyle w:val="CharSectno"/>
          </w:rPr>
          <w:t>202MC</w:t>
        </w:r>
        <w:r>
          <w:t>.</w:t>
        </w:r>
        <w:r>
          <w:tab/>
          <w:t>Performance of abortion by medical practitioner at not more than 23 weeks</w:t>
        </w:r>
        <w:bookmarkEnd w:id="704"/>
      </w:ins>
    </w:p>
    <w:p>
      <w:pPr>
        <w:pStyle w:val="Subsection"/>
        <w:keepNext/>
        <w:rPr>
          <w:ins w:id="706" w:author="Master Repository Process" w:date="2024-05-01T10:47:00Z"/>
        </w:rPr>
      </w:pPr>
      <w:ins w:id="707" w:author="Master Repository Process" w:date="2024-05-01T10:47:00Z">
        <w:r>
          <w:tab/>
        </w:r>
        <w:r>
          <w:tab/>
          <w:t xml:space="preserve">A medical practitioner is authorised to perform an abortion on a person who is not more than 23 weeks pregnant. </w:t>
        </w:r>
      </w:ins>
    </w:p>
    <w:p>
      <w:pPr>
        <w:pStyle w:val="Footnotesection"/>
        <w:rPr>
          <w:ins w:id="708" w:author="Master Repository Process" w:date="2024-05-01T10:47:00Z"/>
        </w:rPr>
      </w:pPr>
      <w:ins w:id="709" w:author="Master Repository Process" w:date="2024-05-01T10:47:00Z">
        <w:r>
          <w:tab/>
          <w:t>[Section 202MC inserted: No. 20 of 2023 s. 8.]</w:t>
        </w:r>
      </w:ins>
    </w:p>
    <w:p>
      <w:pPr>
        <w:pStyle w:val="Heading5"/>
        <w:rPr>
          <w:ins w:id="710" w:author="Master Repository Process" w:date="2024-05-01T10:47:00Z"/>
        </w:rPr>
      </w:pPr>
      <w:bookmarkStart w:id="711" w:name="_Toc165449328"/>
      <w:ins w:id="712" w:author="Master Repository Process" w:date="2024-05-01T10:47:00Z">
        <w:r>
          <w:rPr>
            <w:rStyle w:val="CharSectno"/>
          </w:rPr>
          <w:t>202MD</w:t>
        </w:r>
        <w:r>
          <w:t>.</w:t>
        </w:r>
        <w:r>
          <w:tab/>
          <w:t>Performance of medical abortion by certain other registered health practitioners at not more than 23 weeks</w:t>
        </w:r>
        <w:bookmarkEnd w:id="711"/>
      </w:ins>
    </w:p>
    <w:p>
      <w:pPr>
        <w:pStyle w:val="Subsection"/>
        <w:rPr>
          <w:ins w:id="713" w:author="Master Repository Process" w:date="2024-05-01T10:47:00Z"/>
        </w:rPr>
      </w:pPr>
      <w:ins w:id="714" w:author="Master Repository Process" w:date="2024-05-01T10:47:00Z">
        <w:r>
          <w:tab/>
          <w:t>(1)</w:t>
        </w:r>
        <w:r>
          <w:tab/>
          <w:t xml:space="preserve">In this section — </w:t>
        </w:r>
      </w:ins>
    </w:p>
    <w:p>
      <w:pPr>
        <w:pStyle w:val="Defstart"/>
        <w:rPr>
          <w:ins w:id="715" w:author="Master Repository Process" w:date="2024-05-01T10:47:00Z"/>
        </w:rPr>
      </w:pPr>
      <w:ins w:id="716" w:author="Master Repository Process" w:date="2024-05-01T10:47:00Z">
        <w:r>
          <w:tab/>
        </w:r>
        <w:r>
          <w:rPr>
            <w:rStyle w:val="CharDefText"/>
          </w:rPr>
          <w:t>prescribing practitioner</w:t>
        </w:r>
        <w:r>
          <w:t xml:space="preserve"> means a person who is a member of a class of registered health practitioners that — </w:t>
        </w:r>
      </w:ins>
    </w:p>
    <w:p>
      <w:pPr>
        <w:pStyle w:val="Defpara"/>
        <w:rPr>
          <w:ins w:id="717" w:author="Master Repository Process" w:date="2024-05-01T10:47:00Z"/>
        </w:rPr>
      </w:pPr>
      <w:ins w:id="718" w:author="Master Repository Process" w:date="2024-05-01T10:47:00Z">
        <w:r>
          <w:tab/>
          <w:t>(a)</w:t>
        </w:r>
        <w:r>
          <w:tab/>
          <w:t xml:space="preserve">is authorised under the </w:t>
        </w:r>
        <w:r>
          <w:rPr>
            <w:i/>
          </w:rPr>
          <w:t>Medicines and Poisons Act 2014</w:t>
        </w:r>
        <w:r>
          <w:t xml:space="preserve"> to prescribe an abortion drug; and</w:t>
        </w:r>
      </w:ins>
    </w:p>
    <w:p>
      <w:pPr>
        <w:pStyle w:val="Defpara"/>
        <w:rPr>
          <w:ins w:id="719" w:author="Master Repository Process" w:date="2024-05-01T10:47:00Z"/>
        </w:rPr>
      </w:pPr>
      <w:ins w:id="720" w:author="Master Repository Process" w:date="2024-05-01T10:47:00Z">
        <w:r>
          <w:tab/>
          <w:t>(b)</w:t>
        </w:r>
        <w:r>
          <w:tab/>
          <w:t>is prescribed by the regulations for the purposes of this definition.</w:t>
        </w:r>
      </w:ins>
    </w:p>
    <w:p>
      <w:pPr>
        <w:pStyle w:val="Subsection"/>
        <w:rPr>
          <w:ins w:id="721" w:author="Master Repository Process" w:date="2024-05-01T10:47:00Z"/>
        </w:rPr>
      </w:pPr>
      <w:ins w:id="722" w:author="Master Repository Process" w:date="2024-05-01T10:47:00Z">
        <w:r>
          <w:tab/>
          <w:t>(2)</w:t>
        </w:r>
        <w:r>
          <w:tab/>
          <w:t xml:space="preserve">A prescribing practitioner is authorised to perform an abortion on a person who is not more than 23 weeks pregnant if the prescribing practitioner performs the abortion by — </w:t>
        </w:r>
      </w:ins>
    </w:p>
    <w:p>
      <w:pPr>
        <w:pStyle w:val="Indenta"/>
        <w:rPr>
          <w:ins w:id="723" w:author="Master Repository Process" w:date="2024-05-01T10:47:00Z"/>
        </w:rPr>
      </w:pPr>
      <w:ins w:id="724" w:author="Master Repository Process" w:date="2024-05-01T10:47:00Z">
        <w:r>
          <w:tab/>
          <w:t>(a)</w:t>
        </w:r>
        <w:r>
          <w:tab/>
          <w:t>prescribing an abortion drug for the person; or</w:t>
        </w:r>
      </w:ins>
    </w:p>
    <w:p>
      <w:pPr>
        <w:pStyle w:val="Indenta"/>
        <w:rPr>
          <w:ins w:id="725" w:author="Master Repository Process" w:date="2024-05-01T10:47:00Z"/>
        </w:rPr>
      </w:pPr>
      <w:ins w:id="726" w:author="Master Repository Process" w:date="2024-05-01T10:47:00Z">
        <w:r>
          <w:tab/>
          <w:t>(b)</w:t>
        </w:r>
        <w:r>
          <w:tab/>
          <w:t>supplying or administering an abortion drug to the person.</w:t>
        </w:r>
      </w:ins>
    </w:p>
    <w:p>
      <w:pPr>
        <w:pStyle w:val="Footnotesection"/>
        <w:rPr>
          <w:ins w:id="727" w:author="Master Repository Process" w:date="2024-05-01T10:47:00Z"/>
        </w:rPr>
      </w:pPr>
      <w:ins w:id="728" w:author="Master Repository Process" w:date="2024-05-01T10:47:00Z">
        <w:r>
          <w:tab/>
          <w:t>[Section 202MD inserted: No. 20 of 2023 s. 8.]</w:t>
        </w:r>
      </w:ins>
    </w:p>
    <w:p>
      <w:pPr>
        <w:pStyle w:val="Heading5"/>
        <w:rPr>
          <w:ins w:id="729" w:author="Master Repository Process" w:date="2024-05-01T10:47:00Z"/>
        </w:rPr>
      </w:pPr>
      <w:bookmarkStart w:id="730" w:name="_Toc165449329"/>
      <w:ins w:id="731" w:author="Master Repository Process" w:date="2024-05-01T10:47:00Z">
        <w:r>
          <w:rPr>
            <w:rStyle w:val="CharSectno"/>
          </w:rPr>
          <w:t>202ME</w:t>
        </w:r>
        <w:r>
          <w:t>.</w:t>
        </w:r>
        <w:r>
          <w:tab/>
          <w:t>Performance of abortion by medical practitioner at more than 23 weeks</w:t>
        </w:r>
        <w:bookmarkEnd w:id="730"/>
      </w:ins>
    </w:p>
    <w:p>
      <w:pPr>
        <w:pStyle w:val="Subsection"/>
        <w:keepNext/>
        <w:rPr>
          <w:ins w:id="732" w:author="Master Repository Process" w:date="2024-05-01T10:47:00Z"/>
        </w:rPr>
      </w:pPr>
      <w:ins w:id="733" w:author="Master Repository Process" w:date="2024-05-01T10:47:00Z">
        <w:r>
          <w:tab/>
          <w:t>(1)</w:t>
        </w:r>
        <w:r>
          <w:tab/>
          <w:t xml:space="preserve">Subject to subsection (5), a medical practitioner (the </w:t>
        </w:r>
        <w:r>
          <w:rPr>
            <w:rStyle w:val="CharDefText"/>
          </w:rPr>
          <w:t>primary practitioner</w:t>
        </w:r>
        <w:r>
          <w:t xml:space="preserve">) is authorised to perform an abortion on a person who is more than 23 weeks pregnant if — </w:t>
        </w:r>
      </w:ins>
    </w:p>
    <w:p>
      <w:pPr>
        <w:pStyle w:val="Indenta"/>
        <w:rPr>
          <w:ins w:id="734" w:author="Master Repository Process" w:date="2024-05-01T10:47:00Z"/>
        </w:rPr>
      </w:pPr>
      <w:ins w:id="735" w:author="Master Repository Process" w:date="2024-05-01T10:47:00Z">
        <w:r>
          <w:tab/>
          <w:t>(a)</w:t>
        </w:r>
        <w:r>
          <w:tab/>
          <w:t>the primary practitioner, after having regard to the matters referred to in subsection (2), reasonably believes that performing the abortion is appropriate in all the circumstances; and</w:t>
        </w:r>
      </w:ins>
    </w:p>
    <w:p>
      <w:pPr>
        <w:pStyle w:val="Indenta"/>
        <w:rPr>
          <w:ins w:id="736" w:author="Master Repository Process" w:date="2024-05-01T10:47:00Z"/>
        </w:rPr>
      </w:pPr>
      <w:ins w:id="737" w:author="Master Repository Process" w:date="2024-05-01T10:47:00Z">
        <w:r>
          <w:tab/>
          <w:t>(b)</w:t>
        </w:r>
        <w:r>
          <w:tab/>
          <w:t>the primary practitioner has consulted with at least 1 other medical practitioner who, after having regard to the matters referred to in subsection (2), also reasonably believes that performing the abortion is appropriate in all the circumstances.</w:t>
        </w:r>
      </w:ins>
    </w:p>
    <w:p>
      <w:pPr>
        <w:pStyle w:val="Subsection"/>
        <w:rPr>
          <w:ins w:id="738" w:author="Master Repository Process" w:date="2024-05-01T10:47:00Z"/>
        </w:rPr>
      </w:pPr>
      <w:ins w:id="739" w:author="Master Repository Process" w:date="2024-05-01T10:47:00Z">
        <w:r>
          <w:tab/>
          <w:t>(2)</w:t>
        </w:r>
        <w:r>
          <w:tab/>
          <w:t xml:space="preserve">In considering whether performing an abortion on a person is appropriate in all the circumstances, a medical practitioner must have regard to — </w:t>
        </w:r>
      </w:ins>
    </w:p>
    <w:p>
      <w:pPr>
        <w:pStyle w:val="Indenta"/>
        <w:rPr>
          <w:ins w:id="740" w:author="Master Repository Process" w:date="2024-05-01T10:47:00Z"/>
        </w:rPr>
      </w:pPr>
      <w:ins w:id="741" w:author="Master Repository Process" w:date="2024-05-01T10:47:00Z">
        <w:r>
          <w:tab/>
          <w:t>(a)</w:t>
        </w:r>
        <w:r>
          <w:tab/>
          <w:t>all relevant medical circumstances; and</w:t>
        </w:r>
      </w:ins>
    </w:p>
    <w:p>
      <w:pPr>
        <w:pStyle w:val="Indenta"/>
        <w:rPr>
          <w:ins w:id="742" w:author="Master Repository Process" w:date="2024-05-01T10:47:00Z"/>
        </w:rPr>
      </w:pPr>
      <w:ins w:id="743" w:author="Master Repository Process" w:date="2024-05-01T10:47:00Z">
        <w:r>
          <w:tab/>
          <w:t>(b)</w:t>
        </w:r>
        <w:r>
          <w:tab/>
          <w:t>the person’s current and future physical, psychological and social circumstances; and</w:t>
        </w:r>
      </w:ins>
    </w:p>
    <w:p>
      <w:pPr>
        <w:pStyle w:val="Indenta"/>
        <w:rPr>
          <w:ins w:id="744" w:author="Master Repository Process" w:date="2024-05-01T10:47:00Z"/>
        </w:rPr>
      </w:pPr>
      <w:ins w:id="745" w:author="Master Repository Process" w:date="2024-05-01T10:47:00Z">
        <w:r>
          <w:tab/>
          <w:t>(c)</w:t>
        </w:r>
        <w:r>
          <w:tab/>
          <w:t>the professional standards and guidelines commonly accepted by members of the medical profession that apply to the medical practitioner in relation to the performance of the abortion.</w:t>
        </w:r>
      </w:ins>
    </w:p>
    <w:p>
      <w:pPr>
        <w:pStyle w:val="Subsection"/>
        <w:rPr>
          <w:ins w:id="746" w:author="Master Repository Process" w:date="2024-05-01T10:47:00Z"/>
        </w:rPr>
      </w:pPr>
      <w:ins w:id="747" w:author="Master Repository Process" w:date="2024-05-01T10:47:00Z">
        <w:r>
          <w:tab/>
          <w:t>(3)</w:t>
        </w:r>
        <w:r>
          <w:tab/>
          <w:t>Subsection (2) does not limit the matters to which a medical practitioner may have regard in considering whether performing an abortion on a person is appropriate in all the circumstances.</w:t>
        </w:r>
      </w:ins>
    </w:p>
    <w:p>
      <w:pPr>
        <w:pStyle w:val="Subsection"/>
        <w:rPr>
          <w:ins w:id="748" w:author="Master Repository Process" w:date="2024-05-01T10:47:00Z"/>
        </w:rPr>
      </w:pPr>
      <w:ins w:id="749" w:author="Master Repository Process" w:date="2024-05-01T10:47:00Z">
        <w:r>
          <w:tab/>
          <w:t>(4)</w:t>
        </w:r>
        <w:r>
          <w:tab/>
          <w:t xml:space="preserve">For the purposes of subsection (1)(b) — </w:t>
        </w:r>
      </w:ins>
    </w:p>
    <w:p>
      <w:pPr>
        <w:pStyle w:val="Indenta"/>
        <w:rPr>
          <w:ins w:id="750" w:author="Master Repository Process" w:date="2024-05-01T10:47:00Z"/>
        </w:rPr>
      </w:pPr>
      <w:ins w:id="751" w:author="Master Repository Process" w:date="2024-05-01T10:47:00Z">
        <w:r>
          <w:tab/>
          <w:t>(a)</w:t>
        </w:r>
        <w:r>
          <w:tab/>
          <w:t xml:space="preserve">the principal place of practice (as defined in the </w:t>
        </w:r>
        <w:r>
          <w:rPr>
            <w:i/>
          </w:rPr>
          <w:t xml:space="preserve">Health Practitioner Regulation National Law (Western Australia) </w:t>
        </w:r>
        <w:r>
          <w:t>section 5) of a medical practitioner with whom the primary practitioner consults need not be in Western Australia; and</w:t>
        </w:r>
      </w:ins>
    </w:p>
    <w:p>
      <w:pPr>
        <w:pStyle w:val="Indenta"/>
        <w:rPr>
          <w:ins w:id="752" w:author="Master Repository Process" w:date="2024-05-01T10:47:00Z"/>
        </w:rPr>
      </w:pPr>
      <w:ins w:id="753" w:author="Master Repository Process" w:date="2024-05-01T10:47:00Z">
        <w:r>
          <w:tab/>
          <w:t>(b)</w:t>
        </w:r>
        <w:r>
          <w:tab/>
          <w:t>if a medical practitioner with whom the primary practitioner consults does not believe that performing the abortion is appropriate in all the circumstances, this does not prevent the primary practitioner from consulting with another medical practitioner.</w:t>
        </w:r>
      </w:ins>
    </w:p>
    <w:p>
      <w:pPr>
        <w:pStyle w:val="Subsection"/>
        <w:rPr>
          <w:ins w:id="754" w:author="Master Repository Process" w:date="2024-05-01T10:47:00Z"/>
        </w:rPr>
      </w:pPr>
      <w:ins w:id="755" w:author="Master Repository Process" w:date="2024-05-01T10:47:00Z">
        <w:r>
          <w:tab/>
          <w:t>(5)</w:t>
        </w:r>
        <w:r>
          <w:tab/>
          <w:t>In an emergency, a medical practitioner is authorised to perform an abortion on a person who is more than 23 weeks pregnant without complying with subsection (1) if the medical practitioner considers it necessary to perform the abortion to save the person’s life or save another foetus.</w:t>
        </w:r>
      </w:ins>
    </w:p>
    <w:p>
      <w:pPr>
        <w:pStyle w:val="Footnotesection"/>
        <w:rPr>
          <w:ins w:id="756" w:author="Master Repository Process" w:date="2024-05-01T10:47:00Z"/>
        </w:rPr>
      </w:pPr>
      <w:ins w:id="757" w:author="Master Repository Process" w:date="2024-05-01T10:47:00Z">
        <w:r>
          <w:tab/>
          <w:t>[Section 202ME inserted: No. 20 of 2023 s. 8.]</w:t>
        </w:r>
      </w:ins>
    </w:p>
    <w:p>
      <w:pPr>
        <w:pStyle w:val="Heading5"/>
        <w:rPr>
          <w:ins w:id="758" w:author="Master Repository Process" w:date="2024-05-01T10:47:00Z"/>
        </w:rPr>
      </w:pPr>
      <w:bookmarkStart w:id="759" w:name="_Toc165449330"/>
      <w:ins w:id="760" w:author="Master Repository Process" w:date="2024-05-01T10:47:00Z">
        <w:r>
          <w:rPr>
            <w:rStyle w:val="CharSectno"/>
          </w:rPr>
          <w:t>202MF</w:t>
        </w:r>
        <w:r>
          <w:t>.</w:t>
        </w:r>
        <w:r>
          <w:tab/>
          <w:t>Performance of medical abortion by certain registered health practitioners on direction of medical practitioner or prescribing practitioner</w:t>
        </w:r>
        <w:bookmarkEnd w:id="759"/>
      </w:ins>
    </w:p>
    <w:p>
      <w:pPr>
        <w:pStyle w:val="Subsection"/>
        <w:rPr>
          <w:ins w:id="761" w:author="Master Repository Process" w:date="2024-05-01T10:47:00Z"/>
        </w:rPr>
      </w:pPr>
      <w:ins w:id="762" w:author="Master Repository Process" w:date="2024-05-01T10:47:00Z">
        <w:r>
          <w:tab/>
          <w:t>(1)</w:t>
        </w:r>
        <w:r>
          <w:tab/>
          <w:t xml:space="preserve">In this section — </w:t>
        </w:r>
      </w:ins>
    </w:p>
    <w:p>
      <w:pPr>
        <w:pStyle w:val="Defstart"/>
        <w:rPr>
          <w:ins w:id="763" w:author="Master Repository Process" w:date="2024-05-01T10:47:00Z"/>
        </w:rPr>
      </w:pPr>
      <w:ins w:id="764" w:author="Master Repository Process" w:date="2024-05-01T10:47:00Z">
        <w:r>
          <w:tab/>
        </w:r>
        <w:r>
          <w:rPr>
            <w:rStyle w:val="CharDefText"/>
          </w:rPr>
          <w:t>directing practitioner</w:t>
        </w:r>
        <w:r>
          <w:t xml:space="preserve"> means — </w:t>
        </w:r>
      </w:ins>
    </w:p>
    <w:p>
      <w:pPr>
        <w:pStyle w:val="Defpara"/>
        <w:rPr>
          <w:ins w:id="765" w:author="Master Repository Process" w:date="2024-05-01T10:47:00Z"/>
        </w:rPr>
      </w:pPr>
      <w:ins w:id="766" w:author="Master Repository Process" w:date="2024-05-01T10:47:00Z">
        <w:r>
          <w:tab/>
          <w:t>(a)</w:t>
        </w:r>
        <w:r>
          <w:tab/>
          <w:t>in relation to the performance of an abortion on a person who is not more than 23 weeks pregnant — a medical practitioner or prescribing practitioner; and</w:t>
        </w:r>
      </w:ins>
    </w:p>
    <w:p>
      <w:pPr>
        <w:pStyle w:val="Defpara"/>
        <w:rPr>
          <w:ins w:id="767" w:author="Master Repository Process" w:date="2024-05-01T10:47:00Z"/>
        </w:rPr>
      </w:pPr>
      <w:ins w:id="768" w:author="Master Repository Process" w:date="2024-05-01T10:47:00Z">
        <w:r>
          <w:tab/>
          <w:t>(b)</w:t>
        </w:r>
        <w:r>
          <w:tab/>
          <w:t>in relation to the performance of an abortion on a person who is more than 23 weeks pregnant — a medical practitioner.</w:t>
        </w:r>
      </w:ins>
    </w:p>
    <w:p>
      <w:pPr>
        <w:pStyle w:val="Subsection"/>
        <w:rPr>
          <w:ins w:id="769" w:author="Master Repository Process" w:date="2024-05-01T10:47:00Z"/>
        </w:rPr>
      </w:pPr>
      <w:ins w:id="770" w:author="Master Repository Process" w:date="2024-05-01T10:47:00Z">
        <w:r>
          <w:tab/>
          <w:t>(2)</w:t>
        </w:r>
        <w:r>
          <w:tab/>
          <w:t xml:space="preserve">A pharmacist is authorised to perform an abortion on a person by supplying an abortion drug to the person if the pharmacist, in accordance with the </w:t>
        </w:r>
        <w:r>
          <w:rPr>
            <w:i/>
          </w:rPr>
          <w:t>Medicines and Poisons Act 2014</w:t>
        </w:r>
        <w:r>
          <w:t xml:space="preserve"> — </w:t>
        </w:r>
      </w:ins>
    </w:p>
    <w:p>
      <w:pPr>
        <w:pStyle w:val="Indenta"/>
        <w:rPr>
          <w:ins w:id="771" w:author="Master Repository Process" w:date="2024-05-01T10:47:00Z"/>
        </w:rPr>
      </w:pPr>
      <w:ins w:id="772" w:author="Master Repository Process" w:date="2024-05-01T10:47:00Z">
        <w:r>
          <w:tab/>
          <w:t>(a)</w:t>
        </w:r>
        <w:r>
          <w:tab/>
          <w:t>dispenses the abortion drug to the person under a prescription issued by a directing practitioner; or</w:t>
        </w:r>
      </w:ins>
    </w:p>
    <w:p>
      <w:pPr>
        <w:pStyle w:val="Indenta"/>
        <w:rPr>
          <w:ins w:id="773" w:author="Master Repository Process" w:date="2024-05-01T10:47:00Z"/>
        </w:rPr>
      </w:pPr>
      <w:ins w:id="774" w:author="Master Repository Process" w:date="2024-05-01T10:47:00Z">
        <w:r>
          <w:tab/>
          <w:t>(b)</w:t>
        </w:r>
        <w:r>
          <w:tab/>
          <w:t>otherwise supplies the abortion drug to the person on the direction of a directing practitioner.</w:t>
        </w:r>
      </w:ins>
    </w:p>
    <w:p>
      <w:pPr>
        <w:pStyle w:val="Subsection"/>
        <w:rPr>
          <w:ins w:id="775" w:author="Master Repository Process" w:date="2024-05-01T10:47:00Z"/>
        </w:rPr>
      </w:pPr>
      <w:ins w:id="776" w:author="Master Repository Process" w:date="2024-05-01T10:47:00Z">
        <w:r>
          <w:tab/>
          <w:t>(3)</w:t>
        </w:r>
        <w:r>
          <w:tab/>
          <w:t xml:space="preserve">A registered health practitioner in a relevant health profession (other than pharmacy) is authorised to perform an abortion on a person by supplying or administering an abortion drug to the person if the registered health practitioner, in accordance with the </w:t>
        </w:r>
        <w:r>
          <w:rPr>
            <w:i/>
          </w:rPr>
          <w:t>Medicines and Poisons Act 2014</w:t>
        </w:r>
        <w:r>
          <w:t>, supplies or administers the abortion drug to the person on the direction of a directing practitioner.</w:t>
        </w:r>
      </w:ins>
    </w:p>
    <w:p>
      <w:pPr>
        <w:pStyle w:val="Footnotesection"/>
        <w:rPr>
          <w:ins w:id="777" w:author="Master Repository Process" w:date="2024-05-01T10:47:00Z"/>
        </w:rPr>
      </w:pPr>
      <w:ins w:id="778" w:author="Master Repository Process" w:date="2024-05-01T10:47:00Z">
        <w:r>
          <w:tab/>
          <w:t>[Section 202MF inserted: No. 20 of 2023 s. 8.]</w:t>
        </w:r>
      </w:ins>
    </w:p>
    <w:p>
      <w:pPr>
        <w:pStyle w:val="Heading5"/>
        <w:rPr>
          <w:ins w:id="779" w:author="Master Repository Process" w:date="2024-05-01T10:47:00Z"/>
        </w:rPr>
      </w:pPr>
      <w:bookmarkStart w:id="780" w:name="_Toc165449331"/>
      <w:ins w:id="781" w:author="Master Repository Process" w:date="2024-05-01T10:47:00Z">
        <w:r>
          <w:rPr>
            <w:rStyle w:val="CharSectno"/>
          </w:rPr>
          <w:t>202MG</w:t>
        </w:r>
        <w:r>
          <w:t>.</w:t>
        </w:r>
        <w:r>
          <w:tab/>
          <w:t>Assistance by certain registered health practitioners or students in performance of abortion by medical practitioner or prescribing practitioner</w:t>
        </w:r>
        <w:bookmarkEnd w:id="780"/>
      </w:ins>
    </w:p>
    <w:p>
      <w:pPr>
        <w:pStyle w:val="Subsection"/>
        <w:rPr>
          <w:ins w:id="782" w:author="Master Repository Process" w:date="2024-05-01T10:47:00Z"/>
        </w:rPr>
      </w:pPr>
      <w:ins w:id="783" w:author="Master Repository Process" w:date="2024-05-01T10:47:00Z">
        <w:r>
          <w:tab/>
          <w:t>(1)</w:t>
        </w:r>
        <w:r>
          <w:tab/>
          <w:t xml:space="preserve">A registered health practitioner in a relevant health profession, acting in the course of the practice of that profession, is authorised to assist in the performance of an abortion on a person by — </w:t>
        </w:r>
      </w:ins>
    </w:p>
    <w:p>
      <w:pPr>
        <w:pStyle w:val="Indenta"/>
        <w:rPr>
          <w:ins w:id="784" w:author="Master Repository Process" w:date="2024-05-01T10:47:00Z"/>
        </w:rPr>
      </w:pPr>
      <w:ins w:id="785" w:author="Master Repository Process" w:date="2024-05-01T10:47:00Z">
        <w:r>
          <w:tab/>
          <w:t>(a)</w:t>
        </w:r>
        <w:r>
          <w:tab/>
          <w:t>a medical practitioner as authorised under section 202MC or 202ME(1); or</w:t>
        </w:r>
      </w:ins>
    </w:p>
    <w:p>
      <w:pPr>
        <w:pStyle w:val="Indenta"/>
        <w:rPr>
          <w:ins w:id="786" w:author="Master Repository Process" w:date="2024-05-01T10:47:00Z"/>
        </w:rPr>
      </w:pPr>
      <w:ins w:id="787" w:author="Master Repository Process" w:date="2024-05-01T10:47:00Z">
        <w:r>
          <w:tab/>
          <w:t>(b)</w:t>
        </w:r>
        <w:r>
          <w:tab/>
          <w:t>a prescribing practitioner as authorised under section 202MD(2).</w:t>
        </w:r>
      </w:ins>
    </w:p>
    <w:p>
      <w:pPr>
        <w:pStyle w:val="Subsection"/>
        <w:rPr>
          <w:ins w:id="788" w:author="Master Repository Process" w:date="2024-05-01T10:47:00Z"/>
        </w:rPr>
      </w:pPr>
      <w:ins w:id="789" w:author="Master Repository Process" w:date="2024-05-01T10:47:00Z">
        <w:r>
          <w:tab/>
          <w:t>(2)</w:t>
        </w:r>
        <w:r>
          <w:tab/>
          <w:t xml:space="preserve">Subsection (1) does not apply in relation to the performance of an abortion that the registered health practitioner knows is being performed by — </w:t>
        </w:r>
      </w:ins>
    </w:p>
    <w:p>
      <w:pPr>
        <w:pStyle w:val="Indenta"/>
        <w:rPr>
          <w:ins w:id="790" w:author="Master Repository Process" w:date="2024-05-01T10:47:00Z"/>
        </w:rPr>
      </w:pPr>
      <w:ins w:id="791" w:author="Master Repository Process" w:date="2024-05-01T10:47:00Z">
        <w:r>
          <w:tab/>
          <w:t>(a)</w:t>
        </w:r>
        <w:r>
          <w:tab/>
          <w:t xml:space="preserve">a medical practitioner other than as authorised under section 202MC or 202ME(1); or </w:t>
        </w:r>
      </w:ins>
    </w:p>
    <w:p>
      <w:pPr>
        <w:pStyle w:val="Indenta"/>
        <w:rPr>
          <w:ins w:id="792" w:author="Master Repository Process" w:date="2024-05-01T10:47:00Z"/>
        </w:rPr>
      </w:pPr>
      <w:ins w:id="793" w:author="Master Repository Process" w:date="2024-05-01T10:47:00Z">
        <w:r>
          <w:tab/>
          <w:t>(b)</w:t>
        </w:r>
        <w:r>
          <w:tab/>
          <w:t>a prescribing practitioner other than as authorised under section 202MD(2).</w:t>
        </w:r>
      </w:ins>
    </w:p>
    <w:p>
      <w:pPr>
        <w:pStyle w:val="Subsection"/>
        <w:rPr>
          <w:ins w:id="794" w:author="Master Repository Process" w:date="2024-05-01T10:47:00Z"/>
        </w:rPr>
      </w:pPr>
      <w:ins w:id="795" w:author="Master Repository Process" w:date="2024-05-01T10:47:00Z">
        <w:r>
          <w:tab/>
          <w:t>(3)</w:t>
        </w:r>
        <w:r>
          <w:tab/>
          <w:t xml:space="preserve">A student in a relevant health profession is authorised to assist in the performance of an abortion on a person by — </w:t>
        </w:r>
      </w:ins>
    </w:p>
    <w:p>
      <w:pPr>
        <w:pStyle w:val="Indenta"/>
        <w:rPr>
          <w:ins w:id="796" w:author="Master Repository Process" w:date="2024-05-01T10:47:00Z"/>
        </w:rPr>
      </w:pPr>
      <w:ins w:id="797" w:author="Master Repository Process" w:date="2024-05-01T10:47:00Z">
        <w:r>
          <w:tab/>
          <w:t>(a)</w:t>
        </w:r>
        <w:r>
          <w:tab/>
          <w:t>a medical practitioner as authorised under section 202MC or 202ME(1); or</w:t>
        </w:r>
      </w:ins>
    </w:p>
    <w:p>
      <w:pPr>
        <w:pStyle w:val="Indenta"/>
        <w:rPr>
          <w:ins w:id="798" w:author="Master Repository Process" w:date="2024-05-01T10:47:00Z"/>
        </w:rPr>
      </w:pPr>
      <w:ins w:id="799" w:author="Master Repository Process" w:date="2024-05-01T10:47:00Z">
        <w:r>
          <w:tab/>
          <w:t>(b)</w:t>
        </w:r>
        <w:r>
          <w:tab/>
          <w:t>a prescribing practitioner as authorised under section 202MD(2).</w:t>
        </w:r>
      </w:ins>
    </w:p>
    <w:p>
      <w:pPr>
        <w:pStyle w:val="Subsection"/>
        <w:keepNext/>
        <w:rPr>
          <w:ins w:id="800" w:author="Master Repository Process" w:date="2024-05-01T10:47:00Z"/>
        </w:rPr>
      </w:pPr>
      <w:ins w:id="801" w:author="Master Repository Process" w:date="2024-05-01T10:47:00Z">
        <w:r>
          <w:tab/>
          <w:t>(4)</w:t>
        </w:r>
        <w:r>
          <w:tab/>
          <w:t xml:space="preserve">An act done by a student under subsection (3) must be done — </w:t>
        </w:r>
      </w:ins>
    </w:p>
    <w:p>
      <w:pPr>
        <w:pStyle w:val="Indenta"/>
        <w:rPr>
          <w:ins w:id="802" w:author="Master Repository Process" w:date="2024-05-01T10:47:00Z"/>
        </w:rPr>
      </w:pPr>
      <w:ins w:id="803" w:author="Master Repository Process" w:date="2024-05-01T10:47:00Z">
        <w:r>
          <w:tab/>
          <w:t>(a)</w:t>
        </w:r>
        <w:r>
          <w:tab/>
          <w:t>in the course of the student’s program of study for, or clinical training in, the relevant health profession; and</w:t>
        </w:r>
      </w:ins>
    </w:p>
    <w:p>
      <w:pPr>
        <w:pStyle w:val="Indenta"/>
        <w:rPr>
          <w:ins w:id="804" w:author="Master Repository Process" w:date="2024-05-01T10:47:00Z"/>
        </w:rPr>
      </w:pPr>
      <w:ins w:id="805" w:author="Master Repository Process" w:date="2024-05-01T10:47:00Z">
        <w:r>
          <w:tab/>
          <w:t>(b)</w:t>
        </w:r>
        <w:r>
          <w:tab/>
          <w:t xml:space="preserve">under the supervision of — </w:t>
        </w:r>
      </w:ins>
    </w:p>
    <w:p>
      <w:pPr>
        <w:pStyle w:val="Indenti"/>
        <w:rPr>
          <w:ins w:id="806" w:author="Master Repository Process" w:date="2024-05-01T10:47:00Z"/>
        </w:rPr>
      </w:pPr>
      <w:ins w:id="807" w:author="Master Repository Process" w:date="2024-05-01T10:47:00Z">
        <w:r>
          <w:tab/>
          <w:t>(i)</w:t>
        </w:r>
        <w:r>
          <w:tab/>
          <w:t>the medical practitioner or prescribing practitioner; or</w:t>
        </w:r>
      </w:ins>
    </w:p>
    <w:p>
      <w:pPr>
        <w:pStyle w:val="Indenti"/>
        <w:rPr>
          <w:ins w:id="808" w:author="Master Repository Process" w:date="2024-05-01T10:47:00Z"/>
        </w:rPr>
      </w:pPr>
      <w:ins w:id="809" w:author="Master Repository Process" w:date="2024-05-01T10:47:00Z">
        <w:r>
          <w:tab/>
          <w:t>(ii)</w:t>
        </w:r>
        <w:r>
          <w:tab/>
          <w:t>a registered health practitioner in the relevant health profession who is assisting in the performance of the abortion under subsection (1); or</w:t>
        </w:r>
      </w:ins>
    </w:p>
    <w:p>
      <w:pPr>
        <w:pStyle w:val="Indenti"/>
        <w:rPr>
          <w:ins w:id="810" w:author="Master Repository Process" w:date="2024-05-01T10:47:00Z"/>
        </w:rPr>
      </w:pPr>
      <w:ins w:id="811" w:author="Master Repository Process" w:date="2024-05-01T10:47:00Z">
        <w:r>
          <w:tab/>
          <w:t>(iii)</w:t>
        </w:r>
        <w:r>
          <w:tab/>
          <w:t>the student’s primary clinical supervisor.</w:t>
        </w:r>
      </w:ins>
    </w:p>
    <w:p>
      <w:pPr>
        <w:pStyle w:val="Subsection"/>
        <w:rPr>
          <w:ins w:id="812" w:author="Master Repository Process" w:date="2024-05-01T10:47:00Z"/>
        </w:rPr>
      </w:pPr>
      <w:ins w:id="813" w:author="Master Repository Process" w:date="2024-05-01T10:47:00Z">
        <w:r>
          <w:tab/>
          <w:t>(5)</w:t>
        </w:r>
        <w:r>
          <w:tab/>
          <w:t xml:space="preserve">Subsection (3) does not apply in relation to the performance of an abortion that the student knows is being performed by — </w:t>
        </w:r>
      </w:ins>
    </w:p>
    <w:p>
      <w:pPr>
        <w:pStyle w:val="Indenta"/>
        <w:rPr>
          <w:ins w:id="814" w:author="Master Repository Process" w:date="2024-05-01T10:47:00Z"/>
        </w:rPr>
      </w:pPr>
      <w:ins w:id="815" w:author="Master Repository Process" w:date="2024-05-01T10:47:00Z">
        <w:r>
          <w:tab/>
          <w:t>(a)</w:t>
        </w:r>
        <w:r>
          <w:tab/>
          <w:t xml:space="preserve">a medical practitioner other than as authorised under section 202MC or 202ME(1); or </w:t>
        </w:r>
      </w:ins>
    </w:p>
    <w:p>
      <w:pPr>
        <w:pStyle w:val="Indenta"/>
        <w:rPr>
          <w:ins w:id="816" w:author="Master Repository Process" w:date="2024-05-01T10:47:00Z"/>
        </w:rPr>
      </w:pPr>
      <w:ins w:id="817" w:author="Master Repository Process" w:date="2024-05-01T10:47:00Z">
        <w:r>
          <w:tab/>
          <w:t>(b)</w:t>
        </w:r>
        <w:r>
          <w:tab/>
          <w:t>a prescribing practitioner other than as authorised under section 202MD(2).</w:t>
        </w:r>
      </w:ins>
    </w:p>
    <w:p>
      <w:pPr>
        <w:pStyle w:val="Footnotesection"/>
        <w:rPr>
          <w:ins w:id="818" w:author="Master Repository Process" w:date="2024-05-01T10:47:00Z"/>
        </w:rPr>
      </w:pPr>
      <w:ins w:id="819" w:author="Master Repository Process" w:date="2024-05-01T10:47:00Z">
        <w:r>
          <w:tab/>
          <w:t>[Section 202MG inserted: No. 20 of 2023 s. 8.]</w:t>
        </w:r>
      </w:ins>
    </w:p>
    <w:p>
      <w:pPr>
        <w:pStyle w:val="Heading5"/>
        <w:rPr>
          <w:ins w:id="820" w:author="Master Repository Process" w:date="2024-05-01T10:47:00Z"/>
        </w:rPr>
      </w:pPr>
      <w:bookmarkStart w:id="821" w:name="_Toc165449332"/>
      <w:ins w:id="822" w:author="Master Repository Process" w:date="2024-05-01T10:47:00Z">
        <w:r>
          <w:rPr>
            <w:rStyle w:val="CharSectno"/>
          </w:rPr>
          <w:t>202MH</w:t>
        </w:r>
        <w:r>
          <w:t>.</w:t>
        </w:r>
        <w:r>
          <w:tab/>
          <w:t>Registered health practitioner with conscientious objection to abortion</w:t>
        </w:r>
        <w:bookmarkEnd w:id="821"/>
      </w:ins>
    </w:p>
    <w:p>
      <w:pPr>
        <w:pStyle w:val="Subsection"/>
        <w:rPr>
          <w:ins w:id="823" w:author="Master Repository Process" w:date="2024-05-01T10:47:00Z"/>
        </w:rPr>
      </w:pPr>
      <w:ins w:id="824" w:author="Master Repository Process" w:date="2024-05-01T10:47:00Z">
        <w:r>
          <w:tab/>
          <w:t>(1)</w:t>
        </w:r>
        <w:r>
          <w:tab/>
          <w:t xml:space="preserve">A registered health practitioner who has a conscientious objection to abortion has the right to refuse to do any of the following — </w:t>
        </w:r>
      </w:ins>
    </w:p>
    <w:p>
      <w:pPr>
        <w:pStyle w:val="Indenta"/>
        <w:rPr>
          <w:ins w:id="825" w:author="Master Repository Process" w:date="2024-05-01T10:47:00Z"/>
        </w:rPr>
      </w:pPr>
      <w:ins w:id="826" w:author="Master Repository Process" w:date="2024-05-01T10:47:00Z">
        <w:r>
          <w:tab/>
          <w:t>(a)</w:t>
        </w:r>
        <w:r>
          <w:tab/>
          <w:t>perform an abortion on a person;</w:t>
        </w:r>
      </w:ins>
    </w:p>
    <w:p>
      <w:pPr>
        <w:pStyle w:val="Indenta"/>
        <w:rPr>
          <w:ins w:id="827" w:author="Master Repository Process" w:date="2024-05-01T10:47:00Z"/>
        </w:rPr>
      </w:pPr>
      <w:ins w:id="828" w:author="Master Repository Process" w:date="2024-05-01T10:47:00Z">
        <w:r>
          <w:tab/>
          <w:t>(b)</w:t>
        </w:r>
        <w:r>
          <w:tab/>
          <w:t>assist in the performance of an abortion on a person;</w:t>
        </w:r>
      </w:ins>
    </w:p>
    <w:p>
      <w:pPr>
        <w:pStyle w:val="Indenta"/>
        <w:rPr>
          <w:ins w:id="829" w:author="Master Repository Process" w:date="2024-05-01T10:47:00Z"/>
        </w:rPr>
      </w:pPr>
      <w:ins w:id="830" w:author="Master Repository Process" w:date="2024-05-01T10:47:00Z">
        <w:r>
          <w:tab/>
          <w:t>(c)</w:t>
        </w:r>
        <w:r>
          <w:tab/>
          <w:t>make a decision under section 202ME(1)(a) or (b) whether performing an abortion on a person is appropriate in all the circumstances;</w:t>
        </w:r>
      </w:ins>
    </w:p>
    <w:p>
      <w:pPr>
        <w:pStyle w:val="Indenta"/>
        <w:rPr>
          <w:ins w:id="831" w:author="Master Repository Process" w:date="2024-05-01T10:47:00Z"/>
        </w:rPr>
      </w:pPr>
      <w:ins w:id="832" w:author="Master Repository Process" w:date="2024-05-01T10:47:00Z">
        <w:r>
          <w:tab/>
          <w:t>(d)</w:t>
        </w:r>
        <w:r>
          <w:tab/>
          <w:t>advise a person about the performance of an abortion on the person or another person.</w:t>
        </w:r>
      </w:ins>
    </w:p>
    <w:p>
      <w:pPr>
        <w:pStyle w:val="Subsection"/>
        <w:rPr>
          <w:ins w:id="833" w:author="Master Repository Process" w:date="2024-05-01T10:47:00Z"/>
        </w:rPr>
      </w:pPr>
      <w:ins w:id="834" w:author="Master Repository Process" w:date="2024-05-01T10:47:00Z">
        <w:r>
          <w:tab/>
          <w:t>(2)</w:t>
        </w:r>
        <w:r>
          <w:tab/>
          <w:t xml:space="preserve">If a registered health practitioner who has a conscientious objection to abortion is requested by a person (the </w:t>
        </w:r>
        <w:r>
          <w:rPr>
            <w:rStyle w:val="CharDefText"/>
          </w:rPr>
          <w:t>requesting person</w:t>
        </w:r>
        <w:r>
          <w:t>) to do a thing referred to in subsection (1), the registered health practitioner must disclose the practitioner’s conscientious objection to the requesting person immediately after the requesting person makes the request.</w:t>
        </w:r>
      </w:ins>
    </w:p>
    <w:p>
      <w:pPr>
        <w:pStyle w:val="Subsection"/>
        <w:rPr>
          <w:ins w:id="835" w:author="Master Repository Process" w:date="2024-05-01T10:47:00Z"/>
        </w:rPr>
      </w:pPr>
      <w:ins w:id="836" w:author="Master Repository Process" w:date="2024-05-01T10:47:00Z">
        <w:r>
          <w:tab/>
          <w:t>(3)</w:t>
        </w:r>
        <w:r>
          <w:tab/>
          <w:t>Subsection (1) does not limit the circumstances in which a registered health practitioner may refuse to do any of the things referred to in that subsection.</w:t>
        </w:r>
      </w:ins>
    </w:p>
    <w:p>
      <w:pPr>
        <w:pStyle w:val="Subsection"/>
        <w:rPr>
          <w:ins w:id="837" w:author="Master Repository Process" w:date="2024-05-01T10:47:00Z"/>
        </w:rPr>
      </w:pPr>
      <w:ins w:id="838" w:author="Master Repository Process" w:date="2024-05-01T10:47:00Z">
        <w:r>
          <w:tab/>
          <w:t>(4)</w:t>
        </w:r>
        <w:r>
          <w:tab/>
          <w:t>This section does not limit or otherwise affect any duty of a registered health practitioner to do a thing referred to in subsection (1) in an emergency.</w:t>
        </w:r>
      </w:ins>
    </w:p>
    <w:p>
      <w:pPr>
        <w:pStyle w:val="Footnotesection"/>
        <w:rPr>
          <w:ins w:id="839" w:author="Master Repository Process" w:date="2024-05-01T10:47:00Z"/>
        </w:rPr>
      </w:pPr>
      <w:ins w:id="840" w:author="Master Repository Process" w:date="2024-05-01T10:47:00Z">
        <w:r>
          <w:tab/>
          <w:t>[Section 202MH inserted: No. 20 of 2023 s. 8.]</w:t>
        </w:r>
      </w:ins>
    </w:p>
    <w:p>
      <w:pPr>
        <w:pStyle w:val="Heading5"/>
        <w:rPr>
          <w:ins w:id="841" w:author="Master Repository Process" w:date="2024-05-01T10:47:00Z"/>
        </w:rPr>
      </w:pPr>
      <w:bookmarkStart w:id="842" w:name="_Toc165449333"/>
      <w:ins w:id="843" w:author="Master Repository Process" w:date="2024-05-01T10:47:00Z">
        <w:r>
          <w:rPr>
            <w:rStyle w:val="CharSectno"/>
          </w:rPr>
          <w:t>202MI</w:t>
        </w:r>
        <w:r>
          <w:t>.</w:t>
        </w:r>
        <w:r>
          <w:tab/>
          <w:t>Obligations of medical practitioners and prescribing practitioners who refuse to participate in abortion</w:t>
        </w:r>
        <w:bookmarkEnd w:id="842"/>
      </w:ins>
    </w:p>
    <w:p>
      <w:pPr>
        <w:pStyle w:val="Subsection"/>
        <w:rPr>
          <w:ins w:id="844" w:author="Master Repository Process" w:date="2024-05-01T10:47:00Z"/>
        </w:rPr>
      </w:pPr>
      <w:ins w:id="845" w:author="Master Repository Process" w:date="2024-05-01T10:47:00Z">
        <w:r>
          <w:tab/>
          <w:t>(1)</w:t>
        </w:r>
        <w:r>
          <w:tab/>
          <w:t xml:space="preserve">This section applies if — </w:t>
        </w:r>
      </w:ins>
    </w:p>
    <w:p>
      <w:pPr>
        <w:pStyle w:val="Indenta"/>
        <w:rPr>
          <w:ins w:id="846" w:author="Master Repository Process" w:date="2024-05-01T10:47:00Z"/>
        </w:rPr>
      </w:pPr>
      <w:ins w:id="847" w:author="Master Repository Process" w:date="2024-05-01T10:47:00Z">
        <w:r>
          <w:tab/>
          <w:t>(a)</w:t>
        </w:r>
        <w:r>
          <w:tab/>
          <w:t xml:space="preserve">a person (the </w:t>
        </w:r>
        <w:r>
          <w:rPr>
            <w:rStyle w:val="CharDefText"/>
          </w:rPr>
          <w:t>patient</w:t>
        </w:r>
        <w:r>
          <w:t xml:space="preserve">) — </w:t>
        </w:r>
      </w:ins>
    </w:p>
    <w:p>
      <w:pPr>
        <w:pStyle w:val="Indenti"/>
        <w:rPr>
          <w:ins w:id="848" w:author="Master Repository Process" w:date="2024-05-01T10:47:00Z"/>
        </w:rPr>
      </w:pPr>
      <w:ins w:id="849" w:author="Master Repository Process" w:date="2024-05-01T10:47:00Z">
        <w:r>
          <w:tab/>
          <w:t>(i)</w:t>
        </w:r>
        <w:r>
          <w:tab/>
          <w:t>requests a medical practitioner or prescribing practitioner to perform an abortion on the patient; or</w:t>
        </w:r>
      </w:ins>
    </w:p>
    <w:p>
      <w:pPr>
        <w:pStyle w:val="Indenti"/>
        <w:rPr>
          <w:ins w:id="850" w:author="Master Repository Process" w:date="2024-05-01T10:47:00Z"/>
        </w:rPr>
      </w:pPr>
      <w:ins w:id="851" w:author="Master Repository Process" w:date="2024-05-01T10:47:00Z">
        <w:r>
          <w:tab/>
          <w:t>(ii)</w:t>
        </w:r>
        <w:r>
          <w:tab/>
          <w:t>makes a request to a medical practitioner that would require the medical practitioner to make a decision under section 202ME(1)(a) whether performing an abortion on the patient is appropriate in all the circumstances; or</w:t>
        </w:r>
      </w:ins>
    </w:p>
    <w:p>
      <w:pPr>
        <w:pStyle w:val="Indenti"/>
        <w:rPr>
          <w:ins w:id="852" w:author="Master Repository Process" w:date="2024-05-01T10:47:00Z"/>
        </w:rPr>
      </w:pPr>
      <w:ins w:id="853" w:author="Master Repository Process" w:date="2024-05-01T10:47:00Z">
        <w:r>
          <w:tab/>
          <w:t>(iii)</w:t>
        </w:r>
        <w:r>
          <w:tab/>
          <w:t>requests a medical practitioner or prescribing practitioner to advise the patient about the performance of an abortion on the patient;</w:t>
        </w:r>
      </w:ins>
    </w:p>
    <w:p>
      <w:pPr>
        <w:pStyle w:val="Indenta"/>
        <w:rPr>
          <w:ins w:id="854" w:author="Master Repository Process" w:date="2024-05-01T10:47:00Z"/>
        </w:rPr>
      </w:pPr>
      <w:ins w:id="855" w:author="Master Repository Process" w:date="2024-05-01T10:47:00Z">
        <w:r>
          <w:tab/>
        </w:r>
        <w:r>
          <w:tab/>
          <w:t>and</w:t>
        </w:r>
      </w:ins>
    </w:p>
    <w:p>
      <w:pPr>
        <w:pStyle w:val="Indenta"/>
        <w:rPr>
          <w:ins w:id="856" w:author="Master Repository Process" w:date="2024-05-01T10:47:00Z"/>
        </w:rPr>
      </w:pPr>
      <w:ins w:id="857" w:author="Master Repository Process" w:date="2024-05-01T10:47:00Z">
        <w:r>
          <w:tab/>
          <w:t>(b)</w:t>
        </w:r>
        <w:r>
          <w:tab/>
          <w:t xml:space="preserve">the medical practitioner or prescribing practitioner (the </w:t>
        </w:r>
        <w:r>
          <w:rPr>
            <w:rStyle w:val="CharDefText"/>
          </w:rPr>
          <w:t>refusing practitioner</w:t>
        </w:r>
        <w:r>
          <w:t>) refuses the request, whether for the reason that the refusing practitioner has a conscientious objection to abortion or for some other reason.</w:t>
        </w:r>
      </w:ins>
    </w:p>
    <w:p>
      <w:pPr>
        <w:pStyle w:val="Subsection"/>
        <w:rPr>
          <w:ins w:id="858" w:author="Master Repository Process" w:date="2024-05-01T10:47:00Z"/>
        </w:rPr>
      </w:pPr>
      <w:ins w:id="859" w:author="Master Repository Process" w:date="2024-05-01T10:47:00Z">
        <w:r>
          <w:tab/>
          <w:t>(2)</w:t>
        </w:r>
        <w:r>
          <w:tab/>
          <w:t xml:space="preserve">The refusing practitioner must — </w:t>
        </w:r>
      </w:ins>
    </w:p>
    <w:p>
      <w:pPr>
        <w:pStyle w:val="Indenta"/>
        <w:rPr>
          <w:ins w:id="860" w:author="Master Repository Process" w:date="2024-05-01T10:47:00Z"/>
        </w:rPr>
      </w:pPr>
      <w:ins w:id="861" w:author="Master Repository Process" w:date="2024-05-01T10:47:00Z">
        <w:r>
          <w:tab/>
          <w:t>(a)</w:t>
        </w:r>
        <w:r>
          <w:tab/>
          <w:t xml:space="preserve">without delay transfer the patient’s care — </w:t>
        </w:r>
      </w:ins>
    </w:p>
    <w:p>
      <w:pPr>
        <w:pStyle w:val="Indenti"/>
        <w:rPr>
          <w:ins w:id="862" w:author="Master Repository Process" w:date="2024-05-01T10:47:00Z"/>
        </w:rPr>
      </w:pPr>
      <w:ins w:id="863" w:author="Master Repository Process" w:date="2024-05-01T10:47:00Z">
        <w:r>
          <w:tab/>
          <w:t>(i)</w:t>
        </w:r>
        <w:r>
          <w:tab/>
          <w:t>to another registered health practitioner who, in the refusing practitioner’s reasonable belief, can provide the requested service; or</w:t>
        </w:r>
      </w:ins>
    </w:p>
    <w:p>
      <w:pPr>
        <w:pStyle w:val="Indenti"/>
        <w:rPr>
          <w:ins w:id="864" w:author="Master Repository Process" w:date="2024-05-01T10:47:00Z"/>
        </w:rPr>
      </w:pPr>
      <w:ins w:id="865" w:author="Master Repository Process" w:date="2024-05-01T10:47:00Z">
        <w:r>
          <w:tab/>
          <w:t>(ii)</w:t>
        </w:r>
        <w:r>
          <w:tab/>
          <w:t xml:space="preserve">to a health facility at which, in the refusing practitioner’s reasonable belief, the requested service can be provided by another registered health practitioner; </w:t>
        </w:r>
      </w:ins>
    </w:p>
    <w:p>
      <w:pPr>
        <w:pStyle w:val="Indenta"/>
        <w:rPr>
          <w:ins w:id="866" w:author="Master Repository Process" w:date="2024-05-01T10:47:00Z"/>
        </w:rPr>
      </w:pPr>
      <w:ins w:id="867" w:author="Master Repository Process" w:date="2024-05-01T10:47:00Z">
        <w:r>
          <w:tab/>
        </w:r>
        <w:r>
          <w:tab/>
          <w:t>or</w:t>
        </w:r>
      </w:ins>
    </w:p>
    <w:p>
      <w:pPr>
        <w:pStyle w:val="Indenta"/>
        <w:rPr>
          <w:ins w:id="868" w:author="Master Repository Process" w:date="2024-05-01T10:47:00Z"/>
        </w:rPr>
      </w:pPr>
      <w:ins w:id="869" w:author="Master Repository Process" w:date="2024-05-01T10:47:00Z">
        <w:r>
          <w:tab/>
          <w:t>(b)</w:t>
        </w:r>
        <w:r>
          <w:tab/>
          <w:t>immediately give the patient information, approved by the Chief Health Officer for the purposes of this paragraph, about how to locate or contact a registered health practitioner of the kind referred to in paragraph (a)(i) or a facility of the kind referred to in paragraph (a)(ii).</w:t>
        </w:r>
      </w:ins>
    </w:p>
    <w:p>
      <w:pPr>
        <w:pStyle w:val="Subsection"/>
        <w:rPr>
          <w:ins w:id="870" w:author="Master Repository Process" w:date="2024-05-01T10:47:00Z"/>
        </w:rPr>
      </w:pPr>
      <w:ins w:id="871" w:author="Master Repository Process" w:date="2024-05-01T10:47:00Z">
        <w:r>
          <w:tab/>
          <w:t>(3)</w:t>
        </w:r>
        <w:r>
          <w:tab/>
          <w:t xml:space="preserve">Information approved by the Chief Health Officer for the purposes of subsection (2)(b) — </w:t>
        </w:r>
      </w:ins>
    </w:p>
    <w:p>
      <w:pPr>
        <w:pStyle w:val="Indenta"/>
        <w:rPr>
          <w:ins w:id="872" w:author="Master Repository Process" w:date="2024-05-01T10:47:00Z"/>
        </w:rPr>
      </w:pPr>
      <w:ins w:id="873" w:author="Master Repository Process" w:date="2024-05-01T10:47:00Z">
        <w:r>
          <w:tab/>
          <w:t>(a)</w:t>
        </w:r>
        <w:r>
          <w:tab/>
          <w:t>must be kept up</w:t>
        </w:r>
        <w:r>
          <w:noBreakHyphen/>
          <w:t>to</w:t>
        </w:r>
        <w:r>
          <w:noBreakHyphen/>
          <w:t>date, and reviewed at least once each year, by the Chief Health Officer; and</w:t>
        </w:r>
      </w:ins>
    </w:p>
    <w:p>
      <w:pPr>
        <w:pStyle w:val="Indenta"/>
        <w:rPr>
          <w:ins w:id="874" w:author="Master Repository Process" w:date="2024-05-01T10:47:00Z"/>
        </w:rPr>
      </w:pPr>
      <w:ins w:id="875" w:author="Master Repository Process" w:date="2024-05-01T10:47:00Z">
        <w:r>
          <w:tab/>
          <w:t>(b)</w:t>
        </w:r>
        <w:r>
          <w:tab/>
          <w:t xml:space="preserve">must not contain details of — </w:t>
        </w:r>
      </w:ins>
    </w:p>
    <w:p>
      <w:pPr>
        <w:pStyle w:val="Indenti"/>
        <w:rPr>
          <w:ins w:id="876" w:author="Master Repository Process" w:date="2024-05-01T10:47:00Z"/>
        </w:rPr>
      </w:pPr>
      <w:ins w:id="877" w:author="Master Repository Process" w:date="2024-05-01T10:47:00Z">
        <w:r>
          <w:tab/>
          <w:t>(i)</w:t>
        </w:r>
        <w:r>
          <w:tab/>
          <w:t>a registered health practitioner unless, in the Chief Health Officer’s reasonable belief, the registered health practitioner is of the kind referred to in subsection (2)(a)(i); or</w:t>
        </w:r>
      </w:ins>
    </w:p>
    <w:p>
      <w:pPr>
        <w:pStyle w:val="Indenti"/>
        <w:rPr>
          <w:ins w:id="878" w:author="Master Repository Process" w:date="2024-05-01T10:47:00Z"/>
        </w:rPr>
      </w:pPr>
      <w:ins w:id="879" w:author="Master Repository Process" w:date="2024-05-01T10:47:00Z">
        <w:r>
          <w:tab/>
          <w:t>(ii)</w:t>
        </w:r>
        <w:r>
          <w:tab/>
          <w:t>a health facility unless, in the Chief Health Officer’s reasonable belief, the facility is of the kind referred to in subsection (2)(a)(ii).</w:t>
        </w:r>
      </w:ins>
    </w:p>
    <w:p>
      <w:pPr>
        <w:pStyle w:val="Subsection"/>
        <w:rPr>
          <w:ins w:id="880" w:author="Master Repository Process" w:date="2024-05-01T10:47:00Z"/>
        </w:rPr>
      </w:pPr>
      <w:ins w:id="881" w:author="Master Repository Process" w:date="2024-05-01T10:47:00Z">
        <w:r>
          <w:tab/>
          <w:t>(4)</w:t>
        </w:r>
        <w:r>
          <w:tab/>
          <w:t>This section does not limit or otherwise affect any duty of the refusing practitioner to do a thing referred to in subsection (1)(a) in an emergency.</w:t>
        </w:r>
      </w:ins>
    </w:p>
    <w:p>
      <w:pPr>
        <w:pStyle w:val="Footnotesection"/>
        <w:rPr>
          <w:ins w:id="882" w:author="Master Repository Process" w:date="2024-05-01T10:47:00Z"/>
        </w:rPr>
      </w:pPr>
      <w:ins w:id="883" w:author="Master Repository Process" w:date="2024-05-01T10:47:00Z">
        <w:r>
          <w:tab/>
          <w:t>[Section 202MI inserted: No. 20 of 2023 s. 8.]</w:t>
        </w:r>
      </w:ins>
    </w:p>
    <w:p>
      <w:pPr>
        <w:pStyle w:val="Heading5"/>
        <w:rPr>
          <w:ins w:id="884" w:author="Master Repository Process" w:date="2024-05-01T10:47:00Z"/>
        </w:rPr>
      </w:pPr>
      <w:bookmarkStart w:id="885" w:name="_Toc165449334"/>
      <w:ins w:id="886" w:author="Master Repository Process" w:date="2024-05-01T10:47:00Z">
        <w:r>
          <w:rPr>
            <w:rStyle w:val="CharSectno"/>
          </w:rPr>
          <w:t>202MJ</w:t>
        </w:r>
        <w:r>
          <w:t>.</w:t>
        </w:r>
        <w:r>
          <w:tab/>
          <w:t>Student with conscientious objection to abortion</w:t>
        </w:r>
        <w:bookmarkEnd w:id="885"/>
      </w:ins>
    </w:p>
    <w:p>
      <w:pPr>
        <w:pStyle w:val="Subsection"/>
        <w:rPr>
          <w:ins w:id="887" w:author="Master Repository Process" w:date="2024-05-01T10:47:00Z"/>
        </w:rPr>
      </w:pPr>
      <w:ins w:id="888" w:author="Master Repository Process" w:date="2024-05-01T10:47:00Z">
        <w:r>
          <w:tab/>
          <w:t>(1)</w:t>
        </w:r>
        <w:r>
          <w:tab/>
          <w:t xml:space="preserve">In this section — </w:t>
        </w:r>
      </w:ins>
    </w:p>
    <w:p>
      <w:pPr>
        <w:pStyle w:val="Defstart"/>
        <w:rPr>
          <w:ins w:id="889" w:author="Master Repository Process" w:date="2024-05-01T10:47:00Z"/>
        </w:rPr>
      </w:pPr>
      <w:ins w:id="890" w:author="Master Repository Process" w:date="2024-05-01T10:47:00Z">
        <w:r>
          <w:tab/>
        </w:r>
        <w:r>
          <w:rPr>
            <w:rStyle w:val="CharDefText"/>
          </w:rPr>
          <w:t>supervising person</w:t>
        </w:r>
        <w:r>
          <w:t xml:space="preserve">, in relation to a student in a relevant health profession, means — </w:t>
        </w:r>
      </w:ins>
    </w:p>
    <w:p>
      <w:pPr>
        <w:pStyle w:val="Defpara"/>
        <w:rPr>
          <w:ins w:id="891" w:author="Master Repository Process" w:date="2024-05-01T10:47:00Z"/>
        </w:rPr>
      </w:pPr>
      <w:ins w:id="892" w:author="Master Repository Process" w:date="2024-05-01T10:47:00Z">
        <w:r>
          <w:tab/>
          <w:t>(a)</w:t>
        </w:r>
        <w:r>
          <w:tab/>
          <w:t>a medical practitioner performing an abortion as authorised under section 202MC or 202ME(1); or</w:t>
        </w:r>
      </w:ins>
    </w:p>
    <w:p>
      <w:pPr>
        <w:pStyle w:val="Defpara"/>
        <w:rPr>
          <w:ins w:id="893" w:author="Master Repository Process" w:date="2024-05-01T10:47:00Z"/>
        </w:rPr>
      </w:pPr>
      <w:ins w:id="894" w:author="Master Repository Process" w:date="2024-05-01T10:47:00Z">
        <w:r>
          <w:tab/>
          <w:t>(b)</w:t>
        </w:r>
        <w:r>
          <w:tab/>
          <w:t>a prescribing practitioner performing an abortion as authorised under section 202MD(2); or</w:t>
        </w:r>
      </w:ins>
    </w:p>
    <w:p>
      <w:pPr>
        <w:pStyle w:val="Defpara"/>
        <w:rPr>
          <w:ins w:id="895" w:author="Master Repository Process" w:date="2024-05-01T10:47:00Z"/>
        </w:rPr>
      </w:pPr>
      <w:ins w:id="896" w:author="Master Repository Process" w:date="2024-05-01T10:47:00Z">
        <w:r>
          <w:tab/>
          <w:t>(c)</w:t>
        </w:r>
        <w:r>
          <w:tab/>
          <w:t>a registered health practitioner in the relevant health profession who is assisting in the performance of an abortion as authorised under 202MG(1); or</w:t>
        </w:r>
      </w:ins>
    </w:p>
    <w:p>
      <w:pPr>
        <w:pStyle w:val="Defpara"/>
        <w:rPr>
          <w:ins w:id="897" w:author="Master Repository Process" w:date="2024-05-01T10:47:00Z"/>
        </w:rPr>
      </w:pPr>
      <w:ins w:id="898" w:author="Master Repository Process" w:date="2024-05-01T10:47:00Z">
        <w:r>
          <w:tab/>
          <w:t>(d)</w:t>
        </w:r>
        <w:r>
          <w:tab/>
          <w:t>the student’s primary clinical supervisor.</w:t>
        </w:r>
      </w:ins>
    </w:p>
    <w:p>
      <w:pPr>
        <w:pStyle w:val="Subsection"/>
        <w:rPr>
          <w:ins w:id="899" w:author="Master Repository Process" w:date="2024-05-01T10:47:00Z"/>
        </w:rPr>
      </w:pPr>
      <w:ins w:id="900" w:author="Master Repository Process" w:date="2024-05-01T10:47:00Z">
        <w:r>
          <w:tab/>
          <w:t>(2)</w:t>
        </w:r>
        <w:r>
          <w:tab/>
          <w:t>A student in a relevant health profession who has a conscientious objection to abortion has the right to refuse to assist in the performance of an abortion on a person.</w:t>
        </w:r>
      </w:ins>
    </w:p>
    <w:p>
      <w:pPr>
        <w:pStyle w:val="Subsection"/>
        <w:rPr>
          <w:ins w:id="901" w:author="Master Repository Process" w:date="2024-05-01T10:47:00Z"/>
        </w:rPr>
      </w:pPr>
      <w:ins w:id="902" w:author="Master Repository Process" w:date="2024-05-01T10:47:00Z">
        <w:r>
          <w:tab/>
          <w:t>(3)</w:t>
        </w:r>
        <w:r>
          <w:tab/>
          <w:t xml:space="preserve">If a student in a relevant health profession who has a conscientious objection to abortion is requested by a supervising person to assist in the performance of an abortion on a person, the student must disclose the student’s conscientious objection to the supervising person immediately after the supervising person makes the request. </w:t>
        </w:r>
      </w:ins>
    </w:p>
    <w:p>
      <w:pPr>
        <w:pStyle w:val="Footnotesection"/>
        <w:rPr>
          <w:ins w:id="903" w:author="Master Repository Process" w:date="2024-05-01T10:47:00Z"/>
        </w:rPr>
      </w:pPr>
      <w:ins w:id="904" w:author="Master Repository Process" w:date="2024-05-01T10:47:00Z">
        <w:r>
          <w:tab/>
          <w:t>[Section 202MJ inserted: No. 20 of 2023 s. 8.]</w:t>
        </w:r>
      </w:ins>
    </w:p>
    <w:p>
      <w:pPr>
        <w:pStyle w:val="Heading5"/>
        <w:rPr>
          <w:ins w:id="905" w:author="Master Repository Process" w:date="2024-05-01T10:47:00Z"/>
        </w:rPr>
      </w:pPr>
      <w:bookmarkStart w:id="906" w:name="_Toc165449335"/>
      <w:ins w:id="907" w:author="Master Repository Process" w:date="2024-05-01T10:47:00Z">
        <w:r>
          <w:rPr>
            <w:rStyle w:val="CharSectno"/>
          </w:rPr>
          <w:t>202MK</w:t>
        </w:r>
        <w:r>
          <w:t>.</w:t>
        </w:r>
        <w:r>
          <w:tab/>
          <w:t>Compliance with Division relevant to professional conduct or performance</w:t>
        </w:r>
        <w:bookmarkEnd w:id="906"/>
        <w:r>
          <w:t xml:space="preserve"> </w:t>
        </w:r>
      </w:ins>
    </w:p>
    <w:p>
      <w:pPr>
        <w:pStyle w:val="Subsection"/>
        <w:rPr>
          <w:ins w:id="908" w:author="Master Repository Process" w:date="2024-05-01T10:47:00Z"/>
        </w:rPr>
      </w:pPr>
      <w:ins w:id="909" w:author="Master Repository Process" w:date="2024-05-01T10:47:00Z">
        <w:r>
          <w:tab/>
          <w:t>(1)</w:t>
        </w:r>
        <w:r>
          <w:tab/>
          <w:t xml:space="preserve">In considering a matter under a written law about a registered health practitioner’s professional conduct or performance, regard may be had to whether the practitioner — </w:t>
        </w:r>
      </w:ins>
    </w:p>
    <w:p>
      <w:pPr>
        <w:pStyle w:val="Indenta"/>
        <w:rPr>
          <w:ins w:id="910" w:author="Master Repository Process" w:date="2024-05-01T10:47:00Z"/>
        </w:rPr>
      </w:pPr>
      <w:ins w:id="911" w:author="Master Repository Process" w:date="2024-05-01T10:47:00Z">
        <w:r>
          <w:tab/>
          <w:t>(a)</w:t>
        </w:r>
        <w:r>
          <w:tab/>
          <w:t>performs an abortion on a person other than as authorised under section 202MC, 202MD(2), 202ME(1) or 202MF(2) or (3); or</w:t>
        </w:r>
      </w:ins>
    </w:p>
    <w:p>
      <w:pPr>
        <w:pStyle w:val="Indenta"/>
        <w:rPr>
          <w:ins w:id="912" w:author="Master Repository Process" w:date="2024-05-01T10:47:00Z"/>
        </w:rPr>
      </w:pPr>
      <w:ins w:id="913" w:author="Master Repository Process" w:date="2024-05-01T10:47:00Z">
        <w:r>
          <w:tab/>
          <w:t>(b)</w:t>
        </w:r>
        <w:r>
          <w:tab/>
          <w:t>assists in the performance of an abortion on a person other than as authorised under section 202MG(1); or</w:t>
        </w:r>
      </w:ins>
    </w:p>
    <w:p>
      <w:pPr>
        <w:pStyle w:val="Indenta"/>
        <w:rPr>
          <w:ins w:id="914" w:author="Master Repository Process" w:date="2024-05-01T10:47:00Z"/>
        </w:rPr>
      </w:pPr>
      <w:ins w:id="915" w:author="Master Repository Process" w:date="2024-05-01T10:47:00Z">
        <w:r>
          <w:tab/>
          <w:t>(c)</w:t>
        </w:r>
        <w:r>
          <w:tab/>
          <w:t>contravenes section 202MH(2) or 202MI(2).</w:t>
        </w:r>
      </w:ins>
    </w:p>
    <w:p>
      <w:pPr>
        <w:pStyle w:val="Subsection"/>
        <w:rPr>
          <w:ins w:id="916" w:author="Master Repository Process" w:date="2024-05-01T10:47:00Z"/>
        </w:rPr>
      </w:pPr>
      <w:ins w:id="917" w:author="Master Repository Process" w:date="2024-05-01T10:47:00Z">
        <w:r>
          <w:tab/>
          <w:t>(2)</w:t>
        </w:r>
        <w:r>
          <w:tab/>
          <w:t xml:space="preserve">The matters to which subsection (1) applies include — </w:t>
        </w:r>
      </w:ins>
    </w:p>
    <w:p>
      <w:pPr>
        <w:pStyle w:val="Indenta"/>
        <w:rPr>
          <w:ins w:id="918" w:author="Master Repository Process" w:date="2024-05-01T10:47:00Z"/>
        </w:rPr>
      </w:pPr>
      <w:ins w:id="919" w:author="Master Repository Process" w:date="2024-05-01T10:47:00Z">
        <w:r>
          <w:tab/>
          <w:t>(a)</w:t>
        </w:r>
        <w:r>
          <w:tab/>
          <w:t xml:space="preserve">a notification under the </w:t>
        </w:r>
        <w:r>
          <w:rPr>
            <w:i/>
          </w:rPr>
          <w:t>Health Practitioner Regulation National Law (Western Australia)</w:t>
        </w:r>
        <w:r>
          <w:t>; or</w:t>
        </w:r>
      </w:ins>
    </w:p>
    <w:p>
      <w:pPr>
        <w:pStyle w:val="Indenta"/>
        <w:rPr>
          <w:ins w:id="920" w:author="Master Repository Process" w:date="2024-05-01T10:47:00Z"/>
        </w:rPr>
      </w:pPr>
      <w:ins w:id="921" w:author="Master Repository Process" w:date="2024-05-01T10:47:00Z">
        <w:r>
          <w:tab/>
          <w:t>(b)</w:t>
        </w:r>
        <w:r>
          <w:tab/>
          <w:t xml:space="preserve">a complaint under the </w:t>
        </w:r>
        <w:r>
          <w:rPr>
            <w:i/>
          </w:rPr>
          <w:t>Health and Disability Services (Complaints) Act 1995</w:t>
        </w:r>
        <w:r>
          <w:t>.</w:t>
        </w:r>
      </w:ins>
    </w:p>
    <w:p>
      <w:pPr>
        <w:pStyle w:val="Footnotesection"/>
        <w:rPr>
          <w:ins w:id="922" w:author="Master Repository Process" w:date="2024-05-01T10:47:00Z"/>
        </w:rPr>
      </w:pPr>
      <w:ins w:id="923" w:author="Master Repository Process" w:date="2024-05-01T10:47:00Z">
        <w:r>
          <w:tab/>
          <w:t>[Section 202MK inserted: No. 20 of 2023 s. 8.]</w:t>
        </w:r>
      </w:ins>
    </w:p>
    <w:p>
      <w:pPr>
        <w:pStyle w:val="Heading5"/>
        <w:rPr>
          <w:ins w:id="924" w:author="Master Repository Process" w:date="2024-05-01T10:47:00Z"/>
        </w:rPr>
      </w:pPr>
      <w:bookmarkStart w:id="925" w:name="_Toc165449336"/>
      <w:ins w:id="926" w:author="Master Repository Process" w:date="2024-05-01T10:47:00Z">
        <w:r>
          <w:rPr>
            <w:rStyle w:val="CharSectno"/>
          </w:rPr>
          <w:t>202ML</w:t>
        </w:r>
        <w:r>
          <w:t>.</w:t>
        </w:r>
        <w:r>
          <w:tab/>
        </w:r>
        <w:r>
          <w:rPr>
            <w:i/>
          </w:rPr>
          <w:t>The Criminal Code</w:t>
        </w:r>
        <w:r>
          <w:t xml:space="preserve"> s. 177 does not apply</w:t>
        </w:r>
        <w:bookmarkEnd w:id="925"/>
      </w:ins>
    </w:p>
    <w:p>
      <w:pPr>
        <w:pStyle w:val="Subsection"/>
        <w:rPr>
          <w:ins w:id="927" w:author="Master Repository Process" w:date="2024-05-01T10:47:00Z"/>
        </w:rPr>
      </w:pPr>
      <w:ins w:id="928" w:author="Master Repository Process" w:date="2024-05-01T10:47:00Z">
        <w:r>
          <w:tab/>
        </w:r>
        <w:r>
          <w:tab/>
        </w:r>
        <w:r>
          <w:rPr>
            <w:i/>
          </w:rPr>
          <w:t>The Criminal Code</w:t>
        </w:r>
        <w:r>
          <w:t xml:space="preserve"> section 177 does not apply to a restriction or obligation under this Division.</w:t>
        </w:r>
      </w:ins>
    </w:p>
    <w:p>
      <w:pPr>
        <w:pStyle w:val="Footnotesection"/>
        <w:rPr>
          <w:ins w:id="929" w:author="Master Repository Process" w:date="2024-05-01T10:47:00Z"/>
        </w:rPr>
      </w:pPr>
      <w:ins w:id="930" w:author="Master Repository Process" w:date="2024-05-01T10:47:00Z">
        <w:r>
          <w:tab/>
          <w:t>[Section 202ML inserted: No. 20 of 2023 s. 8.]</w:t>
        </w:r>
      </w:ins>
    </w:p>
    <w:p>
      <w:pPr>
        <w:pStyle w:val="Heading5"/>
        <w:rPr>
          <w:ins w:id="931" w:author="Master Repository Process" w:date="2024-05-01T10:47:00Z"/>
        </w:rPr>
      </w:pPr>
      <w:bookmarkStart w:id="932" w:name="_Toc165449337"/>
      <w:ins w:id="933" w:author="Master Repository Process" w:date="2024-05-01T10:47:00Z">
        <w:r>
          <w:rPr>
            <w:rStyle w:val="CharSectno"/>
          </w:rPr>
          <w:t>202MM</w:t>
        </w:r>
        <w:r>
          <w:t>.</w:t>
        </w:r>
        <w:r>
          <w:tab/>
          <w:t>Consent to performance of abortion on children who are not mature minors</w:t>
        </w:r>
        <w:bookmarkEnd w:id="932"/>
      </w:ins>
    </w:p>
    <w:p>
      <w:pPr>
        <w:pStyle w:val="Subsection"/>
        <w:rPr>
          <w:ins w:id="934" w:author="Master Repository Process" w:date="2024-05-01T10:47:00Z"/>
        </w:rPr>
      </w:pPr>
      <w:ins w:id="935" w:author="Master Repository Process" w:date="2024-05-01T10:47:00Z">
        <w:r>
          <w:tab/>
          <w:t>(1)</w:t>
        </w:r>
        <w:r>
          <w:tab/>
          <w:t xml:space="preserve">In this section — </w:t>
        </w:r>
      </w:ins>
    </w:p>
    <w:p>
      <w:pPr>
        <w:pStyle w:val="Defstart"/>
        <w:rPr>
          <w:ins w:id="936" w:author="Master Repository Process" w:date="2024-05-01T10:47:00Z"/>
        </w:rPr>
      </w:pPr>
      <w:ins w:id="937" w:author="Master Repository Process" w:date="2024-05-01T10:47:00Z">
        <w:r>
          <w:tab/>
        </w:r>
        <w:r>
          <w:rPr>
            <w:rStyle w:val="CharDefText"/>
          </w:rPr>
          <w:t>guardian</w:t>
        </w:r>
        <w:r>
          <w:t xml:space="preserve">, in relation to a person who is under 18 years of age, means a person who at law has parental responsibility, as defined in the </w:t>
        </w:r>
        <w:r>
          <w:rPr>
            <w:i/>
          </w:rPr>
          <w:t>Family Court Act 1997</w:t>
        </w:r>
        <w:r>
          <w:t xml:space="preserve"> section 68, for the person.</w:t>
        </w:r>
      </w:ins>
    </w:p>
    <w:p>
      <w:pPr>
        <w:pStyle w:val="Subsection"/>
        <w:keepNext/>
        <w:rPr>
          <w:ins w:id="938" w:author="Master Repository Process" w:date="2024-05-01T10:47:00Z"/>
        </w:rPr>
      </w:pPr>
      <w:ins w:id="939" w:author="Master Repository Process" w:date="2024-05-01T10:47:00Z">
        <w:r>
          <w:tab/>
          <w:t>(2)</w:t>
        </w:r>
        <w:r>
          <w:tab/>
          <w:t xml:space="preserve">This section applies if — </w:t>
        </w:r>
      </w:ins>
    </w:p>
    <w:p>
      <w:pPr>
        <w:pStyle w:val="Indenta"/>
        <w:rPr>
          <w:ins w:id="940" w:author="Master Repository Process" w:date="2024-05-01T10:47:00Z"/>
        </w:rPr>
      </w:pPr>
      <w:ins w:id="941" w:author="Master Repository Process" w:date="2024-05-01T10:47:00Z">
        <w:r>
          <w:tab/>
          <w:t>(a)</w:t>
        </w:r>
        <w:r>
          <w:tab/>
          <w:t xml:space="preserve">a registered health practitioner proposes to perform an abortion under this Division on a person (the </w:t>
        </w:r>
        <w:r>
          <w:rPr>
            <w:rStyle w:val="CharDefText"/>
          </w:rPr>
          <w:t>patient</w:t>
        </w:r>
        <w:r>
          <w:t>) who is under 18 years of age; and</w:t>
        </w:r>
      </w:ins>
    </w:p>
    <w:p>
      <w:pPr>
        <w:pStyle w:val="Indenta"/>
        <w:rPr>
          <w:ins w:id="942" w:author="Master Repository Process" w:date="2024-05-01T10:47:00Z"/>
        </w:rPr>
      </w:pPr>
      <w:ins w:id="943" w:author="Master Repository Process" w:date="2024-05-01T10:47:00Z">
        <w:r>
          <w:tab/>
          <w:t>(b)</w:t>
        </w:r>
        <w:r>
          <w:tab/>
          <w:t xml:space="preserve">the registered health practitioner considers — </w:t>
        </w:r>
      </w:ins>
    </w:p>
    <w:p>
      <w:pPr>
        <w:pStyle w:val="Indenti"/>
        <w:rPr>
          <w:ins w:id="944" w:author="Master Repository Process" w:date="2024-05-01T10:47:00Z"/>
        </w:rPr>
      </w:pPr>
      <w:ins w:id="945" w:author="Master Repository Process" w:date="2024-05-01T10:47:00Z">
        <w:r>
          <w:tab/>
          <w:t>(i)</w:t>
        </w:r>
        <w:r>
          <w:tab/>
          <w:t>that the patient does not have the capacity to consent, on their own behalf, to the abortion being performed on them because the patient has not achieved a sufficient understanding and intelligence to enable them to understand fully what is proposed; or</w:t>
        </w:r>
      </w:ins>
    </w:p>
    <w:p>
      <w:pPr>
        <w:pStyle w:val="Indenti"/>
        <w:rPr>
          <w:ins w:id="946" w:author="Master Repository Process" w:date="2024-05-01T10:47:00Z"/>
        </w:rPr>
      </w:pPr>
      <w:ins w:id="947" w:author="Master Repository Process" w:date="2024-05-01T10:47:00Z">
        <w:r>
          <w:tab/>
          <w:t>(ii)</w:t>
        </w:r>
        <w:r>
          <w:tab/>
          <w:t xml:space="preserve">that it is not possible to ascertain whether the patient has the capacity to consent, on their own behalf, to the abortion being performed on them; </w:t>
        </w:r>
      </w:ins>
    </w:p>
    <w:p>
      <w:pPr>
        <w:pStyle w:val="Indenta"/>
        <w:rPr>
          <w:ins w:id="948" w:author="Master Repository Process" w:date="2024-05-01T10:47:00Z"/>
        </w:rPr>
      </w:pPr>
      <w:ins w:id="949" w:author="Master Repository Process" w:date="2024-05-01T10:47:00Z">
        <w:r>
          <w:tab/>
        </w:r>
        <w:r>
          <w:tab/>
          <w:t>and</w:t>
        </w:r>
      </w:ins>
    </w:p>
    <w:p>
      <w:pPr>
        <w:pStyle w:val="Indenta"/>
        <w:rPr>
          <w:ins w:id="950" w:author="Master Repository Process" w:date="2024-05-01T10:47:00Z"/>
        </w:rPr>
      </w:pPr>
      <w:ins w:id="951" w:author="Master Repository Process" w:date="2024-05-01T10:47:00Z">
        <w:r>
          <w:tab/>
          <w:t>(c)</w:t>
        </w:r>
        <w:r>
          <w:tab/>
          <w:t>the patient agrees to a parent or guardian of the patient participating in the decision</w:t>
        </w:r>
        <w:r>
          <w:noBreakHyphen/>
          <w:t>making as to whether the abortion is performed on the patient by the registered health practitioner.</w:t>
        </w:r>
      </w:ins>
    </w:p>
    <w:p>
      <w:pPr>
        <w:pStyle w:val="Subsection"/>
        <w:rPr>
          <w:ins w:id="952" w:author="Master Repository Process" w:date="2024-05-01T10:47:00Z"/>
        </w:rPr>
      </w:pPr>
      <w:ins w:id="953" w:author="Master Repository Process" w:date="2024-05-01T10:47:00Z">
        <w:r>
          <w:tab/>
          <w:t>(3)</w:t>
        </w:r>
        <w:r>
          <w:tab/>
          <w:t xml:space="preserve">If this section applies — </w:t>
        </w:r>
      </w:ins>
    </w:p>
    <w:p>
      <w:pPr>
        <w:pStyle w:val="Indenta"/>
        <w:rPr>
          <w:ins w:id="954" w:author="Master Repository Process" w:date="2024-05-01T10:47:00Z"/>
        </w:rPr>
      </w:pPr>
      <w:ins w:id="955" w:author="Master Repository Process" w:date="2024-05-01T10:47:00Z">
        <w:r>
          <w:tab/>
          <w:t>(a)</w:t>
        </w:r>
        <w:r>
          <w:tab/>
          <w:t>the parent or guardian referred to in subsection (2)(c) may consent or refuse consent to the performance of the abortion on the patient by the registered health practitioner; and</w:t>
        </w:r>
      </w:ins>
    </w:p>
    <w:p>
      <w:pPr>
        <w:pStyle w:val="Indenta"/>
        <w:rPr>
          <w:ins w:id="956" w:author="Master Repository Process" w:date="2024-05-01T10:47:00Z"/>
        </w:rPr>
      </w:pPr>
      <w:ins w:id="957" w:author="Master Repository Process" w:date="2024-05-01T10:47:00Z">
        <w:r>
          <w:tab/>
          <w:t>(b)</w:t>
        </w:r>
        <w:r>
          <w:tab/>
          <w:t>to the extent that the common law would require the performance of the abortion on the patient by the registered health practitioner to be authorised by a court, that requirement does not apply.</w:t>
        </w:r>
      </w:ins>
    </w:p>
    <w:p>
      <w:pPr>
        <w:pStyle w:val="Subsection"/>
        <w:rPr>
          <w:ins w:id="958" w:author="Master Repository Process" w:date="2024-05-01T10:47:00Z"/>
        </w:rPr>
      </w:pPr>
      <w:ins w:id="959" w:author="Master Repository Process" w:date="2024-05-01T10:47:00Z">
        <w:r>
          <w:tab/>
          <w:t>(4)</w:t>
        </w:r>
        <w:r>
          <w:tab/>
          <w:t>This section does not affect the inherent jurisdiction of the Supreme Court or the jurisdiction of the Family Court of Western Australia.</w:t>
        </w:r>
      </w:ins>
    </w:p>
    <w:p>
      <w:pPr>
        <w:pStyle w:val="Footnotesection"/>
        <w:rPr>
          <w:ins w:id="960" w:author="Master Repository Process" w:date="2024-05-01T10:47:00Z"/>
        </w:rPr>
      </w:pPr>
      <w:ins w:id="961" w:author="Master Repository Process" w:date="2024-05-01T10:47:00Z">
        <w:r>
          <w:tab/>
          <w:t>[Section 202MM inserted: No. 20 of 2023 s. 8.]</w:t>
        </w:r>
      </w:ins>
    </w:p>
    <w:p>
      <w:pPr>
        <w:pStyle w:val="Heading3"/>
        <w:rPr>
          <w:ins w:id="962" w:author="Master Repository Process" w:date="2024-05-01T10:47:00Z"/>
        </w:rPr>
      </w:pPr>
      <w:bookmarkStart w:id="963" w:name="_Toc165383881"/>
      <w:bookmarkStart w:id="964" w:name="_Toc165384992"/>
      <w:bookmarkStart w:id="965" w:name="_Toc165449338"/>
      <w:ins w:id="966" w:author="Master Repository Process" w:date="2024-05-01T10:47:00Z">
        <w:r>
          <w:rPr>
            <w:rStyle w:val="CharDivNo"/>
          </w:rPr>
          <w:t>Division 3</w:t>
        </w:r>
        <w:r>
          <w:t> — </w:t>
        </w:r>
        <w:r>
          <w:rPr>
            <w:rStyle w:val="CharDivText"/>
          </w:rPr>
          <w:t>Performance of abortion by unqualified persons</w:t>
        </w:r>
        <w:bookmarkEnd w:id="963"/>
        <w:bookmarkEnd w:id="964"/>
        <w:bookmarkEnd w:id="965"/>
      </w:ins>
    </w:p>
    <w:p>
      <w:pPr>
        <w:pStyle w:val="Footnoteheading"/>
        <w:rPr>
          <w:ins w:id="967" w:author="Master Repository Process" w:date="2024-05-01T10:47:00Z"/>
        </w:rPr>
      </w:pPr>
      <w:ins w:id="968" w:author="Master Repository Process" w:date="2024-05-01T10:47:00Z">
        <w:r>
          <w:tab/>
          <w:t>[Heading inserted: No. 20 of 2023 s. 8.]</w:t>
        </w:r>
      </w:ins>
    </w:p>
    <w:p>
      <w:pPr>
        <w:pStyle w:val="Heading5"/>
        <w:rPr>
          <w:ins w:id="969" w:author="Master Repository Process" w:date="2024-05-01T10:47:00Z"/>
        </w:rPr>
      </w:pPr>
      <w:bookmarkStart w:id="970" w:name="_Toc165449339"/>
      <w:ins w:id="971" w:author="Master Repository Process" w:date="2024-05-01T10:47:00Z">
        <w:r>
          <w:rPr>
            <w:rStyle w:val="CharSectno"/>
          </w:rPr>
          <w:t>202MN</w:t>
        </w:r>
        <w:r>
          <w:t>.</w:t>
        </w:r>
        <w:r>
          <w:tab/>
          <w:t>Unqualified person must not perform abortion</w:t>
        </w:r>
        <w:bookmarkEnd w:id="970"/>
      </w:ins>
    </w:p>
    <w:p>
      <w:pPr>
        <w:pStyle w:val="Subsection"/>
        <w:rPr>
          <w:ins w:id="972" w:author="Master Repository Process" w:date="2024-05-01T10:47:00Z"/>
        </w:rPr>
      </w:pPr>
      <w:ins w:id="973" w:author="Master Repository Process" w:date="2024-05-01T10:47:00Z">
        <w:r>
          <w:tab/>
          <w:t>(1)</w:t>
        </w:r>
        <w:r>
          <w:tab/>
          <w:t>An unqualified person who performs an abortion on another person commits a crime.</w:t>
        </w:r>
      </w:ins>
    </w:p>
    <w:p>
      <w:pPr>
        <w:pStyle w:val="Penstart"/>
        <w:rPr>
          <w:ins w:id="974" w:author="Master Repository Process" w:date="2024-05-01T10:47:00Z"/>
        </w:rPr>
      </w:pPr>
      <w:ins w:id="975" w:author="Master Repository Process" w:date="2024-05-01T10:47:00Z">
        <w:r>
          <w:tab/>
          <w:t>Penalty for this subsection: imprisonment for 7 years.</w:t>
        </w:r>
      </w:ins>
    </w:p>
    <w:p>
      <w:pPr>
        <w:pStyle w:val="Subsection"/>
        <w:rPr>
          <w:ins w:id="976" w:author="Master Repository Process" w:date="2024-05-01T10:47:00Z"/>
        </w:rPr>
      </w:pPr>
      <w:ins w:id="977" w:author="Master Repository Process" w:date="2024-05-01T10:47:00Z">
        <w:r>
          <w:tab/>
          <w:t>(2)</w:t>
        </w:r>
        <w:r>
          <w:tab/>
          <w:t xml:space="preserve">Subsections (3) to (8) set out who is an </w:t>
        </w:r>
        <w:r>
          <w:rPr>
            <w:rStyle w:val="CharDefText"/>
          </w:rPr>
          <w:t>unqualified person</w:t>
        </w:r>
        <w:r>
          <w:t xml:space="preserve"> for the purposes of subsection (1).</w:t>
        </w:r>
      </w:ins>
    </w:p>
    <w:p>
      <w:pPr>
        <w:pStyle w:val="Subsection"/>
        <w:rPr>
          <w:ins w:id="978" w:author="Master Repository Process" w:date="2024-05-01T10:47:00Z"/>
        </w:rPr>
      </w:pPr>
      <w:ins w:id="979" w:author="Master Repository Process" w:date="2024-05-01T10:47:00Z">
        <w:r>
          <w:tab/>
          <w:t>(3)</w:t>
        </w:r>
        <w:r>
          <w:tab/>
          <w:t xml:space="preserve">In relation to the performance of an abortion on a person who is not more than 23 weeks pregnant by prescribing an abortion drug for the person, an </w:t>
        </w:r>
        <w:r>
          <w:rPr>
            <w:rStyle w:val="CharDefText"/>
          </w:rPr>
          <w:t>unqualified person</w:t>
        </w:r>
        <w:r>
          <w:t xml:space="preserve"> is a person who is not — </w:t>
        </w:r>
      </w:ins>
    </w:p>
    <w:p>
      <w:pPr>
        <w:pStyle w:val="Indenta"/>
        <w:rPr>
          <w:ins w:id="980" w:author="Master Repository Process" w:date="2024-05-01T10:47:00Z"/>
        </w:rPr>
      </w:pPr>
      <w:ins w:id="981" w:author="Master Repository Process" w:date="2024-05-01T10:47:00Z">
        <w:r>
          <w:tab/>
          <w:t>(a)</w:t>
        </w:r>
        <w:r>
          <w:tab/>
          <w:t>a medical practitioner; or</w:t>
        </w:r>
      </w:ins>
    </w:p>
    <w:p>
      <w:pPr>
        <w:pStyle w:val="Indenta"/>
        <w:rPr>
          <w:ins w:id="982" w:author="Master Repository Process" w:date="2024-05-01T10:47:00Z"/>
        </w:rPr>
      </w:pPr>
      <w:ins w:id="983" w:author="Master Repository Process" w:date="2024-05-01T10:47:00Z">
        <w:r>
          <w:tab/>
          <w:t>(b)</w:t>
        </w:r>
        <w:r>
          <w:tab/>
          <w:t>a prescribing practitioner.</w:t>
        </w:r>
      </w:ins>
    </w:p>
    <w:p>
      <w:pPr>
        <w:pStyle w:val="Subsection"/>
        <w:rPr>
          <w:ins w:id="984" w:author="Master Repository Process" w:date="2024-05-01T10:47:00Z"/>
        </w:rPr>
      </w:pPr>
      <w:ins w:id="985" w:author="Master Repository Process" w:date="2024-05-01T10:47:00Z">
        <w:r>
          <w:tab/>
          <w:t>(4)</w:t>
        </w:r>
        <w:r>
          <w:tab/>
          <w:t xml:space="preserve">In relation to the performance of an abortion on a person who is not more than 23 weeks pregnant by supplying an abortion drug to the person, an </w:t>
        </w:r>
        <w:r>
          <w:rPr>
            <w:rStyle w:val="CharDefText"/>
          </w:rPr>
          <w:t>unqualified person</w:t>
        </w:r>
        <w:r>
          <w:t xml:space="preserve"> is a person who is not — </w:t>
        </w:r>
      </w:ins>
    </w:p>
    <w:p>
      <w:pPr>
        <w:pStyle w:val="Indenta"/>
        <w:rPr>
          <w:ins w:id="986" w:author="Master Repository Process" w:date="2024-05-01T10:47:00Z"/>
        </w:rPr>
      </w:pPr>
      <w:ins w:id="987" w:author="Master Repository Process" w:date="2024-05-01T10:47:00Z">
        <w:r>
          <w:tab/>
          <w:t>(a)</w:t>
        </w:r>
        <w:r>
          <w:tab/>
          <w:t>a medical practitioner; or</w:t>
        </w:r>
      </w:ins>
    </w:p>
    <w:p>
      <w:pPr>
        <w:pStyle w:val="Indenta"/>
        <w:rPr>
          <w:ins w:id="988" w:author="Master Repository Process" w:date="2024-05-01T10:47:00Z"/>
        </w:rPr>
      </w:pPr>
      <w:ins w:id="989" w:author="Master Repository Process" w:date="2024-05-01T10:47:00Z">
        <w:r>
          <w:tab/>
          <w:t>(b)</w:t>
        </w:r>
        <w:r>
          <w:tab/>
          <w:t>a prescribing practitioner; or</w:t>
        </w:r>
      </w:ins>
    </w:p>
    <w:p>
      <w:pPr>
        <w:pStyle w:val="Indenta"/>
        <w:rPr>
          <w:ins w:id="990" w:author="Master Repository Process" w:date="2024-05-01T10:47:00Z"/>
        </w:rPr>
      </w:pPr>
      <w:ins w:id="991" w:author="Master Repository Process" w:date="2024-05-01T10:47:00Z">
        <w:r>
          <w:tab/>
          <w:t>(c)</w:t>
        </w:r>
        <w:r>
          <w:tab/>
          <w:t>a pharmacist supplying the abortion drug as referred to in section 202MF(2); or</w:t>
        </w:r>
      </w:ins>
    </w:p>
    <w:p>
      <w:pPr>
        <w:pStyle w:val="Indenta"/>
        <w:rPr>
          <w:ins w:id="992" w:author="Master Repository Process" w:date="2024-05-01T10:47:00Z"/>
        </w:rPr>
      </w:pPr>
      <w:ins w:id="993" w:author="Master Repository Process" w:date="2024-05-01T10:47:00Z">
        <w:r>
          <w:tab/>
          <w:t>(d)</w:t>
        </w:r>
        <w:r>
          <w:tab/>
          <w:t>a registered health practitioner in a relevant health profession (other than pharmacy) supplying the abortion drug as referred to in section 202MF(3).</w:t>
        </w:r>
      </w:ins>
    </w:p>
    <w:p>
      <w:pPr>
        <w:pStyle w:val="Subsection"/>
        <w:rPr>
          <w:ins w:id="994" w:author="Master Repository Process" w:date="2024-05-01T10:47:00Z"/>
        </w:rPr>
      </w:pPr>
      <w:ins w:id="995" w:author="Master Repository Process" w:date="2024-05-01T10:47:00Z">
        <w:r>
          <w:tab/>
          <w:t>(5)</w:t>
        </w:r>
        <w:r>
          <w:tab/>
          <w:t xml:space="preserve">In relation to the performance of an abortion on a person who is more than 23 weeks pregnant by supplying an abortion drug to the person, an </w:t>
        </w:r>
        <w:r>
          <w:rPr>
            <w:rStyle w:val="CharDefText"/>
          </w:rPr>
          <w:t>unqualified person</w:t>
        </w:r>
        <w:r>
          <w:t xml:space="preserve"> is a person who is not — </w:t>
        </w:r>
      </w:ins>
    </w:p>
    <w:p>
      <w:pPr>
        <w:pStyle w:val="Indenta"/>
        <w:rPr>
          <w:ins w:id="996" w:author="Master Repository Process" w:date="2024-05-01T10:47:00Z"/>
        </w:rPr>
      </w:pPr>
      <w:ins w:id="997" w:author="Master Repository Process" w:date="2024-05-01T10:47:00Z">
        <w:r>
          <w:tab/>
          <w:t>(a)</w:t>
        </w:r>
        <w:r>
          <w:tab/>
          <w:t>a medical practitioner; or</w:t>
        </w:r>
      </w:ins>
    </w:p>
    <w:p>
      <w:pPr>
        <w:pStyle w:val="Indenta"/>
        <w:rPr>
          <w:ins w:id="998" w:author="Master Repository Process" w:date="2024-05-01T10:47:00Z"/>
        </w:rPr>
      </w:pPr>
      <w:ins w:id="999" w:author="Master Repository Process" w:date="2024-05-01T10:47:00Z">
        <w:r>
          <w:tab/>
          <w:t>(b)</w:t>
        </w:r>
        <w:r>
          <w:tab/>
          <w:t>a pharmacist supplying the abortion drug as referred to in section 202MF(2); or</w:t>
        </w:r>
      </w:ins>
    </w:p>
    <w:p>
      <w:pPr>
        <w:pStyle w:val="Indenta"/>
        <w:rPr>
          <w:ins w:id="1000" w:author="Master Repository Process" w:date="2024-05-01T10:47:00Z"/>
        </w:rPr>
      </w:pPr>
      <w:ins w:id="1001" w:author="Master Repository Process" w:date="2024-05-01T10:47:00Z">
        <w:r>
          <w:tab/>
          <w:t>(c)</w:t>
        </w:r>
        <w:r>
          <w:tab/>
          <w:t>a registered health practitioner in a relevant health profession (other than pharmacy) supplying the abortion drug as referred to in section 202MF(3).</w:t>
        </w:r>
      </w:ins>
    </w:p>
    <w:p>
      <w:pPr>
        <w:pStyle w:val="Subsection"/>
        <w:rPr>
          <w:ins w:id="1002" w:author="Master Repository Process" w:date="2024-05-01T10:47:00Z"/>
        </w:rPr>
      </w:pPr>
      <w:ins w:id="1003" w:author="Master Repository Process" w:date="2024-05-01T10:47:00Z">
        <w:r>
          <w:tab/>
          <w:t>(6)</w:t>
        </w:r>
        <w:r>
          <w:tab/>
          <w:t xml:space="preserve">In relation to the performance of an abortion on a person who is not more than 23 weeks pregnant by administering an abortion drug to the person, an </w:t>
        </w:r>
        <w:r>
          <w:rPr>
            <w:rStyle w:val="CharDefText"/>
          </w:rPr>
          <w:t>unqualified person</w:t>
        </w:r>
        <w:r>
          <w:t xml:space="preserve"> is a person who is not — </w:t>
        </w:r>
      </w:ins>
    </w:p>
    <w:p>
      <w:pPr>
        <w:pStyle w:val="Indenta"/>
        <w:rPr>
          <w:ins w:id="1004" w:author="Master Repository Process" w:date="2024-05-01T10:47:00Z"/>
        </w:rPr>
      </w:pPr>
      <w:ins w:id="1005" w:author="Master Repository Process" w:date="2024-05-01T10:47:00Z">
        <w:r>
          <w:tab/>
          <w:t>(a)</w:t>
        </w:r>
        <w:r>
          <w:tab/>
          <w:t>a medical practitioner; or</w:t>
        </w:r>
      </w:ins>
    </w:p>
    <w:p>
      <w:pPr>
        <w:pStyle w:val="Indenta"/>
        <w:rPr>
          <w:ins w:id="1006" w:author="Master Repository Process" w:date="2024-05-01T10:47:00Z"/>
        </w:rPr>
      </w:pPr>
      <w:ins w:id="1007" w:author="Master Repository Process" w:date="2024-05-01T10:47:00Z">
        <w:r>
          <w:tab/>
          <w:t>(b)</w:t>
        </w:r>
        <w:r>
          <w:tab/>
          <w:t>a prescribing practitioner; or</w:t>
        </w:r>
      </w:ins>
    </w:p>
    <w:p>
      <w:pPr>
        <w:pStyle w:val="Indenta"/>
        <w:rPr>
          <w:ins w:id="1008" w:author="Master Repository Process" w:date="2024-05-01T10:47:00Z"/>
        </w:rPr>
      </w:pPr>
      <w:ins w:id="1009" w:author="Master Repository Process" w:date="2024-05-01T10:47:00Z">
        <w:r>
          <w:tab/>
          <w:t>(c)</w:t>
        </w:r>
        <w:r>
          <w:tab/>
          <w:t>a registered health practitioner in a relevant health profession (other than pharmacy) administering the abortion drug as referred to in section 202MF(3).</w:t>
        </w:r>
      </w:ins>
    </w:p>
    <w:p>
      <w:pPr>
        <w:pStyle w:val="Subsection"/>
        <w:rPr>
          <w:ins w:id="1010" w:author="Master Repository Process" w:date="2024-05-01T10:47:00Z"/>
        </w:rPr>
      </w:pPr>
      <w:ins w:id="1011" w:author="Master Repository Process" w:date="2024-05-01T10:47:00Z">
        <w:r>
          <w:tab/>
          <w:t>(7)</w:t>
        </w:r>
        <w:r>
          <w:tab/>
          <w:t xml:space="preserve">In relation to the performance of an abortion on a person who is more than 23 weeks pregnant by administering an abortion drug to the person, an </w:t>
        </w:r>
        <w:r>
          <w:rPr>
            <w:rStyle w:val="CharDefText"/>
          </w:rPr>
          <w:t>unqualified person</w:t>
        </w:r>
        <w:r>
          <w:t xml:space="preserve"> is a person who is not — </w:t>
        </w:r>
      </w:ins>
    </w:p>
    <w:p>
      <w:pPr>
        <w:pStyle w:val="Indenta"/>
        <w:rPr>
          <w:ins w:id="1012" w:author="Master Repository Process" w:date="2024-05-01T10:47:00Z"/>
        </w:rPr>
      </w:pPr>
      <w:ins w:id="1013" w:author="Master Repository Process" w:date="2024-05-01T10:47:00Z">
        <w:r>
          <w:tab/>
          <w:t>(a)</w:t>
        </w:r>
        <w:r>
          <w:tab/>
          <w:t>a medical practitioner; or</w:t>
        </w:r>
      </w:ins>
    </w:p>
    <w:p>
      <w:pPr>
        <w:pStyle w:val="Indenta"/>
        <w:rPr>
          <w:ins w:id="1014" w:author="Master Repository Process" w:date="2024-05-01T10:47:00Z"/>
        </w:rPr>
      </w:pPr>
      <w:ins w:id="1015" w:author="Master Repository Process" w:date="2024-05-01T10:47:00Z">
        <w:r>
          <w:tab/>
          <w:t>(b)</w:t>
        </w:r>
        <w:r>
          <w:tab/>
          <w:t>a registered health practitioner in a relevant health profession (other than pharmacy) administering the abortion drug as referred to in section 202MF(3).</w:t>
        </w:r>
      </w:ins>
    </w:p>
    <w:p>
      <w:pPr>
        <w:pStyle w:val="Subsection"/>
        <w:rPr>
          <w:ins w:id="1016" w:author="Master Repository Process" w:date="2024-05-01T10:47:00Z"/>
        </w:rPr>
      </w:pPr>
      <w:ins w:id="1017" w:author="Master Repository Process" w:date="2024-05-01T10:47:00Z">
        <w:r>
          <w:tab/>
          <w:t>(8)</w:t>
        </w:r>
        <w:r>
          <w:tab/>
          <w:t xml:space="preserve">In relation to the performance of an abortion not referred to in subsections (3) to (7), an </w:t>
        </w:r>
        <w:r>
          <w:rPr>
            <w:rStyle w:val="CharDefText"/>
          </w:rPr>
          <w:t>unqualified person</w:t>
        </w:r>
        <w:r>
          <w:t xml:space="preserve"> is a person who is not a medical practitioner.</w:t>
        </w:r>
      </w:ins>
    </w:p>
    <w:p>
      <w:pPr>
        <w:pStyle w:val="Footnotesection"/>
        <w:rPr>
          <w:ins w:id="1018" w:author="Master Repository Process" w:date="2024-05-01T10:47:00Z"/>
        </w:rPr>
      </w:pPr>
      <w:ins w:id="1019" w:author="Master Repository Process" w:date="2024-05-01T10:47:00Z">
        <w:r>
          <w:tab/>
          <w:t>[Section 202MN inserted: No. 20 of 2023 s. 8.]</w:t>
        </w:r>
      </w:ins>
    </w:p>
    <w:p>
      <w:pPr>
        <w:pStyle w:val="Heading3"/>
        <w:rPr>
          <w:ins w:id="1020" w:author="Master Repository Process" w:date="2024-05-01T10:47:00Z"/>
        </w:rPr>
      </w:pPr>
      <w:bookmarkStart w:id="1021" w:name="_Toc165383883"/>
      <w:bookmarkStart w:id="1022" w:name="_Toc165384994"/>
      <w:bookmarkStart w:id="1023" w:name="_Toc165449340"/>
      <w:ins w:id="1024" w:author="Master Repository Process" w:date="2024-05-01T10:47:00Z">
        <w:r>
          <w:rPr>
            <w:rStyle w:val="CharDivNo"/>
          </w:rPr>
          <w:t>Division 4</w:t>
        </w:r>
        <w:r>
          <w:t> — </w:t>
        </w:r>
        <w:r>
          <w:rPr>
            <w:rStyle w:val="CharDivText"/>
          </w:rPr>
          <w:t>Protection from criminal liability</w:t>
        </w:r>
        <w:bookmarkEnd w:id="1021"/>
        <w:bookmarkEnd w:id="1022"/>
        <w:bookmarkEnd w:id="1023"/>
      </w:ins>
    </w:p>
    <w:p>
      <w:pPr>
        <w:pStyle w:val="Footnoteheading"/>
        <w:rPr>
          <w:ins w:id="1025" w:author="Master Repository Process" w:date="2024-05-01T10:47:00Z"/>
        </w:rPr>
      </w:pPr>
      <w:ins w:id="1026" w:author="Master Repository Process" w:date="2024-05-01T10:47:00Z">
        <w:r>
          <w:tab/>
          <w:t>[Heading inserted: No. 20 of 2023 s. 8.]</w:t>
        </w:r>
      </w:ins>
    </w:p>
    <w:p>
      <w:pPr>
        <w:pStyle w:val="Heading5"/>
        <w:rPr>
          <w:ins w:id="1027" w:author="Master Repository Process" w:date="2024-05-01T10:47:00Z"/>
        </w:rPr>
      </w:pPr>
      <w:bookmarkStart w:id="1028" w:name="_Toc165449341"/>
      <w:ins w:id="1029" w:author="Master Repository Process" w:date="2024-05-01T10:47:00Z">
        <w:r>
          <w:rPr>
            <w:rStyle w:val="CharSectno"/>
          </w:rPr>
          <w:t>202MO</w:t>
        </w:r>
        <w:r>
          <w:t>.</w:t>
        </w:r>
        <w:r>
          <w:tab/>
          <w:t>Person does not commit offence of abortion on themselves</w:t>
        </w:r>
        <w:bookmarkEnd w:id="1028"/>
      </w:ins>
    </w:p>
    <w:p>
      <w:pPr>
        <w:pStyle w:val="Subsection"/>
        <w:keepNext/>
        <w:rPr>
          <w:ins w:id="1030" w:author="Master Repository Process" w:date="2024-05-01T10:47:00Z"/>
        </w:rPr>
      </w:pPr>
      <w:ins w:id="1031" w:author="Master Repository Process" w:date="2024-05-01T10:47:00Z">
        <w:r>
          <w:tab/>
        </w:r>
        <w:r>
          <w:tab/>
          <w:t>Despite any other enactment, a person who performs an abortion on themselves, or consents to or does any act to assist in the performance of an abortion on themselves, does not commit an offence.</w:t>
        </w:r>
      </w:ins>
    </w:p>
    <w:p>
      <w:pPr>
        <w:pStyle w:val="Footnotesection"/>
        <w:rPr>
          <w:ins w:id="1032" w:author="Master Repository Process" w:date="2024-05-01T10:47:00Z"/>
        </w:rPr>
      </w:pPr>
      <w:ins w:id="1033" w:author="Master Repository Process" w:date="2024-05-01T10:47:00Z">
        <w:r>
          <w:tab/>
          <w:t>[Section 202MO inserted: No. 20 of 2023 s. 8.]</w:t>
        </w:r>
      </w:ins>
    </w:p>
    <w:p>
      <w:pPr>
        <w:pStyle w:val="Heading3"/>
        <w:rPr>
          <w:ins w:id="1034" w:author="Master Repository Process" w:date="2024-05-01T10:47:00Z"/>
        </w:rPr>
      </w:pPr>
      <w:bookmarkStart w:id="1035" w:name="_Toc165383885"/>
      <w:bookmarkStart w:id="1036" w:name="_Toc165384996"/>
      <w:bookmarkStart w:id="1037" w:name="_Toc165449342"/>
      <w:ins w:id="1038" w:author="Master Repository Process" w:date="2024-05-01T10:47:00Z">
        <w:r>
          <w:rPr>
            <w:rStyle w:val="CharDivNo"/>
          </w:rPr>
          <w:t>Division 5</w:t>
        </w:r>
        <w:r>
          <w:t> — </w:t>
        </w:r>
        <w:r>
          <w:rPr>
            <w:rStyle w:val="CharDivText"/>
          </w:rPr>
          <w:t>Information about abortion</w:t>
        </w:r>
        <w:bookmarkEnd w:id="1035"/>
        <w:bookmarkEnd w:id="1036"/>
        <w:bookmarkEnd w:id="1037"/>
      </w:ins>
    </w:p>
    <w:p>
      <w:pPr>
        <w:pStyle w:val="Footnoteheading"/>
        <w:rPr>
          <w:ins w:id="1039" w:author="Master Repository Process" w:date="2024-05-01T10:47:00Z"/>
        </w:rPr>
      </w:pPr>
      <w:ins w:id="1040" w:author="Master Repository Process" w:date="2024-05-01T10:47:00Z">
        <w:r>
          <w:tab/>
          <w:t>[Heading inserted: No. 20 of 2023 s. 8.]</w:t>
        </w:r>
      </w:ins>
    </w:p>
    <w:p>
      <w:pPr>
        <w:pStyle w:val="Heading5"/>
        <w:rPr>
          <w:ins w:id="1041" w:author="Master Repository Process" w:date="2024-05-01T10:47:00Z"/>
        </w:rPr>
      </w:pPr>
      <w:bookmarkStart w:id="1042" w:name="_Toc165449343"/>
      <w:ins w:id="1043" w:author="Master Repository Process" w:date="2024-05-01T10:47:00Z">
        <w:r>
          <w:rPr>
            <w:rStyle w:val="CharSectno"/>
          </w:rPr>
          <w:t>202MP</w:t>
        </w:r>
        <w:r>
          <w:t>.</w:t>
        </w:r>
        <w:r>
          <w:tab/>
          <w:t>Chief Health Officer may direct certain persons to give information about abortion</w:t>
        </w:r>
        <w:bookmarkEnd w:id="1042"/>
      </w:ins>
    </w:p>
    <w:p>
      <w:pPr>
        <w:pStyle w:val="Subsection"/>
        <w:rPr>
          <w:ins w:id="1044" w:author="Master Repository Process" w:date="2024-05-01T10:47:00Z"/>
        </w:rPr>
      </w:pPr>
      <w:ins w:id="1045" w:author="Master Repository Process" w:date="2024-05-01T10:47:00Z">
        <w:r>
          <w:tab/>
          <w:t>(1)</w:t>
        </w:r>
        <w:r>
          <w:tab/>
          <w:t>The Chief Health Officer may, for a purpose referred to in section 202MQ, direct a relevant person to give to the Chief Health Officer such demographic or clinical information about abortions performed under Division 2 as is specified in the direction.</w:t>
        </w:r>
      </w:ins>
    </w:p>
    <w:p>
      <w:pPr>
        <w:pStyle w:val="Subsection"/>
        <w:rPr>
          <w:ins w:id="1046" w:author="Master Repository Process" w:date="2024-05-01T10:47:00Z"/>
        </w:rPr>
      </w:pPr>
      <w:ins w:id="1047" w:author="Master Repository Process" w:date="2024-05-01T10:47:00Z">
        <w:r>
          <w:tab/>
          <w:t>(2)</w:t>
        </w:r>
        <w:r>
          <w:tab/>
          <w:t xml:space="preserve">A direction under subsection (1) may — </w:t>
        </w:r>
      </w:ins>
    </w:p>
    <w:p>
      <w:pPr>
        <w:pStyle w:val="Indenta"/>
        <w:rPr>
          <w:ins w:id="1048" w:author="Master Repository Process" w:date="2024-05-01T10:47:00Z"/>
        </w:rPr>
      </w:pPr>
      <w:ins w:id="1049" w:author="Master Repository Process" w:date="2024-05-01T10:47:00Z">
        <w:r>
          <w:tab/>
          <w:t>(a)</w:t>
        </w:r>
        <w:r>
          <w:tab/>
          <w:t xml:space="preserve">specify the information by reference to a class of information; and </w:t>
        </w:r>
      </w:ins>
    </w:p>
    <w:p>
      <w:pPr>
        <w:pStyle w:val="Indenta"/>
        <w:rPr>
          <w:ins w:id="1050" w:author="Master Repository Process" w:date="2024-05-01T10:47:00Z"/>
        </w:rPr>
      </w:pPr>
      <w:ins w:id="1051" w:author="Master Repository Process" w:date="2024-05-01T10:47:00Z">
        <w:r>
          <w:tab/>
          <w:t>(b)</w:t>
        </w:r>
        <w:r>
          <w:tab/>
          <w:t>specify the manner and form in which the information must be given to the Chief Health Officer.</w:t>
        </w:r>
      </w:ins>
    </w:p>
    <w:p>
      <w:pPr>
        <w:pStyle w:val="Subsection"/>
        <w:rPr>
          <w:ins w:id="1052" w:author="Master Repository Process" w:date="2024-05-01T10:47:00Z"/>
        </w:rPr>
      </w:pPr>
      <w:ins w:id="1053" w:author="Master Repository Process" w:date="2024-05-01T10:47:00Z">
        <w:r>
          <w:tab/>
          <w:t>(3)</w:t>
        </w:r>
        <w:r>
          <w:tab/>
          <w:t xml:space="preserve">The information specified in a direction under subsection (1) — </w:t>
        </w:r>
      </w:ins>
    </w:p>
    <w:p>
      <w:pPr>
        <w:pStyle w:val="Indenta"/>
        <w:rPr>
          <w:ins w:id="1054" w:author="Master Repository Process" w:date="2024-05-01T10:47:00Z"/>
        </w:rPr>
      </w:pPr>
      <w:ins w:id="1055" w:author="Master Repository Process" w:date="2024-05-01T10:47:00Z">
        <w:r>
          <w:tab/>
          <w:t>(a)</w:t>
        </w:r>
        <w:r>
          <w:tab/>
          <w:t>can only be statistical or summary information; and</w:t>
        </w:r>
      </w:ins>
    </w:p>
    <w:p>
      <w:pPr>
        <w:pStyle w:val="Indenta"/>
        <w:rPr>
          <w:ins w:id="1056" w:author="Master Repository Process" w:date="2024-05-01T10:47:00Z"/>
        </w:rPr>
      </w:pPr>
      <w:ins w:id="1057" w:author="Master Repository Process" w:date="2024-05-01T10:47:00Z">
        <w:r>
          <w:tab/>
          <w:t>(b)</w:t>
        </w:r>
        <w:r>
          <w:tab/>
          <w:t xml:space="preserve">cannot include any particulars from which it may be possible to ascertain — </w:t>
        </w:r>
      </w:ins>
    </w:p>
    <w:p>
      <w:pPr>
        <w:pStyle w:val="Indenti"/>
        <w:rPr>
          <w:ins w:id="1058" w:author="Master Repository Process" w:date="2024-05-01T10:47:00Z"/>
        </w:rPr>
      </w:pPr>
      <w:ins w:id="1059" w:author="Master Repository Process" w:date="2024-05-01T10:47:00Z">
        <w:r>
          <w:tab/>
          <w:t>(i)</w:t>
        </w:r>
        <w:r>
          <w:tab/>
          <w:t xml:space="preserve">the identity of a person on whom an abortion has been performed; or </w:t>
        </w:r>
      </w:ins>
    </w:p>
    <w:p>
      <w:pPr>
        <w:pStyle w:val="Indenti"/>
        <w:rPr>
          <w:ins w:id="1060" w:author="Master Repository Process" w:date="2024-05-01T10:47:00Z"/>
        </w:rPr>
      </w:pPr>
      <w:ins w:id="1061" w:author="Master Repository Process" w:date="2024-05-01T10:47:00Z">
        <w:r>
          <w:tab/>
          <w:t>(ii)</w:t>
        </w:r>
        <w:r>
          <w:tab/>
          <w:t>the identity of a person who has performed, or has assisted in the performance of, an abortion on a person.</w:t>
        </w:r>
      </w:ins>
    </w:p>
    <w:p>
      <w:pPr>
        <w:pStyle w:val="Subsection"/>
        <w:keepNext/>
        <w:rPr>
          <w:ins w:id="1062" w:author="Master Repository Process" w:date="2024-05-01T10:47:00Z"/>
        </w:rPr>
      </w:pPr>
      <w:ins w:id="1063" w:author="Master Repository Process" w:date="2024-05-01T10:47:00Z">
        <w:r>
          <w:tab/>
          <w:t>(4)</w:t>
        </w:r>
        <w:r>
          <w:tab/>
          <w:t xml:space="preserve">Without limiting subsection (3), the information specified in a direction under subsection (1) cannot include any of the following — </w:t>
        </w:r>
      </w:ins>
    </w:p>
    <w:p>
      <w:pPr>
        <w:pStyle w:val="Indenta"/>
        <w:rPr>
          <w:ins w:id="1064" w:author="Master Repository Process" w:date="2024-05-01T10:47:00Z"/>
        </w:rPr>
      </w:pPr>
      <w:ins w:id="1065" w:author="Master Repository Process" w:date="2024-05-01T10:47:00Z">
        <w:r>
          <w:tab/>
          <w:t>(a)</w:t>
        </w:r>
        <w:r>
          <w:tab/>
          <w:t>the postcode, suburb or address (street or postal) of a person referred to in subsection (3)(b);</w:t>
        </w:r>
      </w:ins>
    </w:p>
    <w:p>
      <w:pPr>
        <w:pStyle w:val="Indenta"/>
        <w:rPr>
          <w:ins w:id="1066" w:author="Master Repository Process" w:date="2024-05-01T10:47:00Z"/>
        </w:rPr>
      </w:pPr>
      <w:ins w:id="1067" w:author="Master Repository Process" w:date="2024-05-01T10:47:00Z">
        <w:r>
          <w:tab/>
          <w:t>(b)</w:t>
        </w:r>
        <w:r>
          <w:tab/>
          <w:t>the postcode, suburb or address (street or postal) of the particular hospital or other health facility at which an abortion has been performed;</w:t>
        </w:r>
      </w:ins>
    </w:p>
    <w:p>
      <w:pPr>
        <w:pStyle w:val="Indenta"/>
        <w:rPr>
          <w:ins w:id="1068" w:author="Master Repository Process" w:date="2024-05-01T10:47:00Z"/>
        </w:rPr>
      </w:pPr>
      <w:ins w:id="1069" w:author="Master Repository Process" w:date="2024-05-01T10:47:00Z">
        <w:r>
          <w:tab/>
          <w:t>(c)</w:t>
        </w:r>
        <w:r>
          <w:tab/>
          <w:t>the age of a person on whom an abortion has been performed, other than as an age category including a range of not less than 5 years (for example, under 15 years of age, 15 to 19 years of age, and so on);</w:t>
        </w:r>
      </w:ins>
    </w:p>
    <w:p>
      <w:pPr>
        <w:pStyle w:val="Indenta"/>
        <w:rPr>
          <w:ins w:id="1070" w:author="Master Repository Process" w:date="2024-05-01T10:47:00Z"/>
        </w:rPr>
      </w:pPr>
      <w:ins w:id="1071" w:author="Master Repository Process" w:date="2024-05-01T10:47:00Z">
        <w:r>
          <w:tab/>
          <w:t>(d)</w:t>
        </w:r>
        <w:r>
          <w:tab/>
          <w:t xml:space="preserve">the particular race or nationality of a person on whom an abortion has been performed; </w:t>
        </w:r>
      </w:ins>
    </w:p>
    <w:p>
      <w:pPr>
        <w:pStyle w:val="Indenta"/>
        <w:rPr>
          <w:ins w:id="1072" w:author="Master Repository Process" w:date="2024-05-01T10:47:00Z"/>
        </w:rPr>
      </w:pPr>
      <w:ins w:id="1073" w:author="Master Repository Process" w:date="2024-05-01T10:47:00Z">
        <w:r>
          <w:tab/>
          <w:t>(e)</w:t>
        </w:r>
        <w:r>
          <w:tab/>
          <w:t>the gestational age of the foetus at the date on which an abortion was performed on a person, other than as an age range (for example, 9 weeks or less, 10 to 13 weeks, and so on);</w:t>
        </w:r>
      </w:ins>
    </w:p>
    <w:p>
      <w:pPr>
        <w:pStyle w:val="Indenta"/>
        <w:rPr>
          <w:ins w:id="1074" w:author="Master Repository Process" w:date="2024-05-01T10:47:00Z"/>
        </w:rPr>
      </w:pPr>
      <w:ins w:id="1075" w:author="Master Repository Process" w:date="2024-05-01T10:47:00Z">
        <w:r>
          <w:tab/>
          <w:t>(f)</w:t>
        </w:r>
        <w:r>
          <w:tab/>
          <w:t>the particular reason for an abortion having been performed on a person, including any particular clinical reason (for example, the diagnosis of a particular abnormality or condition in the foetus or in the person on whom the abortion was performed);</w:t>
        </w:r>
      </w:ins>
    </w:p>
    <w:p>
      <w:pPr>
        <w:pStyle w:val="Indenta"/>
        <w:rPr>
          <w:ins w:id="1076" w:author="Master Repository Process" w:date="2024-05-01T10:47:00Z"/>
        </w:rPr>
      </w:pPr>
      <w:ins w:id="1077" w:author="Master Repository Process" w:date="2024-05-01T10:47:00Z">
        <w:r>
          <w:tab/>
          <w:t>(g)</w:t>
        </w:r>
        <w:r>
          <w:tab/>
          <w:t>the particular clinical method (for example, the particular abortion drug prescribed or the particular surgical procedure carried out) used to perform an abortion on a person;</w:t>
        </w:r>
      </w:ins>
    </w:p>
    <w:p>
      <w:pPr>
        <w:pStyle w:val="Indenta"/>
        <w:rPr>
          <w:ins w:id="1078" w:author="Master Repository Process" w:date="2024-05-01T10:47:00Z"/>
        </w:rPr>
      </w:pPr>
      <w:ins w:id="1079" w:author="Master Repository Process" w:date="2024-05-01T10:47:00Z">
        <w:r>
          <w:tab/>
          <w:t>(h)</w:t>
        </w:r>
        <w:r>
          <w:tab/>
          <w:t>the particular clinical details or outcomes associated with the admission to a hospital of a person on whom an abortion has been performed.</w:t>
        </w:r>
      </w:ins>
    </w:p>
    <w:p>
      <w:pPr>
        <w:pStyle w:val="Subsection"/>
        <w:rPr>
          <w:ins w:id="1080" w:author="Master Repository Process" w:date="2024-05-01T10:47:00Z"/>
        </w:rPr>
      </w:pPr>
      <w:ins w:id="1081" w:author="Master Repository Process" w:date="2024-05-01T10:47:00Z">
        <w:r>
          <w:tab/>
          <w:t>(5)</w:t>
        </w:r>
        <w:r>
          <w:tab/>
          <w:t>A direction under subsection (1) may be given to 1 or more named relevant persons, 1 or more classes of relevant persons, or to all relevant persons.</w:t>
        </w:r>
      </w:ins>
    </w:p>
    <w:p>
      <w:pPr>
        <w:pStyle w:val="Subsection"/>
        <w:rPr>
          <w:ins w:id="1082" w:author="Master Repository Process" w:date="2024-05-01T10:47:00Z"/>
        </w:rPr>
      </w:pPr>
      <w:ins w:id="1083" w:author="Master Repository Process" w:date="2024-05-01T10:47:00Z">
        <w:r>
          <w:tab/>
          <w:t>(6)</w:t>
        </w:r>
        <w:r>
          <w:tab/>
          <w:t>A relevant person who is given a direction under subsection (1) must comply with the direction.</w:t>
        </w:r>
      </w:ins>
    </w:p>
    <w:p>
      <w:pPr>
        <w:pStyle w:val="Subsection"/>
        <w:rPr>
          <w:ins w:id="1084" w:author="Master Repository Process" w:date="2024-05-01T10:47:00Z"/>
        </w:rPr>
      </w:pPr>
      <w:ins w:id="1085" w:author="Master Repository Process" w:date="2024-05-01T10:47:00Z">
        <w:r>
          <w:tab/>
          <w:t>(7)</w:t>
        </w:r>
        <w:r>
          <w:tab/>
          <w:t>Information given to the Chief Health Officer by a relevant person under subsection (6) must meet the requirements set out in subsections (3) and (4).</w:t>
        </w:r>
      </w:ins>
    </w:p>
    <w:p>
      <w:pPr>
        <w:pStyle w:val="Subsection"/>
        <w:rPr>
          <w:ins w:id="1086" w:author="Master Repository Process" w:date="2024-05-01T10:47:00Z"/>
        </w:rPr>
      </w:pPr>
      <w:ins w:id="1087" w:author="Master Repository Process" w:date="2024-05-01T10:47:00Z">
        <w:r>
          <w:tab/>
          <w:t>(8)</w:t>
        </w:r>
        <w:r>
          <w:tab/>
        </w:r>
        <w:r>
          <w:rPr>
            <w:i/>
          </w:rPr>
          <w:t>The Criminal Code</w:t>
        </w:r>
        <w:r>
          <w:t xml:space="preserve"> sections 177 and 178 do not apply to the obligations of a relevant person under subsections (6) and (7).</w:t>
        </w:r>
      </w:ins>
    </w:p>
    <w:p>
      <w:pPr>
        <w:pStyle w:val="Footnotesection"/>
        <w:rPr>
          <w:ins w:id="1088" w:author="Master Repository Process" w:date="2024-05-01T10:47:00Z"/>
        </w:rPr>
      </w:pPr>
      <w:ins w:id="1089" w:author="Master Repository Process" w:date="2024-05-01T10:47:00Z">
        <w:r>
          <w:tab/>
          <w:t>[Section 202MP inserted: No. 20 of 2023 s. 8.]</w:t>
        </w:r>
      </w:ins>
    </w:p>
    <w:p>
      <w:pPr>
        <w:pStyle w:val="Heading5"/>
        <w:rPr>
          <w:ins w:id="1090" w:author="Master Repository Process" w:date="2024-05-01T10:47:00Z"/>
        </w:rPr>
      </w:pPr>
      <w:bookmarkStart w:id="1091" w:name="_Toc165449344"/>
      <w:ins w:id="1092" w:author="Master Repository Process" w:date="2024-05-01T10:47:00Z">
        <w:r>
          <w:rPr>
            <w:rStyle w:val="CharSectno"/>
          </w:rPr>
          <w:t>202MQ</w:t>
        </w:r>
        <w:r>
          <w:t>.</w:t>
        </w:r>
        <w:r>
          <w:tab/>
          <w:t>Purposes for which Chief Health Officer may record, use or disclose information given under s. 202MP</w:t>
        </w:r>
        <w:bookmarkEnd w:id="1091"/>
      </w:ins>
    </w:p>
    <w:p>
      <w:pPr>
        <w:pStyle w:val="Subsection"/>
        <w:rPr>
          <w:ins w:id="1093" w:author="Master Repository Process" w:date="2024-05-01T10:47:00Z"/>
        </w:rPr>
      </w:pPr>
      <w:ins w:id="1094" w:author="Master Repository Process" w:date="2024-05-01T10:47:00Z">
        <w:r>
          <w:tab/>
        </w:r>
        <w:r>
          <w:tab/>
          <w:t xml:space="preserve">The Chief Health Officer may record, use or disclose information given to the Chief Health Officer under section 202MP(6) for the following purposes — </w:t>
        </w:r>
      </w:ins>
    </w:p>
    <w:p>
      <w:pPr>
        <w:pStyle w:val="Indenta"/>
        <w:rPr>
          <w:ins w:id="1095" w:author="Master Repository Process" w:date="2024-05-01T10:47:00Z"/>
        </w:rPr>
      </w:pPr>
      <w:ins w:id="1096" w:author="Master Repository Process" w:date="2024-05-01T10:47:00Z">
        <w:r>
          <w:tab/>
          <w:t>(a)</w:t>
        </w:r>
        <w:r>
          <w:tab/>
          <w:t>enabling the provision, monitoring, planning and evaluation of health services relating to abortion;</w:t>
        </w:r>
      </w:ins>
    </w:p>
    <w:p>
      <w:pPr>
        <w:pStyle w:val="Indenta"/>
        <w:rPr>
          <w:ins w:id="1097" w:author="Master Repository Process" w:date="2024-05-01T10:47:00Z"/>
        </w:rPr>
      </w:pPr>
      <w:ins w:id="1098" w:author="Master Repository Process" w:date="2024-05-01T10:47:00Z">
        <w:r>
          <w:tab/>
          <w:t>(b)</w:t>
        </w:r>
        <w:r>
          <w:tab/>
          <w:t>compiling and publishing statistical or summary information relating to abortion;</w:t>
        </w:r>
      </w:ins>
    </w:p>
    <w:p>
      <w:pPr>
        <w:pStyle w:val="Indenta"/>
        <w:rPr>
          <w:ins w:id="1099" w:author="Master Repository Process" w:date="2024-05-01T10:47:00Z"/>
        </w:rPr>
      </w:pPr>
      <w:ins w:id="1100" w:author="Master Repository Process" w:date="2024-05-01T10:47:00Z">
        <w:r>
          <w:tab/>
          <w:t>(c)</w:t>
        </w:r>
        <w:r>
          <w:tab/>
          <w:t>enabling research, education and training in respect of abortion, including the use of abortion drugs and health services relating to abortion;</w:t>
        </w:r>
      </w:ins>
    </w:p>
    <w:p>
      <w:pPr>
        <w:pStyle w:val="Indenta"/>
        <w:rPr>
          <w:ins w:id="1101" w:author="Master Repository Process" w:date="2024-05-01T10:47:00Z"/>
        </w:rPr>
      </w:pPr>
      <w:ins w:id="1102" w:author="Master Repository Process" w:date="2024-05-01T10:47:00Z">
        <w:r>
          <w:tab/>
          <w:t>(d)</w:t>
        </w:r>
        <w:r>
          <w:tab/>
          <w:t>the performance by the Chief Health Officer of functions under this Act;</w:t>
        </w:r>
      </w:ins>
    </w:p>
    <w:p>
      <w:pPr>
        <w:pStyle w:val="Indenta"/>
        <w:rPr>
          <w:ins w:id="1103" w:author="Master Repository Process" w:date="2024-05-01T10:47:00Z"/>
        </w:rPr>
      </w:pPr>
      <w:ins w:id="1104" w:author="Master Repository Process" w:date="2024-05-01T10:47:00Z">
        <w:r>
          <w:tab/>
          <w:t>(e)</w:t>
        </w:r>
        <w:r>
          <w:tab/>
          <w:t>the administration or enforcement of this Act.</w:t>
        </w:r>
      </w:ins>
    </w:p>
    <w:p>
      <w:pPr>
        <w:pStyle w:val="Footnotesection"/>
        <w:rPr>
          <w:ins w:id="1105" w:author="Master Repository Process" w:date="2024-05-01T10:47:00Z"/>
        </w:rPr>
      </w:pPr>
      <w:ins w:id="1106" w:author="Master Repository Process" w:date="2024-05-01T10:47:00Z">
        <w:r>
          <w:tab/>
          <w:t>[Section 202MQ inserted: No. 20 of 2023 s. 8.]</w:t>
        </w:r>
      </w:ins>
    </w:p>
    <w:p>
      <w:pPr>
        <w:pStyle w:val="Heading5"/>
        <w:rPr>
          <w:ins w:id="1107" w:author="Master Repository Process" w:date="2024-05-01T10:47:00Z"/>
        </w:rPr>
      </w:pPr>
      <w:bookmarkStart w:id="1108" w:name="_Toc165449345"/>
      <w:ins w:id="1109" w:author="Master Repository Process" w:date="2024-05-01T10:47:00Z">
        <w:r>
          <w:rPr>
            <w:rStyle w:val="CharSectno"/>
          </w:rPr>
          <w:t>202MR</w:t>
        </w:r>
        <w:r>
          <w:t>.</w:t>
        </w:r>
        <w:r>
          <w:tab/>
          <w:t>Protection from liability</w:t>
        </w:r>
        <w:bookmarkEnd w:id="1108"/>
      </w:ins>
    </w:p>
    <w:p>
      <w:pPr>
        <w:pStyle w:val="Subsection"/>
        <w:rPr>
          <w:ins w:id="1110" w:author="Master Repository Process" w:date="2024-05-01T10:47:00Z"/>
        </w:rPr>
      </w:pPr>
      <w:ins w:id="1111" w:author="Master Repository Process" w:date="2024-05-01T10:47:00Z">
        <w:r>
          <w:tab/>
          <w:t>(1)</w:t>
        </w:r>
        <w:r>
          <w:tab/>
          <w:t xml:space="preserve">This section applies if — </w:t>
        </w:r>
      </w:ins>
    </w:p>
    <w:p>
      <w:pPr>
        <w:pStyle w:val="Indenta"/>
        <w:rPr>
          <w:ins w:id="1112" w:author="Master Repository Process" w:date="2024-05-01T10:47:00Z"/>
        </w:rPr>
      </w:pPr>
      <w:ins w:id="1113" w:author="Master Repository Process" w:date="2024-05-01T10:47:00Z">
        <w:r>
          <w:tab/>
          <w:t>(a)</w:t>
        </w:r>
        <w:r>
          <w:tab/>
          <w:t>a relevant person acting in good faith gives information to the Chief Health Officer under section 202MP(6); or</w:t>
        </w:r>
      </w:ins>
    </w:p>
    <w:p>
      <w:pPr>
        <w:pStyle w:val="Indenta"/>
        <w:rPr>
          <w:ins w:id="1114" w:author="Master Repository Process" w:date="2024-05-01T10:47:00Z"/>
        </w:rPr>
      </w:pPr>
      <w:ins w:id="1115" w:author="Master Repository Process" w:date="2024-05-01T10:47:00Z">
        <w:r>
          <w:tab/>
          <w:t>(b)</w:t>
        </w:r>
        <w:r>
          <w:tab/>
          <w:t>the Chief Health Officer acting in good faith records, uses or discloses information, given to the Chief Health Officer under section 202MP(6), in accordance with section 202MQ.</w:t>
        </w:r>
      </w:ins>
    </w:p>
    <w:p>
      <w:pPr>
        <w:pStyle w:val="Subsection"/>
        <w:rPr>
          <w:ins w:id="1116" w:author="Master Repository Process" w:date="2024-05-01T10:47:00Z"/>
        </w:rPr>
      </w:pPr>
      <w:ins w:id="1117" w:author="Master Repository Process" w:date="2024-05-01T10:47:00Z">
        <w:r>
          <w:tab/>
          <w:t>(2)</w:t>
        </w:r>
        <w:r>
          <w:tab/>
          <w:t xml:space="preserve">If this section applies — </w:t>
        </w:r>
      </w:ins>
    </w:p>
    <w:p>
      <w:pPr>
        <w:pStyle w:val="Indenta"/>
        <w:rPr>
          <w:ins w:id="1118" w:author="Master Repository Process" w:date="2024-05-01T10:47:00Z"/>
        </w:rPr>
      </w:pPr>
      <w:ins w:id="1119" w:author="Master Repository Process" w:date="2024-05-01T10:47:00Z">
        <w:r>
          <w:tab/>
          <w:t>(a)</w:t>
        </w:r>
        <w:r>
          <w:tab/>
          <w:t>no civil or criminal liability is incurred in respect of giving, recording, using or disclosing the information; and</w:t>
        </w:r>
      </w:ins>
    </w:p>
    <w:p>
      <w:pPr>
        <w:pStyle w:val="Indenta"/>
        <w:rPr>
          <w:ins w:id="1120" w:author="Master Repository Process" w:date="2024-05-01T10:47:00Z"/>
        </w:rPr>
      </w:pPr>
      <w:ins w:id="1121" w:author="Master Repository Process" w:date="2024-05-01T10:47:00Z">
        <w:r>
          <w:tab/>
          <w:t>(b)</w:t>
        </w:r>
        <w:r>
          <w:tab/>
          <w:t xml:space="preserve">giving, recording, using or disclosing the information is not to be regarded as — </w:t>
        </w:r>
      </w:ins>
    </w:p>
    <w:p>
      <w:pPr>
        <w:pStyle w:val="Indenti"/>
        <w:rPr>
          <w:ins w:id="1122" w:author="Master Repository Process" w:date="2024-05-01T10:47:00Z"/>
        </w:rPr>
      </w:pPr>
      <w:ins w:id="1123" w:author="Master Repository Process" w:date="2024-05-01T10:47:00Z">
        <w:r>
          <w:tab/>
          <w:t>(i)</w:t>
        </w:r>
        <w:r>
          <w:tab/>
          <w:t>a breach of any duty of confidentiality or secrecy imposed by law; or</w:t>
        </w:r>
      </w:ins>
    </w:p>
    <w:p>
      <w:pPr>
        <w:pStyle w:val="Indenti"/>
        <w:rPr>
          <w:ins w:id="1124" w:author="Master Repository Process" w:date="2024-05-01T10:47:00Z"/>
        </w:rPr>
      </w:pPr>
      <w:ins w:id="1125" w:author="Master Repository Process" w:date="2024-05-01T10:47:00Z">
        <w:r>
          <w:tab/>
          <w:t>(ii)</w:t>
        </w:r>
        <w:r>
          <w:tab/>
          <w:t>a breach of professional ethics, professional standards or any principles of conduct applicable to the person’s employment; or</w:t>
        </w:r>
      </w:ins>
    </w:p>
    <w:p>
      <w:pPr>
        <w:pStyle w:val="Indenti"/>
        <w:rPr>
          <w:ins w:id="1126" w:author="Master Repository Process" w:date="2024-05-01T10:47:00Z"/>
        </w:rPr>
      </w:pPr>
      <w:ins w:id="1127" w:author="Master Repository Process" w:date="2024-05-01T10:47:00Z">
        <w:r>
          <w:tab/>
          <w:t>(iii)</w:t>
        </w:r>
        <w:r>
          <w:tab/>
          <w:t>unprofessional conduct.</w:t>
        </w:r>
      </w:ins>
    </w:p>
    <w:p>
      <w:pPr>
        <w:pStyle w:val="Footnotesection"/>
        <w:rPr>
          <w:ins w:id="1128" w:author="Master Repository Process" w:date="2024-05-01T10:47:00Z"/>
        </w:rPr>
      </w:pPr>
      <w:ins w:id="1129" w:author="Master Repository Process" w:date="2024-05-01T10:47:00Z">
        <w:r>
          <w:tab/>
          <w:t>[Section 202MR inserted: No. 20 of 2023 s. 8.]</w:t>
        </w:r>
      </w:ins>
    </w:p>
    <w:p>
      <w:pPr>
        <w:pStyle w:val="Heading3"/>
        <w:rPr>
          <w:ins w:id="1130" w:author="Master Repository Process" w:date="2024-05-01T10:47:00Z"/>
        </w:rPr>
      </w:pPr>
      <w:bookmarkStart w:id="1131" w:name="_Toc165383889"/>
      <w:bookmarkStart w:id="1132" w:name="_Toc165385000"/>
      <w:bookmarkStart w:id="1133" w:name="_Toc165449346"/>
      <w:ins w:id="1134" w:author="Master Repository Process" w:date="2024-05-01T10:47:00Z">
        <w:r>
          <w:rPr>
            <w:rStyle w:val="CharDivNo"/>
          </w:rPr>
          <w:t>Division 6</w:t>
        </w:r>
        <w:r>
          <w:t> — </w:t>
        </w:r>
        <w:r>
          <w:rPr>
            <w:rStyle w:val="CharDivText"/>
          </w:rPr>
          <w:t>Safe access to premises at which abortions are provided</w:t>
        </w:r>
        <w:bookmarkEnd w:id="1131"/>
        <w:bookmarkEnd w:id="1132"/>
        <w:bookmarkEnd w:id="1133"/>
      </w:ins>
    </w:p>
    <w:p>
      <w:pPr>
        <w:pStyle w:val="Footnoteheading"/>
      </w:pPr>
      <w:ins w:id="1135" w:author="Master Repository Process" w:date="2024-05-01T10:47:00Z">
        <w:r>
          <w:tab/>
          <w:t>[Heading inserted: No. 20 of 2023 s. 9</w:t>
        </w:r>
      </w:ins>
      <w:r>
        <w:t>.]</w:t>
      </w:r>
    </w:p>
    <w:p>
      <w:pPr>
        <w:pStyle w:val="Heading5"/>
      </w:pPr>
      <w:bookmarkStart w:id="1136" w:name="_Toc165449347"/>
      <w:bookmarkStart w:id="1137" w:name="_Toc158981078"/>
      <w:r>
        <w:rPr>
          <w:rStyle w:val="CharSectno"/>
        </w:rPr>
        <w:t>202N</w:t>
      </w:r>
      <w:r>
        <w:t>.</w:t>
      </w:r>
      <w:r>
        <w:tab/>
        <w:t>Purpose</w:t>
      </w:r>
      <w:bookmarkEnd w:id="1136"/>
      <w:bookmarkEnd w:id="1137"/>
    </w:p>
    <w:p>
      <w:pPr>
        <w:pStyle w:val="Subsection"/>
      </w:pPr>
      <w:r>
        <w:tab/>
      </w:r>
      <w:r>
        <w:tab/>
        <w:t xml:space="preserve">The purpose of this </w:t>
      </w:r>
      <w:del w:id="1138" w:author="Master Repository Process" w:date="2024-05-01T10:47:00Z">
        <w:r>
          <w:delText>Part</w:delText>
        </w:r>
      </w:del>
      <w:ins w:id="1139" w:author="Master Repository Process" w:date="2024-05-01T10:47:00Z">
        <w:r>
          <w:t>Division</w:t>
        </w:r>
      </w:ins>
      <w:r>
        <w:t xml:space="preserve"> is — </w:t>
      </w:r>
    </w:p>
    <w:p>
      <w:pPr>
        <w:pStyle w:val="Indenta"/>
      </w:pPr>
      <w:r>
        <w:tab/>
        <w:t>(a)</w:t>
      </w:r>
      <w:r>
        <w:tab/>
        <w:t xml:space="preserve">to provide for safe access zones around premises at which abortions are provided so as to protect the safety and wellbeing, and respect the privacy and dignity, of — </w:t>
      </w:r>
    </w:p>
    <w:p>
      <w:pPr>
        <w:pStyle w:val="Indenti"/>
      </w:pPr>
      <w:r>
        <w:tab/>
        <w:t>(i)</w:t>
      </w:r>
      <w:r>
        <w:tab/>
        <w:t>persons accessing the services provided at those premises; and</w:t>
      </w:r>
    </w:p>
    <w:p>
      <w:pPr>
        <w:pStyle w:val="Indenti"/>
      </w:pPr>
      <w:r>
        <w:tab/>
        <w:t>(ii)</w:t>
      </w:r>
      <w:r>
        <w:tab/>
        <w:t>employees and other persons who need to access those premises in the course of their duties and responsibilities;</w:t>
      </w:r>
    </w:p>
    <w:p>
      <w:pPr>
        <w:pStyle w:val="Indenta"/>
      </w:pPr>
      <w:r>
        <w:tab/>
      </w:r>
      <w:r>
        <w:tab/>
        <w:t>and</w:t>
      </w:r>
    </w:p>
    <w:p>
      <w:pPr>
        <w:pStyle w:val="Indenta"/>
      </w:pPr>
      <w:r>
        <w:tab/>
        <w:t>(b)</w:t>
      </w:r>
      <w:r>
        <w:tab/>
        <w:t>to prohibit publication and distribution of certain recordings.</w:t>
      </w:r>
    </w:p>
    <w:p>
      <w:pPr>
        <w:pStyle w:val="Footnotesection"/>
      </w:pPr>
      <w:r>
        <w:tab/>
        <w:t>[Section 202N inserted: No. 9 of 2021 s. </w:t>
      </w:r>
      <w:del w:id="1140" w:author="Master Repository Process" w:date="2024-05-01T10:47:00Z">
        <w:r>
          <w:delText>4</w:delText>
        </w:r>
      </w:del>
      <w:ins w:id="1141" w:author="Master Repository Process" w:date="2024-05-01T10:47:00Z">
        <w:r>
          <w:t>4; amended: No. 20 of 2023 s. 10</w:t>
        </w:r>
      </w:ins>
      <w:r>
        <w:t>.]</w:t>
      </w:r>
    </w:p>
    <w:p>
      <w:pPr>
        <w:pStyle w:val="Heading5"/>
      </w:pPr>
      <w:bookmarkStart w:id="1142" w:name="_Toc165449348"/>
      <w:bookmarkStart w:id="1143" w:name="_Toc158981079"/>
      <w:r>
        <w:rPr>
          <w:rStyle w:val="CharSectno"/>
        </w:rPr>
        <w:t>202O</w:t>
      </w:r>
      <w:r>
        <w:t>.</w:t>
      </w:r>
      <w:r>
        <w:tab/>
        <w:t>Terms used</w:t>
      </w:r>
      <w:bookmarkEnd w:id="1142"/>
      <w:bookmarkEnd w:id="1143"/>
    </w:p>
    <w:p>
      <w:pPr>
        <w:pStyle w:val="Subsection"/>
      </w:pPr>
      <w:r>
        <w:tab/>
      </w:r>
      <w:r>
        <w:tab/>
        <w:t xml:space="preserve">In this </w:t>
      </w:r>
      <w:del w:id="1144" w:author="Master Repository Process" w:date="2024-05-01T10:47:00Z">
        <w:r>
          <w:delText>Part</w:delText>
        </w:r>
      </w:del>
      <w:ins w:id="1145" w:author="Master Repository Process" w:date="2024-05-01T10:47:00Z">
        <w:r>
          <w:t>Division</w:t>
        </w:r>
      </w:ins>
      <w:r>
        <w:t xml:space="preserve"> — </w:t>
      </w:r>
    </w:p>
    <w:p>
      <w:pPr>
        <w:pStyle w:val="Defstart"/>
      </w:pPr>
      <w:r>
        <w:tab/>
      </w:r>
      <w:r>
        <w:rPr>
          <w:rStyle w:val="CharDefText"/>
        </w:rPr>
        <w:t>distribute</w:t>
      </w:r>
      <w:r>
        <w:t xml:space="preserve"> includes — </w:t>
      </w:r>
    </w:p>
    <w:p>
      <w:pPr>
        <w:pStyle w:val="Defpara"/>
      </w:pPr>
      <w:r>
        <w:tab/>
        <w:t>(a)</w:t>
      </w:r>
      <w:r>
        <w:tab/>
        <w:t>communicate, exhibit, send, supply, offer or transmit, whether to a particular person or not; and</w:t>
      </w:r>
    </w:p>
    <w:p>
      <w:pPr>
        <w:pStyle w:val="Defpara"/>
      </w:pPr>
      <w:r>
        <w:tab/>
        <w:t>(b)</w:t>
      </w:r>
      <w:r>
        <w:tab/>
        <w:t>make available for access, whether by a particular person or not; and</w:t>
      </w:r>
    </w:p>
    <w:p>
      <w:pPr>
        <w:pStyle w:val="Defpara"/>
      </w:pPr>
      <w:r>
        <w:tab/>
        <w:t>(c)</w:t>
      </w:r>
      <w:r>
        <w:tab/>
        <w:t>enter into an agreement or arrangement to do anything referred to in paragraph (a) or (b); and</w:t>
      </w:r>
    </w:p>
    <w:p>
      <w:pPr>
        <w:pStyle w:val="Defpara"/>
      </w:pPr>
      <w:r>
        <w:tab/>
        <w:t>(d)</w:t>
      </w:r>
      <w:r>
        <w:tab/>
        <w:t>attempt to distribute;</w:t>
      </w:r>
    </w:p>
    <w:p>
      <w:pPr>
        <w:pStyle w:val="Defstart"/>
      </w:pPr>
      <w:r>
        <w:tab/>
      </w:r>
      <w:r>
        <w:rPr>
          <w:rStyle w:val="CharDefText"/>
        </w:rPr>
        <w:t>premises at which abortions are provided</w:t>
      </w:r>
      <w:r>
        <w:t xml:space="preserve"> does not include a registered pharmacy as defined in the </w:t>
      </w:r>
      <w:r>
        <w:rPr>
          <w:i/>
        </w:rPr>
        <w:t>Pharmacy Act 2010</w:t>
      </w:r>
      <w:r>
        <w:t xml:space="preserve"> section 3(1);</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book, newspaper, magazine or other written publication; and</w:t>
      </w:r>
    </w:p>
    <w:p>
      <w:pPr>
        <w:pStyle w:val="Defpara"/>
      </w:pPr>
      <w:r>
        <w:tab/>
        <w:t>(b)</w:t>
      </w:r>
      <w:r>
        <w:tab/>
        <w:t>by radio broadcast, television, a website, an online facility or other electronic means;</w:t>
      </w:r>
    </w:p>
    <w:p>
      <w:pPr>
        <w:pStyle w:val="Defstart"/>
      </w:pPr>
      <w:r>
        <w:tab/>
      </w:r>
      <w:r>
        <w:rPr>
          <w:rStyle w:val="CharDefText"/>
        </w:rPr>
        <w:t>recording</w:t>
      </w:r>
      <w:r>
        <w:t xml:space="preserve"> includes a photograph or digital image;</w:t>
      </w:r>
    </w:p>
    <w:p>
      <w:pPr>
        <w:pStyle w:val="Defstart"/>
      </w:pPr>
      <w:r>
        <w:tab/>
      </w:r>
      <w:r>
        <w:rPr>
          <w:rStyle w:val="CharDefText"/>
        </w:rPr>
        <w:t>safe access zone</w:t>
      </w:r>
      <w:r>
        <w:t xml:space="preserve"> means the area — </w:t>
      </w:r>
    </w:p>
    <w:p>
      <w:pPr>
        <w:pStyle w:val="Defpara"/>
      </w:pPr>
      <w:r>
        <w:tab/>
        <w:t>(a)</w:t>
      </w:r>
      <w:r>
        <w:tab/>
        <w:t>within the boundary of premises at which abortions are provided; and</w:t>
      </w:r>
    </w:p>
    <w:p>
      <w:pPr>
        <w:pStyle w:val="Defpara"/>
      </w:pPr>
      <w:r>
        <w:tab/>
        <w:t>(b)</w:t>
      </w:r>
      <w:r>
        <w:tab/>
        <w:t>within 150 m outside the boundary.</w:t>
      </w:r>
    </w:p>
    <w:p>
      <w:pPr>
        <w:pStyle w:val="Footnotesection"/>
      </w:pPr>
      <w:r>
        <w:tab/>
        <w:t>[Section 202O inserted: No. 9 of 2021 s. </w:t>
      </w:r>
      <w:del w:id="1146" w:author="Master Repository Process" w:date="2024-05-01T10:47:00Z">
        <w:r>
          <w:delText>4</w:delText>
        </w:r>
      </w:del>
      <w:ins w:id="1147" w:author="Master Repository Process" w:date="2024-05-01T10:47:00Z">
        <w:r>
          <w:t>4; amended: No. 20 of 2023 s. 11</w:t>
        </w:r>
      </w:ins>
      <w:r>
        <w:t>.]</w:t>
      </w:r>
    </w:p>
    <w:p>
      <w:pPr>
        <w:pStyle w:val="Heading5"/>
      </w:pPr>
      <w:bookmarkStart w:id="1148" w:name="_Toc165449349"/>
      <w:bookmarkStart w:id="1149" w:name="_Toc158981080"/>
      <w:r>
        <w:rPr>
          <w:rStyle w:val="CharSectno"/>
        </w:rPr>
        <w:t>202P</w:t>
      </w:r>
      <w:r>
        <w:t>.</w:t>
      </w:r>
      <w:r>
        <w:tab/>
        <w:t>Offence to engage in prohibited behaviour within safe access zone</w:t>
      </w:r>
      <w:bookmarkEnd w:id="1148"/>
      <w:bookmarkEnd w:id="1149"/>
    </w:p>
    <w:p>
      <w:pPr>
        <w:pStyle w:val="Subsection"/>
      </w:pPr>
      <w:r>
        <w:tab/>
        <w:t>(1)</w:t>
      </w:r>
      <w:r>
        <w:tab/>
        <w:t>A person must not engage in prohibited behaviour within a safe access zone.</w:t>
      </w:r>
    </w:p>
    <w:p>
      <w:pPr>
        <w:pStyle w:val="Penstart"/>
      </w:pPr>
      <w:r>
        <w:tab/>
        <w:t>Penalty for this subsection: imprisonment for 1 year and a fine of $12 000.</w:t>
      </w:r>
    </w:p>
    <w:p>
      <w:pPr>
        <w:pStyle w:val="Subsection"/>
      </w:pPr>
      <w:r>
        <w:tab/>
        <w:t>(2)</w:t>
      </w:r>
      <w:r>
        <w:tab/>
        <w:t xml:space="preserve">For the purposes of subsection (1), a person engages in prohibited behaviour if the person — </w:t>
      </w:r>
    </w:p>
    <w:p>
      <w:pPr>
        <w:pStyle w:val="Indenta"/>
      </w:pPr>
      <w:r>
        <w:tab/>
        <w:t>(a)</w:t>
      </w:r>
      <w:r>
        <w:tab/>
        <w:t>besets, harasses, intimidates, interferes with, threatens, hinders, obstructs or impedes a person accessing, attempting to access or leaving premises at which abortions are provided; or</w:t>
      </w:r>
    </w:p>
    <w:p>
      <w:pPr>
        <w:pStyle w:val="Indenta"/>
        <w:keepNext/>
      </w:pPr>
      <w:r>
        <w:tab/>
        <w:t>(b)</w:t>
      </w:r>
      <w:r>
        <w:tab/>
        <w:t xml:space="preserve">subject to subsection (3), communicates by any means in relation to abortion in a manner that is — </w:t>
      </w:r>
    </w:p>
    <w:p>
      <w:pPr>
        <w:pStyle w:val="Indenti"/>
      </w:pPr>
      <w:r>
        <w:tab/>
        <w:t>(i)</w:t>
      </w:r>
      <w:r>
        <w:tab/>
        <w:t>able to be seen or heard by a person accessing, attempting to access or leaving premises at which abortions are provided; and</w:t>
      </w:r>
    </w:p>
    <w:p>
      <w:pPr>
        <w:pStyle w:val="Indenti"/>
      </w:pPr>
      <w:r>
        <w:tab/>
        <w:t>(ii)</w:t>
      </w:r>
      <w:r>
        <w:tab/>
        <w:t>reasonably likely to cause distress or anxiety;</w:t>
      </w:r>
    </w:p>
    <w:p>
      <w:pPr>
        <w:pStyle w:val="Indenta"/>
      </w:pPr>
      <w:r>
        <w:tab/>
      </w:r>
      <w:r>
        <w:tab/>
        <w:t>or</w:t>
      </w:r>
    </w:p>
    <w:p>
      <w:pPr>
        <w:pStyle w:val="Indenta"/>
      </w:pPr>
      <w:r>
        <w:tab/>
        <w:t>(c)</w:t>
      </w:r>
      <w:r>
        <w:tab/>
        <w:t>without reasonable excuse, interferes with or impedes a footpath, road or vehicle in relation to abortion; or</w:t>
      </w:r>
    </w:p>
    <w:p>
      <w:pPr>
        <w:pStyle w:val="Indenta"/>
      </w:pPr>
      <w:r>
        <w:tab/>
        <w:t>(d)</w:t>
      </w:r>
      <w:r>
        <w:tab/>
        <w:t>without reasonable excuse, makes a recording by any means of another person accessing, attempting to access or leaving premises at which abortions are provided, without the other person’s consent; or</w:t>
      </w:r>
    </w:p>
    <w:p>
      <w:pPr>
        <w:pStyle w:val="Indenta"/>
      </w:pPr>
      <w:r>
        <w:tab/>
        <w:t>(e)</w:t>
      </w:r>
      <w:r>
        <w:tab/>
        <w:t>engages in any other behaviour prescribed by the regulations for the purposes of this paragraph.</w:t>
      </w:r>
    </w:p>
    <w:p>
      <w:pPr>
        <w:pStyle w:val="Subsection"/>
      </w:pPr>
      <w:r>
        <w:tab/>
        <w:t>(3)</w:t>
      </w:r>
      <w:r>
        <w:tab/>
        <w:t>Subsection (2)(b) does not apply if the person communicating in relation to abortion is an employee or other person who provides services at the premises.</w:t>
      </w:r>
    </w:p>
    <w:p>
      <w:pPr>
        <w:pStyle w:val="Footnotesection"/>
      </w:pPr>
      <w:r>
        <w:tab/>
        <w:t>[Section 202P inserted: No. 9 of 2021 s. 4.]</w:t>
      </w:r>
    </w:p>
    <w:p>
      <w:pPr>
        <w:pStyle w:val="Heading5"/>
      </w:pPr>
      <w:bookmarkStart w:id="1150" w:name="_Toc165449350"/>
      <w:bookmarkStart w:id="1151" w:name="_Toc158981081"/>
      <w:r>
        <w:rPr>
          <w:rStyle w:val="CharSectno"/>
        </w:rPr>
        <w:t>202Q</w:t>
      </w:r>
      <w:r>
        <w:t>.</w:t>
      </w:r>
      <w:r>
        <w:tab/>
        <w:t>Offence to publish or distribute recording</w:t>
      </w:r>
      <w:bookmarkEnd w:id="1150"/>
      <w:bookmarkEnd w:id="1151"/>
    </w:p>
    <w:p>
      <w:pPr>
        <w:pStyle w:val="Subsection"/>
      </w:pPr>
      <w:r>
        <w:tab/>
      </w:r>
      <w:r>
        <w:tab/>
        <w:t xml:space="preserve">A person must not, without consent of another person or without reasonable excuse, publish or distribute a recording of the other person accessing, attempting to access or leaving premises at which abortions are provided, if the recording contains particulars that are likely to lead to the identification of — </w:t>
      </w:r>
    </w:p>
    <w:p>
      <w:pPr>
        <w:pStyle w:val="Indenta"/>
      </w:pPr>
      <w:r>
        <w:tab/>
        <w:t>(a)</w:t>
      </w:r>
      <w:r>
        <w:tab/>
        <w:t>the other person; and</w:t>
      </w:r>
    </w:p>
    <w:p>
      <w:pPr>
        <w:pStyle w:val="Indenta"/>
      </w:pPr>
      <w:r>
        <w:tab/>
        <w:t>(b)</w:t>
      </w:r>
      <w:r>
        <w:tab/>
        <w:t>the other person as a person accessing premises at which abortions are provided.</w:t>
      </w:r>
    </w:p>
    <w:p>
      <w:pPr>
        <w:pStyle w:val="Penstart"/>
      </w:pPr>
      <w:r>
        <w:tab/>
        <w:t>Penalty: imprisonment for 1 year and a fine of $12 000.</w:t>
      </w:r>
    </w:p>
    <w:p>
      <w:pPr>
        <w:pStyle w:val="Footnotesection"/>
      </w:pPr>
      <w:r>
        <w:tab/>
        <w:t>[Section 202Q inserted: No. 9 of 2021 s. 4.]</w:t>
      </w:r>
    </w:p>
    <w:p>
      <w:pPr>
        <w:pStyle w:val="Heading2"/>
      </w:pPr>
      <w:bookmarkStart w:id="1152" w:name="_Toc165383894"/>
      <w:bookmarkStart w:id="1153" w:name="_Toc165385005"/>
      <w:bookmarkStart w:id="1154" w:name="_Toc165449351"/>
      <w:bookmarkStart w:id="1155" w:name="_Toc158974671"/>
      <w:bookmarkStart w:id="1156" w:name="_Toc158975002"/>
      <w:bookmarkStart w:id="1157" w:name="_Toc158981082"/>
      <w:r>
        <w:rPr>
          <w:rStyle w:val="CharPartNo"/>
        </w:rPr>
        <w:t>Part 13</w:t>
      </w:r>
      <w:r>
        <w:t> — </w:t>
      </w:r>
      <w:r>
        <w:rPr>
          <w:rStyle w:val="CharPartText"/>
        </w:rPr>
        <w:t>Compensation and insurance</w:t>
      </w:r>
      <w:bookmarkEnd w:id="1152"/>
      <w:bookmarkEnd w:id="1153"/>
      <w:bookmarkEnd w:id="1154"/>
      <w:bookmarkEnd w:id="1155"/>
      <w:bookmarkEnd w:id="1156"/>
      <w:bookmarkEnd w:id="1157"/>
    </w:p>
    <w:p>
      <w:pPr>
        <w:pStyle w:val="Heading3"/>
      </w:pPr>
      <w:bookmarkStart w:id="1158" w:name="_Toc165383895"/>
      <w:bookmarkStart w:id="1159" w:name="_Toc165385006"/>
      <w:bookmarkStart w:id="1160" w:name="_Toc165449352"/>
      <w:bookmarkStart w:id="1161" w:name="_Toc158974672"/>
      <w:bookmarkStart w:id="1162" w:name="_Toc158975003"/>
      <w:bookmarkStart w:id="1163" w:name="_Toc158981083"/>
      <w:r>
        <w:rPr>
          <w:rStyle w:val="CharDivNo"/>
        </w:rPr>
        <w:t>Division 1</w:t>
      </w:r>
      <w:r>
        <w:t> — </w:t>
      </w:r>
      <w:r>
        <w:rPr>
          <w:rStyle w:val="CharDivText"/>
        </w:rPr>
        <w:t>Compensation</w:t>
      </w:r>
      <w:bookmarkEnd w:id="1158"/>
      <w:bookmarkEnd w:id="1159"/>
      <w:bookmarkEnd w:id="1160"/>
      <w:bookmarkEnd w:id="1161"/>
      <w:bookmarkEnd w:id="1162"/>
      <w:bookmarkEnd w:id="1163"/>
    </w:p>
    <w:p>
      <w:pPr>
        <w:pStyle w:val="Heading5"/>
      </w:pPr>
      <w:bookmarkStart w:id="1164" w:name="_Toc165449353"/>
      <w:bookmarkStart w:id="1165" w:name="_Toc158981084"/>
      <w:r>
        <w:rPr>
          <w:rStyle w:val="CharSectno"/>
        </w:rPr>
        <w:t>203</w:t>
      </w:r>
      <w:r>
        <w:t>.</w:t>
      </w:r>
      <w:r>
        <w:tab/>
        <w:t>Entitlement to compensation</w:t>
      </w:r>
      <w:bookmarkEnd w:id="1164"/>
      <w:bookmarkEnd w:id="1165"/>
    </w:p>
    <w:p>
      <w:pPr>
        <w:pStyle w:val="Subsection"/>
      </w:pPr>
      <w:r>
        <w:tab/>
        <w:t>(1)</w:t>
      </w:r>
      <w:r>
        <w:tab/>
        <w:t>Subject to this Division, a person who suffers loss or damage because of the exercise, or purported exercise, of a power under section 157(1)(h), 182 or 190(1)(f) or (g) is entitled to be paid just and reasonable compensation for the loss or damage.</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203 amended: No. 33 of 2020 s. 15.]</w:t>
      </w:r>
    </w:p>
    <w:p>
      <w:pPr>
        <w:pStyle w:val="Heading5"/>
      </w:pPr>
      <w:bookmarkStart w:id="1166" w:name="_Toc165449354"/>
      <w:bookmarkStart w:id="1167" w:name="_Toc158981085"/>
      <w:r>
        <w:rPr>
          <w:rStyle w:val="CharSectno"/>
        </w:rPr>
        <w:t>204</w:t>
      </w:r>
      <w:r>
        <w:t>.</w:t>
      </w:r>
      <w:r>
        <w:tab/>
        <w:t>Applying for compensation</w:t>
      </w:r>
      <w:bookmarkEnd w:id="1166"/>
      <w:bookmarkEnd w:id="1167"/>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1168" w:name="_Toc165449355"/>
      <w:bookmarkStart w:id="1169" w:name="_Toc158981086"/>
      <w:r>
        <w:rPr>
          <w:rStyle w:val="CharSectno"/>
        </w:rPr>
        <w:t>205</w:t>
      </w:r>
      <w:r>
        <w:t>.</w:t>
      </w:r>
      <w:r>
        <w:tab/>
        <w:t>Lapsing of application</w:t>
      </w:r>
      <w:bookmarkEnd w:id="1168"/>
      <w:bookmarkEnd w:id="1169"/>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1170" w:name="_Toc165449356"/>
      <w:bookmarkStart w:id="1171" w:name="_Toc158981087"/>
      <w:r>
        <w:rPr>
          <w:rStyle w:val="CharSectno"/>
        </w:rPr>
        <w:t>206</w:t>
      </w:r>
      <w:r>
        <w:t>.</w:t>
      </w:r>
      <w:r>
        <w:tab/>
        <w:t>Notice of decision</w:t>
      </w:r>
      <w:bookmarkEnd w:id="1170"/>
      <w:bookmarkEnd w:id="1171"/>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1172" w:name="_Toc165449357"/>
      <w:bookmarkStart w:id="1173" w:name="_Toc158981088"/>
      <w:r>
        <w:rPr>
          <w:rStyle w:val="CharSectno"/>
        </w:rPr>
        <w:t>207</w:t>
      </w:r>
      <w:r>
        <w:t>.</w:t>
      </w:r>
      <w:r>
        <w:tab/>
        <w:t>Review of decision as to payment of compensation</w:t>
      </w:r>
      <w:bookmarkEnd w:id="1172"/>
      <w:bookmarkEnd w:id="1173"/>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1174" w:name="_Toc165449358"/>
      <w:bookmarkStart w:id="1175" w:name="_Toc158981089"/>
      <w:r>
        <w:rPr>
          <w:rStyle w:val="CharSectno"/>
        </w:rPr>
        <w:t>208</w:t>
      </w:r>
      <w:r>
        <w:t>.</w:t>
      </w:r>
      <w:r>
        <w:tab/>
        <w:t>False compensation claim</w:t>
      </w:r>
      <w:bookmarkEnd w:id="1174"/>
      <w:bookmarkEnd w:id="1175"/>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1176" w:name="_Toc165383902"/>
      <w:bookmarkStart w:id="1177" w:name="_Toc165385013"/>
      <w:bookmarkStart w:id="1178" w:name="_Toc165449359"/>
      <w:bookmarkStart w:id="1179" w:name="_Toc158974679"/>
      <w:bookmarkStart w:id="1180" w:name="_Toc158975010"/>
      <w:bookmarkStart w:id="1181" w:name="_Toc158981090"/>
      <w:r>
        <w:rPr>
          <w:rStyle w:val="CharDivNo"/>
        </w:rPr>
        <w:t>Division 2</w:t>
      </w:r>
      <w:r>
        <w:t> — </w:t>
      </w:r>
      <w:r>
        <w:rPr>
          <w:rStyle w:val="CharDivText"/>
        </w:rPr>
        <w:t>Insurance</w:t>
      </w:r>
      <w:bookmarkEnd w:id="1176"/>
      <w:bookmarkEnd w:id="1177"/>
      <w:bookmarkEnd w:id="1178"/>
      <w:bookmarkEnd w:id="1179"/>
      <w:bookmarkEnd w:id="1180"/>
      <w:bookmarkEnd w:id="1181"/>
    </w:p>
    <w:p>
      <w:pPr>
        <w:pStyle w:val="Heading5"/>
      </w:pPr>
      <w:bookmarkStart w:id="1182" w:name="_Toc165449360"/>
      <w:bookmarkStart w:id="1183" w:name="_Toc158981091"/>
      <w:r>
        <w:rPr>
          <w:rStyle w:val="CharSectno"/>
        </w:rPr>
        <w:t>209</w:t>
      </w:r>
      <w:r>
        <w:t>.</w:t>
      </w:r>
      <w:r>
        <w:tab/>
        <w:t>Extension of policy of insurance</w:t>
      </w:r>
      <w:bookmarkEnd w:id="1182"/>
      <w:bookmarkEnd w:id="1183"/>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spacing w:before="60"/>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1184" w:name="_Toc165383904"/>
      <w:bookmarkStart w:id="1185" w:name="_Toc165385015"/>
      <w:bookmarkStart w:id="1186" w:name="_Toc165449361"/>
      <w:bookmarkStart w:id="1187" w:name="_Toc158974681"/>
      <w:bookmarkStart w:id="1188" w:name="_Toc158975012"/>
      <w:bookmarkStart w:id="1189" w:name="_Toc158981092"/>
      <w:r>
        <w:rPr>
          <w:rStyle w:val="CharPartNo"/>
        </w:rPr>
        <w:t>Part 15</w:t>
      </w:r>
      <w:r>
        <w:rPr>
          <w:rStyle w:val="CharDivNo"/>
        </w:rPr>
        <w:t> </w:t>
      </w:r>
      <w:r>
        <w:t>—</w:t>
      </w:r>
      <w:r>
        <w:rPr>
          <w:rStyle w:val="CharDivText"/>
        </w:rPr>
        <w:t> </w:t>
      </w:r>
      <w:r>
        <w:rPr>
          <w:rStyle w:val="CharPartText"/>
        </w:rPr>
        <w:t>Inquiries</w:t>
      </w:r>
      <w:bookmarkEnd w:id="1184"/>
      <w:bookmarkEnd w:id="1185"/>
      <w:bookmarkEnd w:id="1186"/>
      <w:bookmarkEnd w:id="1187"/>
      <w:bookmarkEnd w:id="1188"/>
      <w:bookmarkEnd w:id="1189"/>
    </w:p>
    <w:p>
      <w:pPr>
        <w:pStyle w:val="Heading5"/>
      </w:pPr>
      <w:bookmarkStart w:id="1190" w:name="_Toc165449362"/>
      <w:bookmarkStart w:id="1191" w:name="_Toc158981093"/>
      <w:r>
        <w:rPr>
          <w:rStyle w:val="CharSectno"/>
        </w:rPr>
        <w:t>227</w:t>
      </w:r>
      <w:r>
        <w:t>.</w:t>
      </w:r>
      <w:r>
        <w:tab/>
        <w:t>Terms used</w:t>
      </w:r>
      <w:bookmarkEnd w:id="1190"/>
      <w:bookmarkEnd w:id="1191"/>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1192" w:name="_Toc165449363"/>
      <w:bookmarkStart w:id="1193" w:name="_Toc158981094"/>
      <w:r>
        <w:rPr>
          <w:rStyle w:val="CharSectno"/>
        </w:rPr>
        <w:t>228</w:t>
      </w:r>
      <w:r>
        <w:t>.</w:t>
      </w:r>
      <w:r>
        <w:tab/>
        <w:t>Chief Health Officer may conduct inquiry</w:t>
      </w:r>
      <w:bookmarkEnd w:id="1192"/>
      <w:bookmarkEnd w:id="1193"/>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1194" w:name="_Toc165449364"/>
      <w:bookmarkStart w:id="1195" w:name="_Toc158981095"/>
      <w:r>
        <w:rPr>
          <w:rStyle w:val="CharSectno"/>
        </w:rPr>
        <w:t>229</w:t>
      </w:r>
      <w:r>
        <w:t>.</w:t>
      </w:r>
      <w:r>
        <w:tab/>
        <w:t>Preliminary matters</w:t>
      </w:r>
      <w:bookmarkEnd w:id="1194"/>
      <w:bookmarkEnd w:id="1195"/>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1196" w:name="_Toc165449365"/>
      <w:bookmarkStart w:id="1197" w:name="_Toc158981096"/>
      <w:r>
        <w:rPr>
          <w:rStyle w:val="CharSectno"/>
        </w:rPr>
        <w:t>230</w:t>
      </w:r>
      <w:r>
        <w:t>.</w:t>
      </w:r>
      <w:r>
        <w:tab/>
        <w:t>Procedure</w:t>
      </w:r>
      <w:bookmarkEnd w:id="1196"/>
      <w:bookmarkEnd w:id="1197"/>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1198" w:name="_Toc165449366"/>
      <w:bookmarkStart w:id="1199" w:name="_Toc158981097"/>
      <w:r>
        <w:rPr>
          <w:rStyle w:val="CharSectno"/>
        </w:rPr>
        <w:t>231</w:t>
      </w:r>
      <w:r>
        <w:t>.</w:t>
      </w:r>
      <w:r>
        <w:tab/>
        <w:t>Hearings</w:t>
      </w:r>
      <w:bookmarkEnd w:id="1198"/>
      <w:bookmarkEnd w:id="1199"/>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1200" w:name="_Toc165449367"/>
      <w:bookmarkStart w:id="1201" w:name="_Toc158981098"/>
      <w:r>
        <w:rPr>
          <w:rStyle w:val="CharSectno"/>
        </w:rPr>
        <w:t>232</w:t>
      </w:r>
      <w:r>
        <w:t>.</w:t>
      </w:r>
      <w:r>
        <w:tab/>
        <w:t>Inquirer’s powers in relation to inquiry</w:t>
      </w:r>
      <w:bookmarkEnd w:id="1200"/>
      <w:bookmarkEnd w:id="1201"/>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1202" w:name="_Toc165449368"/>
      <w:bookmarkStart w:id="1203" w:name="_Toc158981099"/>
      <w:r>
        <w:rPr>
          <w:rStyle w:val="CharSectno"/>
        </w:rPr>
        <w:t>233</w:t>
      </w:r>
      <w:r>
        <w:t>.</w:t>
      </w:r>
      <w:r>
        <w:tab/>
        <w:t>Failure to comply with requirements of notice</w:t>
      </w:r>
      <w:bookmarkEnd w:id="1202"/>
      <w:bookmarkEnd w:id="1203"/>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1204" w:name="_Toc165449369"/>
      <w:bookmarkStart w:id="1205" w:name="_Toc158981100"/>
      <w:r>
        <w:rPr>
          <w:rStyle w:val="CharSectno"/>
        </w:rPr>
        <w:t>234</w:t>
      </w:r>
      <w:r>
        <w:t>.</w:t>
      </w:r>
      <w:r>
        <w:tab/>
        <w:t>Incriminating answers or documents</w:t>
      </w:r>
      <w:bookmarkEnd w:id="1204"/>
      <w:bookmarkEnd w:id="1205"/>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1206" w:name="_Toc165449370"/>
      <w:bookmarkStart w:id="1207" w:name="_Toc158981101"/>
      <w:r>
        <w:rPr>
          <w:rStyle w:val="CharSectno"/>
        </w:rPr>
        <w:t>235</w:t>
      </w:r>
      <w:r>
        <w:t>.</w:t>
      </w:r>
      <w:r>
        <w:tab/>
        <w:t>Disruption of inquiry</w:t>
      </w:r>
      <w:bookmarkEnd w:id="1206"/>
      <w:bookmarkEnd w:id="1207"/>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1208" w:name="_Toc165449371"/>
      <w:bookmarkStart w:id="1209" w:name="_Toc158981102"/>
      <w:r>
        <w:rPr>
          <w:rStyle w:val="CharSectno"/>
        </w:rPr>
        <w:t>236</w:t>
      </w:r>
      <w:r>
        <w:t>.</w:t>
      </w:r>
      <w:r>
        <w:tab/>
        <w:t>False information</w:t>
      </w:r>
      <w:bookmarkEnd w:id="1208"/>
      <w:bookmarkEnd w:id="1209"/>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1210" w:name="_Toc165449372"/>
      <w:bookmarkStart w:id="1211" w:name="_Toc158981103"/>
      <w:r>
        <w:rPr>
          <w:rStyle w:val="CharSectno"/>
        </w:rPr>
        <w:t>237</w:t>
      </w:r>
      <w:r>
        <w:t>.</w:t>
      </w:r>
      <w:r>
        <w:tab/>
        <w:t>Protection for certain purposes</w:t>
      </w:r>
      <w:bookmarkEnd w:id="1210"/>
      <w:bookmarkEnd w:id="1211"/>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1212" w:name="_Toc165449373"/>
      <w:bookmarkStart w:id="1213" w:name="_Toc158981104"/>
      <w:r>
        <w:rPr>
          <w:rStyle w:val="CharSectno"/>
        </w:rPr>
        <w:t>238</w:t>
      </w:r>
      <w:r>
        <w:t>.</w:t>
      </w:r>
      <w:r>
        <w:tab/>
        <w:t>Reports</w:t>
      </w:r>
      <w:bookmarkEnd w:id="1212"/>
      <w:bookmarkEnd w:id="1213"/>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1214" w:name="_Toc165383917"/>
      <w:bookmarkStart w:id="1215" w:name="_Toc165385028"/>
      <w:bookmarkStart w:id="1216" w:name="_Toc165449374"/>
      <w:bookmarkStart w:id="1217" w:name="_Toc158974694"/>
      <w:bookmarkStart w:id="1218" w:name="_Toc158975025"/>
      <w:bookmarkStart w:id="1219" w:name="_Toc158981105"/>
      <w:r>
        <w:rPr>
          <w:rStyle w:val="CharPartNo"/>
        </w:rPr>
        <w:t>Part 16</w:t>
      </w:r>
      <w:r>
        <w:t> — </w:t>
      </w:r>
      <w:r>
        <w:rPr>
          <w:rStyle w:val="CharPartText"/>
        </w:rPr>
        <w:t>Powers of entry, inspection and seizure</w:t>
      </w:r>
      <w:bookmarkEnd w:id="1214"/>
      <w:bookmarkEnd w:id="1215"/>
      <w:bookmarkEnd w:id="1216"/>
      <w:bookmarkEnd w:id="1217"/>
      <w:bookmarkEnd w:id="1218"/>
      <w:bookmarkEnd w:id="1219"/>
    </w:p>
    <w:p>
      <w:pPr>
        <w:pStyle w:val="Heading3"/>
      </w:pPr>
      <w:bookmarkStart w:id="1220" w:name="_Toc165383918"/>
      <w:bookmarkStart w:id="1221" w:name="_Toc165385029"/>
      <w:bookmarkStart w:id="1222" w:name="_Toc165449375"/>
      <w:bookmarkStart w:id="1223" w:name="_Toc158974695"/>
      <w:bookmarkStart w:id="1224" w:name="_Toc158975026"/>
      <w:bookmarkStart w:id="1225" w:name="_Toc158981106"/>
      <w:r>
        <w:rPr>
          <w:rStyle w:val="CharDivNo"/>
        </w:rPr>
        <w:t>Division 1</w:t>
      </w:r>
      <w:r>
        <w:t> — </w:t>
      </w:r>
      <w:r>
        <w:rPr>
          <w:rStyle w:val="CharDivText"/>
        </w:rPr>
        <w:t>Entry, inspection and seizure</w:t>
      </w:r>
      <w:bookmarkEnd w:id="1220"/>
      <w:bookmarkEnd w:id="1221"/>
      <w:bookmarkEnd w:id="1222"/>
      <w:bookmarkEnd w:id="1223"/>
      <w:bookmarkEnd w:id="1224"/>
      <w:bookmarkEnd w:id="1225"/>
    </w:p>
    <w:p>
      <w:pPr>
        <w:pStyle w:val="Heading5"/>
      </w:pPr>
      <w:bookmarkStart w:id="1226" w:name="_Toc165449376"/>
      <w:bookmarkStart w:id="1227" w:name="_Toc158981107"/>
      <w:r>
        <w:rPr>
          <w:rStyle w:val="CharSectno"/>
        </w:rPr>
        <w:t>239</w:t>
      </w:r>
      <w:r>
        <w:t>.</w:t>
      </w:r>
      <w:r>
        <w:tab/>
        <w:t>Term used: reasonably suspects</w:t>
      </w:r>
      <w:bookmarkEnd w:id="1226"/>
      <w:bookmarkEnd w:id="1227"/>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1228" w:name="_Toc165449377"/>
      <w:bookmarkStart w:id="1229" w:name="_Toc158981108"/>
      <w:r>
        <w:rPr>
          <w:rStyle w:val="CharSectno"/>
        </w:rPr>
        <w:t>240</w:t>
      </w:r>
      <w:r>
        <w:t>.</w:t>
      </w:r>
      <w:r>
        <w:tab/>
        <w:t>Powers of authorised officers</w:t>
      </w:r>
      <w:bookmarkEnd w:id="1228"/>
      <w:bookmarkEnd w:id="1229"/>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1230" w:name="_Toc165449378"/>
      <w:bookmarkStart w:id="1231" w:name="_Toc158981109"/>
      <w:r>
        <w:rPr>
          <w:rStyle w:val="CharSectno"/>
        </w:rPr>
        <w:t>241</w:t>
      </w:r>
      <w:r>
        <w:t>.</w:t>
      </w:r>
      <w:r>
        <w:tab/>
        <w:t>Stopping of vehicles</w:t>
      </w:r>
      <w:bookmarkEnd w:id="1230"/>
      <w:bookmarkEnd w:id="1231"/>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1232" w:name="_Toc165449379"/>
      <w:bookmarkStart w:id="1233" w:name="_Toc158981110"/>
      <w:r>
        <w:rPr>
          <w:rStyle w:val="CharSectno"/>
        </w:rPr>
        <w:t>242</w:t>
      </w:r>
      <w:r>
        <w:t>.</w:t>
      </w:r>
      <w:r>
        <w:tab/>
        <w:t>Incriminating information or answers</w:t>
      </w:r>
      <w:bookmarkEnd w:id="1232"/>
      <w:bookmarkEnd w:id="1233"/>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1234" w:name="_Toc165449380"/>
      <w:bookmarkStart w:id="1235" w:name="_Toc158981111"/>
      <w:r>
        <w:rPr>
          <w:rStyle w:val="CharSectno"/>
        </w:rPr>
        <w:t>243</w:t>
      </w:r>
      <w:r>
        <w:t>.</w:t>
      </w:r>
      <w:r>
        <w:tab/>
        <w:t>Liability for complying with requirement to provide information, answer question or produce document or thing</w:t>
      </w:r>
      <w:bookmarkEnd w:id="1234"/>
      <w:bookmarkEnd w:id="1235"/>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1236" w:name="_Toc165449381"/>
      <w:bookmarkStart w:id="1237" w:name="_Toc158981112"/>
      <w:r>
        <w:rPr>
          <w:rStyle w:val="CharSectno"/>
        </w:rPr>
        <w:t>244</w:t>
      </w:r>
      <w:r>
        <w:t>.</w:t>
      </w:r>
      <w:r>
        <w:tab/>
        <w:t>Power of seizure</w:t>
      </w:r>
      <w:bookmarkEnd w:id="1236"/>
      <w:bookmarkEnd w:id="1237"/>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1238" w:name="_Toc165449382"/>
      <w:bookmarkStart w:id="1239" w:name="_Toc158981113"/>
      <w:r>
        <w:rPr>
          <w:rStyle w:val="CharSectno"/>
        </w:rPr>
        <w:t>245</w:t>
      </w:r>
      <w:r>
        <w:t>.</w:t>
      </w:r>
      <w:r>
        <w:tab/>
        <w:t xml:space="preserve">Application of </w:t>
      </w:r>
      <w:r>
        <w:rPr>
          <w:i/>
          <w:iCs/>
        </w:rPr>
        <w:t>Criminal Investigation Act 2006</w:t>
      </w:r>
      <w:bookmarkEnd w:id="1238"/>
      <w:bookmarkEnd w:id="1239"/>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1240" w:name="_Toc165449383"/>
      <w:bookmarkStart w:id="1241" w:name="_Toc158981114"/>
      <w:r>
        <w:rPr>
          <w:rStyle w:val="CharSectno"/>
        </w:rPr>
        <w:t>246</w:t>
      </w:r>
      <w:r>
        <w:t>.</w:t>
      </w:r>
      <w:r>
        <w:tab/>
        <w:t>Application for warrant to enter premises</w:t>
      </w:r>
      <w:bookmarkEnd w:id="1240"/>
      <w:bookmarkEnd w:id="1241"/>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1242" w:name="_Toc165449384"/>
      <w:bookmarkStart w:id="1243" w:name="_Toc158981115"/>
      <w:r>
        <w:rPr>
          <w:rStyle w:val="CharSectno"/>
        </w:rPr>
        <w:t>247</w:t>
      </w:r>
      <w:r>
        <w:t>.</w:t>
      </w:r>
      <w:r>
        <w:tab/>
        <w:t>How application made</w:t>
      </w:r>
      <w:bookmarkEnd w:id="1242"/>
      <w:bookmarkEnd w:id="1243"/>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1244" w:name="_Toc165449385"/>
      <w:bookmarkStart w:id="1245" w:name="_Toc158981116"/>
      <w:r>
        <w:rPr>
          <w:rStyle w:val="CharSectno"/>
        </w:rPr>
        <w:t>248</w:t>
      </w:r>
      <w:r>
        <w:t>.</w:t>
      </w:r>
      <w:r>
        <w:tab/>
        <w:t>Further provisions relating to application for warrant</w:t>
      </w:r>
      <w:bookmarkEnd w:id="1244"/>
      <w:bookmarkEnd w:id="1245"/>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1246" w:name="_Toc165449386"/>
      <w:bookmarkStart w:id="1247" w:name="_Toc158981117"/>
      <w:r>
        <w:rPr>
          <w:rStyle w:val="CharSectno"/>
        </w:rPr>
        <w:t>249</w:t>
      </w:r>
      <w:r>
        <w:t>.</w:t>
      </w:r>
      <w:r>
        <w:tab/>
        <w:t>Issue of warrant</w:t>
      </w:r>
      <w:bookmarkEnd w:id="1246"/>
      <w:bookmarkEnd w:id="1247"/>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1248" w:name="_Toc165449387"/>
      <w:bookmarkStart w:id="1249" w:name="_Toc158981118"/>
      <w:r>
        <w:rPr>
          <w:rStyle w:val="CharSectno"/>
        </w:rPr>
        <w:t>250</w:t>
      </w:r>
      <w:r>
        <w:t>.</w:t>
      </w:r>
      <w:r>
        <w:tab/>
        <w:t>Duration of warrant</w:t>
      </w:r>
      <w:bookmarkEnd w:id="1248"/>
      <w:bookmarkEnd w:id="1249"/>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1250" w:name="_Toc165449388"/>
      <w:bookmarkStart w:id="1251" w:name="_Toc158981119"/>
      <w:r>
        <w:rPr>
          <w:rStyle w:val="CharSectno"/>
        </w:rPr>
        <w:t>251</w:t>
      </w:r>
      <w:r>
        <w:t>.</w:t>
      </w:r>
      <w:r>
        <w:tab/>
        <w:t>Execution of warrant</w:t>
      </w:r>
      <w:bookmarkEnd w:id="1250"/>
      <w:bookmarkEnd w:id="1251"/>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1252" w:name="_Toc165449389"/>
      <w:bookmarkStart w:id="1253" w:name="_Toc158981120"/>
      <w:r>
        <w:rPr>
          <w:rStyle w:val="CharSectno"/>
        </w:rPr>
        <w:t>252</w:t>
      </w:r>
      <w:r>
        <w:t>.</w:t>
      </w:r>
      <w:r>
        <w:tab/>
        <w:t>Use of force</w:t>
      </w:r>
      <w:bookmarkEnd w:id="1252"/>
      <w:bookmarkEnd w:id="1253"/>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1254" w:name="_Toc165449390"/>
      <w:bookmarkStart w:id="1255" w:name="_Toc158981121"/>
      <w:r>
        <w:rPr>
          <w:rStyle w:val="CharSectno"/>
        </w:rPr>
        <w:t>253</w:t>
      </w:r>
      <w:r>
        <w:t>.</w:t>
      </w:r>
      <w:r>
        <w:tab/>
        <w:t>Failure to comply with requirements of authorised officers</w:t>
      </w:r>
      <w:bookmarkEnd w:id="1254"/>
      <w:bookmarkEnd w:id="1255"/>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56" w:name="_Toc165449391"/>
      <w:bookmarkStart w:id="1257" w:name="_Toc158981122"/>
      <w:r>
        <w:rPr>
          <w:rStyle w:val="CharSectno"/>
        </w:rPr>
        <w:t>254</w:t>
      </w:r>
      <w:r>
        <w:t>.</w:t>
      </w:r>
      <w:r>
        <w:tab/>
        <w:t>False or misleading information</w:t>
      </w:r>
      <w:bookmarkEnd w:id="1256"/>
      <w:bookmarkEnd w:id="1257"/>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1258" w:name="_Toc165449392"/>
      <w:bookmarkStart w:id="1259" w:name="_Toc158981123"/>
      <w:r>
        <w:rPr>
          <w:rStyle w:val="CharSectno"/>
        </w:rPr>
        <w:t>255</w:t>
      </w:r>
      <w:r>
        <w:t>.</w:t>
      </w:r>
      <w:r>
        <w:tab/>
        <w:t>Obstructing, impersonating or threatening authorised officers</w:t>
      </w:r>
      <w:bookmarkEnd w:id="1258"/>
      <w:bookmarkEnd w:id="1259"/>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1260" w:name="_Toc165383936"/>
      <w:bookmarkStart w:id="1261" w:name="_Toc165385047"/>
      <w:bookmarkStart w:id="1262" w:name="_Toc165449393"/>
      <w:bookmarkStart w:id="1263" w:name="_Toc158974713"/>
      <w:bookmarkStart w:id="1264" w:name="_Toc158975044"/>
      <w:bookmarkStart w:id="1265" w:name="_Toc158981124"/>
      <w:r>
        <w:rPr>
          <w:rStyle w:val="CharDivNo"/>
        </w:rPr>
        <w:t>Division 2</w:t>
      </w:r>
      <w:r>
        <w:t> — </w:t>
      </w:r>
      <w:r>
        <w:rPr>
          <w:rStyle w:val="CharDivText"/>
        </w:rPr>
        <w:t>Items seized by authorised officers</w:t>
      </w:r>
      <w:bookmarkEnd w:id="1260"/>
      <w:bookmarkEnd w:id="1261"/>
      <w:bookmarkEnd w:id="1262"/>
      <w:bookmarkEnd w:id="1263"/>
      <w:bookmarkEnd w:id="1264"/>
      <w:bookmarkEnd w:id="1265"/>
    </w:p>
    <w:p>
      <w:pPr>
        <w:pStyle w:val="Heading5"/>
      </w:pPr>
      <w:bookmarkStart w:id="1266" w:name="_Toc165449394"/>
      <w:bookmarkStart w:id="1267" w:name="_Toc158981125"/>
      <w:r>
        <w:rPr>
          <w:rStyle w:val="CharSectno"/>
        </w:rPr>
        <w:t>256</w:t>
      </w:r>
      <w:r>
        <w:t>.</w:t>
      </w:r>
      <w:r>
        <w:tab/>
        <w:t xml:space="preserve">Application of </w:t>
      </w:r>
      <w:r>
        <w:rPr>
          <w:i/>
        </w:rPr>
        <w:t>Criminal and Found Property Disposal Act 2006</w:t>
      </w:r>
      <w:bookmarkEnd w:id="1266"/>
      <w:bookmarkEnd w:id="1267"/>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1268" w:name="_Toc165449395"/>
      <w:bookmarkStart w:id="1269" w:name="_Toc158981126"/>
      <w:r>
        <w:rPr>
          <w:rStyle w:val="CharSectno"/>
        </w:rPr>
        <w:t>257</w:t>
      </w:r>
      <w:r>
        <w:t>.</w:t>
      </w:r>
      <w:r>
        <w:tab/>
        <w:t>Seized items</w:t>
      </w:r>
      <w:bookmarkEnd w:id="1268"/>
      <w:bookmarkEnd w:id="1269"/>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1270" w:name="_Toc165449396"/>
      <w:bookmarkStart w:id="1271" w:name="_Toc158981127"/>
      <w:r>
        <w:rPr>
          <w:rStyle w:val="CharSectno"/>
        </w:rPr>
        <w:t>258</w:t>
      </w:r>
      <w:r>
        <w:t>.</w:t>
      </w:r>
      <w:r>
        <w:tab/>
        <w:t>Notification of seizure</w:t>
      </w:r>
      <w:bookmarkEnd w:id="1270"/>
      <w:bookmarkEnd w:id="1271"/>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1272" w:name="_Toc165449397"/>
      <w:bookmarkStart w:id="1273" w:name="_Toc158981128"/>
      <w:r>
        <w:rPr>
          <w:rStyle w:val="CharSectno"/>
        </w:rPr>
        <w:t>259</w:t>
      </w:r>
      <w:r>
        <w:t>.</w:t>
      </w:r>
      <w:r>
        <w:tab/>
        <w:t>Immediate destruction or disposal of things seized</w:t>
      </w:r>
      <w:bookmarkEnd w:id="1272"/>
      <w:bookmarkEnd w:id="1273"/>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1274" w:name="_Toc165449398"/>
      <w:bookmarkStart w:id="1275" w:name="_Toc158981129"/>
      <w:r>
        <w:rPr>
          <w:rStyle w:val="CharSectno"/>
        </w:rPr>
        <w:t>260</w:t>
      </w:r>
      <w:r>
        <w:t>.</w:t>
      </w:r>
      <w:r>
        <w:tab/>
        <w:t>Return of seized item</w:t>
      </w:r>
      <w:bookmarkEnd w:id="1274"/>
      <w:bookmarkEnd w:id="1275"/>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276" w:name="_Toc165449399"/>
      <w:bookmarkStart w:id="1277" w:name="_Toc158981130"/>
      <w:r>
        <w:rPr>
          <w:rStyle w:val="CharSectno"/>
        </w:rPr>
        <w:t>261</w:t>
      </w:r>
      <w:r>
        <w:t>.</w:t>
      </w:r>
      <w:r>
        <w:tab/>
        <w:t>Forfeiture of item</w:t>
      </w:r>
      <w:bookmarkEnd w:id="1276"/>
      <w:bookmarkEnd w:id="1277"/>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1278" w:name="_Toc165449400"/>
      <w:bookmarkStart w:id="1279" w:name="_Toc158981131"/>
      <w:r>
        <w:rPr>
          <w:rStyle w:val="CharSectno"/>
        </w:rPr>
        <w:t>262</w:t>
      </w:r>
      <w:r>
        <w:t>.</w:t>
      </w:r>
      <w:r>
        <w:tab/>
        <w:t>Cost of destruction or disposal of forfeited item</w:t>
      </w:r>
      <w:bookmarkEnd w:id="1278"/>
      <w:bookmarkEnd w:id="1279"/>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280" w:name="_Toc165449401"/>
      <w:bookmarkStart w:id="1281" w:name="_Toc158981132"/>
      <w:r>
        <w:rPr>
          <w:rStyle w:val="CharSectno"/>
        </w:rPr>
        <w:t>263</w:t>
      </w:r>
      <w:r>
        <w:t>.</w:t>
      </w:r>
      <w:r>
        <w:tab/>
        <w:t>Return of forfeited item</w:t>
      </w:r>
      <w:bookmarkEnd w:id="1280"/>
      <w:bookmarkEnd w:id="1281"/>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1282" w:name="_Toc165449402"/>
      <w:bookmarkStart w:id="1283" w:name="_Toc158981133"/>
      <w:r>
        <w:rPr>
          <w:rStyle w:val="CharSectno"/>
        </w:rPr>
        <w:t>264</w:t>
      </w:r>
      <w:r>
        <w:t>.</w:t>
      </w:r>
      <w:r>
        <w:tab/>
        <w:t>Compensation</w:t>
      </w:r>
      <w:bookmarkEnd w:id="1282"/>
      <w:bookmarkEnd w:id="1283"/>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1284" w:name="_Toc165449403"/>
      <w:bookmarkStart w:id="1285" w:name="_Toc158981134"/>
      <w:r>
        <w:rPr>
          <w:rStyle w:val="CharSectno"/>
        </w:rPr>
        <w:t>265</w:t>
      </w:r>
      <w:r>
        <w:t>.</w:t>
      </w:r>
      <w:r>
        <w:tab/>
        <w:t>Review of decisions relating to compensation</w:t>
      </w:r>
      <w:bookmarkEnd w:id="1284"/>
      <w:bookmarkEnd w:id="1285"/>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1286" w:name="_Toc165383947"/>
      <w:bookmarkStart w:id="1287" w:name="_Toc165385058"/>
      <w:bookmarkStart w:id="1288" w:name="_Toc165449404"/>
      <w:bookmarkStart w:id="1289" w:name="_Toc158974724"/>
      <w:bookmarkStart w:id="1290" w:name="_Toc158975055"/>
      <w:bookmarkStart w:id="1291" w:name="_Toc158981135"/>
      <w:r>
        <w:rPr>
          <w:rStyle w:val="CharPartNo"/>
        </w:rPr>
        <w:t>Part 17</w:t>
      </w:r>
      <w:r>
        <w:t> — </w:t>
      </w:r>
      <w:r>
        <w:rPr>
          <w:rStyle w:val="CharPartText"/>
        </w:rPr>
        <w:t>Crown exemptions</w:t>
      </w:r>
      <w:bookmarkEnd w:id="1286"/>
      <w:bookmarkEnd w:id="1287"/>
      <w:bookmarkEnd w:id="1288"/>
      <w:bookmarkEnd w:id="1289"/>
      <w:bookmarkEnd w:id="1290"/>
      <w:bookmarkEnd w:id="1291"/>
    </w:p>
    <w:p>
      <w:pPr>
        <w:pStyle w:val="Heading3"/>
      </w:pPr>
      <w:bookmarkStart w:id="1292" w:name="_Toc165383948"/>
      <w:bookmarkStart w:id="1293" w:name="_Toc165385059"/>
      <w:bookmarkStart w:id="1294" w:name="_Toc165449405"/>
      <w:bookmarkStart w:id="1295" w:name="_Toc158974725"/>
      <w:bookmarkStart w:id="1296" w:name="_Toc158975056"/>
      <w:bookmarkStart w:id="1297" w:name="_Toc158981136"/>
      <w:r>
        <w:rPr>
          <w:rStyle w:val="CharDivNo"/>
        </w:rPr>
        <w:t>Division 1</w:t>
      </w:r>
      <w:r>
        <w:t> — </w:t>
      </w:r>
      <w:r>
        <w:rPr>
          <w:rStyle w:val="CharDivText"/>
        </w:rPr>
        <w:t>Preliminary</w:t>
      </w:r>
      <w:bookmarkEnd w:id="1292"/>
      <w:bookmarkEnd w:id="1293"/>
      <w:bookmarkEnd w:id="1294"/>
      <w:bookmarkEnd w:id="1295"/>
      <w:bookmarkEnd w:id="1296"/>
      <w:bookmarkEnd w:id="1297"/>
    </w:p>
    <w:p>
      <w:pPr>
        <w:pStyle w:val="Heading5"/>
      </w:pPr>
      <w:bookmarkStart w:id="1298" w:name="_Toc165449406"/>
      <w:bookmarkStart w:id="1299" w:name="_Toc158981137"/>
      <w:r>
        <w:rPr>
          <w:rStyle w:val="CharSectno"/>
        </w:rPr>
        <w:t>266</w:t>
      </w:r>
      <w:r>
        <w:t>.</w:t>
      </w:r>
      <w:r>
        <w:tab/>
        <w:t>Terms used</w:t>
      </w:r>
      <w:bookmarkEnd w:id="1298"/>
      <w:bookmarkEnd w:id="1299"/>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1300" w:name="_Toc165383950"/>
      <w:bookmarkStart w:id="1301" w:name="_Toc165385061"/>
      <w:bookmarkStart w:id="1302" w:name="_Toc165449407"/>
      <w:bookmarkStart w:id="1303" w:name="_Toc158974727"/>
      <w:bookmarkStart w:id="1304" w:name="_Toc158975058"/>
      <w:bookmarkStart w:id="1305" w:name="_Toc158981138"/>
      <w:r>
        <w:rPr>
          <w:rStyle w:val="CharDivNo"/>
        </w:rPr>
        <w:t>Division 2</w:t>
      </w:r>
      <w:r>
        <w:t> — </w:t>
      </w:r>
      <w:r>
        <w:rPr>
          <w:rStyle w:val="CharDivText"/>
        </w:rPr>
        <w:t>Ministerial exemptions for Crown and Crown authorities</w:t>
      </w:r>
      <w:bookmarkEnd w:id="1300"/>
      <w:bookmarkEnd w:id="1301"/>
      <w:bookmarkEnd w:id="1302"/>
      <w:bookmarkEnd w:id="1303"/>
      <w:bookmarkEnd w:id="1304"/>
      <w:bookmarkEnd w:id="1305"/>
    </w:p>
    <w:p>
      <w:pPr>
        <w:pStyle w:val="Heading5"/>
      </w:pPr>
      <w:bookmarkStart w:id="1306" w:name="_Toc165449408"/>
      <w:bookmarkStart w:id="1307" w:name="_Toc158981139"/>
      <w:r>
        <w:rPr>
          <w:rStyle w:val="CharSectno"/>
        </w:rPr>
        <w:t>267</w:t>
      </w:r>
      <w:r>
        <w:t>.</w:t>
      </w:r>
      <w:r>
        <w:tab/>
        <w:t>Minister may exempt Crown or Crown authority from certain provisions</w:t>
      </w:r>
      <w:bookmarkEnd w:id="1306"/>
      <w:bookmarkEnd w:id="1307"/>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1308" w:name="_Toc165449409"/>
      <w:bookmarkStart w:id="1309" w:name="_Toc158981140"/>
      <w:r>
        <w:rPr>
          <w:rStyle w:val="CharSectno"/>
        </w:rPr>
        <w:t>268</w:t>
      </w:r>
      <w:r>
        <w:t>.</w:t>
      </w:r>
      <w:r>
        <w:tab/>
        <w:t>Duration of exemption</w:t>
      </w:r>
      <w:bookmarkEnd w:id="1308"/>
      <w:bookmarkEnd w:id="1309"/>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1310" w:name="_Toc165449410"/>
      <w:bookmarkStart w:id="1311" w:name="_Toc158981141"/>
      <w:r>
        <w:rPr>
          <w:rStyle w:val="CharSectno"/>
        </w:rPr>
        <w:t>269</w:t>
      </w:r>
      <w:r>
        <w:t>.</w:t>
      </w:r>
      <w:r>
        <w:tab/>
        <w:t>Content of exemption</w:t>
      </w:r>
      <w:bookmarkEnd w:id="1310"/>
      <w:bookmarkEnd w:id="1311"/>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1312" w:name="_Toc165449411"/>
      <w:bookmarkStart w:id="1313" w:name="_Toc158981142"/>
      <w:r>
        <w:rPr>
          <w:rStyle w:val="CharSectno"/>
        </w:rPr>
        <w:t>270</w:t>
      </w:r>
      <w:r>
        <w:t>.</w:t>
      </w:r>
      <w:r>
        <w:tab/>
        <w:t>Effect of exemption</w:t>
      </w:r>
      <w:bookmarkEnd w:id="1312"/>
      <w:bookmarkEnd w:id="1313"/>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1314" w:name="_Toc165449412"/>
      <w:bookmarkStart w:id="1315" w:name="_Toc158981143"/>
      <w:r>
        <w:rPr>
          <w:rStyle w:val="CharSectno"/>
        </w:rPr>
        <w:t>271</w:t>
      </w:r>
      <w:r>
        <w:t>.</w:t>
      </w:r>
      <w:r>
        <w:tab/>
        <w:t>Minister to consult before amending or revoking exemption</w:t>
      </w:r>
      <w:bookmarkEnd w:id="1314"/>
      <w:bookmarkEnd w:id="1315"/>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1316" w:name="_Toc165449413"/>
      <w:bookmarkStart w:id="1317" w:name="_Toc158981144"/>
      <w:r>
        <w:rPr>
          <w:rStyle w:val="CharSectno"/>
        </w:rPr>
        <w:t>272</w:t>
      </w:r>
      <w:r>
        <w:t>.</w:t>
      </w:r>
      <w:r>
        <w:tab/>
        <w:t xml:space="preserve">Application of </w:t>
      </w:r>
      <w:r>
        <w:rPr>
          <w:i/>
        </w:rPr>
        <w:t>Interpretation Act 1984</w:t>
      </w:r>
      <w:r>
        <w:t xml:space="preserve"> to exemptions</w:t>
      </w:r>
      <w:bookmarkEnd w:id="1316"/>
      <w:bookmarkEnd w:id="1317"/>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1318" w:name="_Toc165383957"/>
      <w:bookmarkStart w:id="1319" w:name="_Toc165385068"/>
      <w:bookmarkStart w:id="1320" w:name="_Toc165449414"/>
      <w:bookmarkStart w:id="1321" w:name="_Toc158974734"/>
      <w:bookmarkStart w:id="1322" w:name="_Toc158975065"/>
      <w:bookmarkStart w:id="1323" w:name="_Toc158981145"/>
      <w:r>
        <w:rPr>
          <w:rStyle w:val="CharDivNo"/>
        </w:rPr>
        <w:t>Division 3</w:t>
      </w:r>
      <w:r>
        <w:t> — </w:t>
      </w:r>
      <w:r>
        <w:rPr>
          <w:rStyle w:val="CharDivText"/>
        </w:rPr>
        <w:t>Compliance plans</w:t>
      </w:r>
      <w:bookmarkEnd w:id="1318"/>
      <w:bookmarkEnd w:id="1319"/>
      <w:bookmarkEnd w:id="1320"/>
      <w:bookmarkEnd w:id="1321"/>
      <w:bookmarkEnd w:id="1322"/>
      <w:bookmarkEnd w:id="1323"/>
    </w:p>
    <w:p>
      <w:pPr>
        <w:pStyle w:val="Heading5"/>
      </w:pPr>
      <w:bookmarkStart w:id="1324" w:name="_Toc165449415"/>
      <w:bookmarkStart w:id="1325" w:name="_Toc158981146"/>
      <w:r>
        <w:rPr>
          <w:rStyle w:val="CharSectno"/>
        </w:rPr>
        <w:t>273</w:t>
      </w:r>
      <w:r>
        <w:t>.</w:t>
      </w:r>
      <w:r>
        <w:tab/>
        <w:t>Exemption may require compliance plan</w:t>
      </w:r>
      <w:bookmarkEnd w:id="1324"/>
      <w:bookmarkEnd w:id="1325"/>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1326" w:name="_Toc165449416"/>
      <w:bookmarkStart w:id="1327" w:name="_Toc158981147"/>
      <w:r>
        <w:rPr>
          <w:rStyle w:val="CharSectno"/>
        </w:rPr>
        <w:t>274</w:t>
      </w:r>
      <w:r>
        <w:t>.</w:t>
      </w:r>
      <w:r>
        <w:tab/>
        <w:t>Development and approval of compliance plan</w:t>
      </w:r>
      <w:bookmarkEnd w:id="1326"/>
      <w:bookmarkEnd w:id="1327"/>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1328" w:name="_Toc165449417"/>
      <w:bookmarkStart w:id="1329" w:name="_Toc158981148"/>
      <w:r>
        <w:rPr>
          <w:rStyle w:val="CharSectno"/>
        </w:rPr>
        <w:t>275</w:t>
      </w:r>
      <w:r>
        <w:t>.</w:t>
      </w:r>
      <w:r>
        <w:tab/>
        <w:t>Annual review of compliance plan</w:t>
      </w:r>
      <w:bookmarkEnd w:id="1328"/>
      <w:bookmarkEnd w:id="1329"/>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1330" w:name="_Toc165449418"/>
      <w:bookmarkStart w:id="1331" w:name="_Toc158981149"/>
      <w:r>
        <w:rPr>
          <w:rStyle w:val="CharSectno"/>
        </w:rPr>
        <w:t>276</w:t>
      </w:r>
      <w:r>
        <w:t>.</w:t>
      </w:r>
      <w:r>
        <w:tab/>
        <w:t>Amendment or replacement of compliance plan</w:t>
      </w:r>
      <w:bookmarkEnd w:id="1330"/>
      <w:bookmarkEnd w:id="1331"/>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Pr>
      <w:bookmarkStart w:id="1332" w:name="_Toc165383962"/>
      <w:bookmarkStart w:id="1333" w:name="_Toc165385073"/>
      <w:bookmarkStart w:id="1334" w:name="_Toc165449419"/>
      <w:bookmarkStart w:id="1335" w:name="_Toc158974739"/>
      <w:bookmarkStart w:id="1336" w:name="_Toc158975070"/>
      <w:bookmarkStart w:id="1337" w:name="_Toc158981150"/>
      <w:r>
        <w:rPr>
          <w:rStyle w:val="CharDivNo"/>
        </w:rPr>
        <w:t>Division 4</w:t>
      </w:r>
      <w:r>
        <w:t> — </w:t>
      </w:r>
      <w:r>
        <w:rPr>
          <w:rStyle w:val="CharDivText"/>
        </w:rPr>
        <w:t>Publication and reporting obligations</w:t>
      </w:r>
      <w:bookmarkEnd w:id="1332"/>
      <w:bookmarkEnd w:id="1333"/>
      <w:bookmarkEnd w:id="1334"/>
      <w:bookmarkEnd w:id="1335"/>
      <w:bookmarkEnd w:id="1336"/>
      <w:bookmarkEnd w:id="1337"/>
    </w:p>
    <w:p>
      <w:pPr>
        <w:pStyle w:val="Heading5"/>
      </w:pPr>
      <w:bookmarkStart w:id="1338" w:name="_Toc165449420"/>
      <w:bookmarkStart w:id="1339" w:name="_Toc158981151"/>
      <w:r>
        <w:rPr>
          <w:rStyle w:val="CharSectno"/>
        </w:rPr>
        <w:t>277</w:t>
      </w:r>
      <w:r>
        <w:t>.</w:t>
      </w:r>
      <w:r>
        <w:tab/>
        <w:t>Exemption</w:t>
      </w:r>
      <w:r>
        <w:noBreakHyphen/>
        <w:t>holder to make exemption and compliance plan publicly available</w:t>
      </w:r>
      <w:bookmarkEnd w:id="1338"/>
      <w:bookmarkEnd w:id="1339"/>
    </w:p>
    <w:p>
      <w:pPr>
        <w:pStyle w:val="Subsection"/>
        <w:keepNext/>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1340" w:name="_Toc165449421"/>
      <w:bookmarkStart w:id="1341" w:name="_Toc158981152"/>
      <w:r>
        <w:rPr>
          <w:rStyle w:val="CharSectno"/>
        </w:rPr>
        <w:t>278</w:t>
      </w:r>
      <w:r>
        <w:t>.</w:t>
      </w:r>
      <w:r>
        <w:tab/>
        <w:t>Annual report to include information about exemption and compliance plan</w:t>
      </w:r>
      <w:bookmarkEnd w:id="1340"/>
      <w:bookmarkEnd w:id="1341"/>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1342" w:name="_Toc165383965"/>
      <w:bookmarkStart w:id="1343" w:name="_Toc165385076"/>
      <w:bookmarkStart w:id="1344" w:name="_Toc165449422"/>
      <w:bookmarkStart w:id="1345" w:name="_Toc158974742"/>
      <w:bookmarkStart w:id="1346" w:name="_Toc158975073"/>
      <w:bookmarkStart w:id="1347" w:name="_Toc158981153"/>
      <w:r>
        <w:rPr>
          <w:rStyle w:val="CharPartNo"/>
        </w:rPr>
        <w:t>Part 18</w:t>
      </w:r>
      <w:r>
        <w:t> — </w:t>
      </w:r>
      <w:r>
        <w:rPr>
          <w:rStyle w:val="CharPartText"/>
        </w:rPr>
        <w:t>Liability, evidentiary and procedural provisions</w:t>
      </w:r>
      <w:bookmarkEnd w:id="1342"/>
      <w:bookmarkEnd w:id="1343"/>
      <w:bookmarkEnd w:id="1344"/>
      <w:bookmarkEnd w:id="1345"/>
      <w:bookmarkEnd w:id="1346"/>
      <w:bookmarkEnd w:id="1347"/>
    </w:p>
    <w:p>
      <w:pPr>
        <w:pStyle w:val="Heading3"/>
      </w:pPr>
      <w:bookmarkStart w:id="1348" w:name="_Toc165383966"/>
      <w:bookmarkStart w:id="1349" w:name="_Toc165385077"/>
      <w:bookmarkStart w:id="1350" w:name="_Toc165449423"/>
      <w:bookmarkStart w:id="1351" w:name="_Toc158974743"/>
      <w:bookmarkStart w:id="1352" w:name="_Toc158975074"/>
      <w:bookmarkStart w:id="1353" w:name="_Toc158981154"/>
      <w:r>
        <w:rPr>
          <w:rStyle w:val="CharDivNo"/>
        </w:rPr>
        <w:t>Division 1</w:t>
      </w:r>
      <w:r>
        <w:t> — </w:t>
      </w:r>
      <w:r>
        <w:rPr>
          <w:rStyle w:val="CharDivText"/>
        </w:rPr>
        <w:t>Civil liability</w:t>
      </w:r>
      <w:bookmarkEnd w:id="1348"/>
      <w:bookmarkEnd w:id="1349"/>
      <w:bookmarkEnd w:id="1350"/>
      <w:bookmarkEnd w:id="1351"/>
      <w:bookmarkEnd w:id="1352"/>
      <w:bookmarkEnd w:id="1353"/>
    </w:p>
    <w:p>
      <w:pPr>
        <w:pStyle w:val="Heading5"/>
      </w:pPr>
      <w:bookmarkStart w:id="1354" w:name="_Toc165449424"/>
      <w:bookmarkStart w:id="1355" w:name="_Toc158981155"/>
      <w:r>
        <w:rPr>
          <w:rStyle w:val="CharSectno"/>
        </w:rPr>
        <w:t>279</w:t>
      </w:r>
      <w:r>
        <w:t>.</w:t>
      </w:r>
      <w:r>
        <w:tab/>
        <w:t>Contraventions not breach of statutory duty</w:t>
      </w:r>
      <w:bookmarkEnd w:id="1354"/>
      <w:bookmarkEnd w:id="1355"/>
    </w:p>
    <w:p>
      <w:pPr>
        <w:pStyle w:val="Subsection"/>
      </w:pPr>
      <w:r>
        <w:tab/>
      </w:r>
      <w:r>
        <w:tab/>
        <w:t>A contravention of this Act is not actionable as a breach of statutory duty.</w:t>
      </w:r>
    </w:p>
    <w:p>
      <w:pPr>
        <w:pStyle w:val="Heading3"/>
      </w:pPr>
      <w:bookmarkStart w:id="1356" w:name="_Toc165383968"/>
      <w:bookmarkStart w:id="1357" w:name="_Toc165385079"/>
      <w:bookmarkStart w:id="1358" w:name="_Toc165449425"/>
      <w:bookmarkStart w:id="1359" w:name="_Toc158974745"/>
      <w:bookmarkStart w:id="1360" w:name="_Toc158975076"/>
      <w:bookmarkStart w:id="1361" w:name="_Toc158981156"/>
      <w:r>
        <w:rPr>
          <w:rStyle w:val="CharDivNo"/>
        </w:rPr>
        <w:t>Division 2</w:t>
      </w:r>
      <w:r>
        <w:t> — </w:t>
      </w:r>
      <w:r>
        <w:rPr>
          <w:rStyle w:val="CharDivText"/>
        </w:rPr>
        <w:t>Criminal liability</w:t>
      </w:r>
      <w:bookmarkEnd w:id="1356"/>
      <w:bookmarkEnd w:id="1357"/>
      <w:bookmarkEnd w:id="1358"/>
      <w:bookmarkEnd w:id="1359"/>
      <w:bookmarkEnd w:id="1360"/>
      <w:bookmarkEnd w:id="1361"/>
    </w:p>
    <w:p>
      <w:pPr>
        <w:pStyle w:val="Heading5"/>
      </w:pPr>
      <w:bookmarkStart w:id="1362" w:name="_Toc165449426"/>
      <w:bookmarkStart w:id="1363" w:name="_Toc158981157"/>
      <w:r>
        <w:rPr>
          <w:rStyle w:val="CharSectno"/>
        </w:rPr>
        <w:t>280</w:t>
      </w:r>
      <w:r>
        <w:t>.</w:t>
      </w:r>
      <w:r>
        <w:tab/>
        <w:t>Commencing proceedings</w:t>
      </w:r>
      <w:bookmarkEnd w:id="1362"/>
      <w:bookmarkEnd w:id="1363"/>
    </w:p>
    <w:p>
      <w:pPr>
        <w:pStyle w:val="Subsection"/>
      </w:pPr>
      <w:r>
        <w:tab/>
      </w:r>
      <w:ins w:id="1364" w:author="Master Repository Process" w:date="2024-05-01T10:47:00Z">
        <w:r>
          <w:t>(1)</w:t>
        </w:r>
      </w:ins>
      <w:r>
        <w:tab/>
        <w:t xml:space="preserve">Proceedings for an offence under this Act </w:t>
      </w:r>
      <w:ins w:id="1365" w:author="Master Repository Process" w:date="2024-05-01T10:47:00Z">
        <w:r>
          <w:t xml:space="preserve">(other than an offence under section 202MN(1)) </w:t>
        </w:r>
      </w:ins>
      <w:r>
        <w:t xml:space="preserve">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Subsection"/>
        <w:rPr>
          <w:ins w:id="1366" w:author="Master Repository Process" w:date="2024-05-01T10:47:00Z"/>
        </w:rPr>
      </w:pPr>
      <w:ins w:id="1367" w:author="Master Repository Process" w:date="2024-05-01T10:47:00Z">
        <w:r>
          <w:tab/>
          <w:t>(2)</w:t>
        </w:r>
        <w:r>
          <w:tab/>
          <w:t>Subsection (1) does not limit the ability of a person to commence or conduct the prosecution of an offence if the person has authority at law to do so.</w:t>
        </w:r>
      </w:ins>
    </w:p>
    <w:p>
      <w:pPr>
        <w:pStyle w:val="Subsection"/>
        <w:rPr>
          <w:ins w:id="1368" w:author="Master Repository Process" w:date="2024-05-01T10:47:00Z"/>
        </w:rPr>
      </w:pPr>
      <w:ins w:id="1369" w:author="Master Repository Process" w:date="2024-05-01T10:47:00Z">
        <w:r>
          <w:tab/>
          <w:t>(3)</w:t>
        </w:r>
        <w:r>
          <w:tab/>
          <w:t xml:space="preserve">Proceedings for an offence under section 202MN(1) may only be commenced by a person referred to in the </w:t>
        </w:r>
        <w:r>
          <w:rPr>
            <w:i/>
          </w:rPr>
          <w:t>Criminal Procedure Act 2004</w:t>
        </w:r>
        <w:r>
          <w:t xml:space="preserve"> section 20(3)(a)(ii) or (iii) or (b).</w:t>
        </w:r>
      </w:ins>
    </w:p>
    <w:p>
      <w:pPr>
        <w:pStyle w:val="Footnotesection"/>
      </w:pPr>
      <w:r>
        <w:tab/>
        <w:t>[Section 280 amended: No. 14 of 2019 s. </w:t>
      </w:r>
      <w:del w:id="1370" w:author="Master Repository Process" w:date="2024-05-01T10:47:00Z">
        <w:r>
          <w:delText>11</w:delText>
        </w:r>
      </w:del>
      <w:ins w:id="1371" w:author="Master Repository Process" w:date="2024-05-01T10:47:00Z">
        <w:r>
          <w:t>11; No. 20 of 2023 s. 12</w:t>
        </w:r>
      </w:ins>
      <w:r>
        <w:t>.]</w:t>
      </w:r>
    </w:p>
    <w:p>
      <w:pPr>
        <w:pStyle w:val="Heading5"/>
      </w:pPr>
      <w:bookmarkStart w:id="1372" w:name="_Toc165449427"/>
      <w:bookmarkStart w:id="1373" w:name="_Toc158981158"/>
      <w:r>
        <w:rPr>
          <w:rStyle w:val="CharSectno"/>
        </w:rPr>
        <w:t>281</w:t>
      </w:r>
      <w:r>
        <w:t>.</w:t>
      </w:r>
      <w:r>
        <w:tab/>
        <w:t>Offences by employees — liability of employer</w:t>
      </w:r>
      <w:bookmarkEnd w:id="1372"/>
      <w:bookmarkEnd w:id="1373"/>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1374" w:name="_Toc165449428"/>
      <w:bookmarkStart w:id="1375" w:name="_Toc158981159"/>
      <w:r>
        <w:rPr>
          <w:rStyle w:val="CharSectno"/>
        </w:rPr>
        <w:t>282</w:t>
      </w:r>
      <w:r>
        <w:t>.</w:t>
      </w:r>
      <w:r>
        <w:tab/>
        <w:t>Liability of officers for offence by body corporate</w:t>
      </w:r>
      <w:bookmarkEnd w:id="1374"/>
      <w:bookmarkEnd w:id="1375"/>
    </w:p>
    <w:p>
      <w:pPr>
        <w:pStyle w:val="Subsection"/>
      </w:pPr>
      <w:r>
        <w:rPr>
          <w:i/>
        </w:rPr>
        <w:tab/>
      </w:r>
      <w:r>
        <w:rPr>
          <w:i/>
        </w:rPr>
        <w:tab/>
        <w:t>The Criminal Code</w:t>
      </w:r>
      <w:r>
        <w:t xml:space="preserve"> section 41 (which provides for the criminal liability of officers of a body corporate) applies to an offence under section 37(1), (2) or (3) or 38(1), (2) or (3) of this Act.</w:t>
      </w:r>
    </w:p>
    <w:p>
      <w:pPr>
        <w:pStyle w:val="Footnotesection"/>
      </w:pPr>
      <w:r>
        <w:tab/>
        <w:t>[Section 282 inserted: No. 9 of 2023 s. 127.]</w:t>
      </w:r>
    </w:p>
    <w:p>
      <w:pPr>
        <w:pStyle w:val="Ednotesection"/>
      </w:pPr>
      <w:r>
        <w:t>[</w:t>
      </w:r>
      <w:r>
        <w:rPr>
          <w:b/>
        </w:rPr>
        <w:t>283.</w:t>
      </w:r>
      <w:r>
        <w:tab/>
        <w:t>Deleted: No. 9 of 2023 s. 127.]</w:t>
      </w:r>
    </w:p>
    <w:p>
      <w:pPr>
        <w:pStyle w:val="Heading5"/>
      </w:pPr>
      <w:bookmarkStart w:id="1376" w:name="_Toc165449429"/>
      <w:bookmarkStart w:id="1377" w:name="_Toc158981160"/>
      <w:r>
        <w:rPr>
          <w:rStyle w:val="CharSectno"/>
        </w:rPr>
        <w:t>284</w:t>
      </w:r>
      <w:r>
        <w:t>.</w:t>
      </w:r>
      <w:r>
        <w:tab/>
        <w:t>Liability of employees and agents</w:t>
      </w:r>
      <w:bookmarkEnd w:id="1376"/>
      <w:bookmarkEnd w:id="1377"/>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1378" w:name="_Toc165449430"/>
      <w:bookmarkStart w:id="1379" w:name="_Toc158981161"/>
      <w:r>
        <w:rPr>
          <w:rStyle w:val="CharSectno"/>
        </w:rPr>
        <w:t>285</w:t>
      </w:r>
      <w:r>
        <w:t>.</w:t>
      </w:r>
      <w:r>
        <w:tab/>
        <w:t>Disclosure by witnesses</w:t>
      </w:r>
      <w:bookmarkEnd w:id="1378"/>
      <w:bookmarkEnd w:id="1379"/>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1380" w:name="_Toc165449431"/>
      <w:bookmarkStart w:id="1381" w:name="_Toc158981162"/>
      <w:r>
        <w:rPr>
          <w:rStyle w:val="CharSectno"/>
        </w:rPr>
        <w:t>286</w:t>
      </w:r>
      <w:r>
        <w:t>.</w:t>
      </w:r>
      <w:r>
        <w:tab/>
        <w:t>Documentary evidence of certain matters</w:t>
      </w:r>
      <w:bookmarkEnd w:id="1380"/>
      <w:bookmarkEnd w:id="1381"/>
    </w:p>
    <w:p>
      <w:pPr>
        <w:pStyle w:val="Subsection"/>
        <w:keepNext/>
      </w:pPr>
      <w:r>
        <w:tab/>
        <w:t>(1)</w:t>
      </w:r>
      <w:r>
        <w:tab/>
        <w:t xml:space="preserve">In this section — </w:t>
      </w:r>
    </w:p>
    <w:p>
      <w:pPr>
        <w:pStyle w:val="Defstart"/>
        <w:keepNex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1382" w:name="_Toc165449432"/>
      <w:bookmarkStart w:id="1383" w:name="_Toc158981163"/>
      <w:r>
        <w:rPr>
          <w:rStyle w:val="CharSectno"/>
        </w:rPr>
        <w:t>287</w:t>
      </w:r>
      <w:r>
        <w:t>.</w:t>
      </w:r>
      <w:r>
        <w:tab/>
        <w:t>Court may order costs and expenses</w:t>
      </w:r>
      <w:bookmarkEnd w:id="1382"/>
      <w:bookmarkEnd w:id="1383"/>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1384" w:name="_Toc165449433"/>
      <w:bookmarkStart w:id="1385" w:name="_Toc158981164"/>
      <w:r>
        <w:rPr>
          <w:rStyle w:val="CharSectno"/>
        </w:rPr>
        <w:t>288</w:t>
      </w:r>
      <w:r>
        <w:t>.</w:t>
      </w:r>
      <w:r>
        <w:tab/>
        <w:t>Court may order forfeiture</w:t>
      </w:r>
      <w:bookmarkEnd w:id="1384"/>
      <w:bookmarkEnd w:id="1385"/>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1386" w:name="_Toc165449434"/>
      <w:bookmarkStart w:id="1387" w:name="_Toc158981165"/>
      <w:r>
        <w:rPr>
          <w:rStyle w:val="CharSectno"/>
        </w:rPr>
        <w:t>289</w:t>
      </w:r>
      <w:r>
        <w:t>.</w:t>
      </w:r>
      <w:r>
        <w:tab/>
        <w:t>Court’s powers in relation to registration and licences</w:t>
      </w:r>
      <w:bookmarkEnd w:id="1386"/>
      <w:bookmarkEnd w:id="1387"/>
    </w:p>
    <w:p>
      <w:pPr>
        <w:pStyle w:val="Subsection"/>
        <w:keepNext/>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keepNext/>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1388" w:name="_Toc165449435"/>
      <w:bookmarkStart w:id="1389" w:name="_Toc158981166"/>
      <w:r>
        <w:rPr>
          <w:rStyle w:val="CharSectno"/>
        </w:rPr>
        <w:t>290</w:t>
      </w:r>
      <w:r>
        <w:t>.</w:t>
      </w:r>
      <w:r>
        <w:tab/>
        <w:t>Further provisions relating to orders under section 289</w:t>
      </w:r>
      <w:bookmarkEnd w:id="1388"/>
      <w:bookmarkEnd w:id="1389"/>
    </w:p>
    <w:p>
      <w:pPr>
        <w:pStyle w:val="Subsection"/>
        <w:keepNext/>
        <w:keepLines/>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1390" w:name="_Toc165383979"/>
      <w:bookmarkStart w:id="1391" w:name="_Toc165385090"/>
      <w:bookmarkStart w:id="1392" w:name="_Toc165449436"/>
      <w:bookmarkStart w:id="1393" w:name="_Toc158974756"/>
      <w:bookmarkStart w:id="1394" w:name="_Toc158975087"/>
      <w:bookmarkStart w:id="1395" w:name="_Toc158981167"/>
      <w:r>
        <w:rPr>
          <w:rStyle w:val="CharPartNo"/>
        </w:rPr>
        <w:t>Part 19</w:t>
      </w:r>
      <w:r>
        <w:t> — </w:t>
      </w:r>
      <w:r>
        <w:rPr>
          <w:rStyle w:val="CharPartText"/>
        </w:rPr>
        <w:t>Miscellaneous</w:t>
      </w:r>
      <w:bookmarkEnd w:id="1390"/>
      <w:bookmarkEnd w:id="1391"/>
      <w:bookmarkEnd w:id="1392"/>
      <w:bookmarkEnd w:id="1393"/>
      <w:bookmarkEnd w:id="1394"/>
      <w:bookmarkEnd w:id="1395"/>
    </w:p>
    <w:p>
      <w:pPr>
        <w:pStyle w:val="Ednotedivision"/>
      </w:pPr>
      <w:r>
        <w:t>[Division 1 (s. 294-296) has not come into operation.]</w:t>
      </w:r>
    </w:p>
    <w:p>
      <w:pPr>
        <w:pStyle w:val="Heading3"/>
      </w:pPr>
      <w:bookmarkStart w:id="1396" w:name="_Toc165383980"/>
      <w:bookmarkStart w:id="1397" w:name="_Toc165385091"/>
      <w:bookmarkStart w:id="1398" w:name="_Toc165449437"/>
      <w:bookmarkStart w:id="1399" w:name="_Toc158974757"/>
      <w:bookmarkStart w:id="1400" w:name="_Toc158975088"/>
      <w:bookmarkStart w:id="1401" w:name="_Toc158981168"/>
      <w:r>
        <w:rPr>
          <w:rStyle w:val="CharDivNo"/>
        </w:rPr>
        <w:t>Division 2</w:t>
      </w:r>
      <w:r>
        <w:t> — </w:t>
      </w:r>
      <w:r>
        <w:rPr>
          <w:rStyle w:val="CharDivText"/>
        </w:rPr>
        <w:t>General</w:t>
      </w:r>
      <w:bookmarkEnd w:id="1396"/>
      <w:bookmarkEnd w:id="1397"/>
      <w:bookmarkEnd w:id="1398"/>
      <w:bookmarkEnd w:id="1399"/>
      <w:bookmarkEnd w:id="1400"/>
      <w:bookmarkEnd w:id="1401"/>
    </w:p>
    <w:p>
      <w:pPr>
        <w:pStyle w:val="Heading5"/>
      </w:pPr>
      <w:bookmarkStart w:id="1402" w:name="_Toc165449438"/>
      <w:bookmarkStart w:id="1403" w:name="_Toc158981169"/>
      <w:r>
        <w:rPr>
          <w:rStyle w:val="CharSectno"/>
        </w:rPr>
        <w:t>297</w:t>
      </w:r>
      <w:r>
        <w:t>.</w:t>
      </w:r>
      <w:r>
        <w:tab/>
        <w:t>Protection from liability for wrongdoing</w:t>
      </w:r>
      <w:bookmarkEnd w:id="1402"/>
      <w:bookmarkEnd w:id="140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Subsection"/>
        <w:rPr>
          <w:ins w:id="1404" w:author="Master Repository Process" w:date="2024-05-01T10:47:00Z"/>
        </w:rPr>
      </w:pPr>
      <w:ins w:id="1405" w:author="Master Repository Process" w:date="2024-05-01T10:47:00Z">
        <w:r>
          <w:tab/>
          <w:t>(6)</w:t>
        </w:r>
        <w:r>
          <w:tab/>
          <w:t xml:space="preserve">This section is in addition to and does not affect the operation of section 141(2), 188(5), 202MR(1)(b) or (2), 298(3) or 299(6). </w:t>
        </w:r>
      </w:ins>
    </w:p>
    <w:p>
      <w:pPr>
        <w:pStyle w:val="Footnotesection"/>
        <w:rPr>
          <w:ins w:id="1406" w:author="Master Repository Process" w:date="2024-05-01T10:47:00Z"/>
        </w:rPr>
      </w:pPr>
      <w:ins w:id="1407" w:author="Master Repository Process" w:date="2024-05-01T10:47:00Z">
        <w:r>
          <w:tab/>
          <w:t>[Section 297 amended: No. 20 of 2023 s. 13.]</w:t>
        </w:r>
      </w:ins>
    </w:p>
    <w:p>
      <w:pPr>
        <w:pStyle w:val="Heading3"/>
        <w:keepLines/>
      </w:pPr>
      <w:bookmarkStart w:id="1408" w:name="_Toc165383982"/>
      <w:bookmarkStart w:id="1409" w:name="_Toc165385093"/>
      <w:bookmarkStart w:id="1410" w:name="_Toc165449439"/>
      <w:bookmarkStart w:id="1411" w:name="_Toc158974759"/>
      <w:bookmarkStart w:id="1412" w:name="_Toc158975090"/>
      <w:bookmarkStart w:id="1413" w:name="_Toc158981170"/>
      <w:r>
        <w:rPr>
          <w:rStyle w:val="CharDivNo"/>
        </w:rPr>
        <w:t>Division 3</w:t>
      </w:r>
      <w:r>
        <w:t> — </w:t>
      </w:r>
      <w:r>
        <w:rPr>
          <w:rStyle w:val="CharDivText"/>
        </w:rPr>
        <w:t>Provisions relating to information</w:t>
      </w:r>
      <w:bookmarkEnd w:id="1408"/>
      <w:bookmarkEnd w:id="1409"/>
      <w:bookmarkEnd w:id="1410"/>
      <w:bookmarkEnd w:id="1411"/>
      <w:bookmarkEnd w:id="1412"/>
      <w:bookmarkEnd w:id="1413"/>
    </w:p>
    <w:p>
      <w:pPr>
        <w:pStyle w:val="Heading5"/>
      </w:pPr>
      <w:bookmarkStart w:id="1414" w:name="_Toc165449440"/>
      <w:bookmarkStart w:id="1415" w:name="_Toc158981171"/>
      <w:r>
        <w:rPr>
          <w:rStyle w:val="CharSectno"/>
        </w:rPr>
        <w:t>297A</w:t>
      </w:r>
      <w:r>
        <w:t>.</w:t>
      </w:r>
      <w:r>
        <w:tab/>
        <w:t>Offence of giving false or misleading information</w:t>
      </w:r>
      <w:bookmarkEnd w:id="1414"/>
      <w:bookmarkEnd w:id="1415"/>
    </w:p>
    <w:p>
      <w:pPr>
        <w:pStyle w:val="Subsection"/>
        <w:keepNext/>
      </w:pPr>
      <w:r>
        <w:tab/>
      </w:r>
      <w:r>
        <w:tab/>
        <w:t xml:space="preserve">A person must not give information that the person knows to be false or misleading in a material particular to — </w:t>
      </w:r>
    </w:p>
    <w:p>
      <w:pPr>
        <w:pStyle w:val="Indenta"/>
      </w:pPr>
      <w:r>
        <w:tab/>
        <w:t>(a)</w:t>
      </w:r>
      <w:r>
        <w:tab/>
        <w:t>an authorised officer, emergency officer or police officer exercising a power under this Act; or</w:t>
      </w:r>
    </w:p>
    <w:p>
      <w:pPr>
        <w:pStyle w:val="Indenta"/>
      </w:pPr>
      <w:r>
        <w:tab/>
        <w:t>(b)</w:t>
      </w:r>
      <w:r>
        <w:tab/>
        <w:t>a person assisting an authorised officer, emergency officer or police officer to exercise a power under this Act.</w:t>
      </w:r>
    </w:p>
    <w:p>
      <w:pPr>
        <w:pStyle w:val="Penstart"/>
      </w:pPr>
      <w:r>
        <w:tab/>
        <w:t>Penalty: a fine of $50 000.</w:t>
      </w:r>
    </w:p>
    <w:p>
      <w:pPr>
        <w:pStyle w:val="Footnotesection"/>
      </w:pPr>
      <w:r>
        <w:tab/>
        <w:t>[Section 297A inserted: No. 33 of 2020 s. 16.]</w:t>
      </w:r>
    </w:p>
    <w:p>
      <w:pPr>
        <w:pStyle w:val="Heading5"/>
      </w:pPr>
      <w:bookmarkStart w:id="1416" w:name="_Toc165449441"/>
      <w:bookmarkStart w:id="1417" w:name="_Toc158981172"/>
      <w:r>
        <w:rPr>
          <w:rStyle w:val="CharSectno"/>
        </w:rPr>
        <w:t>298</w:t>
      </w:r>
      <w:r>
        <w:t>.</w:t>
      </w:r>
      <w:r>
        <w:tab/>
        <w:t>Disclosure and use of information provided under Part 9 or 10</w:t>
      </w:r>
      <w:bookmarkEnd w:id="1416"/>
      <w:bookmarkEnd w:id="1417"/>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418" w:name="_Toc165449442"/>
      <w:bookmarkStart w:id="1419" w:name="_Toc158981173"/>
      <w:r>
        <w:rPr>
          <w:rStyle w:val="CharSectno"/>
        </w:rPr>
        <w:t>299</w:t>
      </w:r>
      <w:r>
        <w:t>.</w:t>
      </w:r>
      <w:r>
        <w:tab/>
        <w:t>Information sharing</w:t>
      </w:r>
      <w:bookmarkEnd w:id="1418"/>
      <w:bookmarkEnd w:id="1419"/>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r>
      <w:del w:id="1420" w:author="Master Repository Process" w:date="2024-05-01T10:47:00Z">
        <w:r>
          <w:delText>A</w:delText>
        </w:r>
      </w:del>
      <w:ins w:id="1421" w:author="Master Repository Process" w:date="2024-05-01T10:47:00Z">
        <w:r>
          <w:t>Subject to subsection (5A), a</w:t>
        </w:r>
      </w:ins>
      <w:r>
        <w:t xml:space="preserve">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keepNext/>
      </w:pPr>
      <w:r>
        <w:tab/>
        <w:t>(5)</w:t>
      </w:r>
      <w:r>
        <w:tab/>
      </w:r>
      <w:del w:id="1422" w:author="Master Repository Process" w:date="2024-05-01T10:47:00Z">
        <w:r>
          <w:delText>A</w:delText>
        </w:r>
      </w:del>
      <w:ins w:id="1423" w:author="Master Repository Process" w:date="2024-05-01T10:47:00Z">
        <w:r>
          <w:t>Subject to subsection (5A), a</w:t>
        </w:r>
      </w:ins>
      <w:r>
        <w:t xml:space="preserve">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rPr>
          <w:ins w:id="1424" w:author="Master Repository Process" w:date="2024-05-01T10:47:00Z"/>
        </w:rPr>
      </w:pPr>
      <w:ins w:id="1425" w:author="Master Repository Process" w:date="2024-05-01T10:47:00Z">
        <w:r>
          <w:tab/>
          <w:t>(5A)</w:t>
        </w:r>
        <w:r>
          <w:tab/>
          <w:t xml:space="preserve">Information about abortion can only be disclosed under subsection (3), or requested under subsection (5), if the information — </w:t>
        </w:r>
      </w:ins>
    </w:p>
    <w:p>
      <w:pPr>
        <w:pStyle w:val="Indenta"/>
        <w:rPr>
          <w:ins w:id="1426" w:author="Master Repository Process" w:date="2024-05-01T10:47:00Z"/>
        </w:rPr>
      </w:pPr>
      <w:ins w:id="1427" w:author="Master Repository Process" w:date="2024-05-01T10:47:00Z">
        <w:r>
          <w:tab/>
          <w:t>(a)</w:t>
        </w:r>
        <w:r>
          <w:tab/>
          <w:t xml:space="preserve">meets the requirements set out in section 202MP(3) and (4); and </w:t>
        </w:r>
      </w:ins>
    </w:p>
    <w:p>
      <w:pPr>
        <w:pStyle w:val="Indenta"/>
        <w:rPr>
          <w:ins w:id="1428" w:author="Master Repository Process" w:date="2024-05-01T10:47:00Z"/>
        </w:rPr>
      </w:pPr>
      <w:ins w:id="1429" w:author="Master Repository Process" w:date="2024-05-01T10:47:00Z">
        <w:r>
          <w:tab/>
          <w:t>(b)</w:t>
        </w:r>
        <w:r>
          <w:tab/>
          <w:t>is disclosed or requested for a purpose referred to in section 202MQ.</w:t>
        </w:r>
      </w:ins>
    </w:p>
    <w:p>
      <w:pPr>
        <w:pStyle w:val="Subsection"/>
        <w:rPr>
          <w:ins w:id="1430" w:author="Master Repository Process" w:date="2024-05-01T10:47:00Z"/>
        </w:rPr>
      </w:pPr>
      <w:ins w:id="1431" w:author="Master Repository Process" w:date="2024-05-01T10:47:00Z">
        <w:r>
          <w:tab/>
          <w:t>(5B)</w:t>
        </w:r>
        <w:r>
          <w:tab/>
          <w:t>Subsection (5A) does not prevent the disclosure under subsection (3) of information about a suspected offence under section 202MN(1) to a person referred to in section 280(3).</w:t>
        </w:r>
      </w:ins>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Footnotesection"/>
        <w:rPr>
          <w:ins w:id="1432" w:author="Master Repository Process" w:date="2024-05-01T10:47:00Z"/>
        </w:rPr>
      </w:pPr>
      <w:ins w:id="1433" w:author="Master Repository Process" w:date="2024-05-01T10:47:00Z">
        <w:r>
          <w:tab/>
          <w:t>[Section 299 amended: No. 20 of 2023 s. 14.]</w:t>
        </w:r>
      </w:ins>
    </w:p>
    <w:p>
      <w:pPr>
        <w:pStyle w:val="Heading5"/>
      </w:pPr>
      <w:bookmarkStart w:id="1434" w:name="_Toc165449443"/>
      <w:bookmarkStart w:id="1435" w:name="_Toc158981174"/>
      <w:r>
        <w:rPr>
          <w:rStyle w:val="CharSectno"/>
        </w:rPr>
        <w:t>300</w:t>
      </w:r>
      <w:r>
        <w:t>.</w:t>
      </w:r>
      <w:r>
        <w:tab/>
        <w:t>Guidelines relating to information sharing</w:t>
      </w:r>
      <w:bookmarkEnd w:id="1434"/>
      <w:bookmarkEnd w:id="1435"/>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1436" w:name="_Toc165449444"/>
      <w:bookmarkStart w:id="1437" w:name="_Toc158981175"/>
      <w:r>
        <w:rPr>
          <w:rStyle w:val="CharSectno"/>
        </w:rPr>
        <w:t>301</w:t>
      </w:r>
      <w:r>
        <w:t>.</w:t>
      </w:r>
      <w:r>
        <w:tab/>
        <w:t>Regulations relating to information sharing</w:t>
      </w:r>
      <w:bookmarkEnd w:id="1436"/>
      <w:bookmarkEnd w:id="1437"/>
    </w:p>
    <w:p>
      <w:pPr>
        <w:pStyle w:val="Subsection"/>
        <w:keepNext/>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1438" w:name="_Toc165449445"/>
      <w:bookmarkStart w:id="1439" w:name="_Toc158981176"/>
      <w:r>
        <w:rPr>
          <w:rStyle w:val="CharSectno"/>
        </w:rPr>
        <w:t>302</w:t>
      </w:r>
      <w:r>
        <w:t>.</w:t>
      </w:r>
      <w:r>
        <w:tab/>
        <w:t>Confidential information officially obtained</w:t>
      </w:r>
      <w:bookmarkEnd w:id="1438"/>
      <w:bookmarkEnd w:id="1439"/>
    </w:p>
    <w:p>
      <w:pPr>
        <w:pStyle w:val="Subsection"/>
        <w:keepNext/>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1440" w:name="_Toc165383989"/>
      <w:bookmarkStart w:id="1441" w:name="_Toc165385100"/>
      <w:bookmarkStart w:id="1442" w:name="_Toc165449446"/>
      <w:bookmarkStart w:id="1443" w:name="_Toc158974766"/>
      <w:bookmarkStart w:id="1444" w:name="_Toc158975097"/>
      <w:bookmarkStart w:id="1445" w:name="_Toc158981177"/>
      <w:r>
        <w:rPr>
          <w:rStyle w:val="CharDivNo"/>
        </w:rPr>
        <w:t>Division 4</w:t>
      </w:r>
      <w:r>
        <w:t> — </w:t>
      </w:r>
      <w:r>
        <w:rPr>
          <w:rStyle w:val="CharDivText"/>
        </w:rPr>
        <w:t>Guidelines</w:t>
      </w:r>
      <w:bookmarkEnd w:id="1440"/>
      <w:bookmarkEnd w:id="1441"/>
      <w:bookmarkEnd w:id="1442"/>
      <w:bookmarkEnd w:id="1443"/>
      <w:bookmarkEnd w:id="1444"/>
      <w:bookmarkEnd w:id="1445"/>
    </w:p>
    <w:p>
      <w:pPr>
        <w:pStyle w:val="Heading5"/>
      </w:pPr>
      <w:bookmarkStart w:id="1446" w:name="_Toc165449447"/>
      <w:bookmarkStart w:id="1447" w:name="_Toc158981178"/>
      <w:r>
        <w:rPr>
          <w:rStyle w:val="CharSectno"/>
        </w:rPr>
        <w:t>303</w:t>
      </w:r>
      <w:r>
        <w:t>.</w:t>
      </w:r>
      <w:r>
        <w:tab/>
        <w:t>Guidelines</w:t>
      </w:r>
      <w:bookmarkEnd w:id="1446"/>
      <w:bookmarkEnd w:id="1447"/>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1448" w:name="_Toc165383991"/>
      <w:bookmarkStart w:id="1449" w:name="_Toc165385102"/>
      <w:bookmarkStart w:id="1450" w:name="_Toc165449448"/>
      <w:bookmarkStart w:id="1451" w:name="_Toc158974768"/>
      <w:bookmarkStart w:id="1452" w:name="_Toc158975099"/>
      <w:bookmarkStart w:id="1453" w:name="_Toc158981179"/>
      <w:r>
        <w:rPr>
          <w:rStyle w:val="CharDivNo"/>
        </w:rPr>
        <w:t>Division 5</w:t>
      </w:r>
      <w:r>
        <w:t> — </w:t>
      </w:r>
      <w:r>
        <w:rPr>
          <w:rStyle w:val="CharDivText"/>
        </w:rPr>
        <w:t>Regulations</w:t>
      </w:r>
      <w:bookmarkEnd w:id="1448"/>
      <w:bookmarkEnd w:id="1449"/>
      <w:bookmarkEnd w:id="1450"/>
      <w:bookmarkEnd w:id="1451"/>
      <w:bookmarkEnd w:id="1452"/>
      <w:bookmarkEnd w:id="1453"/>
    </w:p>
    <w:p>
      <w:pPr>
        <w:pStyle w:val="Heading5"/>
      </w:pPr>
      <w:bookmarkStart w:id="1454" w:name="_Toc165449449"/>
      <w:bookmarkStart w:id="1455" w:name="_Toc158981180"/>
      <w:r>
        <w:rPr>
          <w:rStyle w:val="CharSectno"/>
        </w:rPr>
        <w:t>304</w:t>
      </w:r>
      <w:r>
        <w:t>.</w:t>
      </w:r>
      <w:r>
        <w:tab/>
        <w:t>Regulations — general power</w:t>
      </w:r>
      <w:bookmarkEnd w:id="1454"/>
      <w:bookmarkEnd w:id="1455"/>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keepNext/>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keepNext/>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spacing w:before="160"/>
      </w:pPr>
      <w:bookmarkStart w:id="1456" w:name="_Toc165449450"/>
      <w:bookmarkStart w:id="1457" w:name="_Toc158981181"/>
      <w:r>
        <w:rPr>
          <w:rStyle w:val="CharSectno"/>
        </w:rPr>
        <w:t>305</w:t>
      </w:r>
      <w:r>
        <w:t>.</w:t>
      </w:r>
      <w:r>
        <w:tab/>
        <w:t>Regulations may adopt codes or legislation</w:t>
      </w:r>
      <w:bookmarkEnd w:id="1456"/>
      <w:bookmarkEnd w:id="1457"/>
    </w:p>
    <w:p>
      <w:pPr>
        <w:pStyle w:val="Subsection"/>
        <w:keepNext/>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1458" w:name="_Toc165383994"/>
      <w:bookmarkStart w:id="1459" w:name="_Toc165385105"/>
      <w:bookmarkStart w:id="1460" w:name="_Toc165449451"/>
      <w:bookmarkStart w:id="1461" w:name="_Toc158974771"/>
      <w:bookmarkStart w:id="1462" w:name="_Toc158975102"/>
      <w:bookmarkStart w:id="1463" w:name="_Toc158981182"/>
      <w:r>
        <w:rPr>
          <w:rStyle w:val="CharDivNo"/>
        </w:rPr>
        <w:t>Division 6</w:t>
      </w:r>
      <w:r>
        <w:t> — </w:t>
      </w:r>
      <w:r>
        <w:rPr>
          <w:rStyle w:val="CharDivText"/>
        </w:rPr>
        <w:t>Review of Act</w:t>
      </w:r>
      <w:bookmarkEnd w:id="1458"/>
      <w:bookmarkEnd w:id="1459"/>
      <w:bookmarkEnd w:id="1460"/>
      <w:bookmarkEnd w:id="1461"/>
      <w:bookmarkEnd w:id="1462"/>
      <w:bookmarkEnd w:id="1463"/>
    </w:p>
    <w:p>
      <w:pPr>
        <w:pStyle w:val="Heading5"/>
      </w:pPr>
      <w:bookmarkStart w:id="1464" w:name="_Toc165449452"/>
      <w:bookmarkStart w:id="1465" w:name="_Toc158981183"/>
      <w:r>
        <w:rPr>
          <w:rStyle w:val="CharSectno"/>
        </w:rPr>
        <w:t>306</w:t>
      </w:r>
      <w:r>
        <w:t>.</w:t>
      </w:r>
      <w:r>
        <w:tab/>
        <w:t>Review of Act</w:t>
      </w:r>
      <w:bookmarkEnd w:id="1464"/>
      <w:bookmarkEnd w:id="1465"/>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1466" w:name="_Toc165449453"/>
      <w:bookmarkStart w:id="1467" w:name="_Toc158981184"/>
      <w:r>
        <w:rPr>
          <w:rStyle w:val="CharSectno"/>
        </w:rPr>
        <w:t>306A</w:t>
      </w:r>
      <w:r>
        <w:rPr>
          <w:bCs/>
        </w:rPr>
        <w:t>.</w:t>
      </w:r>
      <w:r>
        <w:rPr>
          <w:bCs/>
        </w:rPr>
        <w:tab/>
        <w:t xml:space="preserve">Review of amendments made by </w:t>
      </w:r>
      <w:r>
        <w:rPr>
          <w:bCs/>
          <w:i/>
        </w:rPr>
        <w:t>Public Health Amendment (Immunisation Requirements for Enrolment) Act 2019</w:t>
      </w:r>
      <w:bookmarkEnd w:id="1466"/>
      <w:bookmarkEnd w:id="1467"/>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5"/>
      </w:pPr>
      <w:bookmarkStart w:id="1468" w:name="_Toc165449454"/>
      <w:bookmarkStart w:id="1469" w:name="_Toc158981185"/>
      <w:r>
        <w:rPr>
          <w:rStyle w:val="CharSectno"/>
        </w:rPr>
        <w:t>306B</w:t>
      </w:r>
      <w:r>
        <w:t>.</w:t>
      </w:r>
      <w:r>
        <w:tab/>
        <w:t xml:space="preserve">Review of amendments made by </w:t>
      </w:r>
      <w:r>
        <w:rPr>
          <w:i/>
        </w:rPr>
        <w:t>Public Health Amendment (Safe Access Zones) Act 2021</w:t>
      </w:r>
      <w:bookmarkEnd w:id="1468"/>
      <w:bookmarkEnd w:id="1469"/>
    </w:p>
    <w:p>
      <w:pPr>
        <w:pStyle w:val="Subsection"/>
        <w:rPr>
          <w:snapToGrid w:val="0"/>
        </w:rPr>
      </w:pPr>
      <w:r>
        <w:tab/>
        <w:t>(1)</w:t>
      </w:r>
      <w:r>
        <w:tab/>
      </w:r>
      <w:r>
        <w:rPr>
          <w:snapToGrid w:val="0"/>
        </w:rPr>
        <w:t xml:space="preserve">The Minister must review the operation and effectiveness of the amendments made to this Act by the </w:t>
      </w:r>
      <w:r>
        <w:rPr>
          <w:i/>
        </w:rPr>
        <w:t>Public Health Amendment (Safe Access Zones)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Public Health Amendment (Safe Access Zones) Act 2021</w:t>
      </w:r>
      <w:r>
        <w:t xml:space="preserve"> section 4</w:t>
      </w:r>
      <w:r>
        <w:rPr>
          <w:snapToGrid w:val="0"/>
        </w:rPr>
        <w:t xml:space="preserve"> comes into operation.</w:t>
      </w:r>
    </w:p>
    <w:p>
      <w:pPr>
        <w:pStyle w:val="Subsection"/>
        <w:keepNext/>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306B inserted: No. 9 of 2021 s. 5.]</w:t>
      </w:r>
    </w:p>
    <w:p>
      <w:pPr>
        <w:pStyle w:val="Heading5"/>
        <w:rPr>
          <w:ins w:id="1470" w:author="Master Repository Process" w:date="2024-05-01T10:47:00Z"/>
        </w:rPr>
      </w:pPr>
      <w:bookmarkStart w:id="1471" w:name="_Toc165449455"/>
      <w:ins w:id="1472" w:author="Master Repository Process" w:date="2024-05-01T10:47:00Z">
        <w:r>
          <w:rPr>
            <w:rStyle w:val="CharSectno"/>
          </w:rPr>
          <w:t>306C</w:t>
        </w:r>
        <w:r>
          <w:t>.</w:t>
        </w:r>
        <w:r>
          <w:tab/>
          <w:t xml:space="preserve">Review of amendments made by </w:t>
        </w:r>
        <w:r>
          <w:rPr>
            <w:i/>
          </w:rPr>
          <w:t>Abortion Legislation Reform Act 2023</w:t>
        </w:r>
        <w:bookmarkEnd w:id="1471"/>
      </w:ins>
    </w:p>
    <w:p>
      <w:pPr>
        <w:pStyle w:val="Subsection"/>
        <w:rPr>
          <w:ins w:id="1473" w:author="Master Repository Process" w:date="2024-05-01T10:47:00Z"/>
        </w:rPr>
      </w:pPr>
      <w:ins w:id="1474" w:author="Master Repository Process" w:date="2024-05-01T10:47:00Z">
        <w:r>
          <w:tab/>
          <w:t>(1)</w:t>
        </w:r>
        <w:r>
          <w:tab/>
          <w:t xml:space="preserve">The Minister must review the operation and effectiveness of the amendments made to this Act by the </w:t>
        </w:r>
        <w:r>
          <w:rPr>
            <w:i/>
          </w:rPr>
          <w:t>Abortion Legislation Reform Act 2023</w:t>
        </w:r>
        <w:r>
          <w:t>, and prepare a report based on the review, as soon as practicable after the 5</w:t>
        </w:r>
        <w:r>
          <w:rPr>
            <w:vertAlign w:val="superscript"/>
          </w:rPr>
          <w:t>th</w:t>
        </w:r>
        <w:r>
          <w:t xml:space="preserve"> anniversary of the day on which the </w:t>
        </w:r>
        <w:r>
          <w:rPr>
            <w:i/>
          </w:rPr>
          <w:t xml:space="preserve">Abortion Legislation Reform Act 2023 </w:t>
        </w:r>
        <w:r>
          <w:t>section 15 comes into operation.</w:t>
        </w:r>
      </w:ins>
    </w:p>
    <w:p>
      <w:pPr>
        <w:pStyle w:val="Subsection"/>
        <w:rPr>
          <w:ins w:id="1475" w:author="Master Repository Process" w:date="2024-05-01T10:47:00Z"/>
        </w:rPr>
      </w:pPr>
      <w:ins w:id="1476" w:author="Master Repository Process" w:date="2024-05-01T10:47:00Z">
        <w:r>
          <w:tab/>
          <w:t>(2)</w:t>
        </w:r>
        <w:r>
          <w:tab/>
          <w:t>The Minister must cause the report to be laid before each House of Parliament as soon as practicable after it is prepared, but not later than 12 months after the 5</w:t>
        </w:r>
        <w:r>
          <w:rPr>
            <w:vertAlign w:val="superscript"/>
          </w:rPr>
          <w:t>th</w:t>
        </w:r>
        <w:r>
          <w:t> anniversary.</w:t>
        </w:r>
      </w:ins>
    </w:p>
    <w:p>
      <w:pPr>
        <w:pStyle w:val="Footnotesection"/>
        <w:rPr>
          <w:ins w:id="1477" w:author="Master Repository Process" w:date="2024-05-01T10:47:00Z"/>
        </w:rPr>
      </w:pPr>
      <w:ins w:id="1478" w:author="Master Repository Process" w:date="2024-05-01T10:47:00Z">
        <w:r>
          <w:tab/>
          <w:t>[Section 306C inserted: No. 20 of 2023 s. 15.]</w:t>
        </w:r>
      </w:ins>
    </w:p>
    <w:p>
      <w:pPr>
        <w:pStyle w:val="Heading2"/>
      </w:pPr>
      <w:bookmarkStart w:id="1479" w:name="_Toc165383999"/>
      <w:bookmarkStart w:id="1480" w:name="_Toc165385110"/>
      <w:bookmarkStart w:id="1481" w:name="_Toc165449456"/>
      <w:bookmarkStart w:id="1482" w:name="_Toc158974775"/>
      <w:bookmarkStart w:id="1483" w:name="_Toc158975106"/>
      <w:bookmarkStart w:id="1484" w:name="_Toc158981186"/>
      <w:r>
        <w:rPr>
          <w:rStyle w:val="CharPartNo"/>
        </w:rPr>
        <w:t>Part 20</w:t>
      </w:r>
      <w:r>
        <w:rPr>
          <w:rStyle w:val="CharDivNo"/>
        </w:rPr>
        <w:t> </w:t>
      </w:r>
      <w:r>
        <w:t>—</w:t>
      </w:r>
      <w:r>
        <w:rPr>
          <w:rStyle w:val="CharDivText"/>
        </w:rPr>
        <w:t> </w:t>
      </w:r>
      <w:r>
        <w:rPr>
          <w:rStyle w:val="CharPartText"/>
        </w:rPr>
        <w:t>Transitional and savings provisions</w:t>
      </w:r>
      <w:bookmarkEnd w:id="1479"/>
      <w:bookmarkEnd w:id="1480"/>
      <w:bookmarkEnd w:id="1481"/>
      <w:bookmarkEnd w:id="1482"/>
      <w:bookmarkEnd w:id="1483"/>
      <w:bookmarkEnd w:id="1484"/>
    </w:p>
    <w:p>
      <w:pPr>
        <w:pStyle w:val="Heading5"/>
      </w:pPr>
      <w:bookmarkStart w:id="1485" w:name="_Toc165449457"/>
      <w:bookmarkStart w:id="1486" w:name="_Toc158981187"/>
      <w:r>
        <w:rPr>
          <w:rStyle w:val="CharSectno"/>
        </w:rPr>
        <w:t>307</w:t>
      </w:r>
      <w:r>
        <w:t>.</w:t>
      </w:r>
      <w:r>
        <w:tab/>
        <w:t>Terms used</w:t>
      </w:r>
      <w:bookmarkEnd w:id="1485"/>
      <w:bookmarkEnd w:id="1486"/>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1487" w:name="_Toc165449458"/>
      <w:bookmarkStart w:id="1488" w:name="_Toc158981188"/>
      <w:r>
        <w:rPr>
          <w:rStyle w:val="CharSectno"/>
        </w:rPr>
        <w:t>308</w:t>
      </w:r>
      <w:r>
        <w:t>.</w:t>
      </w:r>
      <w:r>
        <w:tab/>
        <w:t xml:space="preserve">Application of </w:t>
      </w:r>
      <w:r>
        <w:rPr>
          <w:i/>
          <w:iCs/>
        </w:rPr>
        <w:t>Interpretation Act 1984</w:t>
      </w:r>
      <w:bookmarkEnd w:id="1487"/>
      <w:bookmarkEnd w:id="1488"/>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1489" w:name="_Toc165449459"/>
      <w:bookmarkStart w:id="1490" w:name="_Toc158981189"/>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1489"/>
      <w:bookmarkEnd w:id="1490"/>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bookmarkStart w:id="1491" w:name="_Toc165449460"/>
      <w:bookmarkStart w:id="1492" w:name="_Toc158981190"/>
      <w:r>
        <w:rPr>
          <w:rStyle w:val="CharSectno"/>
        </w:rPr>
        <w:t>310</w:t>
      </w:r>
      <w:r>
        <w:t>.</w:t>
      </w:r>
      <w:r>
        <w:tab/>
        <w:t>Reference to Chief Health Officer to be temporarily read as Executive Director, Public Health for purposes of Part 17</w:t>
      </w:r>
      <w:bookmarkEnd w:id="1491"/>
      <w:bookmarkEnd w:id="1492"/>
    </w:p>
    <w:p>
      <w:pPr>
        <w:pStyle w:val="Subsection"/>
      </w:pPr>
      <w:r>
        <w:tab/>
      </w:r>
      <w:r>
        <w:tab/>
        <w:t>Until section 311 comes into operation, the reference to the Chief Health Officer in section 267(4)(a) is to be taken to be a reference to the Executive Director, Public Health in the Department.</w:t>
      </w:r>
    </w:p>
    <w:p>
      <w:pPr>
        <w:pStyle w:val="Heading5"/>
      </w:pPr>
      <w:bookmarkStart w:id="1493" w:name="_Toc165449461"/>
      <w:bookmarkStart w:id="1494" w:name="_Toc158981191"/>
      <w:r>
        <w:rPr>
          <w:rStyle w:val="CharSectno"/>
        </w:rPr>
        <w:t>311</w:t>
      </w:r>
      <w:r>
        <w:t>.</w:t>
      </w:r>
      <w:r>
        <w:tab/>
        <w:t>Executive Director, Public Health to hold office as Chief Health Officer</w:t>
      </w:r>
      <w:bookmarkEnd w:id="1493"/>
      <w:bookmarkEnd w:id="1494"/>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1495" w:name="_Toc165449462"/>
      <w:bookmarkStart w:id="1496" w:name="_Toc158981192"/>
      <w:r>
        <w:rPr>
          <w:rStyle w:val="CharSectno"/>
        </w:rPr>
        <w:t>312</w:t>
      </w:r>
      <w:r>
        <w:t>.</w:t>
      </w:r>
      <w:r>
        <w:tab/>
        <w:t>Environmental health officers to be authorised officers for certain purposes</w:t>
      </w:r>
      <w:bookmarkEnd w:id="1495"/>
      <w:bookmarkEnd w:id="1496"/>
    </w:p>
    <w:p>
      <w:pPr>
        <w:pStyle w:val="Subsection"/>
        <w:keepNext/>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pPr>
      <w:r>
        <w:t>[</w:t>
      </w:r>
      <w:r>
        <w:rPr>
          <w:b/>
        </w:rPr>
        <w:t>313</w:t>
      </w:r>
      <w:r>
        <w:t>-</w:t>
      </w:r>
      <w:r>
        <w:rPr>
          <w:b/>
        </w:rPr>
        <w:t>320.</w:t>
      </w:r>
      <w:r>
        <w:rPr>
          <w:b/>
        </w:rPr>
        <w:tab/>
      </w:r>
      <w:r>
        <w:t>Have not come into operation.]</w:t>
      </w:r>
    </w:p>
    <w:p>
      <w:pPr>
        <w:pStyle w:val="Heading5"/>
      </w:pPr>
      <w:bookmarkStart w:id="1497" w:name="_Toc165449463"/>
      <w:bookmarkStart w:id="1498" w:name="_Toc158981193"/>
      <w:r>
        <w:rPr>
          <w:rStyle w:val="CharSectno"/>
        </w:rPr>
        <w:t>321</w:t>
      </w:r>
      <w:r>
        <w:t>.</w:t>
      </w:r>
      <w:r>
        <w:tab/>
        <w:t xml:space="preserve">Transitional provisions for </w:t>
      </w:r>
      <w:r>
        <w:rPr>
          <w:i/>
        </w:rPr>
        <w:t>Blood and Tissue (Transmissible Diseases) Regulations 1985</w:t>
      </w:r>
      <w:bookmarkEnd w:id="1497"/>
      <w:bookmarkEnd w:id="1498"/>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1499" w:name="_Toc165449464"/>
      <w:bookmarkStart w:id="1500" w:name="_Toc158981194"/>
      <w:r>
        <w:rPr>
          <w:rStyle w:val="CharSectno"/>
        </w:rPr>
        <w:t>322</w:t>
      </w:r>
      <w:r>
        <w:t>.</w:t>
      </w:r>
      <w:r>
        <w:tab/>
        <w:t>Transitional regulations</w:t>
      </w:r>
      <w:bookmarkEnd w:id="1499"/>
      <w:bookmarkEnd w:id="150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Heading2"/>
        <w:rPr>
          <w:ins w:id="1501" w:author="Master Repository Process" w:date="2024-05-01T10:47:00Z"/>
        </w:rPr>
      </w:pPr>
      <w:bookmarkStart w:id="1502" w:name="_Toc165384008"/>
      <w:bookmarkStart w:id="1503" w:name="_Toc165385119"/>
      <w:bookmarkStart w:id="1504" w:name="_Toc165449465"/>
      <w:ins w:id="1505" w:author="Master Repository Process" w:date="2024-05-01T10:47:00Z">
        <w:r>
          <w:rPr>
            <w:rStyle w:val="CharPartNo"/>
          </w:rPr>
          <w:t>Part 21</w:t>
        </w:r>
        <w:r>
          <w:t> — </w:t>
        </w:r>
        <w:r>
          <w:rPr>
            <w:rStyle w:val="CharPartText"/>
          </w:rPr>
          <w:t xml:space="preserve">Transitional provisions for </w:t>
        </w:r>
        <w:r>
          <w:rPr>
            <w:rStyle w:val="CharPartText"/>
            <w:i/>
          </w:rPr>
          <w:t>Abortion Legislation Reform Act 2023</w:t>
        </w:r>
        <w:bookmarkEnd w:id="1502"/>
        <w:bookmarkEnd w:id="1503"/>
        <w:bookmarkEnd w:id="1504"/>
      </w:ins>
    </w:p>
    <w:p>
      <w:pPr>
        <w:pStyle w:val="Footnoteheading"/>
        <w:rPr>
          <w:ins w:id="1506" w:author="Master Repository Process" w:date="2024-05-01T10:47:00Z"/>
        </w:rPr>
      </w:pPr>
      <w:ins w:id="1507" w:author="Master Repository Process" w:date="2024-05-01T10:47:00Z">
        <w:r>
          <w:tab/>
          <w:t>[Heading inserted: No. 20 of 2023 s. 16.]</w:t>
        </w:r>
      </w:ins>
    </w:p>
    <w:p>
      <w:pPr>
        <w:pStyle w:val="Heading5"/>
        <w:rPr>
          <w:ins w:id="1508" w:author="Master Repository Process" w:date="2024-05-01T10:47:00Z"/>
        </w:rPr>
      </w:pPr>
      <w:bookmarkStart w:id="1509" w:name="_Toc165449466"/>
      <w:ins w:id="1510" w:author="Master Repository Process" w:date="2024-05-01T10:47:00Z">
        <w:r>
          <w:rPr>
            <w:rStyle w:val="CharSectno"/>
          </w:rPr>
          <w:t>323</w:t>
        </w:r>
        <w:r>
          <w:t>.</w:t>
        </w:r>
        <w:r>
          <w:tab/>
          <w:t>Term used: commencement day</w:t>
        </w:r>
        <w:bookmarkEnd w:id="1509"/>
      </w:ins>
    </w:p>
    <w:p>
      <w:pPr>
        <w:pStyle w:val="Subsection"/>
        <w:rPr>
          <w:ins w:id="1511" w:author="Master Repository Process" w:date="2024-05-01T10:47:00Z"/>
        </w:rPr>
      </w:pPr>
      <w:ins w:id="1512" w:author="Master Repository Process" w:date="2024-05-01T10:47:00Z">
        <w:r>
          <w:tab/>
        </w:r>
        <w:r>
          <w:tab/>
          <w:t xml:space="preserve">In this Part — </w:t>
        </w:r>
      </w:ins>
    </w:p>
    <w:p>
      <w:pPr>
        <w:pStyle w:val="Defstart"/>
        <w:rPr>
          <w:ins w:id="1513" w:author="Master Repository Process" w:date="2024-05-01T10:47:00Z"/>
        </w:rPr>
      </w:pPr>
      <w:ins w:id="1514" w:author="Master Repository Process" w:date="2024-05-01T10:47:00Z">
        <w:r>
          <w:tab/>
        </w:r>
        <w:r>
          <w:rPr>
            <w:rStyle w:val="CharDefText"/>
          </w:rPr>
          <w:t>commencement day</w:t>
        </w:r>
        <w:r>
          <w:t xml:space="preserve"> means the day on which the </w:t>
        </w:r>
        <w:r>
          <w:rPr>
            <w:i/>
          </w:rPr>
          <w:t>Abortion Legislation Reform Act 2023</w:t>
        </w:r>
        <w:r>
          <w:t xml:space="preserve"> section 16 comes into operation.</w:t>
        </w:r>
      </w:ins>
    </w:p>
    <w:p>
      <w:pPr>
        <w:pStyle w:val="Footnotesection"/>
        <w:rPr>
          <w:ins w:id="1515" w:author="Master Repository Process" w:date="2024-05-01T10:47:00Z"/>
        </w:rPr>
      </w:pPr>
      <w:ins w:id="1516" w:author="Master Repository Process" w:date="2024-05-01T10:47:00Z">
        <w:r>
          <w:tab/>
          <w:t>[Section 323 inserted: No. 20 of 2023 s. 16.]</w:t>
        </w:r>
      </w:ins>
    </w:p>
    <w:p>
      <w:pPr>
        <w:pStyle w:val="Heading5"/>
        <w:rPr>
          <w:ins w:id="1517" w:author="Master Repository Process" w:date="2024-05-01T10:47:00Z"/>
        </w:rPr>
      </w:pPr>
      <w:bookmarkStart w:id="1518" w:name="_Toc165449467"/>
      <w:ins w:id="1519" w:author="Master Repository Process" w:date="2024-05-01T10:47:00Z">
        <w:r>
          <w:rPr>
            <w:rStyle w:val="CharSectno"/>
          </w:rPr>
          <w:t>324</w:t>
        </w:r>
        <w:r>
          <w:t>.</w:t>
        </w:r>
        <w:r>
          <w:tab/>
          <w:t xml:space="preserve">Decisions made under </w:t>
        </w:r>
        <w:r>
          <w:rPr>
            <w:i/>
          </w:rPr>
          <w:t>Health (Miscellaneous Provisions) Act 1911</w:t>
        </w:r>
        <w:r>
          <w:t xml:space="preserve"> s. 334(7)(a) before commencement day</w:t>
        </w:r>
        <w:bookmarkEnd w:id="1518"/>
      </w:ins>
    </w:p>
    <w:p>
      <w:pPr>
        <w:pStyle w:val="Subsection"/>
        <w:rPr>
          <w:ins w:id="1520" w:author="Master Repository Process" w:date="2024-05-01T10:47:00Z"/>
        </w:rPr>
      </w:pPr>
      <w:ins w:id="1521" w:author="Master Repository Process" w:date="2024-05-01T10:47:00Z">
        <w:r>
          <w:tab/>
          <w:t>(1)</w:t>
        </w:r>
        <w:r>
          <w:tab/>
          <w:t xml:space="preserve">This section applies if — </w:t>
        </w:r>
      </w:ins>
    </w:p>
    <w:p>
      <w:pPr>
        <w:pStyle w:val="Indenta"/>
        <w:rPr>
          <w:ins w:id="1522" w:author="Master Repository Process" w:date="2024-05-01T10:47:00Z"/>
        </w:rPr>
      </w:pPr>
      <w:ins w:id="1523" w:author="Master Repository Process" w:date="2024-05-01T10:47:00Z">
        <w:r>
          <w:tab/>
          <w:t>(a)</w:t>
        </w:r>
        <w:r>
          <w:tab/>
          <w:t xml:space="preserve">before commencement day under the </w:t>
        </w:r>
        <w:r>
          <w:rPr>
            <w:i/>
          </w:rPr>
          <w:t>Health (Miscellaneous Provisions) Act 1911</w:t>
        </w:r>
        <w:r>
          <w:t xml:space="preserve"> section 334(7)(a) 2 medical practitioners agree that the performance of an abortion on a person is justified; and</w:t>
        </w:r>
      </w:ins>
    </w:p>
    <w:p>
      <w:pPr>
        <w:pStyle w:val="Indenta"/>
        <w:rPr>
          <w:ins w:id="1524" w:author="Master Repository Process" w:date="2024-05-01T10:47:00Z"/>
        </w:rPr>
      </w:pPr>
      <w:ins w:id="1525" w:author="Master Repository Process" w:date="2024-05-01T10:47:00Z">
        <w:r>
          <w:tab/>
          <w:t>(b)</w:t>
        </w:r>
        <w:r>
          <w:tab/>
          <w:t>immediately before commencement day the abortion has not yet been performed on the person.</w:t>
        </w:r>
      </w:ins>
    </w:p>
    <w:p>
      <w:pPr>
        <w:pStyle w:val="Subsection"/>
        <w:rPr>
          <w:ins w:id="1526" w:author="Master Repository Process" w:date="2024-05-01T10:47:00Z"/>
        </w:rPr>
      </w:pPr>
      <w:ins w:id="1527" w:author="Master Repository Process" w:date="2024-05-01T10:47:00Z">
        <w:r>
          <w:tab/>
          <w:t>(2)</w:t>
        </w:r>
        <w:r>
          <w:tab/>
          <w:t xml:space="preserve">On and after commencement day, to the extent that section 202ME(1) applies to the performance of the abortion — </w:t>
        </w:r>
      </w:ins>
    </w:p>
    <w:p>
      <w:pPr>
        <w:pStyle w:val="Indenta"/>
        <w:rPr>
          <w:ins w:id="1528" w:author="Master Repository Process" w:date="2024-05-01T10:47:00Z"/>
        </w:rPr>
      </w:pPr>
      <w:ins w:id="1529" w:author="Master Repository Process" w:date="2024-05-01T10:47:00Z">
        <w:r>
          <w:tab/>
          <w:t>(a)</w:t>
        </w:r>
        <w:r>
          <w:tab/>
          <w:t>the requirements referred to in section 202ME(1)(a) and (b) are taken to have been complied with; and</w:t>
        </w:r>
      </w:ins>
    </w:p>
    <w:p>
      <w:pPr>
        <w:pStyle w:val="Indenta"/>
        <w:rPr>
          <w:ins w:id="1530" w:author="Master Repository Process" w:date="2024-05-01T10:47:00Z"/>
        </w:rPr>
      </w:pPr>
      <w:ins w:id="1531" w:author="Master Repository Process" w:date="2024-05-01T10:47:00Z">
        <w:r>
          <w:tab/>
          <w:t>(b)</w:t>
        </w:r>
        <w:r>
          <w:tab/>
          <w:t>a medical practitioner is authorised under that section to perform the abortion.</w:t>
        </w:r>
      </w:ins>
    </w:p>
    <w:p>
      <w:pPr>
        <w:pStyle w:val="Footnotesection"/>
        <w:rPr>
          <w:ins w:id="1532" w:author="Master Repository Process" w:date="2024-05-01T10:47:00Z"/>
        </w:rPr>
      </w:pPr>
      <w:ins w:id="1533" w:author="Master Repository Process" w:date="2024-05-01T10:47:00Z">
        <w:r>
          <w:tab/>
          <w:t>[Section 324 inserted: No. 20 of 2023 s. 16.]</w:t>
        </w:r>
      </w:ins>
    </w:p>
    <w:p>
      <w:pPr>
        <w:pStyle w:val="Heading5"/>
        <w:rPr>
          <w:ins w:id="1534" w:author="Master Repository Process" w:date="2024-05-01T10:47:00Z"/>
        </w:rPr>
      </w:pPr>
      <w:bookmarkStart w:id="1535" w:name="_Toc165449468"/>
      <w:ins w:id="1536" w:author="Master Repository Process" w:date="2024-05-01T10:47:00Z">
        <w:r>
          <w:rPr>
            <w:rStyle w:val="CharSectno"/>
          </w:rPr>
          <w:t>325</w:t>
        </w:r>
        <w:r>
          <w:t>.</w:t>
        </w:r>
        <w:r>
          <w:tab/>
          <w:t xml:space="preserve">Applications made under </w:t>
        </w:r>
        <w:r>
          <w:rPr>
            <w:i/>
          </w:rPr>
          <w:t>Health (Miscellaneous Provisions) Act 1911</w:t>
        </w:r>
        <w:r>
          <w:t xml:space="preserve"> s. 334(9) before commencement day</w:t>
        </w:r>
        <w:bookmarkEnd w:id="1535"/>
      </w:ins>
    </w:p>
    <w:p>
      <w:pPr>
        <w:pStyle w:val="Subsection"/>
        <w:keepLines/>
        <w:rPr>
          <w:ins w:id="1537" w:author="Master Repository Process" w:date="2024-05-01T10:47:00Z"/>
        </w:rPr>
      </w:pPr>
      <w:ins w:id="1538" w:author="Master Repository Process" w:date="2024-05-01T10:47:00Z">
        <w:r>
          <w:tab/>
        </w:r>
        <w:r>
          <w:tab/>
          <w:t xml:space="preserve">If, immediately before commencement day, an application made to the Children’s Court under the </w:t>
        </w:r>
        <w:r>
          <w:rPr>
            <w:i/>
          </w:rPr>
          <w:t>Health (Miscellaneous Provisions) Act 1911</w:t>
        </w:r>
        <w:r>
          <w:t xml:space="preserve"> section 334(9) has not been determined by the Children’s Court, the application is taken to have been discontinued on commencement day.</w:t>
        </w:r>
      </w:ins>
    </w:p>
    <w:p>
      <w:pPr>
        <w:pStyle w:val="Footnotesection"/>
        <w:rPr>
          <w:ins w:id="1539" w:author="Master Repository Process" w:date="2024-05-01T10:47:00Z"/>
        </w:rPr>
      </w:pPr>
      <w:ins w:id="1540" w:author="Master Repository Process" w:date="2024-05-01T10:47:00Z">
        <w:r>
          <w:tab/>
          <w:t>[Section 325 inserted: No. 20 of 2023 s. 16.]</w:t>
        </w:r>
      </w:ins>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1541" w:name="_Toc165384012"/>
      <w:bookmarkStart w:id="1542" w:name="_Toc165385123"/>
      <w:bookmarkStart w:id="1543" w:name="_Toc165449469"/>
      <w:bookmarkStart w:id="1544" w:name="_Toc158974784"/>
      <w:bookmarkStart w:id="1545" w:name="_Toc158975115"/>
      <w:bookmarkStart w:id="1546" w:name="_Toc158981195"/>
      <w:r>
        <w:t>Notes</w:t>
      </w:r>
      <w:bookmarkEnd w:id="1541"/>
      <w:bookmarkEnd w:id="1542"/>
      <w:bookmarkEnd w:id="1543"/>
      <w:bookmarkEnd w:id="1544"/>
      <w:bookmarkEnd w:id="1545"/>
      <w:bookmarkEnd w:id="1546"/>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547" w:name="_Toc165449470"/>
      <w:bookmarkStart w:id="1548" w:name="_Toc158981196"/>
      <w:r>
        <w:t>Compilation table</w:t>
      </w:r>
      <w:bookmarkEnd w:id="1547"/>
      <w:bookmarkEnd w:id="154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nil"/>
              <w:right w:val="nil"/>
            </w:tcBorders>
          </w:tcPr>
          <w:p>
            <w:pPr>
              <w:pStyle w:val="nTable"/>
              <w:spacing w:after="40"/>
              <w:rPr>
                <w:i/>
              </w:rPr>
            </w:pPr>
            <w:r>
              <w:rPr>
                <w:i/>
                <w:noProof/>
              </w:rPr>
              <w:t>Public Health Amendment (Immunisation Requirements for Enrolment) Act 2019</w:t>
            </w:r>
            <w:r>
              <w:rPr>
                <w:noProof/>
              </w:rPr>
              <w:t xml:space="preserve"> Pt. 2</w:t>
            </w:r>
          </w:p>
        </w:tc>
        <w:tc>
          <w:tcPr>
            <w:tcW w:w="1134" w:type="dxa"/>
            <w:tcBorders>
              <w:top w:val="nil"/>
              <w:left w:val="nil"/>
              <w:bottom w:val="nil"/>
              <w:right w:val="nil"/>
            </w:tcBorders>
          </w:tcPr>
          <w:p>
            <w:pPr>
              <w:pStyle w:val="nTable"/>
              <w:keepNext/>
              <w:spacing w:after="40"/>
            </w:pPr>
            <w:r>
              <w:t>14 of 2019</w:t>
            </w:r>
          </w:p>
        </w:tc>
        <w:tc>
          <w:tcPr>
            <w:tcW w:w="1134" w:type="dxa"/>
            <w:tcBorders>
              <w:top w:val="nil"/>
              <w:left w:val="nil"/>
              <w:bottom w:val="nil"/>
              <w:right w:val="nil"/>
            </w:tcBorders>
          </w:tcPr>
          <w:p>
            <w:pPr>
              <w:pStyle w:val="nTable"/>
              <w:keepNext/>
              <w:spacing w:after="40"/>
            </w:pPr>
            <w:r>
              <w:t>5 Jul 2019</w:t>
            </w:r>
          </w:p>
        </w:tc>
        <w:tc>
          <w:tcPr>
            <w:tcW w:w="2552" w:type="dxa"/>
            <w:tcBorders>
              <w:top w:val="nil"/>
              <w:left w:val="nil"/>
              <w:bottom w:val="nil"/>
            </w:tcBorders>
          </w:tcPr>
          <w:p>
            <w:pPr>
              <w:pStyle w:val="nTable"/>
              <w:keepNext/>
            </w:pPr>
            <w:r>
              <w:t>s. 3: 5 Jul 2019 (see s. 2(a));</w:t>
            </w:r>
            <w:r>
              <w:br/>
              <w:t>s. 4</w:t>
            </w:r>
            <w:r>
              <w:noBreakHyphen/>
              <w:t xml:space="preserve">12: 22 Jul 2019 (see s. 2(b) and </w:t>
            </w:r>
            <w:r>
              <w:rPr>
                <w:i/>
              </w:rPr>
              <w:t>Gazette</w:t>
            </w:r>
            <w:r>
              <w:t xml:space="preserve"> 19 Jul 2019 p. 2841)</w:t>
            </w:r>
          </w:p>
        </w:tc>
      </w:tr>
      <w:tr>
        <w:trPr>
          <w:cantSplit/>
        </w:trPr>
        <w:tc>
          <w:tcPr>
            <w:tcW w:w="2268" w:type="dxa"/>
            <w:tcBorders>
              <w:top w:val="nil"/>
              <w:bottom w:val="nil"/>
              <w:right w:val="nil"/>
            </w:tcBorders>
          </w:tcPr>
          <w:p>
            <w:pPr>
              <w:pStyle w:val="nTable"/>
              <w:spacing w:after="40"/>
              <w:rPr>
                <w:i/>
                <w:noProof/>
              </w:rPr>
            </w:pPr>
            <w:r>
              <w:rPr>
                <w:i/>
                <w:noProof/>
              </w:rPr>
              <w:t>Public Health Amendment (COVID-19 Response) Act 2020</w:t>
            </w:r>
          </w:p>
        </w:tc>
        <w:tc>
          <w:tcPr>
            <w:tcW w:w="1134" w:type="dxa"/>
            <w:tcBorders>
              <w:top w:val="nil"/>
              <w:left w:val="nil"/>
              <w:bottom w:val="nil"/>
              <w:right w:val="nil"/>
            </w:tcBorders>
          </w:tcPr>
          <w:p>
            <w:pPr>
              <w:pStyle w:val="nTable"/>
              <w:keepNext/>
              <w:spacing w:after="40"/>
            </w:pPr>
            <w:r>
              <w:t>33 of 2020</w:t>
            </w:r>
          </w:p>
        </w:tc>
        <w:tc>
          <w:tcPr>
            <w:tcW w:w="1134" w:type="dxa"/>
            <w:tcBorders>
              <w:top w:val="nil"/>
              <w:left w:val="nil"/>
              <w:bottom w:val="nil"/>
              <w:right w:val="nil"/>
            </w:tcBorders>
          </w:tcPr>
          <w:p>
            <w:pPr>
              <w:pStyle w:val="nTable"/>
              <w:keepNext/>
              <w:spacing w:after="40"/>
            </w:pPr>
            <w:r>
              <w:t>21 Aug 2020</w:t>
            </w:r>
          </w:p>
        </w:tc>
        <w:tc>
          <w:tcPr>
            <w:tcW w:w="2552" w:type="dxa"/>
            <w:tcBorders>
              <w:top w:val="nil"/>
              <w:left w:val="nil"/>
              <w:bottom w:val="nil"/>
            </w:tcBorders>
          </w:tcPr>
          <w:p>
            <w:pPr>
              <w:pStyle w:val="nTable"/>
              <w:keepNext/>
            </w:pPr>
            <w:r>
              <w:t>s. 1 and 2: 21 Aug 2020 (see s. 2(1)(a));</w:t>
            </w:r>
            <w:r>
              <w:br/>
              <w:t>Act other than s. 1 and 2: 12 Sep 2020 (see s. 2(1)(b) and SL 2020/153 cl. 2)</w:t>
            </w:r>
          </w:p>
        </w:tc>
      </w:tr>
      <w:tr>
        <w:trPr>
          <w:cantSplit/>
        </w:trPr>
        <w:tc>
          <w:tcPr>
            <w:tcW w:w="2268" w:type="dxa"/>
            <w:tcBorders>
              <w:top w:val="nil"/>
              <w:bottom w:val="nil"/>
              <w:right w:val="nil"/>
            </w:tcBorders>
          </w:tcPr>
          <w:p>
            <w:pPr>
              <w:pStyle w:val="nTable"/>
              <w:spacing w:after="40"/>
              <w:rPr>
                <w:i/>
                <w:noProof/>
              </w:rPr>
            </w:pPr>
            <w:r>
              <w:rPr>
                <w:i/>
              </w:rPr>
              <w:t>Public Health Amendment (Safe Access Zones) Act 2021</w:t>
            </w:r>
          </w:p>
        </w:tc>
        <w:tc>
          <w:tcPr>
            <w:tcW w:w="1134" w:type="dxa"/>
            <w:tcBorders>
              <w:top w:val="nil"/>
              <w:left w:val="nil"/>
              <w:bottom w:val="nil"/>
              <w:right w:val="nil"/>
            </w:tcBorders>
          </w:tcPr>
          <w:p>
            <w:pPr>
              <w:pStyle w:val="nTable"/>
              <w:keepNext/>
              <w:spacing w:after="40"/>
            </w:pPr>
            <w:r>
              <w:t>9 of 2021</w:t>
            </w:r>
          </w:p>
        </w:tc>
        <w:tc>
          <w:tcPr>
            <w:tcW w:w="1134" w:type="dxa"/>
            <w:tcBorders>
              <w:top w:val="nil"/>
              <w:left w:val="nil"/>
              <w:bottom w:val="nil"/>
              <w:right w:val="nil"/>
            </w:tcBorders>
          </w:tcPr>
          <w:p>
            <w:pPr>
              <w:pStyle w:val="nTable"/>
              <w:keepNext/>
              <w:spacing w:after="40"/>
            </w:pPr>
            <w:r>
              <w:t>17 Aug 2021</w:t>
            </w:r>
          </w:p>
        </w:tc>
        <w:tc>
          <w:tcPr>
            <w:tcW w:w="2552" w:type="dxa"/>
            <w:tcBorders>
              <w:top w:val="nil"/>
              <w:left w:val="nil"/>
              <w:bottom w:val="nil"/>
            </w:tcBorders>
          </w:tcPr>
          <w:p>
            <w:pPr>
              <w:pStyle w:val="nTable"/>
              <w:keepNext/>
            </w:pPr>
            <w:r>
              <w:t>s. 1 and 2: 17 Aug 2021 (see s. 2(a));</w:t>
            </w:r>
            <w:r>
              <w:br/>
              <w:t>Act other tha s. 1 and 2: 18 Aug 2021 (see s. 2(b))</w:t>
            </w:r>
          </w:p>
        </w:tc>
      </w:tr>
      <w:tr>
        <w:trPr>
          <w:cantSplit/>
        </w:trPr>
        <w:tc>
          <w:tcPr>
            <w:tcW w:w="2268" w:type="dxa"/>
            <w:tcBorders>
              <w:top w:val="nil"/>
              <w:bottom w:val="nil"/>
              <w:right w:val="nil"/>
            </w:tcBorders>
          </w:tcPr>
          <w:p>
            <w:pPr>
              <w:pStyle w:val="nTable"/>
              <w:spacing w:after="40"/>
              <w:rPr>
                <w:i/>
              </w:rPr>
            </w:pPr>
            <w:r>
              <w:rPr>
                <w:i/>
              </w:rPr>
              <w:t>Emergency Management Amendment (Temporary COVID</w:t>
            </w:r>
            <w:r>
              <w:rPr>
                <w:i/>
              </w:rPr>
              <w:noBreakHyphen/>
              <w:t>19 Provisions) Act 2022</w:t>
            </w:r>
            <w:r>
              <w:t xml:space="preserve"> Pt. 2 Div. 2 Subdiv. 5</w:t>
            </w:r>
          </w:p>
        </w:tc>
        <w:tc>
          <w:tcPr>
            <w:tcW w:w="1134" w:type="dxa"/>
            <w:tcBorders>
              <w:top w:val="nil"/>
              <w:left w:val="nil"/>
              <w:bottom w:val="nil"/>
              <w:right w:val="nil"/>
            </w:tcBorders>
          </w:tcPr>
          <w:p>
            <w:pPr>
              <w:pStyle w:val="nTable"/>
              <w:keepNext/>
              <w:spacing w:after="40"/>
            </w:pPr>
            <w:r>
              <w:t>33 of 2022</w:t>
            </w:r>
          </w:p>
        </w:tc>
        <w:tc>
          <w:tcPr>
            <w:tcW w:w="1134" w:type="dxa"/>
            <w:tcBorders>
              <w:top w:val="nil"/>
              <w:left w:val="nil"/>
              <w:bottom w:val="nil"/>
              <w:right w:val="nil"/>
            </w:tcBorders>
          </w:tcPr>
          <w:p>
            <w:pPr>
              <w:pStyle w:val="nTable"/>
              <w:keepNext/>
              <w:spacing w:after="40"/>
            </w:pPr>
            <w:r>
              <w:t>21 Oct 2022</w:t>
            </w:r>
          </w:p>
        </w:tc>
        <w:tc>
          <w:tcPr>
            <w:tcW w:w="2552" w:type="dxa"/>
            <w:tcBorders>
              <w:top w:val="nil"/>
              <w:left w:val="nil"/>
              <w:bottom w:val="nil"/>
            </w:tcBorders>
          </w:tcPr>
          <w:p>
            <w:pPr>
              <w:pStyle w:val="nTable"/>
              <w:keepNext/>
            </w:pPr>
            <w:r>
              <w:t>3 Nov 2022 (see s. 2(b) and SL 2022/175 cl. 2)</w:t>
            </w:r>
          </w:p>
        </w:tc>
      </w:tr>
      <w:tr>
        <w:trPr>
          <w:cantSplit/>
        </w:trPr>
        <w:tc>
          <w:tcPr>
            <w:tcW w:w="2268" w:type="dxa"/>
            <w:tcBorders>
              <w:top w:val="nil"/>
              <w:bottom w:val="nil"/>
              <w:right w:val="nil"/>
            </w:tcBorders>
          </w:tcPr>
          <w:p>
            <w:pPr>
              <w:pStyle w:val="nTable"/>
              <w:spacing w:after="40"/>
            </w:pPr>
            <w:r>
              <w:rPr>
                <w:i/>
              </w:rPr>
              <w:t>Directors’ Liability Reform Act 2023</w:t>
            </w:r>
            <w:r>
              <w:t xml:space="preserve"> Pt. 3 Div. 51</w:t>
            </w:r>
          </w:p>
        </w:tc>
        <w:tc>
          <w:tcPr>
            <w:tcW w:w="1134" w:type="dxa"/>
            <w:tcBorders>
              <w:top w:val="nil"/>
              <w:left w:val="nil"/>
              <w:bottom w:val="nil"/>
              <w:right w:val="nil"/>
            </w:tcBorders>
          </w:tcPr>
          <w:p>
            <w:pPr>
              <w:pStyle w:val="nTable"/>
              <w:keepNext/>
              <w:spacing w:after="40"/>
            </w:pPr>
            <w:r>
              <w:t>9 of 2023</w:t>
            </w:r>
          </w:p>
        </w:tc>
        <w:tc>
          <w:tcPr>
            <w:tcW w:w="1134" w:type="dxa"/>
            <w:tcBorders>
              <w:top w:val="nil"/>
              <w:left w:val="nil"/>
              <w:bottom w:val="nil"/>
              <w:right w:val="nil"/>
            </w:tcBorders>
          </w:tcPr>
          <w:p>
            <w:pPr>
              <w:pStyle w:val="nTable"/>
              <w:keepNext/>
              <w:spacing w:after="40"/>
            </w:pPr>
            <w:r>
              <w:t>4 Apr 2023</w:t>
            </w:r>
          </w:p>
        </w:tc>
        <w:tc>
          <w:tcPr>
            <w:tcW w:w="2552" w:type="dxa"/>
            <w:tcBorders>
              <w:top w:val="nil"/>
              <w:left w:val="nil"/>
              <w:bottom w:val="nil"/>
            </w:tcBorders>
          </w:tcPr>
          <w:p>
            <w:pPr>
              <w:pStyle w:val="nTable"/>
              <w:keepNext/>
            </w:pPr>
            <w:r>
              <w:t>5 Apr 2023 (see s. 2(j))</w:t>
            </w:r>
          </w:p>
        </w:tc>
      </w:tr>
      <w:tr>
        <w:trPr>
          <w:cantSplit/>
          <w:ins w:id="1549" w:author="Master Repository Process" w:date="2024-05-01T10:47:00Z"/>
        </w:trPr>
        <w:tc>
          <w:tcPr>
            <w:tcW w:w="2268" w:type="dxa"/>
            <w:tcBorders>
              <w:top w:val="nil"/>
              <w:bottom w:val="single" w:sz="4" w:space="0" w:color="auto"/>
              <w:right w:val="nil"/>
            </w:tcBorders>
          </w:tcPr>
          <w:p>
            <w:pPr>
              <w:pStyle w:val="nTable"/>
              <w:spacing w:after="40"/>
              <w:rPr>
                <w:ins w:id="1550" w:author="Master Repository Process" w:date="2024-05-01T10:47:00Z"/>
                <w:i/>
              </w:rPr>
            </w:pPr>
            <w:ins w:id="1551" w:author="Master Repository Process" w:date="2024-05-01T10:47:00Z">
              <w:r>
                <w:rPr>
                  <w:i/>
                </w:rPr>
                <w:t>Abortion Legislation Reform Act 2023</w:t>
              </w:r>
              <w:r>
                <w:t xml:space="preserve"> Pt. 3</w:t>
              </w:r>
            </w:ins>
          </w:p>
        </w:tc>
        <w:tc>
          <w:tcPr>
            <w:tcW w:w="1134" w:type="dxa"/>
            <w:tcBorders>
              <w:top w:val="nil"/>
              <w:left w:val="nil"/>
              <w:bottom w:val="single" w:sz="4" w:space="0" w:color="auto"/>
              <w:right w:val="nil"/>
            </w:tcBorders>
          </w:tcPr>
          <w:p>
            <w:pPr>
              <w:pStyle w:val="nTable"/>
              <w:keepNext/>
              <w:spacing w:after="40"/>
              <w:rPr>
                <w:ins w:id="1552" w:author="Master Repository Process" w:date="2024-05-01T10:47:00Z"/>
              </w:rPr>
            </w:pPr>
            <w:ins w:id="1553" w:author="Master Repository Process" w:date="2024-05-01T10:47:00Z">
              <w:r>
                <w:t>20 of 2023</w:t>
              </w:r>
            </w:ins>
          </w:p>
        </w:tc>
        <w:tc>
          <w:tcPr>
            <w:tcW w:w="1134" w:type="dxa"/>
            <w:tcBorders>
              <w:top w:val="nil"/>
              <w:left w:val="nil"/>
              <w:bottom w:val="single" w:sz="4" w:space="0" w:color="auto"/>
              <w:right w:val="nil"/>
            </w:tcBorders>
          </w:tcPr>
          <w:p>
            <w:pPr>
              <w:pStyle w:val="nTable"/>
              <w:keepNext/>
              <w:spacing w:after="40"/>
              <w:rPr>
                <w:ins w:id="1554" w:author="Master Repository Process" w:date="2024-05-01T10:47:00Z"/>
              </w:rPr>
            </w:pPr>
            <w:ins w:id="1555" w:author="Master Repository Process" w:date="2024-05-01T10:47:00Z">
              <w:r>
                <w:t>27 Sep 2023</w:t>
              </w:r>
            </w:ins>
          </w:p>
        </w:tc>
        <w:tc>
          <w:tcPr>
            <w:tcW w:w="2552" w:type="dxa"/>
            <w:tcBorders>
              <w:top w:val="nil"/>
              <w:left w:val="nil"/>
              <w:bottom w:val="single" w:sz="4" w:space="0" w:color="auto"/>
            </w:tcBorders>
          </w:tcPr>
          <w:p>
            <w:pPr>
              <w:pStyle w:val="nTable"/>
              <w:keepNext/>
              <w:rPr>
                <w:ins w:id="1556" w:author="Master Repository Process" w:date="2024-05-01T10:47:00Z"/>
              </w:rPr>
            </w:pPr>
            <w:ins w:id="1557" w:author="Master Repository Process" w:date="2024-05-01T10:47:00Z">
              <w:r>
                <w:t>27 Mar 2024 (see s. 2(b) and SL 2024/21 cl. 2)</w:t>
              </w:r>
            </w:ins>
          </w:p>
        </w:tc>
      </w:tr>
    </w:tbl>
    <w:p>
      <w:pPr>
        <w:pStyle w:val="nHeading3"/>
      </w:pPr>
      <w:bookmarkStart w:id="1558" w:name="_Toc165449471"/>
      <w:bookmarkStart w:id="1559" w:name="_Toc158981197"/>
      <w:r>
        <w:t>Uncommenced provisions table</w:t>
      </w:r>
      <w:bookmarkEnd w:id="1558"/>
      <w:bookmarkEnd w:id="1559"/>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nil"/>
            </w:tcBorders>
          </w:tcPr>
          <w:p>
            <w:pPr>
              <w:pStyle w:val="nTable"/>
              <w:spacing w:after="40"/>
            </w:pPr>
            <w:r>
              <w:t>18 of 2016</w:t>
            </w:r>
          </w:p>
        </w:tc>
        <w:tc>
          <w:tcPr>
            <w:tcW w:w="1134" w:type="dxa"/>
            <w:tcBorders>
              <w:top w:val="single" w:sz="8" w:space="0" w:color="auto"/>
              <w:bottom w:val="nil"/>
            </w:tcBorders>
          </w:tcPr>
          <w:p>
            <w:pPr>
              <w:pStyle w:val="nTable"/>
              <w:spacing w:after="40"/>
            </w:pPr>
            <w:r>
              <w:t>25 Jul 2016</w:t>
            </w:r>
          </w:p>
        </w:tc>
        <w:tc>
          <w:tcPr>
            <w:tcW w:w="2552" w:type="dxa"/>
            <w:tcBorders>
              <w:top w:val="single" w:sz="8" w:space="0" w:color="auto"/>
              <w:bottom w:val="nil"/>
            </w:tcBorders>
          </w:tcPr>
          <w:p>
            <w:pPr>
              <w:pStyle w:val="nTable"/>
              <w:spacing w:after="40"/>
            </w:pPr>
            <w:del w:id="1560" w:author="Master Repository Process" w:date="2024-05-01T10:47:00Z">
              <w:r>
                <w:delText>To be proclaimed (see s. 2(c))</w:delText>
              </w:r>
            </w:del>
            <w:ins w:id="1561" w:author="Master Repository Process" w:date="2024-05-01T10:47:00Z">
              <w:r>
                <w:t>Pt. 5, 8 and 14, Pt. 18 Div. 3 and Pt. 19 Div. 1 (but only s. 294): 4 Jun 2024 (see s. 2(c) and SL 2024/65 cl. 2);</w:t>
              </w:r>
              <w:r>
                <w:br/>
                <w:t>s. 7 and 8, Pt. 6, 7 and 10, s. 295 and 296 and Pt. 20 (s. 313-320): to be proclaimed (see s. 2(c))</w:t>
              </w:r>
            </w:ins>
          </w:p>
        </w:tc>
      </w:tr>
      <w:tr>
        <w:trPr>
          <w:cantSplit/>
        </w:trPr>
        <w:tc>
          <w:tcPr>
            <w:tcW w:w="2273" w:type="dxa"/>
            <w:tcBorders>
              <w:top w:val="nil"/>
              <w:bottom w:val="single" w:sz="4" w:space="0" w:color="auto"/>
            </w:tcBorders>
          </w:tcPr>
          <w:p>
            <w:pPr>
              <w:pStyle w:val="nTable"/>
              <w:spacing w:after="40"/>
              <w:rPr>
                <w:i/>
                <w:noProof/>
              </w:rPr>
            </w:pPr>
            <w:r>
              <w:rPr>
                <w:i/>
              </w:rPr>
              <w:t>Emergency Management Amendment (Temporary COVID</w:t>
            </w:r>
            <w:r>
              <w:rPr>
                <w:i/>
              </w:rPr>
              <w:noBreakHyphen/>
              <w:t>19 Provisions) Act 2022</w:t>
            </w:r>
            <w:r>
              <w:t xml:space="preserve"> Pt. 3 Div. 3</w:t>
            </w:r>
          </w:p>
        </w:tc>
        <w:tc>
          <w:tcPr>
            <w:tcW w:w="1134" w:type="dxa"/>
            <w:tcBorders>
              <w:top w:val="nil"/>
              <w:bottom w:val="single" w:sz="4" w:space="0" w:color="auto"/>
            </w:tcBorders>
          </w:tcPr>
          <w:p>
            <w:pPr>
              <w:pStyle w:val="nTable"/>
              <w:spacing w:after="40"/>
            </w:pPr>
            <w:r>
              <w:t>33 of 2022</w:t>
            </w:r>
          </w:p>
        </w:tc>
        <w:tc>
          <w:tcPr>
            <w:tcW w:w="1134" w:type="dxa"/>
            <w:tcBorders>
              <w:top w:val="nil"/>
              <w:bottom w:val="single" w:sz="4" w:space="0" w:color="auto"/>
            </w:tcBorders>
          </w:tcPr>
          <w:p>
            <w:pPr>
              <w:pStyle w:val="nTable"/>
              <w:spacing w:after="40"/>
            </w:pPr>
            <w:r>
              <w:t>21 Oct 2022</w:t>
            </w:r>
          </w:p>
        </w:tc>
        <w:tc>
          <w:tcPr>
            <w:tcW w:w="2552" w:type="dxa"/>
            <w:tcBorders>
              <w:top w:val="nil"/>
              <w:bottom w:val="single" w:sz="4" w:space="0" w:color="auto"/>
            </w:tcBorders>
          </w:tcPr>
          <w:p>
            <w:pPr>
              <w:pStyle w:val="nTable"/>
              <w:spacing w:after="40"/>
            </w:pPr>
            <w:r>
              <w:t>3 Nov 2024 (see s. 2(c) and SL 2022/175 cl. 2)</w:t>
            </w:r>
          </w:p>
        </w:tc>
      </w:tr>
      <w:tr>
        <w:trPr>
          <w:cantSplit/>
          <w:del w:id="1562" w:author="Master Repository Process" w:date="2024-05-01T10:47:00Z"/>
        </w:trPr>
        <w:tc>
          <w:tcPr>
            <w:tcW w:w="2273" w:type="dxa"/>
            <w:tcBorders>
              <w:top w:val="nil"/>
              <w:bottom w:val="single" w:sz="8" w:space="0" w:color="auto"/>
            </w:tcBorders>
          </w:tcPr>
          <w:p>
            <w:pPr>
              <w:pStyle w:val="nTable"/>
              <w:keepNext/>
              <w:spacing w:after="40"/>
              <w:rPr>
                <w:del w:id="1563" w:author="Master Repository Process" w:date="2024-05-01T10:47:00Z"/>
              </w:rPr>
            </w:pPr>
            <w:del w:id="1564" w:author="Master Repository Process" w:date="2024-05-01T10:47:00Z">
              <w:r>
                <w:rPr>
                  <w:i/>
                </w:rPr>
                <w:delText>Abortion Legislation Reform Act 2023</w:delText>
              </w:r>
              <w:r>
                <w:delText xml:space="preserve"> Pt. 3</w:delText>
              </w:r>
            </w:del>
          </w:p>
        </w:tc>
        <w:tc>
          <w:tcPr>
            <w:tcW w:w="1134" w:type="dxa"/>
            <w:tcBorders>
              <w:top w:val="nil"/>
              <w:bottom w:val="single" w:sz="8" w:space="0" w:color="auto"/>
            </w:tcBorders>
          </w:tcPr>
          <w:p>
            <w:pPr>
              <w:pStyle w:val="nTable"/>
              <w:keepNext/>
              <w:spacing w:after="40"/>
              <w:rPr>
                <w:del w:id="1565" w:author="Master Repository Process" w:date="2024-05-01T10:47:00Z"/>
              </w:rPr>
            </w:pPr>
            <w:del w:id="1566" w:author="Master Repository Process" w:date="2024-05-01T10:47:00Z">
              <w:r>
                <w:delText>20 of 2023</w:delText>
              </w:r>
            </w:del>
          </w:p>
        </w:tc>
        <w:tc>
          <w:tcPr>
            <w:tcW w:w="1134" w:type="dxa"/>
            <w:tcBorders>
              <w:top w:val="nil"/>
              <w:bottom w:val="single" w:sz="8" w:space="0" w:color="auto"/>
            </w:tcBorders>
          </w:tcPr>
          <w:p>
            <w:pPr>
              <w:pStyle w:val="nTable"/>
              <w:keepNext/>
              <w:spacing w:after="40"/>
              <w:rPr>
                <w:del w:id="1567" w:author="Master Repository Process" w:date="2024-05-01T10:47:00Z"/>
                <w:highlight w:val="yellow"/>
              </w:rPr>
            </w:pPr>
            <w:del w:id="1568" w:author="Master Repository Process" w:date="2024-05-01T10:47:00Z">
              <w:r>
                <w:delText>27 Sep 2023</w:delText>
              </w:r>
            </w:del>
          </w:p>
        </w:tc>
        <w:tc>
          <w:tcPr>
            <w:tcW w:w="2552" w:type="dxa"/>
            <w:tcBorders>
              <w:top w:val="nil"/>
              <w:bottom w:val="single" w:sz="8" w:space="0" w:color="auto"/>
            </w:tcBorders>
          </w:tcPr>
          <w:p>
            <w:pPr>
              <w:pStyle w:val="nTable"/>
              <w:keepNext/>
              <w:spacing w:after="40"/>
              <w:rPr>
                <w:del w:id="1569" w:author="Master Repository Process" w:date="2024-05-01T10:47:00Z"/>
              </w:rPr>
            </w:pPr>
            <w:del w:id="1570" w:author="Master Repository Process" w:date="2024-05-01T10:47:00Z">
              <w:r>
                <w:delText>27 Mar 2024 (see s. 2(b) and SL 2024/21 cl. 2)</w:delText>
              </w:r>
            </w:del>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572" w:author="Master Repository Process" w:date="2024-05-01T10:47:00Z">
                              <w:r>
                                <w:rPr>
                                  <w:sz w:val="16"/>
                                </w:rPr>
                                <w:delText>2023</w:delText>
                              </w:r>
                            </w:del>
                            <w:ins w:id="1573" w:author="Master Repository Process" w:date="2024-05-01T10:4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574" w:author="Master Repository Process" w:date="2024-05-01T10:47:00Z">
                              <w:r>
                                <w:rPr>
                                  <w:sz w:val="16"/>
                                </w:rPr>
                                <w:delText>2023</w:delText>
                              </w:r>
                            </w:del>
                            <w:ins w:id="1575" w:author="Master Repository Process" w:date="2024-05-01T10:4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576" w:author="Master Repository Process" w:date="2024-05-01T10:47:00Z">
                        <w:r>
                          <w:rPr>
                            <w:sz w:val="16"/>
                          </w:rPr>
                          <w:delText>2023</w:delText>
                        </w:r>
                      </w:del>
                      <w:ins w:id="1577" w:author="Master Repository Process" w:date="2024-05-01T10:4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578" w:author="Master Repository Process" w:date="2024-05-01T10:47:00Z">
                        <w:r>
                          <w:rPr>
                            <w:sz w:val="16"/>
                          </w:rPr>
                          <w:delText>2023</w:delText>
                        </w:r>
                      </w:del>
                      <w:ins w:id="1579" w:author="Master Repository Process" w:date="2024-05-01T10:4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71" w:name="Compilation"/>
    <w:bookmarkEnd w:id="157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580" w:name="Coversheet"/>
    <w:bookmarkEnd w:id="15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30153104"/>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 w:name="WAFER_20200910103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03753_GUID" w:val="e34f2733-200e-4716-93aa-e2c458a8f823"/>
    <w:docVar w:name="WAFER_20210816141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1912_GUID" w:val="0667781d-b8d5-4883-9434-9064c2c50e5c"/>
    <w:docVar w:name="WAFER_202210211614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423_GUID" w:val="2f84e814-43ec-4ff6-ab2e-2bda1893e7fb"/>
    <w:docVar w:name="WAFER_20221027162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040_GUID" w:val="d23e2dc3-2eba-42ce-b660-ab2fcb6eab39"/>
    <w:docVar w:name="WAFER_202309221229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22122908_GUID" w:val="9cab60b8-8c5e-426c-b15a-0d88e8036e25"/>
    <w:docVar w:name="WAFER_202312271351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154_GUID" w:val="5cef750d-b1d6-4fdd-8d09-646be8e2e6b1"/>
    <w:docVar w:name="WAFER_202402161110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11007_GUID" w:val="6b4a83c7-c273-48a0-b842-b1f10313494a"/>
    <w:docVar w:name="WAFER_202403201454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45413_GUID" w:val="0fb01813-cc63-4188-9055-732004e79682"/>
    <w:docVar w:name="WAFER_202404301522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30152240_GUID" w:val="aa5cd4fe-3521-4c53-8d55-8334105793fc"/>
    <w:docVar w:name="WAFER_202404301531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30153104_GUID" w:val="af176656-ea44-48b0-ba95-cb5211438c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25AC2-6E28-44D3-AFE4-ABC028A2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F09E-E5BD-44A8-AEF0-D2CFB05D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53060</Words>
  <Characters>263183</Characters>
  <Application>Microsoft Office Word</Application>
  <DocSecurity>0</DocSecurity>
  <Lines>6925</Lines>
  <Paragraphs>3764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312479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00-p0-02 - 00-q0-01</dc:title>
  <dc:subject/>
  <dc:creator/>
  <cp:keywords/>
  <dc:description/>
  <cp:lastModifiedBy>Master Repository Process</cp:lastModifiedBy>
  <cp:revision>2</cp:revision>
  <cp:lastPrinted>2017-09-19T09:06:00Z</cp:lastPrinted>
  <dcterms:created xsi:type="dcterms:W3CDTF">2024-05-01T02:47:00Z</dcterms:created>
  <dcterms:modified xsi:type="dcterms:W3CDTF">2024-05-01T02:47:00Z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20240327</vt:lpwstr>
  </property>
  <property fmtid="{D5CDD505-2E9C-101B-9397-08002B2CF9AE}" pid="7" name="CommencementAsAt">
    <vt:filetime>2024-03-26T16:00:00Z</vt:filetime>
  </property>
  <property fmtid="{D5CDD505-2E9C-101B-9397-08002B2CF9AE}" pid="8" name="CommencementYear">
    <vt:lpwstr>2024</vt:lpwstr>
  </property>
  <property fmtid="{D5CDD505-2E9C-101B-9397-08002B2CF9AE}" pid="9" name="FromSuffix">
    <vt:lpwstr>00-p0-02</vt:lpwstr>
  </property>
  <property fmtid="{D5CDD505-2E9C-101B-9397-08002B2CF9AE}" pid="10" name="FromAsAtDate">
    <vt:lpwstr>27 Sep 2023</vt:lpwstr>
  </property>
  <property fmtid="{D5CDD505-2E9C-101B-9397-08002B2CF9AE}" pid="11" name="ToSuffix">
    <vt:lpwstr>00-q0-01</vt:lpwstr>
  </property>
  <property fmtid="{D5CDD505-2E9C-101B-9397-08002B2CF9AE}" pid="12" name="ToAsAtDate">
    <vt:lpwstr>27 Mar 2024</vt:lpwstr>
  </property>
</Properties>
</file>