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2024</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23 Apr 2024</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1" w:name="_Toc164418844"/>
      <w:bookmarkStart w:id="2" w:name="_Toc164420936"/>
      <w:bookmarkStart w:id="3" w:name="_Toc164421861"/>
      <w:bookmarkStart w:id="4" w:name="_Toc164431300"/>
      <w:bookmarkStart w:id="5" w:name="_Toc160627841"/>
      <w:bookmarkStart w:id="6" w:name="_Toc160628057"/>
      <w:bookmarkStart w:id="7" w:name="_Toc160631950"/>
      <w:bookmarkStart w:id="8" w:name="_Toc160785327"/>
      <w:bookmarkStart w:id="9" w:name="_Toc1607858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No. 19 of 2010 s. 43(3)(a).]</w:t>
      </w:r>
    </w:p>
    <w:p>
      <w:pPr>
        <w:pStyle w:val="Heading5"/>
        <w:rPr>
          <w:snapToGrid w:val="0"/>
        </w:rPr>
      </w:pPr>
      <w:bookmarkStart w:id="10" w:name="_Toc164431301"/>
      <w:bookmarkStart w:id="11" w:name="_Toc160785875"/>
      <w:r>
        <w:rPr>
          <w:rStyle w:val="CharSectno"/>
        </w:rPr>
        <w:t>1</w:t>
      </w:r>
      <w:r>
        <w:rPr>
          <w:snapToGrid w:val="0"/>
        </w:rPr>
        <w:t>.</w:t>
      </w:r>
      <w:r>
        <w:rPr>
          <w:snapToGrid w:val="0"/>
        </w:rPr>
        <w:tab/>
        <w:t>Short title and commencement</w:t>
      </w:r>
      <w:bookmarkEnd w:id="10"/>
      <w:bookmarkEnd w:id="11"/>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12" w:name="_Toc164431302"/>
      <w:bookmarkStart w:id="13" w:name="_Toc160785876"/>
      <w:r>
        <w:rPr>
          <w:rStyle w:val="CharSectno"/>
        </w:rPr>
        <w:t>3</w:t>
      </w:r>
      <w:r>
        <w:rPr>
          <w:snapToGrid w:val="0"/>
        </w:rPr>
        <w:t>.</w:t>
      </w:r>
      <w:r>
        <w:rPr>
          <w:snapToGrid w:val="0"/>
        </w:rPr>
        <w:tab/>
        <w:t>Act repealed</w:t>
      </w:r>
      <w:bookmarkEnd w:id="12"/>
      <w:bookmarkEnd w:id="13"/>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1</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14" w:name="_Toc164431303"/>
      <w:bookmarkStart w:id="15" w:name="_Toc160785877"/>
      <w:r>
        <w:rPr>
          <w:rStyle w:val="CharSectno"/>
        </w:rPr>
        <w:t>4A</w:t>
      </w:r>
      <w:r>
        <w:rPr>
          <w:snapToGrid w:val="0"/>
        </w:rPr>
        <w:t>.</w:t>
      </w:r>
      <w:r>
        <w:rPr>
          <w:snapToGrid w:val="0"/>
        </w:rPr>
        <w:tab/>
        <w:t>Act not to apply to Government electric railways</w:t>
      </w:r>
      <w:bookmarkEnd w:id="14"/>
      <w:bookmarkEnd w:id="15"/>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16" w:name="_Toc164431304"/>
      <w:bookmarkStart w:id="17" w:name="_Toc160785878"/>
      <w:r>
        <w:rPr>
          <w:rStyle w:val="CharSectno"/>
        </w:rPr>
        <w:t>5</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context otherwise requires —</w:t>
      </w:r>
    </w:p>
    <w:p>
      <w:pPr>
        <w:pStyle w:val="Defstart"/>
        <w:rPr>
          <w:ins w:id="18" w:author="Master Repository Process" w:date="2024-04-23T15:57:00Z"/>
        </w:rPr>
      </w:pPr>
      <w:ins w:id="19" w:author="Master Repository Process" w:date="2024-04-23T15:57:00Z">
        <w:r>
          <w:tab/>
        </w:r>
        <w:r>
          <w:rPr>
            <w:rStyle w:val="CharDefText"/>
          </w:rPr>
          <w:t>AES registration holder</w:t>
        </w:r>
        <w:r>
          <w:t xml:space="preserve"> means a registration holder as defined in the </w:t>
        </w:r>
        <w:r>
          <w:rPr>
            <w:i/>
            <w:iCs/>
          </w:rPr>
          <w:t xml:space="preserve">Electricity Industry Act 2004 </w:t>
        </w:r>
        <w:r>
          <w:t>section 3(1);</w:t>
        </w:r>
      </w:ins>
    </w:p>
    <w:p>
      <w:pPr>
        <w:pStyle w:val="Defstart"/>
        <w:rPr>
          <w:ins w:id="20" w:author="Master Repository Process" w:date="2024-04-23T15:57:00Z"/>
        </w:rPr>
      </w:pPr>
      <w:ins w:id="21" w:author="Master Repository Process" w:date="2024-04-23T15:57:00Z">
        <w:r>
          <w:rPr>
            <w:b/>
          </w:rPr>
          <w:tab/>
        </w:r>
        <w:r>
          <w:rPr>
            <w:rStyle w:val="CharDefText"/>
          </w:rPr>
          <w:t>alternative electricity service</w:t>
        </w:r>
        <w:r>
          <w:t xml:space="preserve"> has the meaning given in the </w:t>
        </w:r>
        <w:r>
          <w:rPr>
            <w:i/>
            <w:iCs/>
          </w:rPr>
          <w:t xml:space="preserve">Electricity Industry Act 2004 </w:t>
        </w:r>
        <w:r>
          <w:t>section 3(1);</w:t>
        </w:r>
      </w:ins>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rPr>
          <w:ins w:id="22" w:author="Master Repository Process" w:date="2024-04-23T15:57:00Z"/>
        </w:rPr>
      </w:pPr>
      <w:ins w:id="23" w:author="Master Repository Process" w:date="2024-04-23T15:57:00Z">
        <w:r>
          <w:rPr>
            <w:b/>
          </w:rPr>
          <w:tab/>
        </w:r>
        <w:r>
          <w:rPr>
            <w:rStyle w:val="CharDefText"/>
          </w:rPr>
          <w:t>exempt AES provider</w:t>
        </w:r>
        <w:r>
          <w:t xml:space="preserve"> means a person who is authorised under the </w:t>
        </w:r>
        <w:r>
          <w:rPr>
            <w:i/>
            <w:iCs/>
          </w:rPr>
          <w:t>Electricity Industry Act 2004</w:t>
        </w:r>
        <w:r>
          <w:t xml:space="preserve"> to provide an alternative electricity service without holding a registration under that Act;</w:t>
        </w:r>
      </w:ins>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ins w:id="24" w:author="Master Repository Process" w:date="2024-04-23T15:57:00Z">
        <w:r>
          <w:t xml:space="preserve"> or</w:t>
        </w:r>
      </w:ins>
    </w:p>
    <w:p>
      <w:pPr>
        <w:pStyle w:val="Defpara"/>
        <w:rPr>
          <w:ins w:id="25" w:author="Master Repository Process" w:date="2024-04-23T15:57:00Z"/>
        </w:rPr>
      </w:pPr>
      <w:ins w:id="26" w:author="Master Repository Process" w:date="2024-04-23T15:57:00Z">
        <w:r>
          <w:tab/>
          <w:t>(d)</w:t>
        </w:r>
        <w:r>
          <w:tab/>
          <w:t>is in a class of AES registration holders prescribed by regulation; or</w:t>
        </w:r>
      </w:ins>
    </w:p>
    <w:p>
      <w:pPr>
        <w:pStyle w:val="Defpara"/>
        <w:rPr>
          <w:ins w:id="27" w:author="Master Repository Process" w:date="2024-04-23T15:57:00Z"/>
        </w:rPr>
      </w:pPr>
      <w:ins w:id="28" w:author="Master Repository Process" w:date="2024-04-23T15:57:00Z">
        <w:r>
          <w:tab/>
          <w:t>(e)</w:t>
        </w:r>
        <w:r>
          <w:tab/>
          <w:t>is in a class of exempt AES providers prescribed by regulation;</w:t>
        </w:r>
      </w:ins>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keepNext/>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ins w:id="29" w:author="Master Repository Process" w:date="2024-04-23T15:57:00Z">
        <w:r>
          <w:t>; No. 10 of 2024 s. 25</w:t>
        </w:r>
      </w:ins>
      <w:r>
        <w:t>.]</w:t>
      </w:r>
    </w:p>
    <w:p>
      <w:pPr>
        <w:pStyle w:val="Heading5"/>
      </w:pPr>
      <w:bookmarkStart w:id="30" w:name="_Toc164431305"/>
      <w:bookmarkStart w:id="31" w:name="_Toc160785879"/>
      <w:r>
        <w:rPr>
          <w:rStyle w:val="CharSectno"/>
        </w:rPr>
        <w:t>6</w:t>
      </w:r>
      <w:r>
        <w:t>.</w:t>
      </w:r>
      <w:r>
        <w:tab/>
        <w:t>Application of Act to supply authorities</w:t>
      </w:r>
      <w:bookmarkEnd w:id="30"/>
      <w:bookmarkEnd w:id="31"/>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t>[</w:t>
      </w:r>
      <w:r>
        <w:rPr>
          <w:b/>
        </w:rPr>
        <w:t>6A.</w:t>
      </w:r>
      <w:r>
        <w:tab/>
        <w:t>Deleted: No. 63 of 1996 s. 15.]</w:t>
      </w:r>
    </w:p>
    <w:p>
      <w:pPr>
        <w:pStyle w:val="Heading2"/>
      </w:pPr>
      <w:bookmarkStart w:id="32" w:name="_Toc164418850"/>
      <w:bookmarkStart w:id="33" w:name="_Toc164420942"/>
      <w:bookmarkStart w:id="34" w:name="_Toc164421867"/>
      <w:bookmarkStart w:id="35" w:name="_Toc164431306"/>
      <w:bookmarkStart w:id="36" w:name="_Toc160627847"/>
      <w:bookmarkStart w:id="37" w:name="_Toc160628063"/>
      <w:bookmarkStart w:id="38" w:name="_Toc160631956"/>
      <w:bookmarkStart w:id="39" w:name="_Toc160785333"/>
      <w:bookmarkStart w:id="40" w:name="_Toc160785880"/>
      <w:r>
        <w:rPr>
          <w:rStyle w:val="CharPartNo"/>
        </w:rPr>
        <w:t>Part II</w:t>
      </w:r>
      <w:r>
        <w:t> — </w:t>
      </w:r>
      <w:r>
        <w:rPr>
          <w:rStyle w:val="CharPartText"/>
        </w:rPr>
        <w:t>Powers, rights and obligations</w:t>
      </w:r>
      <w:bookmarkEnd w:id="32"/>
      <w:bookmarkEnd w:id="33"/>
      <w:bookmarkEnd w:id="34"/>
      <w:bookmarkEnd w:id="35"/>
      <w:bookmarkEnd w:id="36"/>
      <w:bookmarkEnd w:id="37"/>
      <w:bookmarkEnd w:id="38"/>
      <w:bookmarkEnd w:id="39"/>
      <w:bookmarkEnd w:id="40"/>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41" w:name="_Toc164431307"/>
      <w:bookmarkStart w:id="42" w:name="_Toc160785881"/>
      <w:r>
        <w:rPr>
          <w:rStyle w:val="CharSectno"/>
        </w:rPr>
        <w:t>11</w:t>
      </w:r>
      <w:r>
        <w:rPr>
          <w:snapToGrid w:val="0"/>
        </w:rPr>
        <w:t>.</w:t>
      </w:r>
      <w:r>
        <w:rPr>
          <w:snapToGrid w:val="0"/>
        </w:rPr>
        <w:tab/>
        <w:t>Supply authority to pay compensation for damage done</w:t>
      </w:r>
      <w:bookmarkEnd w:id="41"/>
      <w:bookmarkEnd w:id="42"/>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43" w:name="_Toc164431308"/>
      <w:bookmarkStart w:id="44" w:name="_Toc160785882"/>
      <w:r>
        <w:rPr>
          <w:rStyle w:val="CharSectno"/>
        </w:rPr>
        <w:t>12</w:t>
      </w:r>
      <w:r>
        <w:rPr>
          <w:snapToGrid w:val="0"/>
        </w:rPr>
        <w:t>.</w:t>
      </w:r>
      <w:r>
        <w:rPr>
          <w:snapToGrid w:val="0"/>
        </w:rPr>
        <w:tab/>
        <w:t>Crossing the district of local government with transmission works</w:t>
      </w:r>
      <w:bookmarkEnd w:id="43"/>
      <w:bookmarkEnd w:id="44"/>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45" w:name="_Toc164431309"/>
      <w:bookmarkStart w:id="46" w:name="_Toc160785883"/>
      <w:r>
        <w:rPr>
          <w:rStyle w:val="CharSectno"/>
        </w:rPr>
        <w:t>14</w:t>
      </w:r>
      <w:r>
        <w:rPr>
          <w:snapToGrid w:val="0"/>
        </w:rPr>
        <w:t>.</w:t>
      </w:r>
      <w:r>
        <w:rPr>
          <w:snapToGrid w:val="0"/>
        </w:rPr>
        <w:tab/>
        <w:t>Method of metering bulk supplies</w:t>
      </w:r>
      <w:bookmarkEnd w:id="45"/>
      <w:bookmarkEnd w:id="46"/>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47" w:name="_Toc164431310"/>
      <w:bookmarkStart w:id="48" w:name="_Toc160785884"/>
      <w:r>
        <w:rPr>
          <w:rStyle w:val="CharSectno"/>
        </w:rPr>
        <w:t>18</w:t>
      </w:r>
      <w:r>
        <w:rPr>
          <w:snapToGrid w:val="0"/>
        </w:rPr>
        <w:t>.</w:t>
      </w:r>
      <w:r>
        <w:rPr>
          <w:snapToGrid w:val="0"/>
        </w:rPr>
        <w:tab/>
        <w:t>General powers</w:t>
      </w:r>
      <w:bookmarkEnd w:id="47"/>
      <w:bookmarkEnd w:id="48"/>
    </w:p>
    <w:p>
      <w:pPr>
        <w:pStyle w:val="Subsection"/>
        <w:keepNext/>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49" w:name="_Toc164431311"/>
      <w:bookmarkStart w:id="50" w:name="_Toc160785885"/>
      <w:r>
        <w:rPr>
          <w:rStyle w:val="CharSectno"/>
        </w:rPr>
        <w:t>19</w:t>
      </w:r>
      <w:r>
        <w:rPr>
          <w:snapToGrid w:val="0"/>
        </w:rPr>
        <w:t>.</w:t>
      </w:r>
      <w:r>
        <w:rPr>
          <w:snapToGrid w:val="0"/>
        </w:rPr>
        <w:tab/>
        <w:t>Supply authority to reinstate works of public authority</w:t>
      </w:r>
      <w:bookmarkEnd w:id="49"/>
      <w:bookmarkEnd w:id="50"/>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51" w:name="_Toc164431312"/>
      <w:bookmarkStart w:id="52" w:name="_Toc160785886"/>
      <w:r>
        <w:rPr>
          <w:rStyle w:val="CharSectno"/>
        </w:rPr>
        <w:t>20</w:t>
      </w:r>
      <w:r>
        <w:rPr>
          <w:snapToGrid w:val="0"/>
        </w:rPr>
        <w:t>.</w:t>
      </w:r>
      <w:r>
        <w:rPr>
          <w:snapToGrid w:val="0"/>
        </w:rPr>
        <w:tab/>
        <w:t>Interference by supply authority with works of public authority or by public authority with works of supply authority</w:t>
      </w:r>
      <w:bookmarkEnd w:id="51"/>
      <w:bookmarkEnd w:id="52"/>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53" w:name="_Toc164431313"/>
      <w:bookmarkStart w:id="54" w:name="_Toc160785887"/>
      <w:r>
        <w:rPr>
          <w:rStyle w:val="CharSectno"/>
        </w:rPr>
        <w:t>21</w:t>
      </w:r>
      <w:r>
        <w:rPr>
          <w:snapToGrid w:val="0"/>
        </w:rPr>
        <w:t>.</w:t>
      </w:r>
      <w:r>
        <w:rPr>
          <w:snapToGrid w:val="0"/>
        </w:rPr>
        <w:tab/>
        <w:t>Supply authority may let meters and apparatus</w:t>
      </w:r>
      <w:bookmarkEnd w:id="53"/>
      <w:bookmarkEnd w:id="54"/>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55" w:name="_Toc164431314"/>
      <w:bookmarkStart w:id="56" w:name="_Toc160785888"/>
      <w:r>
        <w:rPr>
          <w:rStyle w:val="CharSectno"/>
        </w:rPr>
        <w:t>22</w:t>
      </w:r>
      <w:r>
        <w:rPr>
          <w:snapToGrid w:val="0"/>
        </w:rPr>
        <w:t>.</w:t>
      </w:r>
      <w:r>
        <w:rPr>
          <w:snapToGrid w:val="0"/>
        </w:rPr>
        <w:tab/>
        <w:t>Power to contract to supply electricity</w:t>
      </w:r>
      <w:bookmarkEnd w:id="55"/>
      <w:bookmarkEnd w:id="56"/>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57" w:name="_Toc164431315"/>
      <w:bookmarkStart w:id="58" w:name="_Toc160785889"/>
      <w:r>
        <w:rPr>
          <w:rStyle w:val="CharSectno"/>
        </w:rPr>
        <w:t>23</w:t>
      </w:r>
      <w:r>
        <w:rPr>
          <w:snapToGrid w:val="0"/>
        </w:rPr>
        <w:t>.</w:t>
      </w:r>
      <w:r>
        <w:rPr>
          <w:snapToGrid w:val="0"/>
        </w:rPr>
        <w:tab/>
        <w:t>Power to cut off supply in case of illegal or fraudulent interference with works</w:t>
      </w:r>
      <w:bookmarkEnd w:id="57"/>
      <w:bookmarkEnd w:id="58"/>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59" w:name="_Toc164431316"/>
      <w:bookmarkStart w:id="60" w:name="_Toc160785890"/>
      <w:r>
        <w:rPr>
          <w:rStyle w:val="CharSectno"/>
        </w:rPr>
        <w:t>24</w:t>
      </w:r>
      <w:r>
        <w:rPr>
          <w:snapToGrid w:val="0"/>
        </w:rPr>
        <w:t>.</w:t>
      </w:r>
      <w:r>
        <w:rPr>
          <w:snapToGrid w:val="0"/>
        </w:rPr>
        <w:tab/>
        <w:t>Power of officer of supply authority to enter premises</w:t>
      </w:r>
      <w:bookmarkEnd w:id="59"/>
      <w:bookmarkEnd w:id="60"/>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61" w:name="_Toc164431317"/>
      <w:bookmarkStart w:id="62" w:name="_Toc160785891"/>
      <w:r>
        <w:rPr>
          <w:rStyle w:val="CharSectno"/>
        </w:rPr>
        <w:t>25</w:t>
      </w:r>
      <w:r>
        <w:rPr>
          <w:snapToGrid w:val="0"/>
        </w:rPr>
        <w:t>.</w:t>
      </w:r>
      <w:r>
        <w:rPr>
          <w:snapToGrid w:val="0"/>
        </w:rPr>
        <w:tab/>
        <w:t>Duties as to supply of electricity</w:t>
      </w:r>
      <w:bookmarkEnd w:id="61"/>
      <w:bookmarkEnd w:id="62"/>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63" w:name="_Toc164418862"/>
      <w:bookmarkStart w:id="64" w:name="_Toc164420954"/>
      <w:bookmarkStart w:id="65" w:name="_Toc164421879"/>
      <w:bookmarkStart w:id="66" w:name="_Toc164431318"/>
      <w:bookmarkStart w:id="67" w:name="_Toc160627859"/>
      <w:bookmarkStart w:id="68" w:name="_Toc160628075"/>
      <w:bookmarkStart w:id="69" w:name="_Toc160631968"/>
      <w:bookmarkStart w:id="70" w:name="_Toc160785345"/>
      <w:bookmarkStart w:id="71" w:name="_Toc160785892"/>
      <w:r>
        <w:rPr>
          <w:rStyle w:val="CharPartNo"/>
        </w:rPr>
        <w:t>Part IV</w:t>
      </w:r>
      <w:r>
        <w:rPr>
          <w:rStyle w:val="CharDivNo"/>
        </w:rPr>
        <w:t> </w:t>
      </w:r>
      <w:r>
        <w:t>—</w:t>
      </w:r>
      <w:r>
        <w:rPr>
          <w:rStyle w:val="CharDivText"/>
        </w:rPr>
        <w:t> </w:t>
      </w:r>
      <w:r>
        <w:rPr>
          <w:rStyle w:val="CharPartText"/>
        </w:rPr>
        <w:t>Regulations</w:t>
      </w:r>
      <w:bookmarkEnd w:id="63"/>
      <w:bookmarkEnd w:id="64"/>
      <w:bookmarkEnd w:id="65"/>
      <w:bookmarkEnd w:id="66"/>
      <w:bookmarkEnd w:id="67"/>
      <w:bookmarkEnd w:id="68"/>
      <w:bookmarkEnd w:id="69"/>
      <w:bookmarkEnd w:id="70"/>
      <w:bookmarkEnd w:id="71"/>
    </w:p>
    <w:p>
      <w:pPr>
        <w:pStyle w:val="Footnoteheading"/>
        <w:ind w:left="890"/>
        <w:rPr>
          <w:snapToGrid w:val="0"/>
        </w:rPr>
      </w:pPr>
      <w:r>
        <w:rPr>
          <w:snapToGrid w:val="0"/>
        </w:rPr>
        <w:tab/>
        <w:t>[Heading amended: No. 14 of 1996 s. 4.]</w:t>
      </w:r>
    </w:p>
    <w:p>
      <w:pPr>
        <w:pStyle w:val="Heading5"/>
        <w:rPr>
          <w:snapToGrid w:val="0"/>
        </w:rPr>
      </w:pPr>
      <w:bookmarkStart w:id="72" w:name="_Toc164431319"/>
      <w:bookmarkStart w:id="73" w:name="_Toc160785893"/>
      <w:r>
        <w:rPr>
          <w:rStyle w:val="CharSectno"/>
        </w:rPr>
        <w:t>32</w:t>
      </w:r>
      <w:r>
        <w:rPr>
          <w:snapToGrid w:val="0"/>
        </w:rPr>
        <w:t>.</w:t>
      </w:r>
      <w:r>
        <w:rPr>
          <w:snapToGrid w:val="0"/>
        </w:rPr>
        <w:tab/>
        <w:t>Regulations</w:t>
      </w:r>
      <w:bookmarkEnd w:id="72"/>
      <w:bookmarkEnd w:id="73"/>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Ednotesubpara"/>
        <w:rPr>
          <w:snapToGrid w:val="0"/>
        </w:rPr>
      </w:pPr>
      <w:r>
        <w:rPr>
          <w:snapToGrid w:val="0"/>
        </w:rPr>
        <w:tab/>
        <w:t>[(iiia)</w:t>
      </w:r>
      <w:r>
        <w:rPr>
          <w:snapToGrid w:val="0"/>
        </w:rPr>
        <w:tab/>
        <w:t>deleted]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pPr>
      <w:r>
        <w:tab/>
        <w:t>(3A)</w:t>
      </w:r>
      <w:r>
        <w:tab/>
        <w:t>Regulations made under subsection (3)(f) and (faa) may allow for penalties to be imposed on, and disciplinary proceedings or action to be taken against, a person who formerly held a licence, permit or authorisation.</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 No. 7 of 2022 s. 21.]</w:t>
      </w:r>
    </w:p>
    <w:p>
      <w:pPr>
        <w:pStyle w:val="Heading5"/>
        <w:rPr>
          <w:snapToGrid w:val="0"/>
        </w:rPr>
      </w:pPr>
      <w:bookmarkStart w:id="74" w:name="_Toc164431320"/>
      <w:bookmarkStart w:id="75" w:name="_Toc160785894"/>
      <w:r>
        <w:rPr>
          <w:rStyle w:val="CharSectno"/>
        </w:rPr>
        <w:t>33</w:t>
      </w:r>
      <w:r>
        <w:rPr>
          <w:snapToGrid w:val="0"/>
        </w:rPr>
        <w:t>.</w:t>
      </w:r>
      <w:r>
        <w:rPr>
          <w:snapToGrid w:val="0"/>
        </w:rPr>
        <w:tab/>
        <w:t>Annual reporting</w:t>
      </w:r>
      <w:bookmarkEnd w:id="74"/>
      <w:bookmarkEnd w:id="75"/>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76" w:name="_Toc164431321"/>
      <w:bookmarkStart w:id="77" w:name="_Toc160785895"/>
      <w:r>
        <w:rPr>
          <w:rStyle w:val="CharSectno"/>
        </w:rPr>
        <w:t>33AA</w:t>
      </w:r>
      <w:r>
        <w:rPr>
          <w:snapToGrid w:val="0"/>
        </w:rPr>
        <w:t>.</w:t>
      </w:r>
      <w:r>
        <w:rPr>
          <w:snapToGrid w:val="0"/>
        </w:rPr>
        <w:tab/>
        <w:t>Guidelines</w:t>
      </w:r>
      <w:bookmarkEnd w:id="76"/>
      <w:bookmarkEnd w:id="77"/>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78" w:name="_Toc164418866"/>
      <w:bookmarkStart w:id="79" w:name="_Toc164420958"/>
      <w:bookmarkStart w:id="80" w:name="_Toc164421883"/>
      <w:bookmarkStart w:id="81" w:name="_Toc164431322"/>
      <w:bookmarkStart w:id="82" w:name="_Toc160627863"/>
      <w:bookmarkStart w:id="83" w:name="_Toc160628079"/>
      <w:bookmarkStart w:id="84" w:name="_Toc160631972"/>
      <w:bookmarkStart w:id="85" w:name="_Toc160785349"/>
      <w:bookmarkStart w:id="86" w:name="_Toc160785896"/>
      <w:r>
        <w:rPr>
          <w:rStyle w:val="CharPartNo"/>
        </w:rPr>
        <w:t>Part IVA</w:t>
      </w:r>
      <w:r>
        <w:rPr>
          <w:rStyle w:val="CharDivNo"/>
        </w:rPr>
        <w:t> </w:t>
      </w:r>
      <w:r>
        <w:t>—</w:t>
      </w:r>
      <w:r>
        <w:rPr>
          <w:rStyle w:val="CharDivText"/>
        </w:rPr>
        <w:t> </w:t>
      </w:r>
      <w:r>
        <w:rPr>
          <w:rStyle w:val="CharPartText"/>
        </w:rPr>
        <w:t>Approval of electrical appliances</w:t>
      </w:r>
      <w:bookmarkEnd w:id="78"/>
      <w:bookmarkEnd w:id="79"/>
      <w:bookmarkEnd w:id="80"/>
      <w:bookmarkEnd w:id="81"/>
      <w:bookmarkEnd w:id="82"/>
      <w:bookmarkEnd w:id="83"/>
      <w:bookmarkEnd w:id="84"/>
      <w:bookmarkEnd w:id="85"/>
      <w:bookmarkEnd w:id="86"/>
    </w:p>
    <w:p>
      <w:pPr>
        <w:pStyle w:val="Footnoteheading"/>
        <w:ind w:left="890"/>
        <w:rPr>
          <w:snapToGrid w:val="0"/>
        </w:rPr>
      </w:pPr>
      <w:r>
        <w:rPr>
          <w:snapToGrid w:val="0"/>
        </w:rPr>
        <w:tab/>
        <w:t>[Heading inserted: No. 72 of 1953 s. 4.]</w:t>
      </w:r>
    </w:p>
    <w:p>
      <w:pPr>
        <w:pStyle w:val="Heading5"/>
        <w:rPr>
          <w:snapToGrid w:val="0"/>
        </w:rPr>
      </w:pPr>
      <w:bookmarkStart w:id="87" w:name="_Toc164431323"/>
      <w:bookmarkStart w:id="88" w:name="_Toc160785897"/>
      <w:r>
        <w:rPr>
          <w:rStyle w:val="CharSectno"/>
        </w:rPr>
        <w:t>33A</w:t>
      </w:r>
      <w:r>
        <w:rPr>
          <w:snapToGrid w:val="0"/>
        </w:rPr>
        <w:t>.</w:t>
      </w:r>
      <w:r>
        <w:rPr>
          <w:snapToGrid w:val="0"/>
        </w:rPr>
        <w:tab/>
        <w:t>Terms used</w:t>
      </w:r>
      <w:bookmarkEnd w:id="87"/>
      <w:bookmarkEnd w:id="88"/>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89" w:name="_Toc164431324"/>
      <w:bookmarkStart w:id="90" w:name="_Toc160785898"/>
      <w:r>
        <w:rPr>
          <w:rStyle w:val="CharSectno"/>
        </w:rPr>
        <w:t>33B</w:t>
      </w:r>
      <w:r>
        <w:rPr>
          <w:snapToGrid w:val="0"/>
        </w:rPr>
        <w:t>.</w:t>
      </w:r>
      <w:r>
        <w:rPr>
          <w:snapToGrid w:val="0"/>
        </w:rPr>
        <w:tab/>
        <w:t>Power of Director to prescribe classes or types of electrical apparatus etc., which shall not be sold etc., unless approved by Director</w:t>
      </w:r>
      <w:bookmarkEnd w:id="89"/>
      <w:bookmarkEnd w:id="90"/>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91" w:name="_Toc164431325"/>
      <w:bookmarkStart w:id="92" w:name="_Toc160785899"/>
      <w:r>
        <w:rPr>
          <w:rStyle w:val="CharSectno"/>
        </w:rPr>
        <w:t>33C</w:t>
      </w:r>
      <w:r>
        <w:rPr>
          <w:snapToGrid w:val="0"/>
        </w:rPr>
        <w:t>.</w:t>
      </w:r>
      <w:r>
        <w:rPr>
          <w:snapToGrid w:val="0"/>
        </w:rPr>
        <w:tab/>
        <w:t>Power of Director to prohibit sale etc. or use of unsafe or dangerous electrical apparatus etc.</w:t>
      </w:r>
      <w:bookmarkEnd w:id="91"/>
      <w:bookmarkEnd w:id="92"/>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93" w:name="_Toc164431326"/>
      <w:bookmarkStart w:id="94" w:name="_Toc160785900"/>
      <w:r>
        <w:rPr>
          <w:rStyle w:val="CharSectno"/>
        </w:rPr>
        <w:t>33D</w:t>
      </w:r>
      <w:r>
        <w:rPr>
          <w:snapToGrid w:val="0"/>
        </w:rPr>
        <w:t>.</w:t>
      </w:r>
      <w:r>
        <w:rPr>
          <w:snapToGrid w:val="0"/>
        </w:rPr>
        <w:tab/>
        <w:t>Penalties</w:t>
      </w:r>
      <w:bookmarkEnd w:id="93"/>
      <w:bookmarkEnd w:id="94"/>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95" w:name="_Toc164418871"/>
      <w:bookmarkStart w:id="96" w:name="_Toc164420963"/>
      <w:bookmarkStart w:id="97" w:name="_Toc164421888"/>
      <w:bookmarkStart w:id="98" w:name="_Toc164431327"/>
      <w:bookmarkStart w:id="99" w:name="_Toc160627868"/>
      <w:bookmarkStart w:id="100" w:name="_Toc160628084"/>
      <w:bookmarkStart w:id="101" w:name="_Toc160631977"/>
      <w:bookmarkStart w:id="102" w:name="_Toc160785354"/>
      <w:bookmarkStart w:id="103" w:name="_Toc160785901"/>
      <w:r>
        <w:rPr>
          <w:rStyle w:val="CharPartNo"/>
        </w:rPr>
        <w:t>Part IVB</w:t>
      </w:r>
      <w:r>
        <w:rPr>
          <w:rStyle w:val="CharDivNo"/>
        </w:rPr>
        <w:t> </w:t>
      </w:r>
      <w:r>
        <w:t>—</w:t>
      </w:r>
      <w:r>
        <w:rPr>
          <w:rStyle w:val="CharDivText"/>
        </w:rPr>
        <w:t> </w:t>
      </w:r>
      <w:r>
        <w:rPr>
          <w:rStyle w:val="CharPartText"/>
        </w:rPr>
        <w:t>Energy efficiency</w:t>
      </w:r>
      <w:bookmarkEnd w:id="95"/>
      <w:bookmarkEnd w:id="96"/>
      <w:bookmarkEnd w:id="97"/>
      <w:bookmarkEnd w:id="98"/>
      <w:bookmarkEnd w:id="99"/>
      <w:bookmarkEnd w:id="100"/>
      <w:bookmarkEnd w:id="101"/>
      <w:bookmarkEnd w:id="102"/>
      <w:bookmarkEnd w:id="103"/>
    </w:p>
    <w:p>
      <w:pPr>
        <w:pStyle w:val="Footnoteheading"/>
        <w:ind w:left="890"/>
        <w:rPr>
          <w:snapToGrid w:val="0"/>
        </w:rPr>
      </w:pPr>
      <w:r>
        <w:rPr>
          <w:snapToGrid w:val="0"/>
        </w:rPr>
        <w:tab/>
        <w:t>[Heading inserted: No. 63 of 1996 s. 13.]</w:t>
      </w:r>
    </w:p>
    <w:p>
      <w:pPr>
        <w:pStyle w:val="Heading5"/>
        <w:rPr>
          <w:snapToGrid w:val="0"/>
        </w:rPr>
      </w:pPr>
      <w:bookmarkStart w:id="104" w:name="_Toc164431328"/>
      <w:bookmarkStart w:id="105" w:name="_Toc160785902"/>
      <w:r>
        <w:rPr>
          <w:rStyle w:val="CharSectno"/>
        </w:rPr>
        <w:t>33E</w:t>
      </w:r>
      <w:r>
        <w:rPr>
          <w:snapToGrid w:val="0"/>
        </w:rPr>
        <w:t>.</w:t>
      </w:r>
      <w:r>
        <w:rPr>
          <w:snapToGrid w:val="0"/>
        </w:rPr>
        <w:tab/>
        <w:t>Energy efficiency standards</w:t>
      </w:r>
      <w:bookmarkEnd w:id="104"/>
      <w:bookmarkEnd w:id="105"/>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106" w:name="_Toc164431329"/>
      <w:bookmarkStart w:id="107" w:name="_Toc160785903"/>
      <w:r>
        <w:rPr>
          <w:rStyle w:val="CharSectno"/>
        </w:rPr>
        <w:t>33F</w:t>
      </w:r>
      <w:r>
        <w:rPr>
          <w:snapToGrid w:val="0"/>
        </w:rPr>
        <w:t>.</w:t>
      </w:r>
      <w:r>
        <w:rPr>
          <w:snapToGrid w:val="0"/>
        </w:rPr>
        <w:tab/>
        <w:t>Offences related to energy efficiency labelling</w:t>
      </w:r>
      <w:bookmarkEnd w:id="106"/>
      <w:bookmarkEnd w:id="107"/>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108" w:name="_Toc164418874"/>
      <w:bookmarkStart w:id="109" w:name="_Toc164420966"/>
      <w:bookmarkStart w:id="110" w:name="_Toc164421891"/>
      <w:bookmarkStart w:id="111" w:name="_Toc164431330"/>
      <w:bookmarkStart w:id="112" w:name="_Toc160627871"/>
      <w:bookmarkStart w:id="113" w:name="_Toc160628087"/>
      <w:bookmarkStart w:id="114" w:name="_Toc160631980"/>
      <w:bookmarkStart w:id="115" w:name="_Toc160785357"/>
      <w:bookmarkStart w:id="116" w:name="_Toc160785904"/>
      <w:r>
        <w:rPr>
          <w:rStyle w:val="CharPartNo"/>
        </w:rPr>
        <w:t>Part V</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bookmarkEnd w:id="115"/>
      <w:bookmarkEnd w:id="116"/>
    </w:p>
    <w:p>
      <w:pPr>
        <w:pStyle w:val="Heading5"/>
        <w:rPr>
          <w:snapToGrid w:val="0"/>
        </w:rPr>
      </w:pPr>
      <w:bookmarkStart w:id="117" w:name="_Toc164431331"/>
      <w:bookmarkStart w:id="118" w:name="_Toc160785905"/>
      <w:r>
        <w:rPr>
          <w:rStyle w:val="CharSectno"/>
        </w:rPr>
        <w:t>34</w:t>
      </w:r>
      <w:r>
        <w:rPr>
          <w:snapToGrid w:val="0"/>
        </w:rPr>
        <w:t>.</w:t>
      </w:r>
      <w:r>
        <w:rPr>
          <w:snapToGrid w:val="0"/>
        </w:rPr>
        <w:tab/>
        <w:t>Service apparatus etc. of supply authority not subject to seizure etc.</w:t>
      </w:r>
      <w:bookmarkEnd w:id="117"/>
      <w:bookmarkEnd w:id="118"/>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119" w:name="_Toc164431332"/>
      <w:bookmarkStart w:id="120" w:name="_Toc160785906"/>
      <w:r>
        <w:rPr>
          <w:rStyle w:val="CharSectno"/>
        </w:rPr>
        <w:t>35</w:t>
      </w:r>
      <w:r>
        <w:rPr>
          <w:snapToGrid w:val="0"/>
        </w:rPr>
        <w:t>.</w:t>
      </w:r>
      <w:r>
        <w:rPr>
          <w:snapToGrid w:val="0"/>
        </w:rPr>
        <w:tab/>
        <w:t>Power to cut off supply</w:t>
      </w:r>
      <w:bookmarkEnd w:id="119"/>
      <w:bookmarkEnd w:id="120"/>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121" w:name="_Toc164431333"/>
      <w:bookmarkStart w:id="122" w:name="_Toc160785907"/>
      <w:r>
        <w:rPr>
          <w:rStyle w:val="CharSectno"/>
        </w:rPr>
        <w:t>36</w:t>
      </w:r>
      <w:r>
        <w:rPr>
          <w:snapToGrid w:val="0"/>
        </w:rPr>
        <w:t>.</w:t>
      </w:r>
      <w:r>
        <w:rPr>
          <w:snapToGrid w:val="0"/>
        </w:rPr>
        <w:tab/>
        <w:t>Powers where electricity wasted or misused</w:t>
      </w:r>
      <w:bookmarkEnd w:id="121"/>
      <w:bookmarkEnd w:id="122"/>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123" w:name="_Toc164431334"/>
      <w:bookmarkStart w:id="124" w:name="_Toc160785908"/>
      <w:r>
        <w:rPr>
          <w:rStyle w:val="CharSectno"/>
        </w:rPr>
        <w:t>37</w:t>
      </w:r>
      <w:r>
        <w:rPr>
          <w:snapToGrid w:val="0"/>
        </w:rPr>
        <w:t>.</w:t>
      </w:r>
      <w:r>
        <w:rPr>
          <w:snapToGrid w:val="0"/>
        </w:rPr>
        <w:tab/>
        <w:t>Power to remove appliances</w:t>
      </w:r>
      <w:bookmarkEnd w:id="123"/>
      <w:bookmarkEnd w:id="124"/>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125" w:name="_Toc164431335"/>
      <w:bookmarkStart w:id="126" w:name="_Toc160785909"/>
      <w:r>
        <w:rPr>
          <w:rStyle w:val="CharSectno"/>
        </w:rPr>
        <w:t>38</w:t>
      </w:r>
      <w:r>
        <w:rPr>
          <w:snapToGrid w:val="0"/>
        </w:rPr>
        <w:t>.</w:t>
      </w:r>
      <w:r>
        <w:rPr>
          <w:snapToGrid w:val="0"/>
        </w:rPr>
        <w:tab/>
        <w:t>Incoming tenant must be supplied although outgoing tenant in arrears</w:t>
      </w:r>
      <w:bookmarkEnd w:id="125"/>
      <w:bookmarkEnd w:id="126"/>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127" w:name="_Toc164431336"/>
      <w:bookmarkStart w:id="128" w:name="_Toc160785910"/>
      <w:r>
        <w:rPr>
          <w:rStyle w:val="CharSectno"/>
        </w:rPr>
        <w:t>39</w:t>
      </w:r>
      <w:r>
        <w:rPr>
          <w:snapToGrid w:val="0"/>
        </w:rPr>
        <w:t>.</w:t>
      </w:r>
      <w:r>
        <w:rPr>
          <w:snapToGrid w:val="0"/>
        </w:rPr>
        <w:tab/>
        <w:t>Supply authority to keep meter in order</w:t>
      </w:r>
      <w:bookmarkEnd w:id="127"/>
      <w:bookmarkEnd w:id="128"/>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129" w:name="_Toc164431337"/>
      <w:bookmarkStart w:id="130" w:name="_Toc160785911"/>
      <w:r>
        <w:rPr>
          <w:rStyle w:val="CharSectno"/>
        </w:rPr>
        <w:t>40</w:t>
      </w:r>
      <w:r>
        <w:rPr>
          <w:snapToGrid w:val="0"/>
        </w:rPr>
        <w:t>.</w:t>
      </w:r>
      <w:r>
        <w:rPr>
          <w:snapToGrid w:val="0"/>
        </w:rPr>
        <w:tab/>
        <w:t>Control of meters and fittings</w:t>
      </w:r>
      <w:bookmarkEnd w:id="129"/>
      <w:bookmarkEnd w:id="130"/>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131" w:name="_Toc164431338"/>
      <w:bookmarkStart w:id="132" w:name="_Toc160785912"/>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131"/>
      <w:bookmarkEnd w:id="132"/>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133" w:name="_Toc164431339"/>
      <w:bookmarkStart w:id="134" w:name="_Toc160785913"/>
      <w:r>
        <w:rPr>
          <w:rStyle w:val="CharSectno"/>
        </w:rPr>
        <w:t>42</w:t>
      </w:r>
      <w:r>
        <w:t>.</w:t>
      </w:r>
      <w:r>
        <w:tab/>
        <w:t>Apparatus</w:t>
      </w:r>
      <w:bookmarkEnd w:id="133"/>
      <w:bookmarkEnd w:id="134"/>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135" w:name="_Toc164431340"/>
      <w:bookmarkStart w:id="136" w:name="_Toc160785914"/>
      <w:r>
        <w:rPr>
          <w:rStyle w:val="CharSectno"/>
        </w:rPr>
        <w:t>43</w:t>
      </w:r>
      <w:r>
        <w:rPr>
          <w:snapToGrid w:val="0"/>
        </w:rPr>
        <w:t>.</w:t>
      </w:r>
      <w:r>
        <w:rPr>
          <w:snapToGrid w:val="0"/>
        </w:rPr>
        <w:tab/>
        <w:t>Uniform charges and zoning</w:t>
      </w:r>
      <w:bookmarkEnd w:id="135"/>
      <w:bookmarkEnd w:id="136"/>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137" w:name="_Toc164431341"/>
      <w:bookmarkStart w:id="138" w:name="_Toc160785915"/>
      <w:r>
        <w:rPr>
          <w:rStyle w:val="CharSectno"/>
        </w:rPr>
        <w:t>44</w:t>
      </w:r>
      <w:r>
        <w:rPr>
          <w:snapToGrid w:val="0"/>
        </w:rPr>
        <w:t>.</w:t>
      </w:r>
      <w:r>
        <w:rPr>
          <w:snapToGrid w:val="0"/>
        </w:rPr>
        <w:tab/>
        <w:t>Obligation to supply</w:t>
      </w:r>
      <w:bookmarkEnd w:id="137"/>
      <w:bookmarkEnd w:id="138"/>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139" w:name="_Toc164431342"/>
      <w:bookmarkStart w:id="140" w:name="_Toc160785916"/>
      <w:r>
        <w:rPr>
          <w:rStyle w:val="CharSectno"/>
        </w:rPr>
        <w:t>45</w:t>
      </w:r>
      <w:r>
        <w:rPr>
          <w:snapToGrid w:val="0"/>
        </w:rPr>
        <w:t>.</w:t>
      </w:r>
      <w:r>
        <w:rPr>
          <w:snapToGrid w:val="0"/>
        </w:rPr>
        <w:tab/>
        <w:t>Compensation, damages etc.</w:t>
      </w:r>
      <w:bookmarkEnd w:id="139"/>
      <w:bookmarkEnd w:id="140"/>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141" w:name="_Toc164431343"/>
      <w:bookmarkStart w:id="142" w:name="_Toc160785917"/>
      <w:r>
        <w:rPr>
          <w:rStyle w:val="CharSectno"/>
        </w:rPr>
        <w:t>47</w:t>
      </w:r>
      <w:r>
        <w:rPr>
          <w:snapToGrid w:val="0"/>
        </w:rPr>
        <w:t>.</w:t>
      </w:r>
      <w:r>
        <w:rPr>
          <w:snapToGrid w:val="0"/>
        </w:rPr>
        <w:tab/>
        <w:t>Illegal interference with works etc.</w:t>
      </w:r>
      <w:bookmarkEnd w:id="141"/>
      <w:bookmarkEnd w:id="14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143" w:name="_Toc164431344"/>
      <w:bookmarkStart w:id="144" w:name="_Toc160785918"/>
      <w:r>
        <w:rPr>
          <w:rStyle w:val="CharSectno"/>
        </w:rPr>
        <w:t>48</w:t>
      </w:r>
      <w:r>
        <w:rPr>
          <w:snapToGrid w:val="0"/>
        </w:rPr>
        <w:t>.</w:t>
      </w:r>
      <w:r>
        <w:rPr>
          <w:snapToGrid w:val="0"/>
        </w:rPr>
        <w:tab/>
        <w:t>Obtaining supply under false name</w:t>
      </w:r>
      <w:bookmarkEnd w:id="143"/>
      <w:bookmarkEnd w:id="144"/>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145" w:name="_Toc164431345"/>
      <w:bookmarkStart w:id="146" w:name="_Toc160785919"/>
      <w:r>
        <w:rPr>
          <w:rStyle w:val="CharSectno"/>
        </w:rPr>
        <w:t>49</w:t>
      </w:r>
      <w:r>
        <w:rPr>
          <w:snapToGrid w:val="0"/>
        </w:rPr>
        <w:t>.</w:t>
      </w:r>
      <w:r>
        <w:rPr>
          <w:snapToGrid w:val="0"/>
        </w:rPr>
        <w:tab/>
        <w:t>Unauthorised use</w:t>
      </w:r>
      <w:bookmarkEnd w:id="145"/>
      <w:bookmarkEnd w:id="146"/>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147" w:name="_Toc164431346"/>
      <w:bookmarkStart w:id="148" w:name="_Toc160785920"/>
      <w:r>
        <w:rPr>
          <w:rStyle w:val="CharSectno"/>
        </w:rPr>
        <w:t>50</w:t>
      </w:r>
      <w:r>
        <w:rPr>
          <w:snapToGrid w:val="0"/>
        </w:rPr>
        <w:t>.</w:t>
      </w:r>
      <w:r>
        <w:rPr>
          <w:snapToGrid w:val="0"/>
        </w:rPr>
        <w:tab/>
        <w:t>Alteration of meter</w:t>
      </w:r>
      <w:bookmarkEnd w:id="147"/>
      <w:bookmarkEnd w:id="148"/>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149" w:name="_Toc164431347"/>
      <w:bookmarkStart w:id="150" w:name="_Toc160785921"/>
      <w:r>
        <w:rPr>
          <w:rStyle w:val="CharSectno"/>
        </w:rPr>
        <w:t>51</w:t>
      </w:r>
      <w:r>
        <w:rPr>
          <w:snapToGrid w:val="0"/>
        </w:rPr>
        <w:t>.</w:t>
      </w:r>
      <w:r>
        <w:rPr>
          <w:snapToGrid w:val="0"/>
        </w:rPr>
        <w:tab/>
        <w:t>Summary remedy for damage to electric works</w:t>
      </w:r>
      <w:bookmarkEnd w:id="149"/>
      <w:bookmarkEnd w:id="150"/>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151" w:name="_Toc164431348"/>
      <w:bookmarkStart w:id="152" w:name="_Toc160785922"/>
      <w:r>
        <w:rPr>
          <w:rStyle w:val="CharSectno"/>
        </w:rPr>
        <w:t>52</w:t>
      </w:r>
      <w:r>
        <w:rPr>
          <w:snapToGrid w:val="0"/>
        </w:rPr>
        <w:t>.</w:t>
      </w:r>
      <w:r>
        <w:rPr>
          <w:snapToGrid w:val="0"/>
        </w:rPr>
        <w:tab/>
        <w:t>General penalty</w:t>
      </w:r>
      <w:bookmarkEnd w:id="151"/>
      <w:bookmarkEnd w:id="152"/>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153" w:name="_Toc164431349"/>
      <w:bookmarkStart w:id="154" w:name="_Toc160785923"/>
      <w:r>
        <w:rPr>
          <w:rStyle w:val="CharSectno"/>
        </w:rPr>
        <w:t>53</w:t>
      </w:r>
      <w:r>
        <w:t>.</w:t>
      </w:r>
      <w:r>
        <w:tab/>
        <w:t>Limitation period for offences</w:t>
      </w:r>
      <w:bookmarkEnd w:id="153"/>
      <w:bookmarkEnd w:id="154"/>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155" w:name="_Toc164418894"/>
      <w:bookmarkStart w:id="156" w:name="_Toc164420986"/>
      <w:bookmarkStart w:id="157" w:name="_Toc164421911"/>
      <w:bookmarkStart w:id="158" w:name="_Toc164431350"/>
      <w:bookmarkStart w:id="159" w:name="_Toc160627891"/>
      <w:bookmarkStart w:id="160" w:name="_Toc160628107"/>
      <w:bookmarkStart w:id="161" w:name="_Toc160632000"/>
      <w:bookmarkStart w:id="162" w:name="_Toc160785377"/>
      <w:bookmarkStart w:id="163" w:name="_Toc160785924"/>
      <w:r>
        <w:t>Notes</w:t>
      </w:r>
      <w:bookmarkEnd w:id="155"/>
      <w:bookmarkEnd w:id="156"/>
      <w:bookmarkEnd w:id="157"/>
      <w:bookmarkEnd w:id="158"/>
      <w:bookmarkEnd w:id="159"/>
      <w:bookmarkEnd w:id="160"/>
      <w:bookmarkEnd w:id="161"/>
      <w:bookmarkEnd w:id="162"/>
      <w:bookmarkEnd w:id="163"/>
    </w:p>
    <w:p>
      <w:pPr>
        <w:pStyle w:val="nStatement"/>
      </w:pPr>
      <w:r>
        <w:t xml:space="preserve">This is a compilation of the </w:t>
      </w:r>
      <w:r>
        <w:rPr>
          <w:i/>
          <w:noProof/>
        </w:rPr>
        <w:t>Electricity Act 1945</w:t>
      </w:r>
      <w:r>
        <w:t xml:space="preserve"> and includes amendments made by other written laws</w:t>
      </w:r>
      <w:ins w:id="164" w:author="Master Repository Process" w:date="2024-04-23T15:57:00Z">
        <w:r>
          <w:rPr>
            <w:vertAlign w:val="superscript"/>
          </w:rPr>
          <w:t> 2</w:t>
        </w:r>
      </w:ins>
      <w:r>
        <w:t>. For provisions that have come into operation, and for information about any reprints, see the compilation table. For provisions that have not yet come into operation see the uncommenced provisions table.</w:t>
      </w:r>
    </w:p>
    <w:p>
      <w:pPr>
        <w:pStyle w:val="nHeading3"/>
      </w:pPr>
      <w:bookmarkStart w:id="165" w:name="_Toc164431351"/>
      <w:bookmarkStart w:id="166" w:name="_Toc160785925"/>
      <w:r>
        <w:t>Compilation table</w:t>
      </w:r>
      <w:bookmarkEnd w:id="165"/>
      <w:bookmarkEnd w:id="166"/>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Act 1945</w:t>
            </w:r>
          </w:p>
        </w:tc>
        <w:tc>
          <w:tcPr>
            <w:tcW w:w="1134" w:type="dxa"/>
          </w:tcPr>
          <w:p>
            <w:pPr>
              <w:pStyle w:val="nTable"/>
              <w:spacing w:before="50" w:after="50"/>
            </w:pPr>
            <w:r>
              <w:t>19 of 1945</w:t>
            </w:r>
            <w:r>
              <w:br/>
              <w:t>(9 and 10 Geo. VI No. 19)</w:t>
            </w:r>
          </w:p>
        </w:tc>
        <w:tc>
          <w:tcPr>
            <w:tcW w:w="1276" w:type="dxa"/>
          </w:tcPr>
          <w:p>
            <w:pPr>
              <w:pStyle w:val="nTable"/>
              <w:spacing w:before="50" w:after="50"/>
            </w:pPr>
            <w:r>
              <w:t>9 Jan 1946</w:t>
            </w:r>
          </w:p>
        </w:tc>
        <w:tc>
          <w:tcPr>
            <w:tcW w:w="2410" w:type="dxa"/>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Act Amendment Act 1953</w:t>
            </w:r>
          </w:p>
        </w:tc>
        <w:tc>
          <w:tcPr>
            <w:tcW w:w="1134" w:type="dxa"/>
          </w:tcPr>
          <w:p>
            <w:pPr>
              <w:pStyle w:val="nTable"/>
              <w:spacing w:before="50" w:after="50"/>
            </w:pPr>
            <w:r>
              <w:t>72 of 1953</w:t>
            </w:r>
            <w:r>
              <w:br/>
              <w:t>(2 Eliz. II No. 72)</w:t>
            </w:r>
          </w:p>
        </w:tc>
        <w:tc>
          <w:tcPr>
            <w:tcW w:w="1276" w:type="dxa"/>
          </w:tcPr>
          <w:p>
            <w:pPr>
              <w:pStyle w:val="nTable"/>
              <w:spacing w:before="50" w:after="50"/>
            </w:pPr>
            <w:r>
              <w:t>9 Jan 1954</w:t>
            </w:r>
          </w:p>
        </w:tc>
        <w:tc>
          <w:tcPr>
            <w:tcW w:w="2410" w:type="dxa"/>
          </w:tcPr>
          <w:p>
            <w:pPr>
              <w:pStyle w:val="nTable"/>
              <w:spacing w:before="50" w:after="50"/>
            </w:pPr>
            <w:r>
              <w:t>9 Jan 1954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50" w:after="50"/>
              <w:rPr>
                <w:i/>
              </w:rPr>
            </w:pPr>
            <w:r>
              <w:rPr>
                <w:i/>
              </w:rPr>
              <w:t>Decimal Currency Act 1965</w:t>
            </w:r>
          </w:p>
        </w:tc>
        <w:tc>
          <w:tcPr>
            <w:tcW w:w="1134" w:type="dxa"/>
          </w:tcPr>
          <w:p>
            <w:pPr>
              <w:pStyle w:val="nTable"/>
              <w:spacing w:before="50" w:after="50"/>
            </w:pPr>
            <w:r>
              <w:t>113 of 1965</w:t>
            </w:r>
          </w:p>
        </w:tc>
        <w:tc>
          <w:tcPr>
            <w:tcW w:w="1276" w:type="dxa"/>
          </w:tcPr>
          <w:p>
            <w:pPr>
              <w:pStyle w:val="nTable"/>
              <w:spacing w:before="50" w:after="50"/>
            </w:pPr>
            <w:r>
              <w:t>21 Dec 1965</w:t>
            </w:r>
          </w:p>
        </w:tc>
        <w:tc>
          <w:tcPr>
            <w:tcW w:w="2410" w:type="dxa"/>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Metric Conversion Act 1972</w:t>
            </w:r>
          </w:p>
        </w:tc>
        <w:tc>
          <w:tcPr>
            <w:tcW w:w="1134" w:type="dxa"/>
          </w:tcPr>
          <w:p>
            <w:pPr>
              <w:pStyle w:val="nTable"/>
              <w:spacing w:before="50" w:after="50"/>
            </w:pPr>
            <w:r>
              <w:t>94 of 1972</w:t>
            </w:r>
          </w:p>
        </w:tc>
        <w:tc>
          <w:tcPr>
            <w:tcW w:w="1276" w:type="dxa"/>
          </w:tcPr>
          <w:p>
            <w:pPr>
              <w:pStyle w:val="nTable"/>
              <w:spacing w:before="50" w:after="50"/>
            </w:pPr>
            <w:r>
              <w:t>4 Dec 1972</w:t>
            </w:r>
          </w:p>
        </w:tc>
        <w:tc>
          <w:tcPr>
            <w:tcW w:w="2410" w:type="dxa"/>
          </w:tcPr>
          <w:p>
            <w:pPr>
              <w:pStyle w:val="nTable"/>
              <w:spacing w:before="50" w:after="50"/>
            </w:pPr>
            <w:r>
              <w:t>Relevant amendments (see First Sch. </w:t>
            </w:r>
            <w:r>
              <w:rPr>
                <w:vertAlign w:val="superscript"/>
              </w:rPr>
              <w:t>3</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Act Amendment Act 1979</w:t>
            </w:r>
          </w:p>
        </w:tc>
        <w:tc>
          <w:tcPr>
            <w:tcW w:w="1134" w:type="dxa"/>
          </w:tcPr>
          <w:p>
            <w:pPr>
              <w:pStyle w:val="nTable"/>
              <w:spacing w:before="50" w:after="50"/>
            </w:pPr>
            <w:r>
              <w:t>86 of 1979</w:t>
            </w:r>
          </w:p>
        </w:tc>
        <w:tc>
          <w:tcPr>
            <w:tcW w:w="1276" w:type="dxa"/>
          </w:tcPr>
          <w:p>
            <w:pPr>
              <w:pStyle w:val="nTable"/>
              <w:spacing w:before="50" w:after="50"/>
            </w:pPr>
            <w:r>
              <w:t>11 Dec 1979</w:t>
            </w:r>
          </w:p>
        </w:tc>
        <w:tc>
          <w:tcPr>
            <w:tcW w:w="2410" w:type="dxa"/>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Commercial Arbitration Act 1985</w:t>
            </w:r>
            <w:r>
              <w:t xml:space="preserve"> s. 3(1)</w:t>
            </w:r>
          </w:p>
        </w:tc>
        <w:tc>
          <w:tcPr>
            <w:tcW w:w="1134" w:type="dxa"/>
          </w:tcPr>
          <w:p>
            <w:pPr>
              <w:pStyle w:val="nTable"/>
              <w:spacing w:before="50" w:after="50"/>
            </w:pPr>
            <w:r>
              <w:t>109 of 1985</w:t>
            </w:r>
          </w:p>
        </w:tc>
        <w:tc>
          <w:tcPr>
            <w:tcW w:w="1276" w:type="dxa"/>
          </w:tcPr>
          <w:p>
            <w:pPr>
              <w:pStyle w:val="nTable"/>
              <w:spacing w:before="50" w:after="50"/>
            </w:pPr>
            <w:r>
              <w:t>7 Jan 1986</w:t>
            </w:r>
          </w:p>
        </w:tc>
        <w:tc>
          <w:tcPr>
            <w:tcW w:w="2410" w:type="dxa"/>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c>
          <w:tcPr>
            <w:tcW w:w="2268" w:type="dxa"/>
          </w:tcPr>
          <w:p>
            <w:pPr>
              <w:pStyle w:val="nTable"/>
              <w:spacing w:before="50" w:after="50"/>
            </w:pPr>
            <w:r>
              <w:rPr>
                <w:i/>
              </w:rPr>
              <w:t>Electricity Amendment Act 1988</w:t>
            </w:r>
          </w:p>
        </w:tc>
        <w:tc>
          <w:tcPr>
            <w:tcW w:w="1134" w:type="dxa"/>
          </w:tcPr>
          <w:p>
            <w:pPr>
              <w:pStyle w:val="nTable"/>
              <w:spacing w:before="50" w:after="50"/>
            </w:pPr>
            <w:r>
              <w:t>42 of 1988</w:t>
            </w:r>
          </w:p>
        </w:tc>
        <w:tc>
          <w:tcPr>
            <w:tcW w:w="1276" w:type="dxa"/>
          </w:tcPr>
          <w:p>
            <w:pPr>
              <w:pStyle w:val="nTable"/>
              <w:spacing w:before="50" w:after="50"/>
            </w:pPr>
            <w:r>
              <w:t>30 Nov 1988</w:t>
            </w:r>
          </w:p>
        </w:tc>
        <w:tc>
          <w:tcPr>
            <w:tcW w:w="2410" w:type="dxa"/>
          </w:tcPr>
          <w:p>
            <w:pPr>
              <w:pStyle w:val="nTable"/>
              <w:spacing w:before="50" w:after="50"/>
            </w:pPr>
            <w:r>
              <w:t>30 Nov 1988 (see s. 2)</w:t>
            </w:r>
          </w:p>
        </w:tc>
      </w:tr>
      <w:tr>
        <w:tblPrEx>
          <w:tblBorders>
            <w:top w:val="none" w:sz="0" w:space="0" w:color="auto"/>
            <w:bottom w:val="none" w:sz="0" w:space="0" w:color="auto"/>
            <w:insideH w:val="none" w:sz="0" w:space="0" w:color="auto"/>
          </w:tblBorders>
        </w:tblPrEx>
        <w:tc>
          <w:tcPr>
            <w:tcW w:w="2268" w:type="dxa"/>
          </w:tcPr>
          <w:p>
            <w:pPr>
              <w:pStyle w:val="nTable"/>
              <w:spacing w:before="50" w:after="50"/>
              <w:rPr>
                <w:vertAlign w:val="superscript"/>
              </w:rPr>
            </w:pPr>
            <w:r>
              <w:rPr>
                <w:i/>
              </w:rPr>
              <w:t>Energy Corporations (Transitional and Consequential Provisions) Act 1994</w:t>
            </w:r>
            <w:r>
              <w:t xml:space="preserve"> Pt. 4 </w:t>
            </w:r>
            <w:r>
              <w:rPr>
                <w:vertAlign w:val="superscript"/>
              </w:rPr>
              <w:t>4</w:t>
            </w:r>
          </w:p>
        </w:tc>
        <w:tc>
          <w:tcPr>
            <w:tcW w:w="1134" w:type="dxa"/>
          </w:tcPr>
          <w:p>
            <w:pPr>
              <w:pStyle w:val="nTable"/>
              <w:spacing w:before="50" w:after="50"/>
            </w:pPr>
            <w:r>
              <w:t>89 of 1994</w:t>
            </w:r>
          </w:p>
        </w:tc>
        <w:tc>
          <w:tcPr>
            <w:tcW w:w="1276" w:type="dxa"/>
          </w:tcPr>
          <w:p>
            <w:pPr>
              <w:pStyle w:val="nTable"/>
              <w:spacing w:before="50" w:after="50"/>
            </w:pPr>
            <w:r>
              <w:t>15 Dec 1994</w:t>
            </w:r>
          </w:p>
        </w:tc>
        <w:tc>
          <w:tcPr>
            <w:tcW w:w="2410" w:type="dxa"/>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Sentencing (Consequential Provisions) Act 1995</w:t>
            </w:r>
            <w:r>
              <w:t xml:space="preserve"> Pt. 27</w:t>
            </w:r>
          </w:p>
        </w:tc>
        <w:tc>
          <w:tcPr>
            <w:tcW w:w="1134" w:type="dxa"/>
          </w:tcPr>
          <w:p>
            <w:pPr>
              <w:pStyle w:val="nTable"/>
              <w:spacing w:after="40"/>
            </w:pPr>
            <w:r>
              <w:t>78 of 1995</w:t>
            </w:r>
          </w:p>
        </w:tc>
        <w:tc>
          <w:tcPr>
            <w:tcW w:w="1276" w:type="dxa"/>
          </w:tcPr>
          <w:p>
            <w:pPr>
              <w:pStyle w:val="nTable"/>
              <w:spacing w:after="40"/>
            </w:pPr>
            <w:r>
              <w:t>16 Jan 1996</w:t>
            </w:r>
          </w:p>
        </w:tc>
        <w:tc>
          <w:tcPr>
            <w:tcW w:w="2410"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Electricity Amendment Act 1996</w:t>
            </w:r>
          </w:p>
        </w:tc>
        <w:tc>
          <w:tcPr>
            <w:tcW w:w="1134" w:type="dxa"/>
          </w:tcPr>
          <w:p>
            <w:pPr>
              <w:pStyle w:val="nTable"/>
              <w:spacing w:after="40"/>
            </w:pPr>
            <w:r>
              <w:t>63 of 1996</w:t>
            </w:r>
          </w:p>
        </w:tc>
        <w:tc>
          <w:tcPr>
            <w:tcW w:w="1276" w:type="dxa"/>
          </w:tcPr>
          <w:p>
            <w:pPr>
              <w:pStyle w:val="nTable"/>
              <w:spacing w:after="40"/>
            </w:pPr>
            <w:r>
              <w:t>11 Nov 1996</w:t>
            </w:r>
          </w:p>
        </w:tc>
        <w:tc>
          <w:tcPr>
            <w:tcW w:w="2410" w:type="dxa"/>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(Land Administration) Act 1997</w:t>
            </w:r>
            <w:r>
              <w:t xml:space="preserve"> Pt. 23</w:t>
            </w:r>
          </w:p>
        </w:tc>
        <w:tc>
          <w:tcPr>
            <w:tcW w:w="1134" w:type="dxa"/>
          </w:tcPr>
          <w:p>
            <w:pPr>
              <w:pStyle w:val="nTable"/>
              <w:spacing w:after="40"/>
            </w:pPr>
            <w:r>
              <w:t>31 of 1997</w:t>
            </w:r>
          </w:p>
        </w:tc>
        <w:tc>
          <w:tcPr>
            <w:tcW w:w="1276" w:type="dxa"/>
          </w:tcPr>
          <w:p>
            <w:pPr>
              <w:pStyle w:val="nTable"/>
              <w:spacing w:after="40"/>
            </w:pPr>
            <w:r>
              <w:t>3 Oct 1997</w:t>
            </w:r>
          </w:p>
        </w:tc>
        <w:tc>
          <w:tcPr>
            <w:tcW w:w="2410"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(No. 2) 1998</w:t>
            </w:r>
            <w:r>
              <w:t xml:space="preserve"> s. 31 and 76</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Statutes (Repeals and Minor Amendments) Act 2000</w:t>
            </w:r>
            <w:r>
              <w:t xml:space="preserve"> s. 14(13)</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2003 </w:t>
            </w:r>
            <w:r>
              <w:t>s. 48</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Electricity Legislation Amendment Act 2004</w:t>
            </w:r>
            <w:r>
              <w:t xml:space="preserve"> Pt. 2 Div. 1</w:t>
            </w:r>
          </w:p>
        </w:tc>
        <w:tc>
          <w:tcPr>
            <w:tcW w:w="1134" w:type="dxa"/>
          </w:tcPr>
          <w:p>
            <w:pPr>
              <w:pStyle w:val="nTable"/>
              <w:spacing w:after="40"/>
            </w:pPr>
            <w:r>
              <w:t>33 of 2004</w:t>
            </w:r>
          </w:p>
        </w:tc>
        <w:tc>
          <w:tcPr>
            <w:tcW w:w="1276" w:type="dxa"/>
          </w:tcPr>
          <w:p>
            <w:pPr>
              <w:pStyle w:val="nTable"/>
              <w:spacing w:after="40"/>
            </w:pPr>
            <w:r>
              <w:t>20 Oct 2004</w:t>
            </w:r>
          </w:p>
        </w:tc>
        <w:tc>
          <w:tcPr>
            <w:tcW w:w="2410" w:type="dxa"/>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276" w:type="dxa"/>
          </w:tcPr>
          <w:p>
            <w:pPr>
              <w:pStyle w:val="nTable"/>
              <w:spacing w:after="40"/>
            </w:pPr>
            <w:r>
              <w:rPr>
                <w:snapToGrid w:val="0"/>
              </w:rPr>
              <w:t>23 Nov 2004</w:t>
            </w:r>
          </w:p>
        </w:tc>
        <w:tc>
          <w:tcPr>
            <w:tcW w:w="2410"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State Administrative Tribunal (Conferral of Jurisdiction) Amendment and Repeal Act 2004</w:t>
            </w:r>
            <w:r>
              <w:t xml:space="preserve"> Pt. 2 Div. 40</w:t>
            </w:r>
            <w:r>
              <w:rPr>
                <w:vertAlign w:val="superscript"/>
              </w:rPr>
              <w:t> 6</w:t>
            </w:r>
          </w:p>
        </w:tc>
        <w:tc>
          <w:tcPr>
            <w:tcW w:w="1134" w:type="dxa"/>
          </w:tcPr>
          <w:p>
            <w:pPr>
              <w:pStyle w:val="nTable"/>
              <w:spacing w:after="40"/>
            </w:pPr>
            <w:r>
              <w:t>55 of 2004</w:t>
            </w:r>
          </w:p>
        </w:tc>
        <w:tc>
          <w:tcPr>
            <w:tcW w:w="1276" w:type="dxa"/>
          </w:tcPr>
          <w:p>
            <w:pPr>
              <w:pStyle w:val="nTable"/>
              <w:spacing w:after="40"/>
            </w:pPr>
            <w:r>
              <w:t>24 Nov 2004</w:t>
            </w:r>
          </w:p>
        </w:tc>
        <w:tc>
          <w:tcPr>
            <w:tcW w:w="2410" w:type="dxa"/>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50" w:after="50"/>
              <w:rPr>
                <w:iCs/>
              </w:rPr>
            </w:pPr>
            <w:r>
              <w:rPr>
                <w:i/>
              </w:rPr>
              <w:t>Electricity Corporations Act 2005</w:t>
            </w:r>
            <w:r>
              <w:rPr>
                <w:iCs/>
              </w:rPr>
              <w:t xml:space="preserve"> s. 139</w:t>
            </w:r>
          </w:p>
        </w:tc>
        <w:tc>
          <w:tcPr>
            <w:tcW w:w="1134" w:type="dxa"/>
          </w:tcPr>
          <w:p>
            <w:pPr>
              <w:pStyle w:val="nTable"/>
              <w:spacing w:before="50" w:after="50"/>
            </w:pPr>
            <w:r>
              <w:t>18 of 2005</w:t>
            </w:r>
          </w:p>
        </w:tc>
        <w:tc>
          <w:tcPr>
            <w:tcW w:w="1276" w:type="dxa"/>
          </w:tcPr>
          <w:p>
            <w:pPr>
              <w:pStyle w:val="nTable"/>
              <w:spacing w:before="50" w:after="50"/>
            </w:pPr>
            <w:r>
              <w:t>13 Oct 2005</w:t>
            </w:r>
          </w:p>
        </w:tc>
        <w:tc>
          <w:tcPr>
            <w:tcW w:w="2410" w:type="dxa"/>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tcPr>
          <w:p>
            <w:pPr>
              <w:pStyle w:val="nTable"/>
              <w:spacing w:before="50" w:after="50"/>
              <w:rPr>
                <w:snapToGrid w:val="0"/>
              </w:rPr>
            </w:pPr>
            <w:r>
              <w:rPr>
                <w:snapToGrid w:val="0"/>
              </w:rPr>
              <w:t>28 of 2006</w:t>
            </w:r>
          </w:p>
        </w:tc>
        <w:tc>
          <w:tcPr>
            <w:tcW w:w="1276" w:type="dxa"/>
          </w:tcPr>
          <w:p>
            <w:pPr>
              <w:pStyle w:val="nTable"/>
              <w:spacing w:before="50" w:after="50"/>
            </w:pPr>
            <w:r>
              <w:t>26 Jun 2006</w:t>
            </w:r>
          </w:p>
        </w:tc>
        <w:tc>
          <w:tcPr>
            <w:tcW w:w="2410" w:type="dxa"/>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tcPr>
          <w:p>
            <w:pPr>
              <w:pStyle w:val="nTable"/>
              <w:spacing w:before="50" w:after="50"/>
              <w:rPr>
                <w:snapToGrid w:val="0"/>
              </w:rPr>
            </w:pPr>
            <w:r>
              <w:rPr>
                <w:snapToGrid w:val="0"/>
              </w:rPr>
              <w:t xml:space="preserve">77 of 2006 </w:t>
            </w:r>
          </w:p>
        </w:tc>
        <w:tc>
          <w:tcPr>
            <w:tcW w:w="1276" w:type="dxa"/>
          </w:tcPr>
          <w:p>
            <w:pPr>
              <w:pStyle w:val="nTable"/>
              <w:spacing w:before="50" w:after="50"/>
            </w:pPr>
            <w:r>
              <w:rPr>
                <w:snapToGrid w:val="0"/>
              </w:rPr>
              <w:t>21 Dec 2006</w:t>
            </w:r>
          </w:p>
        </w:tc>
        <w:tc>
          <w:tcPr>
            <w:tcW w:w="2410" w:type="dxa"/>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tcPr>
          <w:p>
            <w:pPr>
              <w:pStyle w:val="nTable"/>
              <w:spacing w:before="50" w:after="50"/>
              <w:rPr>
                <w:snapToGrid w:val="0"/>
              </w:rPr>
            </w:pPr>
            <w:r>
              <w:rPr>
                <w:snapToGrid w:val="0"/>
              </w:rPr>
              <w:t>5 of 2007</w:t>
            </w:r>
          </w:p>
        </w:tc>
        <w:tc>
          <w:tcPr>
            <w:tcW w:w="1276" w:type="dxa"/>
          </w:tcPr>
          <w:p>
            <w:pPr>
              <w:pStyle w:val="nTable"/>
              <w:spacing w:before="50" w:after="50"/>
              <w:rPr>
                <w:snapToGrid w:val="0"/>
              </w:rPr>
            </w:pPr>
            <w:r>
              <w:rPr>
                <w:snapToGrid w:val="0"/>
              </w:rPr>
              <w:t>18 Apr 2007</w:t>
            </w:r>
          </w:p>
        </w:tc>
        <w:tc>
          <w:tcPr>
            <w:tcW w:w="2410" w:type="dxa"/>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right="113"/>
              <w:rPr>
                <w:iCs/>
              </w:rPr>
            </w:pPr>
            <w:r>
              <w:rPr>
                <w:i/>
              </w:rPr>
              <w:t>Statutes (Repeals and Miscellaneous Amendments) Act 2009</w:t>
            </w:r>
            <w:r>
              <w:rPr>
                <w:iCs/>
              </w:rPr>
              <w:t xml:space="preserve"> s. 49</w:t>
            </w:r>
          </w:p>
        </w:tc>
        <w:tc>
          <w:tcPr>
            <w:tcW w:w="1134" w:type="dxa"/>
          </w:tcPr>
          <w:p>
            <w:pPr>
              <w:pStyle w:val="nTable"/>
              <w:spacing w:before="50" w:after="50"/>
            </w:pPr>
            <w:r>
              <w:t xml:space="preserve">8 of 2009 </w:t>
            </w:r>
          </w:p>
        </w:tc>
        <w:tc>
          <w:tcPr>
            <w:tcW w:w="1276" w:type="dxa"/>
          </w:tcPr>
          <w:p>
            <w:pPr>
              <w:pStyle w:val="nTable"/>
              <w:spacing w:before="50" w:after="50"/>
            </w:pPr>
            <w:r>
              <w:t>21 May 2009</w:t>
            </w:r>
          </w:p>
        </w:tc>
        <w:tc>
          <w:tcPr>
            <w:tcW w:w="2410" w:type="dxa"/>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tcPr>
          <w:p>
            <w:pPr>
              <w:pStyle w:val="nTable"/>
              <w:spacing w:before="50" w:after="50"/>
              <w:rPr>
                <w:snapToGrid w:val="0"/>
              </w:rPr>
            </w:pPr>
            <w:r>
              <w:rPr>
                <w:snapToGrid w:val="0"/>
              </w:rPr>
              <w:t>19 of 2010</w:t>
            </w:r>
          </w:p>
        </w:tc>
        <w:tc>
          <w:tcPr>
            <w:tcW w:w="1276" w:type="dxa"/>
          </w:tcPr>
          <w:p>
            <w:pPr>
              <w:pStyle w:val="nTable"/>
              <w:spacing w:before="50" w:after="50"/>
              <w:rPr>
                <w:snapToGrid w:val="0"/>
              </w:rPr>
            </w:pPr>
            <w:r>
              <w:rPr>
                <w:snapToGrid w:val="0"/>
              </w:rPr>
              <w:t>28 Jun 2010</w:t>
            </w:r>
          </w:p>
        </w:tc>
        <w:tc>
          <w:tcPr>
            <w:tcW w:w="2410"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50" w:after="50"/>
              <w:ind w:right="113"/>
            </w:pPr>
            <w:r>
              <w:rPr>
                <w:i/>
                <w:snapToGrid w:val="0"/>
              </w:rPr>
              <w:t>Statutes (Repeals and Minor Amendments) Act 2011</w:t>
            </w:r>
            <w:r>
              <w:t xml:space="preserve"> s. 27</w:t>
            </w:r>
          </w:p>
        </w:tc>
        <w:tc>
          <w:tcPr>
            <w:tcW w:w="1134" w:type="dxa"/>
          </w:tcPr>
          <w:p>
            <w:pPr>
              <w:pStyle w:val="nTable"/>
              <w:spacing w:before="50" w:after="50"/>
              <w:rPr>
                <w:snapToGrid w:val="0"/>
              </w:rPr>
            </w:pPr>
            <w:r>
              <w:rPr>
                <w:snapToGrid w:val="0"/>
              </w:rPr>
              <w:t>47 of 2011</w:t>
            </w:r>
          </w:p>
        </w:tc>
        <w:tc>
          <w:tcPr>
            <w:tcW w:w="1276" w:type="dxa"/>
          </w:tcPr>
          <w:p>
            <w:pPr>
              <w:pStyle w:val="nTable"/>
              <w:spacing w:before="50" w:after="50"/>
              <w:rPr>
                <w:snapToGrid w:val="0"/>
              </w:rPr>
            </w:pPr>
            <w:r>
              <w:rPr>
                <w:snapToGrid w:val="0"/>
              </w:rPr>
              <w:t>25 Oct 2011</w:t>
            </w:r>
          </w:p>
        </w:tc>
        <w:tc>
          <w:tcPr>
            <w:tcW w:w="2410" w:type="dxa"/>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shd w:val="clear" w:color="auto" w:fill="auto"/>
          </w:tcPr>
          <w:p>
            <w:pPr>
              <w:pStyle w:val="nTable"/>
              <w:spacing w:before="50" w:after="50"/>
              <w:rPr>
                <w:snapToGrid w:val="0"/>
              </w:rPr>
            </w:pPr>
            <w:r>
              <w:rPr>
                <w:snapToGrid w:val="0"/>
              </w:rPr>
              <w:t>23 of 2012</w:t>
            </w:r>
          </w:p>
        </w:tc>
        <w:tc>
          <w:tcPr>
            <w:tcW w:w="1276" w:type="dxa"/>
            <w:shd w:val="clear" w:color="auto" w:fill="auto"/>
          </w:tcPr>
          <w:p>
            <w:pPr>
              <w:pStyle w:val="nTable"/>
              <w:spacing w:before="50" w:after="50"/>
              <w:rPr>
                <w:snapToGrid w:val="0"/>
              </w:rPr>
            </w:pPr>
            <w:r>
              <w:rPr>
                <w:snapToGrid w:val="0"/>
              </w:rPr>
              <w:t>29 Aug 2012</w:t>
            </w:r>
          </w:p>
        </w:tc>
        <w:tc>
          <w:tcPr>
            <w:tcW w:w="2410" w:type="dxa"/>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r>
        <w:trPr>
          <w:cantSplit/>
        </w:trPr>
        <w:tc>
          <w:tcPr>
            <w:tcW w:w="2268" w:type="dxa"/>
            <w:tcBorders>
              <w:top w:val="nil"/>
              <w:bottom w:val="nil"/>
            </w:tcBorders>
            <w:shd w:val="clear" w:color="auto" w:fill="auto"/>
          </w:tcPr>
          <w:p>
            <w:pPr>
              <w:pStyle w:val="nTable"/>
              <w:spacing w:before="50" w:after="50"/>
              <w:ind w:right="113"/>
              <w:rPr>
                <w:i/>
                <w:snapToGrid w:val="0"/>
              </w:rPr>
            </w:pPr>
            <w:r>
              <w:rPr>
                <w:i/>
              </w:rPr>
              <w:t xml:space="preserve">Mutual Recognition (Western Australia) Amendment Act 2022 </w:t>
            </w:r>
            <w:r>
              <w:t>Pt. 3 Div. 4</w:t>
            </w:r>
          </w:p>
        </w:tc>
        <w:tc>
          <w:tcPr>
            <w:tcW w:w="1134" w:type="dxa"/>
            <w:tcBorders>
              <w:top w:val="nil"/>
              <w:bottom w:val="nil"/>
            </w:tcBorders>
            <w:shd w:val="clear" w:color="auto" w:fill="auto"/>
          </w:tcPr>
          <w:p>
            <w:pPr>
              <w:pStyle w:val="nTable"/>
              <w:spacing w:before="50" w:after="50"/>
              <w:rPr>
                <w:snapToGrid w:val="0"/>
              </w:rPr>
            </w:pPr>
            <w:r>
              <w:t>7 of 2022</w:t>
            </w:r>
          </w:p>
        </w:tc>
        <w:tc>
          <w:tcPr>
            <w:tcW w:w="1276" w:type="dxa"/>
            <w:tcBorders>
              <w:top w:val="nil"/>
              <w:bottom w:val="nil"/>
            </w:tcBorders>
            <w:shd w:val="clear" w:color="auto" w:fill="auto"/>
          </w:tcPr>
          <w:p>
            <w:pPr>
              <w:pStyle w:val="nTable"/>
              <w:spacing w:before="50" w:after="50"/>
              <w:rPr>
                <w:snapToGrid w:val="0"/>
              </w:rPr>
            </w:pPr>
            <w:r>
              <w:t>29 Mar 2022</w:t>
            </w:r>
          </w:p>
        </w:tc>
        <w:tc>
          <w:tcPr>
            <w:tcW w:w="2410" w:type="dxa"/>
            <w:tcBorders>
              <w:top w:val="nil"/>
              <w:bottom w:val="nil"/>
            </w:tcBorders>
            <w:shd w:val="clear" w:color="auto" w:fill="auto"/>
          </w:tcPr>
          <w:p>
            <w:pPr>
              <w:pStyle w:val="nTable"/>
              <w:keepLines/>
              <w:tabs>
                <w:tab w:val="left" w:pos="893"/>
              </w:tabs>
              <w:spacing w:before="50" w:after="50"/>
              <w:rPr>
                <w:snapToGrid w:val="0"/>
              </w:rPr>
            </w:pPr>
            <w:r>
              <w:t>1 Jul 2022 (see s. 2(b) and SL 2022/80 cl. 2)</w:t>
            </w:r>
          </w:p>
        </w:tc>
      </w:tr>
      <w:tr>
        <w:trPr>
          <w:cantSplit/>
          <w:ins w:id="167" w:author="Master Repository Process" w:date="2024-04-23T15:57:00Z"/>
        </w:trPr>
        <w:tc>
          <w:tcPr>
            <w:tcW w:w="2268" w:type="dxa"/>
            <w:tcBorders>
              <w:top w:val="nil"/>
              <w:bottom w:val="single" w:sz="4" w:space="0" w:color="auto"/>
            </w:tcBorders>
            <w:shd w:val="clear" w:color="auto" w:fill="auto"/>
          </w:tcPr>
          <w:p>
            <w:pPr>
              <w:pStyle w:val="nTable"/>
              <w:spacing w:before="50" w:after="50"/>
              <w:ind w:right="113"/>
              <w:rPr>
                <w:ins w:id="168" w:author="Master Repository Process" w:date="2024-04-23T15:57:00Z"/>
                <w:iCs/>
              </w:rPr>
            </w:pPr>
            <w:ins w:id="169" w:author="Master Repository Process" w:date="2024-04-23T15:57:00Z">
              <w:r>
                <w:rPr>
                  <w:i/>
                </w:rPr>
                <w:t xml:space="preserve">Electricity Industry Amendment (Alternative Electricity Services) Act 2024 </w:t>
              </w:r>
              <w:r>
                <w:rPr>
                  <w:iCs/>
                </w:rPr>
                <w:t>Pt. 3</w:t>
              </w:r>
            </w:ins>
          </w:p>
        </w:tc>
        <w:tc>
          <w:tcPr>
            <w:tcW w:w="1134" w:type="dxa"/>
            <w:tcBorders>
              <w:top w:val="nil"/>
              <w:bottom w:val="single" w:sz="4" w:space="0" w:color="auto"/>
            </w:tcBorders>
            <w:shd w:val="clear" w:color="auto" w:fill="auto"/>
          </w:tcPr>
          <w:p>
            <w:pPr>
              <w:pStyle w:val="nTable"/>
              <w:spacing w:before="50" w:after="50"/>
              <w:rPr>
                <w:ins w:id="170" w:author="Master Repository Process" w:date="2024-04-23T15:57:00Z"/>
              </w:rPr>
            </w:pPr>
            <w:ins w:id="171" w:author="Master Repository Process" w:date="2024-04-23T15:57:00Z">
              <w:r>
                <w:t>10 of 2024</w:t>
              </w:r>
            </w:ins>
          </w:p>
        </w:tc>
        <w:tc>
          <w:tcPr>
            <w:tcW w:w="1276" w:type="dxa"/>
            <w:tcBorders>
              <w:top w:val="nil"/>
              <w:bottom w:val="single" w:sz="4" w:space="0" w:color="auto"/>
            </w:tcBorders>
            <w:shd w:val="clear" w:color="auto" w:fill="auto"/>
          </w:tcPr>
          <w:p>
            <w:pPr>
              <w:pStyle w:val="nTable"/>
              <w:spacing w:before="50" w:after="50"/>
              <w:rPr>
                <w:ins w:id="172" w:author="Master Repository Process" w:date="2024-04-23T15:57:00Z"/>
              </w:rPr>
            </w:pPr>
            <w:ins w:id="173" w:author="Master Repository Process" w:date="2024-04-23T15:57:00Z">
              <w:r>
                <w:t>22 Apr 2024</w:t>
              </w:r>
            </w:ins>
          </w:p>
        </w:tc>
        <w:tc>
          <w:tcPr>
            <w:tcW w:w="2410" w:type="dxa"/>
            <w:tcBorders>
              <w:top w:val="nil"/>
              <w:bottom w:val="single" w:sz="4" w:space="0" w:color="auto"/>
            </w:tcBorders>
            <w:shd w:val="clear" w:color="auto" w:fill="auto"/>
          </w:tcPr>
          <w:p>
            <w:pPr>
              <w:pStyle w:val="nTable"/>
              <w:keepLines/>
              <w:tabs>
                <w:tab w:val="left" w:pos="893"/>
              </w:tabs>
              <w:spacing w:before="50" w:after="50"/>
              <w:rPr>
                <w:ins w:id="174" w:author="Master Repository Process" w:date="2024-04-23T15:57:00Z"/>
              </w:rPr>
            </w:pPr>
            <w:ins w:id="175" w:author="Master Repository Process" w:date="2024-04-23T15:57:00Z">
              <w:r>
                <w:t>23 Apr 2024 (see s. 2(1)(d))</w:t>
              </w:r>
            </w:ins>
          </w:p>
        </w:tc>
      </w:tr>
    </w:tbl>
    <w:p>
      <w:pPr>
        <w:pStyle w:val="nHeading3"/>
      </w:pPr>
      <w:bookmarkStart w:id="176" w:name="_Toc164431352"/>
      <w:bookmarkStart w:id="177" w:name="_Toc160785926"/>
      <w:r>
        <w:t>Uncommenced provisions table</w:t>
      </w:r>
      <w:bookmarkEnd w:id="176"/>
      <w:bookmarkEnd w:id="17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Electricity Industry Amendment (Distributed Energy Resources) Act 2024</w:t>
            </w:r>
            <w:r>
              <w:rPr>
                <w:iCs/>
              </w:rPr>
              <w:t xml:space="preserve"> Pt. 2 Div. 2</w:t>
            </w:r>
          </w:p>
        </w:tc>
        <w:tc>
          <w:tcPr>
            <w:tcW w:w="1134" w:type="dxa"/>
          </w:tcPr>
          <w:p>
            <w:pPr>
              <w:pStyle w:val="nTable"/>
              <w:spacing w:after="40"/>
            </w:pPr>
            <w:r>
              <w:t>1 of 2024</w:t>
            </w:r>
          </w:p>
        </w:tc>
        <w:tc>
          <w:tcPr>
            <w:tcW w:w="1134" w:type="dxa"/>
          </w:tcPr>
          <w:p>
            <w:pPr>
              <w:pStyle w:val="nTable"/>
              <w:spacing w:after="40"/>
            </w:pPr>
            <w:r>
              <w:t>7 Mar 2024</w:t>
            </w:r>
          </w:p>
        </w:tc>
        <w:tc>
          <w:tcPr>
            <w:tcW w:w="2552" w:type="dxa"/>
          </w:tcPr>
          <w:p>
            <w:pPr>
              <w:pStyle w:val="nTable"/>
              <w:spacing w:after="40"/>
            </w:pPr>
            <w:r>
              <w:t>To be proclaimed (see s. 2(b))</w:t>
            </w:r>
          </w:p>
        </w:tc>
      </w:tr>
    </w:tbl>
    <w:p>
      <w:pPr>
        <w:pStyle w:val="nHeading3"/>
      </w:pPr>
      <w:bookmarkStart w:id="178" w:name="_Toc164431353"/>
      <w:bookmarkStart w:id="179" w:name="_Toc160785927"/>
      <w:r>
        <w:t>Other notes</w:t>
      </w:r>
      <w:bookmarkEnd w:id="178"/>
      <w:bookmarkEnd w:id="179"/>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t>2</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Note"/>
        <w:spacing w:before="120"/>
        <w:rPr>
          <w:i/>
          <w:snapToGrid w:val="0"/>
        </w:rPr>
      </w:pPr>
      <w:r>
        <w:rPr>
          <w:snapToGrid w:val="0"/>
          <w:vertAlign w:val="superscript"/>
        </w:rPr>
        <w:t>3</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r>
        <w:rPr>
          <w:snapToGrid w:val="0"/>
          <w:vertAlign w:val="superscript"/>
        </w:rPr>
        <w:t>4</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9112943"/>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 w:name="WAFER_2024030614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05_GUID" w:val="efad3823-7c19-426e-9b6d-5616992e2729"/>
    <w:docVar w:name="WAFER_2024041911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19112943_GUID" w:val="78e8581d-49fa-4a35-9edc-a5d23cc469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5201-C690-4AD2-9F64-6A5BA10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12321</Words>
  <Characters>58653</Characters>
  <Application>Microsoft Office Word</Application>
  <DocSecurity>0</DocSecurity>
  <Lines>1543</Lines>
  <Paragraphs>669</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08-d0-00 - 08-e0-00</dc:title>
  <dc:subject/>
  <dc:creator/>
  <cp:keywords/>
  <dc:description/>
  <cp:lastModifiedBy>Master Repository Process</cp:lastModifiedBy>
  <cp:revision>2</cp:revision>
  <cp:lastPrinted>2013-12-19T00:08:00Z</cp:lastPrinted>
  <dcterms:created xsi:type="dcterms:W3CDTF">2024-04-23T07:57:00Z</dcterms:created>
  <dcterms:modified xsi:type="dcterms:W3CDTF">2024-04-23T07:57:00Z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Official">
    <vt:lpwstr/>
  </property>
  <property fmtid="{D5CDD505-2E9C-101B-9397-08002B2CF9AE}" pid="8" name="CommencementDate">
    <vt:lpwstr>20240423</vt:lpwstr>
  </property>
  <property fmtid="{D5CDD505-2E9C-101B-9397-08002B2CF9AE}" pid="9" name="CommencementAsAt">
    <vt:filetime>2024-04-22T16:00:00Z</vt:filetime>
  </property>
  <property fmtid="{D5CDD505-2E9C-101B-9397-08002B2CF9AE}" pid="10" name="CommencementYear">
    <vt:lpwstr>2024</vt:lpwstr>
  </property>
  <property fmtid="{D5CDD505-2E9C-101B-9397-08002B2CF9AE}" pid="11" name="FromSuffix">
    <vt:lpwstr>08-d0-00</vt:lpwstr>
  </property>
  <property fmtid="{D5CDD505-2E9C-101B-9397-08002B2CF9AE}" pid="12" name="FromAsAtDate">
    <vt:lpwstr>07 Mar 2024</vt:lpwstr>
  </property>
  <property fmtid="{D5CDD505-2E9C-101B-9397-08002B2CF9AE}" pid="13" name="ToSuffix">
    <vt:lpwstr>08-e0-00</vt:lpwstr>
  </property>
  <property fmtid="{D5CDD505-2E9C-101B-9397-08002B2CF9AE}" pid="14" name="ToAsAtDate">
    <vt:lpwstr>23 Apr 2024</vt:lpwstr>
  </property>
</Properties>
</file>