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06:25:00Z"/>
        </w:trPr>
        <w:tc>
          <w:tcPr>
            <w:tcW w:w="2434" w:type="dxa"/>
            <w:vMerge w:val="restart"/>
          </w:tcPr>
          <w:p>
            <w:pPr>
              <w:rPr>
                <w:del w:id="1" w:author="svcMRProcess" w:date="2015-10-27T06:25:00Z"/>
              </w:rPr>
            </w:pPr>
          </w:p>
        </w:tc>
        <w:tc>
          <w:tcPr>
            <w:tcW w:w="2434" w:type="dxa"/>
            <w:vMerge w:val="restart"/>
          </w:tcPr>
          <w:p>
            <w:pPr>
              <w:jc w:val="center"/>
              <w:rPr>
                <w:del w:id="2" w:author="svcMRProcess" w:date="2015-10-27T06:25:00Z"/>
              </w:rPr>
            </w:pPr>
            <w:del w:id="3" w:author="svcMRProcess" w:date="2015-10-27T06: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06:25:00Z"/>
              </w:rPr>
            </w:pPr>
          </w:p>
        </w:tc>
      </w:tr>
      <w:tr>
        <w:trPr>
          <w:cantSplit/>
          <w:del w:id="5" w:author="svcMRProcess" w:date="2015-10-27T06:25:00Z"/>
        </w:trPr>
        <w:tc>
          <w:tcPr>
            <w:tcW w:w="2434" w:type="dxa"/>
            <w:vMerge/>
          </w:tcPr>
          <w:p>
            <w:pPr>
              <w:rPr>
                <w:del w:id="6" w:author="svcMRProcess" w:date="2015-10-27T06:25:00Z"/>
              </w:rPr>
            </w:pPr>
          </w:p>
        </w:tc>
        <w:tc>
          <w:tcPr>
            <w:tcW w:w="2434" w:type="dxa"/>
            <w:vMerge/>
          </w:tcPr>
          <w:p>
            <w:pPr>
              <w:jc w:val="center"/>
              <w:rPr>
                <w:del w:id="7" w:author="svcMRProcess" w:date="2015-10-27T06:25:00Z"/>
              </w:rPr>
            </w:pPr>
          </w:p>
        </w:tc>
        <w:tc>
          <w:tcPr>
            <w:tcW w:w="2434" w:type="dxa"/>
          </w:tcPr>
          <w:p>
            <w:pPr>
              <w:keepNext/>
              <w:rPr>
                <w:del w:id="8" w:author="svcMRProcess" w:date="2015-10-27T06:25:00Z"/>
                <w:b/>
                <w:sz w:val="22"/>
              </w:rPr>
            </w:pPr>
            <w:del w:id="9" w:author="svcMRProcess" w:date="2015-10-27T06:25: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September 2006</w:delText>
              </w:r>
            </w:del>
          </w:p>
        </w:tc>
      </w:tr>
    </w:tbl>
    <w:p>
      <w:pPr>
        <w:pStyle w:val="WA"/>
        <w:spacing w:before="120"/>
      </w:pPr>
      <w:r>
        <w:t>Western Australia</w:t>
      </w:r>
    </w:p>
    <w:p>
      <w:pPr>
        <w:pStyle w:val="NameofActReg"/>
      </w:pPr>
      <w:r>
        <w:t>Agriculture Protection Board Act 1950</w:t>
      </w:r>
    </w:p>
    <w:p>
      <w:pPr>
        <w:pStyle w:val="LongTitle"/>
        <w:rPr>
          <w:snapToGrid w:val="0"/>
        </w:rPr>
      </w:pPr>
      <w:r>
        <w:rPr>
          <w:snapToGrid w:val="0"/>
        </w:rPr>
        <w:t>A</w:t>
      </w:r>
      <w:bookmarkStart w:id="10" w:name="_GoBack"/>
      <w:bookmarkEnd w:id="10"/>
      <w:r>
        <w:rPr>
          <w:snapToGrid w:val="0"/>
        </w:rPr>
        <w:t>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11" w:name="_Toc425058685"/>
      <w:bookmarkStart w:id="12" w:name="_Toc457367237"/>
      <w:bookmarkStart w:id="13" w:name="_Toc517591422"/>
      <w:bookmarkStart w:id="14" w:name="_Toc101845052"/>
      <w:bookmarkStart w:id="15" w:name="_Toc157831180"/>
      <w:bookmarkStart w:id="16" w:name="_Toc148503542"/>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17" w:name="_Toc425058686"/>
      <w:bookmarkStart w:id="18" w:name="_Toc457367238"/>
      <w:bookmarkStart w:id="19" w:name="_Toc517591423"/>
      <w:bookmarkStart w:id="20" w:name="_Toc101845053"/>
      <w:bookmarkStart w:id="21" w:name="_Toc157831181"/>
      <w:bookmarkStart w:id="22" w:name="_Toc148503543"/>
      <w:r>
        <w:rPr>
          <w:rStyle w:val="CharSectno"/>
        </w:rPr>
        <w:t>2</w:t>
      </w:r>
      <w:r>
        <w:rPr>
          <w:snapToGrid w:val="0"/>
        </w:rPr>
        <w:t>.</w:t>
      </w:r>
      <w:r>
        <w:rPr>
          <w:snapToGrid w:val="0"/>
        </w:rPr>
        <w:tab/>
        <w:t>Commencement</w:t>
      </w:r>
      <w:bookmarkEnd w:id="17"/>
      <w:bookmarkEnd w:id="18"/>
      <w:bookmarkEnd w:id="19"/>
      <w:bookmarkEnd w:id="20"/>
      <w:bookmarkEnd w:id="21"/>
      <w:bookmarkEnd w:id="2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3" w:name="_Toc425058687"/>
      <w:bookmarkStart w:id="24" w:name="_Toc457367239"/>
      <w:bookmarkStart w:id="25" w:name="_Toc517591424"/>
      <w:bookmarkStart w:id="26" w:name="_Toc101845054"/>
      <w:bookmarkStart w:id="27" w:name="_Toc157831182"/>
      <w:bookmarkStart w:id="28" w:name="_Toc148503544"/>
      <w:r>
        <w:rPr>
          <w:rStyle w:val="CharSectno"/>
        </w:rPr>
        <w:t>3</w:t>
      </w:r>
      <w:r>
        <w:rPr>
          <w:snapToGrid w:val="0"/>
        </w:rPr>
        <w:t>.</w:t>
      </w:r>
      <w:r>
        <w:rPr>
          <w:snapToGrid w:val="0"/>
        </w:rPr>
        <w:tab/>
        <w:t>Interpretation</w:t>
      </w:r>
      <w:bookmarkEnd w:id="23"/>
      <w:bookmarkEnd w:id="24"/>
      <w:bookmarkEnd w:id="25"/>
      <w:bookmarkEnd w:id="26"/>
      <w:bookmarkEnd w:id="27"/>
      <w:bookmarkEnd w:id="28"/>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Agriculture Protection Act</w:t>
      </w:r>
      <w:r>
        <w:rPr>
          <w:b/>
        </w:rPr>
        <w:t>”</w:t>
      </w:r>
      <w:r>
        <w:t xml:space="preserve"> means the </w:t>
      </w:r>
      <w:r>
        <w:rPr>
          <w:i/>
        </w:rPr>
        <w:t>Agriculture and Related Resources Protection Act 1976</w:t>
      </w:r>
      <w:r>
        <w:t xml:space="preserve"> and the regulations thereunder;</w:t>
      </w:r>
    </w:p>
    <w:p>
      <w:pPr>
        <w:pStyle w:val="Defstart"/>
      </w:pPr>
      <w:r>
        <w:rPr>
          <w:b/>
        </w:rPr>
        <w:tab/>
        <w:t>“</w:t>
      </w:r>
      <w:r>
        <w:rPr>
          <w:rStyle w:val="CharDefText"/>
        </w:rPr>
        <w:t>Protection Board</w:t>
      </w:r>
      <w:r>
        <w:rPr>
          <w:b/>
        </w:rPr>
        <w:t>”</w:t>
      </w:r>
      <w:r>
        <w:t xml:space="preserve"> means The Agriculture Protection Board of Western Australia constituted under the provisions of this Act;</w:t>
      </w:r>
    </w:p>
    <w:p>
      <w:pPr>
        <w:pStyle w:val="Defstart"/>
      </w:pPr>
      <w:r>
        <w:rPr>
          <w:b/>
        </w:rPr>
        <w:tab/>
        <w:t>“</w:t>
      </w:r>
      <w:r>
        <w:rPr>
          <w:rStyle w:val="CharDefText"/>
        </w:rPr>
        <w:t xml:space="preserve">Protection </w:t>
      </w:r>
      <w:del w:id="29" w:author="svcMRProcess" w:date="2015-10-27T06:25:00Z">
        <w:r>
          <w:rPr>
            <w:rStyle w:val="CharDefText"/>
          </w:rPr>
          <w:delText>Fund</w:delText>
        </w:r>
      </w:del>
      <w:ins w:id="30" w:author="svcMRProcess" w:date="2015-10-27T06:25:00Z">
        <w:r>
          <w:rPr>
            <w:rStyle w:val="CharDefText"/>
          </w:rPr>
          <w:t>Account</w:t>
        </w:r>
      </w:ins>
      <w:r>
        <w:rPr>
          <w:b/>
        </w:rPr>
        <w:t>”</w:t>
      </w:r>
      <w:r>
        <w:t xml:space="preserve"> means The Agriculture Protection Board </w:t>
      </w:r>
      <w:del w:id="31" w:author="svcMRProcess" w:date="2015-10-27T06:25:00Z">
        <w:r>
          <w:delText>Fund</w:delText>
        </w:r>
      </w:del>
      <w:ins w:id="32" w:author="svcMRProcess" w:date="2015-10-27T06:25:00Z">
        <w:r>
          <w:t>Account</w:t>
        </w:r>
      </w:ins>
      <w:r>
        <w:t xml:space="preserve"> referred to in section 9;</w:t>
      </w:r>
    </w:p>
    <w:p>
      <w:pPr>
        <w:pStyle w:val="Defstart"/>
      </w:pPr>
      <w:r>
        <w:rPr>
          <w:b/>
        </w:rPr>
        <w:tab/>
        <w:t>“</w:t>
      </w:r>
      <w:r>
        <w:rPr>
          <w:rStyle w:val="CharDefText"/>
        </w:rPr>
        <w:t>to sell</w:t>
      </w:r>
      <w:r>
        <w:rPr>
          <w:b/>
        </w:rPr>
        <w:t>”</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b/>
        </w:rPr>
        <w:t>“</w:t>
      </w:r>
      <w:r>
        <w:rPr>
          <w:rStyle w:val="CharDefText"/>
        </w:rPr>
        <w:t>sale</w:t>
      </w:r>
      <w:r>
        <w:rPr>
          <w:b/>
        </w:rPr>
        <w:t>”</w:t>
      </w:r>
      <w:r>
        <w:t xml:space="preserve"> and </w:t>
      </w:r>
      <w:r>
        <w:rPr>
          <w:b/>
        </w:rPr>
        <w:t>“</w:t>
      </w:r>
      <w:r>
        <w:rPr>
          <w:rStyle w:val="CharDefText"/>
        </w:rPr>
        <w:t>sold</w:t>
      </w:r>
      <w:r>
        <w:rPr>
          <w:b/>
        </w:rPr>
        <w:t>”</w:t>
      </w:r>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 4; No. 32 of 1994 s. 19; No. 74 of 2003 s. </w:t>
      </w:r>
      <w:del w:id="33" w:author="svcMRProcess" w:date="2015-10-27T06:25:00Z">
        <w:r>
          <w:delText>27</w:delText>
        </w:r>
      </w:del>
      <w:ins w:id="34" w:author="svcMRProcess" w:date="2015-10-27T06:25:00Z">
        <w:r>
          <w:t>27; No. 77 of 2006 s. 17</w:t>
        </w:r>
      </w:ins>
      <w:r>
        <w:t>.]</w:t>
      </w:r>
    </w:p>
    <w:p>
      <w:pPr>
        <w:pStyle w:val="Heading5"/>
        <w:rPr>
          <w:snapToGrid w:val="0"/>
        </w:rPr>
      </w:pPr>
      <w:bookmarkStart w:id="35" w:name="_Toc425058688"/>
      <w:bookmarkStart w:id="36" w:name="_Toc457367240"/>
      <w:bookmarkStart w:id="37" w:name="_Toc517591425"/>
      <w:bookmarkStart w:id="38" w:name="_Toc101845055"/>
      <w:bookmarkStart w:id="39" w:name="_Toc157831183"/>
      <w:bookmarkStart w:id="40" w:name="_Toc148503545"/>
      <w:r>
        <w:rPr>
          <w:rStyle w:val="CharSectno"/>
        </w:rPr>
        <w:t>4</w:t>
      </w:r>
      <w:r>
        <w:rPr>
          <w:snapToGrid w:val="0"/>
        </w:rPr>
        <w:t>.</w:t>
      </w:r>
      <w:r>
        <w:rPr>
          <w:snapToGrid w:val="0"/>
        </w:rPr>
        <w:tab/>
        <w:t>Construction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41" w:name="_Toc425058689"/>
      <w:bookmarkStart w:id="42" w:name="_Toc457367241"/>
      <w:bookmarkStart w:id="43" w:name="_Toc517591426"/>
      <w:bookmarkStart w:id="44" w:name="_Toc101845056"/>
      <w:bookmarkStart w:id="45" w:name="_Toc157831184"/>
      <w:bookmarkStart w:id="46" w:name="_Toc148503546"/>
      <w:r>
        <w:rPr>
          <w:rStyle w:val="CharSectno"/>
        </w:rPr>
        <w:t>5</w:t>
      </w:r>
      <w:r>
        <w:rPr>
          <w:snapToGrid w:val="0"/>
        </w:rPr>
        <w:t>.</w:t>
      </w:r>
      <w:r>
        <w:rPr>
          <w:snapToGrid w:val="0"/>
        </w:rPr>
        <w:tab/>
        <w:t>The Agriculture Protection Board of Western Australia</w:t>
      </w:r>
      <w:bookmarkEnd w:id="41"/>
      <w:bookmarkEnd w:id="42"/>
      <w:bookmarkEnd w:id="43"/>
      <w:bookmarkEnd w:id="44"/>
      <w:bookmarkEnd w:id="45"/>
      <w:bookmarkEnd w:id="46"/>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47" w:name="_Toc425058690"/>
      <w:bookmarkStart w:id="48" w:name="_Toc457367242"/>
      <w:bookmarkStart w:id="49" w:name="_Toc517591427"/>
      <w:bookmarkStart w:id="50" w:name="_Toc101845057"/>
      <w:bookmarkStart w:id="51" w:name="_Toc157831185"/>
      <w:bookmarkStart w:id="52" w:name="_Toc148503547"/>
      <w:r>
        <w:rPr>
          <w:rStyle w:val="CharSectno"/>
        </w:rPr>
        <w:t>5A</w:t>
      </w:r>
      <w:r>
        <w:rPr>
          <w:snapToGrid w:val="0"/>
        </w:rPr>
        <w:t>.</w:t>
      </w:r>
      <w:r>
        <w:rPr>
          <w:snapToGrid w:val="0"/>
        </w:rPr>
        <w:tab/>
        <w:t>Validation</w:t>
      </w:r>
      <w:bookmarkEnd w:id="47"/>
      <w:bookmarkEnd w:id="48"/>
      <w:bookmarkEnd w:id="49"/>
      <w:bookmarkEnd w:id="50"/>
      <w:bookmarkEnd w:id="51"/>
      <w:bookmarkEnd w:id="52"/>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53" w:name="_Toc425058691"/>
      <w:bookmarkStart w:id="54" w:name="_Toc457367243"/>
      <w:bookmarkStart w:id="55" w:name="_Toc517591428"/>
      <w:bookmarkStart w:id="56" w:name="_Toc101845058"/>
      <w:bookmarkStart w:id="57" w:name="_Toc157831186"/>
      <w:bookmarkStart w:id="58" w:name="_Toc148503548"/>
      <w:r>
        <w:rPr>
          <w:rStyle w:val="CharSectno"/>
        </w:rPr>
        <w:t>6</w:t>
      </w:r>
      <w:r>
        <w:rPr>
          <w:snapToGrid w:val="0"/>
        </w:rPr>
        <w:t>.</w:t>
      </w:r>
      <w:r>
        <w:rPr>
          <w:snapToGrid w:val="0"/>
        </w:rPr>
        <w:tab/>
        <w:t>Administration</w:t>
      </w:r>
      <w:bookmarkEnd w:id="53"/>
      <w:bookmarkEnd w:id="54"/>
      <w:bookmarkEnd w:id="55"/>
      <w:bookmarkEnd w:id="56"/>
      <w:bookmarkEnd w:id="57"/>
      <w:bookmarkEnd w:id="58"/>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59" w:name="_Toc425058692"/>
      <w:bookmarkStart w:id="60" w:name="_Toc457367244"/>
      <w:bookmarkStart w:id="61" w:name="_Toc517591429"/>
      <w:bookmarkStart w:id="62" w:name="_Toc101845059"/>
      <w:bookmarkStart w:id="63" w:name="_Toc157831187"/>
      <w:bookmarkStart w:id="64" w:name="_Toc148503549"/>
      <w:r>
        <w:rPr>
          <w:rStyle w:val="CharSectno"/>
        </w:rPr>
        <w:t>7</w:t>
      </w:r>
      <w:r>
        <w:rPr>
          <w:snapToGrid w:val="0"/>
        </w:rPr>
        <w:t>.</w:t>
      </w:r>
      <w:r>
        <w:rPr>
          <w:snapToGrid w:val="0"/>
        </w:rPr>
        <w:tab/>
        <w:t>Expenses of administration</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The expenses of the administration of this Act shall be charged to the Protection </w:t>
      </w:r>
      <w:del w:id="65" w:author="svcMRProcess" w:date="2015-10-27T06:25:00Z">
        <w:r>
          <w:rPr>
            <w:snapToGrid w:val="0"/>
          </w:rPr>
          <w:delText>Fund</w:delText>
        </w:r>
      </w:del>
      <w:ins w:id="66" w:author="svcMRProcess" w:date="2015-10-27T06:25:00Z">
        <w:r>
          <w:rPr>
            <w:snapToGrid w:val="0"/>
          </w:rPr>
          <w:t>Account</w:t>
        </w:r>
      </w:ins>
      <w:r>
        <w:rPr>
          <w:snapToGrid w:val="0"/>
        </w:rPr>
        <w:t>.</w:t>
      </w:r>
    </w:p>
    <w:p>
      <w:pPr>
        <w:pStyle w:val="Footnotesection"/>
      </w:pPr>
      <w:r>
        <w:tab/>
        <w:t>[Section 7 amended by No. 49 of 1996 s. </w:t>
      </w:r>
      <w:del w:id="67" w:author="svcMRProcess" w:date="2015-10-27T06:25:00Z">
        <w:r>
          <w:delText>64</w:delText>
        </w:r>
      </w:del>
      <w:ins w:id="68" w:author="svcMRProcess" w:date="2015-10-27T06:25:00Z">
        <w:r>
          <w:t>64; No. 77 of 2006 s. 17</w:t>
        </w:r>
      </w:ins>
      <w:r>
        <w:t>.]</w:t>
      </w:r>
    </w:p>
    <w:p>
      <w:pPr>
        <w:pStyle w:val="Heading5"/>
        <w:rPr>
          <w:snapToGrid w:val="0"/>
        </w:rPr>
      </w:pPr>
      <w:bookmarkStart w:id="69" w:name="_Toc425058693"/>
      <w:bookmarkStart w:id="70" w:name="_Toc457367245"/>
      <w:bookmarkStart w:id="71" w:name="_Toc517591430"/>
      <w:bookmarkStart w:id="72" w:name="_Toc101845060"/>
      <w:bookmarkStart w:id="73" w:name="_Toc157831188"/>
      <w:bookmarkStart w:id="74" w:name="_Toc148503550"/>
      <w:r>
        <w:rPr>
          <w:rStyle w:val="CharSectno"/>
        </w:rPr>
        <w:t>8</w:t>
      </w:r>
      <w:r>
        <w:rPr>
          <w:snapToGrid w:val="0"/>
        </w:rPr>
        <w:t>.</w:t>
      </w:r>
      <w:r>
        <w:rPr>
          <w:snapToGrid w:val="0"/>
        </w:rPr>
        <w:tab/>
        <w:t>Powers and duties of the Protection Board</w:t>
      </w:r>
      <w:bookmarkEnd w:id="69"/>
      <w:bookmarkEnd w:id="70"/>
      <w:bookmarkEnd w:id="71"/>
      <w:bookmarkEnd w:id="72"/>
      <w:bookmarkEnd w:id="73"/>
      <w:bookmarkEnd w:id="74"/>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 xml:space="preserve">authorising and directing the expenditure of moneys standing to the credit of the Protection </w:t>
      </w:r>
      <w:del w:id="75" w:author="svcMRProcess" w:date="2015-10-27T06:25:00Z">
        <w:r>
          <w:rPr>
            <w:snapToGrid w:val="0"/>
          </w:rPr>
          <w:delText>Fund</w:delText>
        </w:r>
      </w:del>
      <w:ins w:id="76" w:author="svcMRProcess" w:date="2015-10-27T06:25:00Z">
        <w:r>
          <w:rPr>
            <w:snapToGrid w:val="0"/>
          </w:rPr>
          <w:t>Account</w:t>
        </w:r>
      </w:ins>
      <w:r>
        <w:rPr>
          <w:snapToGrid w:val="0"/>
        </w:rPr>
        <w:t xml:space="preserve"> and the Control </w:t>
      </w:r>
      <w:del w:id="77" w:author="svcMRProcess" w:date="2015-10-27T06:25:00Z">
        <w:r>
          <w:rPr>
            <w:snapToGrid w:val="0"/>
          </w:rPr>
          <w:delText>Fund</w:delText>
        </w:r>
      </w:del>
      <w:ins w:id="78" w:author="svcMRProcess" w:date="2015-10-27T06:25:00Z">
        <w:r>
          <w:rPr>
            <w:snapToGrid w:val="0"/>
          </w:rPr>
          <w:t>Account</w:t>
        </w:r>
      </w:ins>
      <w:r>
        <w:rPr>
          <w:snapToGrid w:val="0"/>
        </w:rPr>
        <w:t xml:space="preserve">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w:t>
      </w:r>
      <w:del w:id="79" w:author="svcMRProcess" w:date="2015-10-27T06:25:00Z">
        <w:r>
          <w:delText>4</w:delText>
        </w:r>
      </w:del>
      <w:ins w:id="80" w:author="svcMRProcess" w:date="2015-10-27T06:25:00Z">
        <w:r>
          <w:t>4; No. 77 of 2006 s. 17</w:t>
        </w:r>
      </w:ins>
      <w:r>
        <w:t>.]</w:t>
      </w:r>
    </w:p>
    <w:p>
      <w:pPr>
        <w:pStyle w:val="Heading5"/>
        <w:rPr>
          <w:snapToGrid w:val="0"/>
        </w:rPr>
      </w:pPr>
      <w:bookmarkStart w:id="81" w:name="_Toc425058694"/>
      <w:bookmarkStart w:id="82" w:name="_Toc457367246"/>
      <w:bookmarkStart w:id="83" w:name="_Toc517591431"/>
      <w:bookmarkStart w:id="84" w:name="_Toc101845061"/>
      <w:bookmarkStart w:id="85" w:name="_Toc157831189"/>
      <w:bookmarkStart w:id="86" w:name="_Toc148503551"/>
      <w:r>
        <w:rPr>
          <w:rStyle w:val="CharSectno"/>
        </w:rPr>
        <w:t>8A</w:t>
      </w:r>
      <w:r>
        <w:rPr>
          <w:snapToGrid w:val="0"/>
        </w:rPr>
        <w:t xml:space="preserve">. </w:t>
      </w:r>
      <w:r>
        <w:rPr>
          <w:snapToGrid w:val="0"/>
        </w:rPr>
        <w:tab/>
        <w:t>Effect of employment on rights under certain Acts</w:t>
      </w:r>
      <w:bookmarkEnd w:id="81"/>
      <w:bookmarkEnd w:id="82"/>
      <w:bookmarkEnd w:id="83"/>
      <w:bookmarkEnd w:id="84"/>
      <w:bookmarkEnd w:id="85"/>
      <w:bookmarkEnd w:id="86"/>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87" w:name="_Toc425058695"/>
      <w:bookmarkStart w:id="88" w:name="_Toc457367247"/>
      <w:bookmarkStart w:id="89" w:name="_Toc517591432"/>
      <w:bookmarkStart w:id="90" w:name="_Toc101845062"/>
      <w:bookmarkStart w:id="91" w:name="_Toc157831190"/>
      <w:bookmarkStart w:id="92" w:name="_Toc148503552"/>
      <w:r>
        <w:rPr>
          <w:rStyle w:val="CharSectno"/>
        </w:rPr>
        <w:t>8B</w:t>
      </w:r>
      <w:r>
        <w:rPr>
          <w:snapToGrid w:val="0"/>
        </w:rPr>
        <w:t xml:space="preserve">. </w:t>
      </w:r>
      <w:r>
        <w:rPr>
          <w:snapToGrid w:val="0"/>
        </w:rPr>
        <w:tab/>
        <w:t>Status of officers and other employees of Board who are members of Senior Executive Service</w:t>
      </w:r>
      <w:bookmarkEnd w:id="87"/>
      <w:bookmarkEnd w:id="88"/>
      <w:bookmarkEnd w:id="89"/>
      <w:bookmarkEnd w:id="90"/>
      <w:bookmarkEnd w:id="91"/>
      <w:bookmarkEnd w:id="92"/>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93" w:name="_Toc148503553"/>
      <w:bookmarkStart w:id="94" w:name="_Toc425058696"/>
      <w:bookmarkStart w:id="95" w:name="_Toc457367248"/>
      <w:bookmarkStart w:id="96" w:name="_Toc517591433"/>
      <w:bookmarkStart w:id="97" w:name="_Toc101845063"/>
      <w:bookmarkStart w:id="98" w:name="_Toc157831191"/>
      <w:r>
        <w:rPr>
          <w:rStyle w:val="CharSectno"/>
        </w:rPr>
        <w:t>9</w:t>
      </w:r>
      <w:r>
        <w:rPr>
          <w:snapToGrid w:val="0"/>
        </w:rPr>
        <w:t>.</w:t>
      </w:r>
      <w:r>
        <w:rPr>
          <w:snapToGrid w:val="0"/>
        </w:rPr>
        <w:tab/>
      </w:r>
      <w:del w:id="99" w:author="svcMRProcess" w:date="2015-10-27T06:25:00Z">
        <w:r>
          <w:rPr>
            <w:snapToGrid w:val="0"/>
          </w:rPr>
          <w:delText>Funds</w:delText>
        </w:r>
      </w:del>
      <w:bookmarkEnd w:id="93"/>
      <w:ins w:id="100" w:author="svcMRProcess" w:date="2015-10-27T06:25:00Z">
        <w:r>
          <w:rPr>
            <w:snapToGrid w:val="0"/>
          </w:rPr>
          <w:t>Accounts</w:t>
        </w:r>
      </w:ins>
      <w:bookmarkEnd w:id="94"/>
      <w:bookmarkEnd w:id="95"/>
      <w:bookmarkEnd w:id="96"/>
      <w:bookmarkEnd w:id="97"/>
      <w:bookmarkEnd w:id="98"/>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r>
      <w:del w:id="101" w:author="svcMRProcess" w:date="2015-10-27T06:25:00Z">
        <w:r>
          <w:rPr>
            <w:snapToGrid w:val="0"/>
          </w:rPr>
          <w:delText>All such moneys shall be credited to an</w:delText>
        </w:r>
      </w:del>
      <w:ins w:id="102" w:author="svcMRProcess" w:date="2015-10-27T06:25:00Z">
        <w:r>
          <w:t>An agency special purpose</w:t>
        </w:r>
      </w:ins>
      <w:r>
        <w:t xml:space="preserve"> account </w:t>
      </w:r>
      <w:del w:id="103" w:author="svcMRProcess" w:date="2015-10-27T06:25:00Z">
        <w:r>
          <w:rPr>
            <w:snapToGrid w:val="0"/>
          </w:rPr>
          <w:delText xml:space="preserve">to be kept at the Treasury, forming part of the Trust Fund constituted under section 9 of the </w:delText>
        </w:r>
        <w:r>
          <w:rPr>
            <w:i/>
            <w:snapToGrid w:val="0"/>
          </w:rPr>
          <w:delText>Financial Administration and Audit Act 1985</w:delText>
        </w:r>
        <w:r>
          <w:rPr>
            <w:snapToGrid w:val="0"/>
          </w:rPr>
          <w:delText xml:space="preserve">, and </w:delText>
        </w:r>
      </w:del>
      <w:r>
        <w:t xml:space="preserve">called The Agriculture Protection Board </w:t>
      </w:r>
      <w:del w:id="104" w:author="svcMRProcess" w:date="2015-10-27T06:25:00Z">
        <w:r>
          <w:rPr>
            <w:snapToGrid w:val="0"/>
          </w:rPr>
          <w:delText>Fund and shall be</w:delText>
        </w:r>
      </w:del>
      <w:ins w:id="105" w:author="svcMRProcess" w:date="2015-10-27T06:25:00Z">
        <w:r>
          <w:t xml:space="preserve">Account is established under section 16 of the </w:t>
        </w:r>
        <w:r>
          <w:rPr>
            <w:i/>
            <w:iCs/>
          </w:rPr>
          <w:t>Financial Management Act 2006</w:t>
        </w:r>
        <w:r>
          <w:t>, and all moneys referred to in subsection (1) are to be credited to the Protection Account and</w:t>
        </w:r>
      </w:ins>
      <w:r>
        <w:t xml:space="preserve"> applied to the purposes of this Act and the Agriculture Protection Act.</w:t>
      </w:r>
    </w:p>
    <w:p>
      <w:pPr>
        <w:pStyle w:val="Subsection"/>
        <w:rPr>
          <w:snapToGrid w:val="0"/>
        </w:rPr>
      </w:pPr>
      <w:r>
        <w:rPr>
          <w:snapToGrid w:val="0"/>
        </w:rPr>
        <w:tab/>
        <w:t>(3)</w:t>
      </w:r>
      <w:r>
        <w:rPr>
          <w:snapToGrid w:val="0"/>
        </w:rPr>
        <w:tab/>
        <w:t xml:space="preserve">The Protection </w:t>
      </w:r>
      <w:del w:id="106" w:author="svcMRProcess" w:date="2015-10-27T06:25:00Z">
        <w:r>
          <w:rPr>
            <w:snapToGrid w:val="0"/>
          </w:rPr>
          <w:delText>Fund</w:delText>
        </w:r>
      </w:del>
      <w:ins w:id="107" w:author="svcMRProcess" w:date="2015-10-27T06:25:00Z">
        <w:r>
          <w:rPr>
            <w:snapToGrid w:val="0"/>
          </w:rPr>
          <w:t>Account</w:t>
        </w:r>
      </w:ins>
      <w:r>
        <w:rPr>
          <w:snapToGrid w:val="0"/>
        </w:rPr>
        <w:t xml:space="preserve"> shall be operated upon in such manner as may be prescribed.</w:t>
      </w:r>
    </w:p>
    <w:p>
      <w:pPr>
        <w:pStyle w:val="Footnotesection"/>
      </w:pPr>
      <w:r>
        <w:tab/>
        <w:t>[Section 9 amended by No. 8 of 1956 s. 4; No. 25 of 1976 s. 8; No. 49 of 1996 s. </w:t>
      </w:r>
      <w:del w:id="108" w:author="svcMRProcess" w:date="2015-10-27T06:25:00Z">
        <w:r>
          <w:delText>64</w:delText>
        </w:r>
      </w:del>
      <w:ins w:id="109" w:author="svcMRProcess" w:date="2015-10-27T06:25:00Z">
        <w:r>
          <w:t>64; No. 77 of 2006 s. 17</w:t>
        </w:r>
      </w:ins>
      <w:r>
        <w:t>.]</w:t>
      </w:r>
    </w:p>
    <w:p>
      <w:pPr>
        <w:pStyle w:val="Heading5"/>
        <w:rPr>
          <w:snapToGrid w:val="0"/>
        </w:rPr>
      </w:pPr>
      <w:bookmarkStart w:id="110" w:name="_Toc425058697"/>
      <w:bookmarkStart w:id="111" w:name="_Toc457367249"/>
      <w:bookmarkStart w:id="112" w:name="_Toc517591434"/>
      <w:bookmarkStart w:id="113" w:name="_Toc101845064"/>
      <w:bookmarkStart w:id="114" w:name="_Toc157831192"/>
      <w:bookmarkStart w:id="115" w:name="_Toc148503554"/>
      <w:r>
        <w:rPr>
          <w:rStyle w:val="CharSectno"/>
        </w:rPr>
        <w:t>10</w:t>
      </w:r>
      <w:r>
        <w:rPr>
          <w:snapToGrid w:val="0"/>
        </w:rPr>
        <w:t>.</w:t>
      </w:r>
      <w:r>
        <w:rPr>
          <w:snapToGrid w:val="0"/>
        </w:rPr>
        <w:tab/>
        <w:t>Temporary investment</w:t>
      </w:r>
      <w:bookmarkEnd w:id="110"/>
      <w:bookmarkEnd w:id="111"/>
      <w:bookmarkEnd w:id="112"/>
      <w:bookmarkEnd w:id="113"/>
      <w:bookmarkEnd w:id="114"/>
      <w:bookmarkEnd w:id="115"/>
    </w:p>
    <w:p>
      <w:pPr>
        <w:pStyle w:val="Subsection"/>
        <w:rPr>
          <w:snapToGrid w:val="0"/>
        </w:rPr>
      </w:pPr>
      <w:r>
        <w:rPr>
          <w:snapToGrid w:val="0"/>
        </w:rPr>
        <w:tab/>
      </w:r>
      <w:r>
        <w:rPr>
          <w:snapToGrid w:val="0"/>
        </w:rPr>
        <w:tab/>
        <w:t xml:space="preserve">All moneys standing to the credit of the Protection </w:t>
      </w:r>
      <w:del w:id="116" w:author="svcMRProcess" w:date="2015-10-27T06:25:00Z">
        <w:r>
          <w:rPr>
            <w:snapToGrid w:val="0"/>
          </w:rPr>
          <w:delText>Fund</w:delText>
        </w:r>
      </w:del>
      <w:ins w:id="117" w:author="svcMRProcess" w:date="2015-10-27T06:25:00Z">
        <w:r>
          <w:rPr>
            <w:snapToGrid w:val="0"/>
          </w:rPr>
          <w:t>Account</w:t>
        </w:r>
      </w:ins>
      <w:r>
        <w:rPr>
          <w:snapToGrid w:val="0"/>
        </w:rPr>
        <w:t xml:space="preserve">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w:t>
      </w:r>
      <w:del w:id="118" w:author="svcMRProcess" w:date="2015-10-27T06:25:00Z">
        <w:r>
          <w:rPr>
            <w:snapToGrid w:val="0"/>
          </w:rPr>
          <w:delText>Fund</w:delText>
        </w:r>
      </w:del>
      <w:ins w:id="119" w:author="svcMRProcess" w:date="2015-10-27T06:25:00Z">
        <w:r>
          <w:rPr>
            <w:snapToGrid w:val="0"/>
          </w:rPr>
          <w:t>Account</w:t>
        </w:r>
      </w:ins>
      <w:r>
        <w:rPr>
          <w:snapToGrid w:val="0"/>
        </w:rPr>
        <w:t>.</w:t>
      </w:r>
    </w:p>
    <w:p>
      <w:pPr>
        <w:pStyle w:val="Footnotesection"/>
      </w:pPr>
      <w:r>
        <w:tab/>
        <w:t>[Section 10 amended by No. 25 of 1976 s. 9; No. 98 of 1985 s. 3; No. 49 of 1996 s. </w:t>
      </w:r>
      <w:del w:id="120" w:author="svcMRProcess" w:date="2015-10-27T06:25:00Z">
        <w:r>
          <w:delText>64</w:delText>
        </w:r>
      </w:del>
      <w:ins w:id="121" w:author="svcMRProcess" w:date="2015-10-27T06:25:00Z">
        <w:r>
          <w:t>64; No. 77 of 2006 s. 17</w:t>
        </w:r>
      </w:ins>
      <w:r>
        <w:t>.]</w:t>
      </w:r>
    </w:p>
    <w:p>
      <w:pPr>
        <w:pStyle w:val="Heading5"/>
        <w:spacing w:before="120"/>
        <w:rPr>
          <w:snapToGrid w:val="0"/>
        </w:rPr>
      </w:pPr>
      <w:bookmarkStart w:id="122" w:name="_Toc425058698"/>
      <w:bookmarkStart w:id="123" w:name="_Toc457367250"/>
      <w:bookmarkStart w:id="124" w:name="_Toc517591435"/>
      <w:bookmarkStart w:id="125" w:name="_Toc101845065"/>
      <w:bookmarkStart w:id="126" w:name="_Toc148503555"/>
      <w:bookmarkStart w:id="127" w:name="_Toc157831193"/>
      <w:r>
        <w:rPr>
          <w:rStyle w:val="CharSectno"/>
        </w:rPr>
        <w:t>11</w:t>
      </w:r>
      <w:r>
        <w:rPr>
          <w:snapToGrid w:val="0"/>
        </w:rPr>
        <w:t>.</w:t>
      </w:r>
      <w:r>
        <w:rPr>
          <w:snapToGrid w:val="0"/>
        </w:rPr>
        <w:tab/>
        <w:t xml:space="preserve">Contributions to Protection </w:t>
      </w:r>
      <w:bookmarkEnd w:id="122"/>
      <w:bookmarkEnd w:id="123"/>
      <w:bookmarkEnd w:id="124"/>
      <w:bookmarkEnd w:id="125"/>
      <w:del w:id="128" w:author="svcMRProcess" w:date="2015-10-27T06:25:00Z">
        <w:r>
          <w:rPr>
            <w:snapToGrid w:val="0"/>
          </w:rPr>
          <w:delText>Fund</w:delText>
        </w:r>
      </w:del>
      <w:bookmarkEnd w:id="126"/>
      <w:ins w:id="129" w:author="svcMRProcess" w:date="2015-10-27T06:25:00Z">
        <w:r>
          <w:rPr>
            <w:snapToGrid w:val="0"/>
          </w:rPr>
          <w:t>Account</w:t>
        </w:r>
      </w:ins>
      <w:bookmarkEnd w:id="127"/>
    </w:p>
    <w:p>
      <w:pPr>
        <w:pStyle w:val="Subsection"/>
        <w:rPr>
          <w:snapToGrid w:val="0"/>
        </w:rPr>
      </w:pPr>
      <w:r>
        <w:rPr>
          <w:snapToGrid w:val="0"/>
        </w:rPr>
        <w:tab/>
        <w:t>(1)</w:t>
      </w:r>
      <w:r>
        <w:rPr>
          <w:snapToGrid w:val="0"/>
        </w:rPr>
        <w:tab/>
        <w:t>In this section —</w:t>
      </w:r>
    </w:p>
    <w:p>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expenditure</w:t>
      </w:r>
      <w:r>
        <w:rPr>
          <w:b/>
        </w:rPr>
        <w:t>”</w:t>
      </w:r>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 xml:space="preserve">Without other authorisation than the provisions of this Act, the Authority shall in each year make to the Protection </w:t>
      </w:r>
      <w:del w:id="130" w:author="svcMRProcess" w:date="2015-10-27T06:25:00Z">
        <w:r>
          <w:rPr>
            <w:snapToGrid w:val="0"/>
          </w:rPr>
          <w:delText>Fund</w:delText>
        </w:r>
      </w:del>
      <w:ins w:id="131" w:author="svcMRProcess" w:date="2015-10-27T06:25:00Z">
        <w:r>
          <w:rPr>
            <w:snapToGrid w:val="0"/>
          </w:rPr>
          <w:t>Account</w:t>
        </w:r>
      </w:ins>
      <w:r>
        <w:rPr>
          <w:snapToGrid w:val="0"/>
        </w:rPr>
        <w: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requiring the Authority to make contributions to the Protection </w:t>
      </w:r>
      <w:del w:id="132" w:author="svcMRProcess" w:date="2015-10-27T06:25:00Z">
        <w:r>
          <w:rPr>
            <w:snapToGrid w:val="0"/>
          </w:rPr>
          <w:delText>Fund</w:delText>
        </w:r>
      </w:del>
      <w:ins w:id="133" w:author="svcMRProcess" w:date="2015-10-27T06:25:00Z">
        <w:r>
          <w:rPr>
            <w:snapToGrid w:val="0"/>
          </w:rPr>
          <w:t>Account</w:t>
        </w:r>
      </w:ins>
      <w:r>
        <w:rPr>
          <w:snapToGrid w:val="0"/>
        </w:rPr>
        <w:t xml:space="preserve">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w:t>
      </w:r>
      <w:ins w:id="134" w:author="svcMRProcess" w:date="2015-10-27T06:25:00Z">
        <w:r>
          <w:t>; No. 77 of 2006 s. 17</w:t>
        </w:r>
      </w:ins>
      <w:r>
        <w:t>.]</w:t>
      </w:r>
    </w:p>
    <w:p>
      <w:pPr>
        <w:pStyle w:val="Ednotesection"/>
      </w:pPr>
      <w:r>
        <w:t>[</w:t>
      </w:r>
      <w:r>
        <w:rPr>
          <w:b/>
        </w:rPr>
        <w:t>12.</w:t>
      </w:r>
      <w:r>
        <w:tab/>
        <w:t>Repealed by No. 25 of 1976 s. 11.]</w:t>
      </w:r>
    </w:p>
    <w:p>
      <w:pPr>
        <w:pStyle w:val="Ednotesection"/>
      </w:pPr>
      <w:r>
        <w:t>[</w:t>
      </w:r>
      <w:r>
        <w:rPr>
          <w:b/>
        </w:rPr>
        <w:t>13.</w:t>
      </w:r>
      <w:r>
        <w:tab/>
        <w:t>Repealed by No. 25 of 1976 s. 12.]</w:t>
      </w:r>
    </w:p>
    <w:p>
      <w:pPr>
        <w:pStyle w:val="Heading5"/>
        <w:rPr>
          <w:snapToGrid w:val="0"/>
        </w:rPr>
      </w:pPr>
      <w:bookmarkStart w:id="135" w:name="_Toc425058699"/>
      <w:bookmarkStart w:id="136" w:name="_Toc457367251"/>
      <w:bookmarkStart w:id="137" w:name="_Toc517591436"/>
      <w:bookmarkStart w:id="138" w:name="_Toc101845066"/>
      <w:bookmarkStart w:id="139" w:name="_Toc157831194"/>
      <w:bookmarkStart w:id="140" w:name="_Toc148503556"/>
      <w:r>
        <w:rPr>
          <w:rStyle w:val="CharSectno"/>
        </w:rPr>
        <w:t>14</w:t>
      </w:r>
      <w:r>
        <w:rPr>
          <w:snapToGrid w:val="0"/>
        </w:rPr>
        <w:t>.</w:t>
      </w:r>
      <w:r>
        <w:rPr>
          <w:snapToGrid w:val="0"/>
        </w:rPr>
        <w:tab/>
        <w:t>Contracts</w:t>
      </w:r>
      <w:bookmarkEnd w:id="135"/>
      <w:bookmarkEnd w:id="136"/>
      <w:bookmarkEnd w:id="137"/>
      <w:bookmarkEnd w:id="138"/>
      <w:bookmarkEnd w:id="139"/>
      <w:bookmarkEnd w:id="140"/>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141" w:name="_Toc425058700"/>
      <w:bookmarkStart w:id="142" w:name="_Toc457367252"/>
      <w:bookmarkStart w:id="143" w:name="_Toc517591437"/>
      <w:bookmarkStart w:id="144" w:name="_Toc101845067"/>
      <w:bookmarkStart w:id="145" w:name="_Toc148503557"/>
      <w:bookmarkStart w:id="146" w:name="_Toc157831195"/>
      <w:r>
        <w:rPr>
          <w:rStyle w:val="CharSectno"/>
        </w:rPr>
        <w:t>15</w:t>
      </w:r>
      <w:r>
        <w:rPr>
          <w:snapToGrid w:val="0"/>
        </w:rPr>
        <w:t>.</w:t>
      </w:r>
      <w:r>
        <w:rPr>
          <w:snapToGrid w:val="0"/>
        </w:rPr>
        <w:tab/>
        <w:t xml:space="preserve">Application of </w:t>
      </w:r>
      <w:bookmarkEnd w:id="141"/>
      <w:bookmarkEnd w:id="142"/>
      <w:bookmarkEnd w:id="143"/>
      <w:bookmarkEnd w:id="144"/>
      <w:r>
        <w:rPr>
          <w:i/>
          <w:iCs/>
        </w:rPr>
        <w:t xml:space="preserve">Financial </w:t>
      </w:r>
      <w:del w:id="147" w:author="svcMRProcess" w:date="2015-10-27T06:25:00Z">
        <w:r>
          <w:rPr>
            <w:i/>
            <w:snapToGrid w:val="0"/>
          </w:rPr>
          <w:delText>Administration and Audit Act 1985</w:delText>
        </w:r>
      </w:del>
      <w:bookmarkEnd w:id="145"/>
      <w:ins w:id="148" w:author="svcMRProcess" w:date="2015-10-27T06:25:00Z">
        <w:r>
          <w:rPr>
            <w:i/>
            <w:iCs/>
          </w:rPr>
          <w:t>Management Act 2006</w:t>
        </w:r>
        <w:r>
          <w:t xml:space="preserve"> and </w:t>
        </w:r>
        <w:r>
          <w:rPr>
            <w:i/>
            <w:iCs/>
          </w:rPr>
          <w:t>Auditor General Act 2006</w:t>
        </w:r>
      </w:ins>
      <w:bookmarkEnd w:id="146"/>
    </w:p>
    <w:p>
      <w:pPr>
        <w:pStyle w:val="Subsection"/>
        <w:rPr>
          <w:snapToGrid w:val="0"/>
        </w:rPr>
      </w:pPr>
      <w:r>
        <w:rPr>
          <w:snapToGrid w:val="0"/>
        </w:rPr>
        <w:tab/>
      </w:r>
      <w:r>
        <w:rPr>
          <w:snapToGrid w:val="0"/>
        </w:rPr>
        <w:tab/>
        <w:t xml:space="preserve">The provisions of the </w:t>
      </w:r>
      <w:r>
        <w:rPr>
          <w:i/>
          <w:iCs/>
        </w:rPr>
        <w:t xml:space="preserve">Financial </w:t>
      </w:r>
      <w:del w:id="149" w:author="svcMRProcess" w:date="2015-10-27T06:25:00Z">
        <w:r>
          <w:rPr>
            <w:i/>
            <w:snapToGrid w:val="0"/>
          </w:rPr>
          <w:delText>Administration</w:delText>
        </w:r>
      </w:del>
      <w:ins w:id="150" w:author="svcMRProcess" w:date="2015-10-27T06:25:00Z">
        <w:r>
          <w:rPr>
            <w:i/>
            <w:iCs/>
          </w:rPr>
          <w:t>Management Act 2006</w:t>
        </w:r>
      </w:ins>
      <w:r>
        <w:t xml:space="preserve"> and </w:t>
      </w:r>
      <w:del w:id="151" w:author="svcMRProcess" w:date="2015-10-27T06:25:00Z">
        <w:r>
          <w:rPr>
            <w:i/>
            <w:snapToGrid w:val="0"/>
          </w:rPr>
          <w:delText>Audit</w:delText>
        </w:r>
      </w:del>
      <w:ins w:id="152" w:author="svcMRProcess" w:date="2015-10-27T06:25:00Z">
        <w:r>
          <w:t xml:space="preserve">the </w:t>
        </w:r>
        <w:r>
          <w:rPr>
            <w:i/>
            <w:iCs/>
          </w:rPr>
          <w:t>Auditor General</w:t>
        </w:r>
      </w:ins>
      <w:r>
        <w:rPr>
          <w:i/>
          <w:iCs/>
        </w:rPr>
        <w:t xml:space="preserve"> Act </w:t>
      </w:r>
      <w:del w:id="153" w:author="svcMRProcess" w:date="2015-10-27T06:25:00Z">
        <w:r>
          <w:rPr>
            <w:i/>
            <w:snapToGrid w:val="0"/>
          </w:rPr>
          <w:delText>1985</w:delText>
        </w:r>
      </w:del>
      <w:ins w:id="154" w:author="svcMRProcess" w:date="2015-10-27T06:25:00Z">
        <w:r>
          <w:rPr>
            <w:i/>
            <w:iCs/>
          </w:rPr>
          <w:t>2006</w:t>
        </w:r>
      </w:ins>
      <w:r>
        <w:rPr>
          <w:i/>
          <w:iCs/>
        </w:rPr>
        <w:t xml:space="preserve">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w:t>
      </w:r>
      <w:del w:id="155" w:author="svcMRProcess" w:date="2015-10-27T06:25:00Z">
        <w:r>
          <w:delText>3</w:delText>
        </w:r>
      </w:del>
      <w:ins w:id="156" w:author="svcMRProcess" w:date="2015-10-27T06:25:00Z">
        <w:r>
          <w:t>3; amended by No. 77 of 2006 s. 17</w:t>
        </w:r>
      </w:ins>
      <w:r>
        <w:t>.]</w:t>
      </w:r>
    </w:p>
    <w:p>
      <w:pPr>
        <w:pStyle w:val="Heading5"/>
        <w:rPr>
          <w:snapToGrid w:val="0"/>
        </w:rPr>
      </w:pPr>
      <w:bookmarkStart w:id="157" w:name="_Toc425058701"/>
      <w:bookmarkStart w:id="158" w:name="_Toc457367253"/>
      <w:bookmarkStart w:id="159" w:name="_Toc517591438"/>
      <w:bookmarkStart w:id="160" w:name="_Toc101845068"/>
      <w:bookmarkStart w:id="161" w:name="_Toc157831196"/>
      <w:bookmarkStart w:id="162" w:name="_Toc148503558"/>
      <w:r>
        <w:rPr>
          <w:rStyle w:val="CharSectno"/>
        </w:rPr>
        <w:t>16</w:t>
      </w:r>
      <w:r>
        <w:rPr>
          <w:snapToGrid w:val="0"/>
        </w:rPr>
        <w:t>.</w:t>
      </w:r>
      <w:r>
        <w:rPr>
          <w:snapToGrid w:val="0"/>
        </w:rPr>
        <w:tab/>
        <w:t>Reserve accounts</w:t>
      </w:r>
      <w:bookmarkEnd w:id="157"/>
      <w:bookmarkEnd w:id="158"/>
      <w:bookmarkEnd w:id="159"/>
      <w:bookmarkEnd w:id="160"/>
      <w:bookmarkEnd w:id="161"/>
      <w:bookmarkEnd w:id="162"/>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Repealed by No. 98 of 1985 s. 3.]</w:t>
      </w:r>
    </w:p>
    <w:p>
      <w:pPr>
        <w:pStyle w:val="Heading5"/>
        <w:rPr>
          <w:snapToGrid w:val="0"/>
        </w:rPr>
      </w:pPr>
      <w:bookmarkStart w:id="163" w:name="_Toc425058702"/>
      <w:bookmarkStart w:id="164" w:name="_Toc457367254"/>
      <w:bookmarkStart w:id="165" w:name="_Toc517591439"/>
      <w:bookmarkStart w:id="166" w:name="_Toc101845069"/>
      <w:bookmarkStart w:id="167" w:name="_Toc157831197"/>
      <w:bookmarkStart w:id="168" w:name="_Toc148503559"/>
      <w:r>
        <w:rPr>
          <w:rStyle w:val="CharSectno"/>
        </w:rPr>
        <w:t>19</w:t>
      </w:r>
      <w:r>
        <w:rPr>
          <w:snapToGrid w:val="0"/>
        </w:rPr>
        <w:t>.</w:t>
      </w:r>
      <w:r>
        <w:rPr>
          <w:snapToGrid w:val="0"/>
        </w:rPr>
        <w:tab/>
        <w:t>Accounts to be balanced</w:t>
      </w:r>
      <w:bookmarkEnd w:id="163"/>
      <w:bookmarkEnd w:id="164"/>
      <w:bookmarkEnd w:id="165"/>
      <w:bookmarkEnd w:id="166"/>
      <w:bookmarkEnd w:id="167"/>
      <w:bookmarkEnd w:id="168"/>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Repealed by No. 98 of 1985 s. 3.]</w:t>
      </w:r>
    </w:p>
    <w:p>
      <w:pPr>
        <w:pStyle w:val="Heading5"/>
        <w:rPr>
          <w:snapToGrid w:val="0"/>
        </w:rPr>
      </w:pPr>
      <w:bookmarkStart w:id="169" w:name="_Toc425058703"/>
      <w:bookmarkStart w:id="170" w:name="_Toc457367255"/>
      <w:bookmarkStart w:id="171" w:name="_Toc517591440"/>
      <w:bookmarkStart w:id="172" w:name="_Toc101845070"/>
      <w:bookmarkStart w:id="173" w:name="_Toc157831198"/>
      <w:bookmarkStart w:id="174" w:name="_Toc148503560"/>
      <w:r>
        <w:rPr>
          <w:rStyle w:val="CharSectno"/>
        </w:rPr>
        <w:t>22</w:t>
      </w:r>
      <w:r>
        <w:rPr>
          <w:snapToGrid w:val="0"/>
        </w:rPr>
        <w:t>.</w:t>
      </w:r>
      <w:r>
        <w:rPr>
          <w:snapToGrid w:val="0"/>
        </w:rPr>
        <w:tab/>
        <w:t>Savings as to Government</w:t>
      </w:r>
      <w:bookmarkEnd w:id="169"/>
      <w:bookmarkEnd w:id="170"/>
      <w:r>
        <w:rPr>
          <w:snapToGrid w:val="0"/>
        </w:rPr>
        <w:t xml:space="preserve"> departments and co</w:t>
      </w:r>
      <w:r>
        <w:rPr>
          <w:snapToGrid w:val="0"/>
        </w:rPr>
        <w:noBreakHyphen/>
        <w:t>operation with them</w:t>
      </w:r>
      <w:bookmarkEnd w:id="171"/>
      <w:bookmarkEnd w:id="172"/>
      <w:bookmarkEnd w:id="173"/>
      <w:bookmarkEnd w:id="174"/>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175" w:name="_Toc425058704"/>
      <w:bookmarkStart w:id="176" w:name="_Toc457367256"/>
      <w:bookmarkStart w:id="177" w:name="_Toc517591441"/>
      <w:bookmarkStart w:id="178" w:name="_Toc101845071"/>
      <w:bookmarkStart w:id="179" w:name="_Toc157831199"/>
      <w:bookmarkStart w:id="180" w:name="_Toc148503561"/>
      <w:r>
        <w:rPr>
          <w:rStyle w:val="CharSectno"/>
        </w:rPr>
        <w:t>23</w:t>
      </w:r>
      <w:r>
        <w:rPr>
          <w:snapToGrid w:val="0"/>
        </w:rPr>
        <w:t>.</w:t>
      </w:r>
      <w:r>
        <w:rPr>
          <w:snapToGrid w:val="0"/>
        </w:rPr>
        <w:tab/>
        <w:t>Protection of members of Protection Board, officers, and others</w:t>
      </w:r>
      <w:bookmarkEnd w:id="175"/>
      <w:bookmarkEnd w:id="176"/>
      <w:bookmarkEnd w:id="177"/>
      <w:bookmarkEnd w:id="178"/>
      <w:bookmarkEnd w:id="179"/>
      <w:bookmarkEnd w:id="180"/>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81" w:name="_Toc425058705"/>
      <w:bookmarkStart w:id="182" w:name="_Toc457367257"/>
      <w:bookmarkStart w:id="183" w:name="_Toc517591442"/>
      <w:bookmarkStart w:id="184" w:name="_Toc101845072"/>
      <w:bookmarkStart w:id="185" w:name="_Toc157831200"/>
      <w:bookmarkStart w:id="186" w:name="_Toc148503562"/>
      <w:r>
        <w:rPr>
          <w:rStyle w:val="CharSectno"/>
        </w:rPr>
        <w:t>24</w:t>
      </w:r>
      <w:r>
        <w:rPr>
          <w:snapToGrid w:val="0"/>
        </w:rPr>
        <w:t>.</w:t>
      </w:r>
      <w:r>
        <w:rPr>
          <w:snapToGrid w:val="0"/>
        </w:rPr>
        <w:tab/>
        <w:t>Plaintiff in action for personal injuries to submit to medical examination</w:t>
      </w:r>
      <w:bookmarkEnd w:id="181"/>
      <w:bookmarkEnd w:id="182"/>
      <w:bookmarkEnd w:id="183"/>
      <w:bookmarkEnd w:id="184"/>
      <w:bookmarkEnd w:id="185"/>
      <w:bookmarkEnd w:id="186"/>
    </w:p>
    <w:p>
      <w:pPr>
        <w:pStyle w:val="Ednotesubsection"/>
      </w:pPr>
      <w:r>
        <w:tab/>
        <w:t>[(1), (2)</w:t>
      </w:r>
      <w:r>
        <w:tab/>
        <w:t>repealed]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187" w:name="_Toc425058706"/>
      <w:bookmarkStart w:id="188" w:name="_Toc457367258"/>
      <w:bookmarkStart w:id="189" w:name="_Toc517591443"/>
      <w:bookmarkStart w:id="190" w:name="_Toc101845073"/>
      <w:bookmarkStart w:id="191" w:name="_Toc157831201"/>
      <w:bookmarkStart w:id="192" w:name="_Toc148503563"/>
      <w:r>
        <w:rPr>
          <w:rStyle w:val="CharSectno"/>
        </w:rPr>
        <w:t>25</w:t>
      </w:r>
      <w:r>
        <w:rPr>
          <w:snapToGrid w:val="0"/>
        </w:rPr>
        <w:t>.</w:t>
      </w:r>
      <w:r>
        <w:rPr>
          <w:snapToGrid w:val="0"/>
        </w:rPr>
        <w:tab/>
        <w:t>Provisions of Workers’ Compensation Act to prevail</w:t>
      </w:r>
      <w:bookmarkEnd w:id="187"/>
      <w:bookmarkEnd w:id="188"/>
      <w:bookmarkEnd w:id="189"/>
      <w:bookmarkEnd w:id="190"/>
      <w:bookmarkEnd w:id="191"/>
      <w:bookmarkEnd w:id="192"/>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193" w:name="_Toc425058707"/>
      <w:bookmarkStart w:id="194" w:name="_Toc457367259"/>
      <w:bookmarkStart w:id="195" w:name="_Toc517591444"/>
      <w:bookmarkStart w:id="196" w:name="_Toc101845074"/>
      <w:bookmarkStart w:id="197" w:name="_Toc157831202"/>
      <w:bookmarkStart w:id="198" w:name="_Toc148503564"/>
      <w:r>
        <w:rPr>
          <w:rStyle w:val="CharSectno"/>
        </w:rPr>
        <w:t>26</w:t>
      </w:r>
      <w:r>
        <w:rPr>
          <w:snapToGrid w:val="0"/>
        </w:rPr>
        <w:t>.</w:t>
      </w:r>
      <w:r>
        <w:rPr>
          <w:snapToGrid w:val="0"/>
        </w:rPr>
        <w:tab/>
        <w:t>Judicial notice of common seal</w:t>
      </w:r>
      <w:bookmarkEnd w:id="193"/>
      <w:bookmarkEnd w:id="194"/>
      <w:bookmarkEnd w:id="195"/>
      <w:bookmarkEnd w:id="196"/>
      <w:bookmarkEnd w:id="197"/>
      <w:bookmarkEnd w:id="198"/>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199" w:name="_Toc425058708"/>
      <w:bookmarkStart w:id="200" w:name="_Toc457367260"/>
      <w:bookmarkStart w:id="201" w:name="_Toc517591445"/>
      <w:bookmarkStart w:id="202" w:name="_Toc101845075"/>
      <w:bookmarkStart w:id="203" w:name="_Toc157831203"/>
      <w:bookmarkStart w:id="204" w:name="_Toc148503565"/>
      <w:r>
        <w:rPr>
          <w:rStyle w:val="CharSectno"/>
        </w:rPr>
        <w:t>27</w:t>
      </w:r>
      <w:r>
        <w:rPr>
          <w:snapToGrid w:val="0"/>
        </w:rPr>
        <w:t>.</w:t>
      </w:r>
      <w:r>
        <w:rPr>
          <w:snapToGrid w:val="0"/>
        </w:rPr>
        <w:tab/>
        <w:t>Service of notices and legal proceedings</w:t>
      </w:r>
      <w:bookmarkEnd w:id="199"/>
      <w:bookmarkEnd w:id="200"/>
      <w:bookmarkEnd w:id="201"/>
      <w:bookmarkEnd w:id="202"/>
      <w:bookmarkEnd w:id="203"/>
      <w:bookmarkEnd w:id="204"/>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205" w:name="_Toc425058709"/>
      <w:bookmarkStart w:id="206" w:name="_Toc457367261"/>
      <w:bookmarkStart w:id="207" w:name="_Toc517591446"/>
      <w:bookmarkStart w:id="208" w:name="_Toc101845076"/>
      <w:bookmarkStart w:id="209" w:name="_Toc157831204"/>
      <w:bookmarkStart w:id="210" w:name="_Toc148503566"/>
      <w:r>
        <w:rPr>
          <w:rStyle w:val="CharSectno"/>
        </w:rPr>
        <w:t>28</w:t>
      </w:r>
      <w:r>
        <w:rPr>
          <w:snapToGrid w:val="0"/>
        </w:rPr>
        <w:t>.</w:t>
      </w:r>
      <w:r>
        <w:rPr>
          <w:snapToGrid w:val="0"/>
        </w:rPr>
        <w:tab/>
        <w:t>Documents how authenticated</w:t>
      </w:r>
      <w:bookmarkEnd w:id="205"/>
      <w:bookmarkEnd w:id="206"/>
      <w:bookmarkEnd w:id="207"/>
      <w:bookmarkEnd w:id="208"/>
      <w:bookmarkEnd w:id="209"/>
      <w:bookmarkEnd w:id="210"/>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211" w:name="_Toc425058710"/>
      <w:bookmarkStart w:id="212" w:name="_Toc457367262"/>
      <w:bookmarkStart w:id="213" w:name="_Toc517591447"/>
      <w:bookmarkStart w:id="214" w:name="_Toc101845077"/>
      <w:bookmarkStart w:id="215" w:name="_Toc157831205"/>
      <w:bookmarkStart w:id="216" w:name="_Toc148503567"/>
      <w:r>
        <w:rPr>
          <w:rStyle w:val="CharSectno"/>
        </w:rPr>
        <w:t>29</w:t>
      </w:r>
      <w:r>
        <w:rPr>
          <w:snapToGrid w:val="0"/>
        </w:rPr>
        <w:t>.</w:t>
      </w:r>
      <w:r>
        <w:rPr>
          <w:snapToGrid w:val="0"/>
        </w:rPr>
        <w:tab/>
        <w:t>Power to direct prosecutions</w:t>
      </w:r>
      <w:bookmarkEnd w:id="211"/>
      <w:bookmarkEnd w:id="212"/>
      <w:bookmarkEnd w:id="213"/>
      <w:bookmarkEnd w:id="214"/>
      <w:bookmarkEnd w:id="215"/>
      <w:bookmarkEnd w:id="216"/>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217" w:name="_Toc425058711"/>
      <w:bookmarkStart w:id="218" w:name="_Toc457367263"/>
      <w:bookmarkStart w:id="219" w:name="_Toc517591448"/>
      <w:bookmarkStart w:id="220" w:name="_Toc101845078"/>
      <w:bookmarkStart w:id="221" w:name="_Toc157831206"/>
      <w:bookmarkStart w:id="222" w:name="_Toc148503568"/>
      <w:r>
        <w:rPr>
          <w:rStyle w:val="CharSectno"/>
        </w:rPr>
        <w:t>30</w:t>
      </w:r>
      <w:r>
        <w:rPr>
          <w:snapToGrid w:val="0"/>
        </w:rPr>
        <w:t>.</w:t>
      </w:r>
      <w:r>
        <w:rPr>
          <w:snapToGrid w:val="0"/>
        </w:rPr>
        <w:tab/>
        <w:t>Power of officer to represent Protection Board</w:t>
      </w:r>
      <w:bookmarkEnd w:id="217"/>
      <w:bookmarkEnd w:id="218"/>
      <w:bookmarkEnd w:id="219"/>
      <w:bookmarkEnd w:id="220"/>
      <w:bookmarkEnd w:id="221"/>
      <w:bookmarkEnd w:id="222"/>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223" w:name="_Toc425058712"/>
      <w:bookmarkStart w:id="224" w:name="_Toc457367264"/>
      <w:bookmarkStart w:id="225" w:name="_Toc517591449"/>
      <w:bookmarkStart w:id="226" w:name="_Toc101845079"/>
      <w:bookmarkStart w:id="227" w:name="_Toc157831207"/>
      <w:bookmarkStart w:id="228" w:name="_Toc148503569"/>
      <w:r>
        <w:rPr>
          <w:rStyle w:val="CharSectno"/>
        </w:rPr>
        <w:t>31</w:t>
      </w:r>
      <w:r>
        <w:rPr>
          <w:snapToGrid w:val="0"/>
        </w:rPr>
        <w:t>.</w:t>
      </w:r>
      <w:r>
        <w:rPr>
          <w:snapToGrid w:val="0"/>
        </w:rPr>
        <w:tab/>
        <w:t>Proof of certain matters</w:t>
      </w:r>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229" w:name="_Toc425058713"/>
      <w:bookmarkStart w:id="230" w:name="_Toc457367265"/>
      <w:bookmarkStart w:id="231" w:name="_Toc517591450"/>
      <w:bookmarkStart w:id="232" w:name="_Toc101845080"/>
      <w:bookmarkStart w:id="233" w:name="_Toc157831208"/>
      <w:bookmarkStart w:id="234" w:name="_Toc148503570"/>
      <w:r>
        <w:rPr>
          <w:rStyle w:val="CharSectno"/>
        </w:rPr>
        <w:t>32</w:t>
      </w:r>
      <w:r>
        <w:rPr>
          <w:snapToGrid w:val="0"/>
        </w:rPr>
        <w:t>.</w:t>
      </w:r>
      <w:r>
        <w:rPr>
          <w:snapToGrid w:val="0"/>
        </w:rPr>
        <w:tab/>
        <w:t>Evidence of documents issued by the Protection Board</w:t>
      </w:r>
      <w:bookmarkEnd w:id="229"/>
      <w:bookmarkEnd w:id="230"/>
      <w:bookmarkEnd w:id="231"/>
      <w:bookmarkEnd w:id="232"/>
      <w:bookmarkEnd w:id="233"/>
      <w:bookmarkEnd w:id="234"/>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235" w:name="_Toc425058714"/>
      <w:bookmarkStart w:id="236" w:name="_Toc457367266"/>
      <w:bookmarkStart w:id="237" w:name="_Toc517591451"/>
      <w:bookmarkStart w:id="238" w:name="_Toc101845081"/>
      <w:bookmarkStart w:id="239" w:name="_Toc157831209"/>
      <w:bookmarkStart w:id="240" w:name="_Toc148503571"/>
      <w:r>
        <w:rPr>
          <w:rStyle w:val="CharSectno"/>
        </w:rPr>
        <w:t>33</w:t>
      </w:r>
      <w:r>
        <w:rPr>
          <w:snapToGrid w:val="0"/>
        </w:rPr>
        <w:t>.</w:t>
      </w:r>
      <w:r>
        <w:rPr>
          <w:snapToGrid w:val="0"/>
        </w:rPr>
        <w:tab/>
        <w:t>Regulations</w:t>
      </w:r>
      <w:bookmarkEnd w:id="235"/>
      <w:bookmarkEnd w:id="236"/>
      <w:bookmarkEnd w:id="237"/>
      <w:bookmarkEnd w:id="238"/>
      <w:bookmarkEnd w:id="239"/>
      <w:bookmarkEnd w:id="240"/>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[Schedules 1 and 2 repealed by No. 29 of 1995 s. 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41" w:name="_Toc89163345"/>
      <w:bookmarkStart w:id="242" w:name="_Toc92789104"/>
      <w:bookmarkStart w:id="243" w:name="_Toc93305511"/>
      <w:bookmarkStart w:id="244" w:name="_Toc101845082"/>
      <w:bookmarkStart w:id="245" w:name="_Toc142809325"/>
      <w:bookmarkStart w:id="246" w:name="_Toc144106572"/>
      <w:bookmarkStart w:id="247" w:name="_Toc145130205"/>
      <w:bookmarkStart w:id="248" w:name="_Toc146517929"/>
      <w:bookmarkStart w:id="249" w:name="_Toc148503572"/>
      <w:bookmarkStart w:id="250" w:name="_Toc157831210"/>
      <w:r>
        <w:t>Notes</w:t>
      </w:r>
      <w:bookmarkEnd w:id="241"/>
      <w:bookmarkEnd w:id="242"/>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w:t>
      </w:r>
      <w:del w:id="251" w:author="svcMRProcess" w:date="2015-10-27T06:25:00Z">
        <w:r>
          <w:rPr>
            <w:snapToGrid w:val="0"/>
          </w:rPr>
          <w:delText xml:space="preserve">reprint </w:delText>
        </w:r>
      </w:del>
      <w:r>
        <w:rPr>
          <w:snapToGrid w:val="0"/>
        </w:rPr>
        <w:t>is a compilation</w:t>
      </w:r>
      <w:del w:id="252" w:author="svcMRProcess" w:date="2015-10-27T06:25:00Z">
        <w:r>
          <w:rPr>
            <w:snapToGrid w:val="0"/>
          </w:rPr>
          <w:delText xml:space="preserve"> as at 22 September 2006</w:delText>
        </w:r>
      </w:del>
      <w:r>
        <w:rPr>
          <w:snapToGrid w:val="0"/>
        </w:rPr>
        <w:t xml:space="preserve">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3" w:name="_Toc157831211"/>
      <w:bookmarkStart w:id="254" w:name="_Toc148503573"/>
      <w:r>
        <w:rPr>
          <w:snapToGrid w:val="0"/>
        </w:rPr>
        <w:t>Compilation table</w:t>
      </w:r>
      <w:bookmarkEnd w:id="253"/>
      <w:bookmarkEnd w:id="254"/>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trPr>
          <w:gridAfter w:val="1"/>
          <w:wAfter w:w="19"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27" w:type="dxa"/>
            <w:tcBorders>
              <w:top w:val="single" w:sz="8" w:space="0" w:color="auto"/>
            </w:tcBorders>
          </w:tcPr>
          <w:p>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pPr>
              <w:pStyle w:val="nTable"/>
              <w:spacing w:after="40"/>
              <w:rPr>
                <w:sz w:val="19"/>
              </w:rPr>
            </w:pPr>
            <w:r>
              <w:rPr>
                <w:sz w:val="19"/>
              </w:rPr>
              <w:t>5 Jan 1951</w:t>
            </w:r>
          </w:p>
        </w:tc>
        <w:tc>
          <w:tcPr>
            <w:tcW w:w="2543" w:type="dxa"/>
            <w:tcBorders>
              <w:top w:val="single" w:sz="8" w:space="0" w:color="auto"/>
            </w:tcBorders>
          </w:tcPr>
          <w:p>
            <w:pPr>
              <w:pStyle w:val="nTable"/>
              <w:spacing w:after="40"/>
              <w:rPr>
                <w:sz w:val="19"/>
              </w:rPr>
            </w:pPr>
            <w:r>
              <w:rPr>
                <w:sz w:val="19"/>
              </w:rPr>
              <w:t xml:space="preserve">1 Mar 1951 (see s. 2 and </w:t>
            </w:r>
            <w:r>
              <w:rPr>
                <w:i/>
                <w:sz w:val="19"/>
              </w:rPr>
              <w:t>Gazette</w:t>
            </w:r>
            <w:r>
              <w:rPr>
                <w:sz w:val="19"/>
              </w:rPr>
              <w:t xml:space="preserve"> 23 Feb 1951 p. 412)</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1951</w:t>
            </w:r>
          </w:p>
        </w:tc>
        <w:tc>
          <w:tcPr>
            <w:tcW w:w="1131" w:type="dxa"/>
            <w:gridSpan w:val="2"/>
          </w:tcPr>
          <w:p>
            <w:pPr>
              <w:pStyle w:val="nTable"/>
              <w:spacing w:after="40"/>
              <w:rPr>
                <w:sz w:val="19"/>
              </w:rPr>
            </w:pPr>
            <w:r>
              <w:rPr>
                <w:sz w:val="19"/>
              </w:rPr>
              <w:t>19 of 1951</w:t>
            </w:r>
            <w:r>
              <w:rPr>
                <w:sz w:val="19"/>
              </w:rPr>
              <w:br/>
              <w:t>(15 Geo. VI No. 19)</w:t>
            </w:r>
          </w:p>
        </w:tc>
        <w:tc>
          <w:tcPr>
            <w:tcW w:w="1164" w:type="dxa"/>
            <w:gridSpan w:val="2"/>
          </w:tcPr>
          <w:p>
            <w:pPr>
              <w:pStyle w:val="nTable"/>
              <w:spacing w:after="40"/>
              <w:rPr>
                <w:sz w:val="19"/>
              </w:rPr>
            </w:pPr>
            <w:r>
              <w:rPr>
                <w:sz w:val="19"/>
              </w:rPr>
              <w:t>27 Nov 1951</w:t>
            </w:r>
          </w:p>
        </w:tc>
        <w:tc>
          <w:tcPr>
            <w:tcW w:w="2543" w:type="dxa"/>
          </w:tcPr>
          <w:p>
            <w:pPr>
              <w:pStyle w:val="nTable"/>
              <w:spacing w:after="40"/>
              <w:rPr>
                <w:sz w:val="19"/>
              </w:rPr>
            </w:pPr>
            <w:r>
              <w:rPr>
                <w:sz w:val="19"/>
              </w:rPr>
              <w:t>27 Nov 1951</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1953</w:t>
            </w:r>
          </w:p>
        </w:tc>
        <w:tc>
          <w:tcPr>
            <w:tcW w:w="1131" w:type="dxa"/>
            <w:gridSpan w:val="2"/>
          </w:tcPr>
          <w:p>
            <w:pPr>
              <w:pStyle w:val="nTable"/>
              <w:spacing w:after="40"/>
              <w:rPr>
                <w:sz w:val="19"/>
              </w:rPr>
            </w:pPr>
            <w:r>
              <w:rPr>
                <w:sz w:val="19"/>
              </w:rPr>
              <w:t>84 of 1953</w:t>
            </w:r>
            <w:r>
              <w:rPr>
                <w:sz w:val="19"/>
              </w:rPr>
              <w:br/>
              <w:t>(2 Eliz. II No. 84)</w:t>
            </w:r>
          </w:p>
        </w:tc>
        <w:tc>
          <w:tcPr>
            <w:tcW w:w="1164" w:type="dxa"/>
            <w:gridSpan w:val="2"/>
          </w:tcPr>
          <w:p>
            <w:pPr>
              <w:pStyle w:val="nTable"/>
              <w:spacing w:after="40"/>
              <w:rPr>
                <w:sz w:val="19"/>
              </w:rPr>
            </w:pPr>
            <w:r>
              <w:rPr>
                <w:sz w:val="19"/>
              </w:rPr>
              <w:t>18 Jan 1954</w:t>
            </w:r>
          </w:p>
        </w:tc>
        <w:tc>
          <w:tcPr>
            <w:tcW w:w="2543" w:type="dxa"/>
          </w:tcPr>
          <w:p>
            <w:pPr>
              <w:pStyle w:val="nTable"/>
              <w:spacing w:after="40"/>
              <w:rPr>
                <w:sz w:val="19"/>
              </w:rPr>
            </w:pPr>
            <w:r>
              <w:rPr>
                <w:sz w:val="19"/>
              </w:rPr>
              <w:t>18 Jan 1954</w:t>
            </w:r>
          </w:p>
        </w:tc>
      </w:tr>
      <w:tr>
        <w:trPr>
          <w:gridAfter w:val="1"/>
          <w:wAfter w:w="19" w:type="dxa"/>
          <w:cantSplit/>
        </w:trPr>
        <w:tc>
          <w:tcPr>
            <w:tcW w:w="2227" w:type="dxa"/>
          </w:tcPr>
          <w:p>
            <w:pPr>
              <w:pStyle w:val="nTable"/>
              <w:spacing w:after="40"/>
              <w:ind w:right="113"/>
              <w:rPr>
                <w:sz w:val="19"/>
              </w:rPr>
            </w:pPr>
            <w:r>
              <w:rPr>
                <w:i/>
                <w:sz w:val="19"/>
              </w:rPr>
              <w:t>Limitation Act 1935</w:t>
            </w:r>
            <w:r>
              <w:rPr>
                <w:sz w:val="19"/>
              </w:rPr>
              <w:t xml:space="preserve"> s. 48A(1)</w:t>
            </w:r>
          </w:p>
        </w:tc>
        <w:tc>
          <w:tcPr>
            <w:tcW w:w="1131" w:type="dxa"/>
            <w:gridSpan w:val="2"/>
          </w:tcPr>
          <w:p>
            <w:pPr>
              <w:pStyle w:val="nTable"/>
              <w:spacing w:after="40"/>
              <w:rPr>
                <w:sz w:val="19"/>
              </w:rPr>
            </w:pPr>
            <w:r>
              <w:rPr>
                <w:sz w:val="19"/>
              </w:rPr>
              <w:t>35 of 1935</w:t>
            </w:r>
            <w:r>
              <w:rPr>
                <w:sz w:val="19"/>
              </w:rPr>
              <w:br/>
              <w:t>(26 Geo. V No. 35) (as amended by No. 73 of 1954 s. 8)</w:t>
            </w:r>
          </w:p>
        </w:tc>
        <w:tc>
          <w:tcPr>
            <w:tcW w:w="1164" w:type="dxa"/>
            <w:gridSpan w:val="2"/>
          </w:tcPr>
          <w:p>
            <w:pPr>
              <w:pStyle w:val="nTable"/>
              <w:spacing w:after="40"/>
              <w:rPr>
                <w:sz w:val="19"/>
              </w:rPr>
            </w:pPr>
            <w:r>
              <w:rPr>
                <w:sz w:val="19"/>
              </w:rPr>
              <w:t>7 Jan 1936</w:t>
            </w:r>
          </w:p>
        </w:tc>
        <w:tc>
          <w:tcPr>
            <w:tcW w:w="2543"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1956</w:t>
            </w:r>
          </w:p>
        </w:tc>
        <w:tc>
          <w:tcPr>
            <w:tcW w:w="1131" w:type="dxa"/>
            <w:gridSpan w:val="2"/>
          </w:tcPr>
          <w:p>
            <w:pPr>
              <w:pStyle w:val="nTable"/>
              <w:spacing w:after="40"/>
              <w:rPr>
                <w:sz w:val="19"/>
              </w:rPr>
            </w:pPr>
            <w:r>
              <w:rPr>
                <w:sz w:val="19"/>
              </w:rPr>
              <w:t>8 of 1956</w:t>
            </w:r>
            <w:r>
              <w:rPr>
                <w:sz w:val="19"/>
              </w:rPr>
              <w:br/>
              <w:t>(5 Eliz. II No. 8)</w:t>
            </w:r>
          </w:p>
        </w:tc>
        <w:tc>
          <w:tcPr>
            <w:tcW w:w="1164" w:type="dxa"/>
            <w:gridSpan w:val="2"/>
          </w:tcPr>
          <w:p>
            <w:pPr>
              <w:pStyle w:val="nTable"/>
              <w:spacing w:after="40"/>
              <w:rPr>
                <w:sz w:val="19"/>
              </w:rPr>
            </w:pPr>
            <w:r>
              <w:rPr>
                <w:sz w:val="19"/>
              </w:rPr>
              <w:t>11 Oct 1956</w:t>
            </w:r>
          </w:p>
        </w:tc>
        <w:tc>
          <w:tcPr>
            <w:tcW w:w="2543" w:type="dxa"/>
          </w:tcPr>
          <w:p>
            <w:pPr>
              <w:pStyle w:val="nTable"/>
              <w:spacing w:after="40"/>
              <w:rPr>
                <w:sz w:val="19"/>
              </w:rPr>
            </w:pPr>
            <w:r>
              <w:rPr>
                <w:sz w:val="19"/>
              </w:rPr>
              <w:t>11 Oct 1956</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1957</w:t>
            </w:r>
          </w:p>
        </w:tc>
        <w:tc>
          <w:tcPr>
            <w:tcW w:w="1131" w:type="dxa"/>
            <w:gridSpan w:val="2"/>
          </w:tcPr>
          <w:p>
            <w:pPr>
              <w:pStyle w:val="nTable"/>
              <w:spacing w:after="40"/>
              <w:rPr>
                <w:sz w:val="19"/>
              </w:rPr>
            </w:pPr>
            <w:r>
              <w:rPr>
                <w:sz w:val="19"/>
              </w:rPr>
              <w:t>2 of 1957</w:t>
            </w:r>
            <w:r>
              <w:rPr>
                <w:sz w:val="19"/>
              </w:rPr>
              <w:br/>
              <w:t>(6 Eliz. II No. 2)</w:t>
            </w:r>
          </w:p>
        </w:tc>
        <w:tc>
          <w:tcPr>
            <w:tcW w:w="1164" w:type="dxa"/>
            <w:gridSpan w:val="2"/>
          </w:tcPr>
          <w:p>
            <w:pPr>
              <w:pStyle w:val="nTable"/>
              <w:spacing w:after="40"/>
              <w:rPr>
                <w:sz w:val="19"/>
              </w:rPr>
            </w:pPr>
            <w:r>
              <w:rPr>
                <w:sz w:val="19"/>
              </w:rPr>
              <w:t>19 Aug 1957</w:t>
            </w:r>
          </w:p>
        </w:tc>
        <w:tc>
          <w:tcPr>
            <w:tcW w:w="2543" w:type="dxa"/>
          </w:tcPr>
          <w:p>
            <w:pPr>
              <w:pStyle w:val="nTable"/>
              <w:spacing w:after="40"/>
              <w:rPr>
                <w:sz w:val="19"/>
              </w:rPr>
            </w:pPr>
            <w:r>
              <w:rPr>
                <w:sz w:val="19"/>
              </w:rPr>
              <w:t xml:space="preserve">6 Jun 1958 (see s. 2 and </w:t>
            </w:r>
            <w:r>
              <w:rPr>
                <w:i/>
                <w:sz w:val="19"/>
              </w:rPr>
              <w:t>Gazette</w:t>
            </w:r>
            <w:r>
              <w:rPr>
                <w:sz w:val="19"/>
              </w:rPr>
              <w:t xml:space="preserve"> 6 Jun 1958 p. 1168)</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1960</w:t>
            </w:r>
          </w:p>
        </w:tc>
        <w:tc>
          <w:tcPr>
            <w:tcW w:w="1131" w:type="dxa"/>
            <w:gridSpan w:val="2"/>
          </w:tcPr>
          <w:p>
            <w:pPr>
              <w:pStyle w:val="nTable"/>
              <w:spacing w:after="40"/>
              <w:rPr>
                <w:sz w:val="19"/>
              </w:rPr>
            </w:pPr>
            <w:r>
              <w:rPr>
                <w:sz w:val="19"/>
              </w:rPr>
              <w:t>70 of 1960</w:t>
            </w:r>
            <w:r>
              <w:rPr>
                <w:sz w:val="19"/>
              </w:rPr>
              <w:br/>
              <w:t>(9 Eliz. II No. 70)</w:t>
            </w:r>
          </w:p>
        </w:tc>
        <w:tc>
          <w:tcPr>
            <w:tcW w:w="1164" w:type="dxa"/>
            <w:gridSpan w:val="2"/>
          </w:tcPr>
          <w:p>
            <w:pPr>
              <w:pStyle w:val="nTable"/>
              <w:spacing w:after="40"/>
              <w:rPr>
                <w:sz w:val="19"/>
              </w:rPr>
            </w:pPr>
            <w:r>
              <w:rPr>
                <w:sz w:val="19"/>
              </w:rPr>
              <w:t>5 Dec 1960</w:t>
            </w:r>
          </w:p>
        </w:tc>
        <w:tc>
          <w:tcPr>
            <w:tcW w:w="2543" w:type="dxa"/>
          </w:tcPr>
          <w:p>
            <w:pPr>
              <w:pStyle w:val="nTable"/>
              <w:spacing w:after="40"/>
              <w:rPr>
                <w:sz w:val="19"/>
              </w:rPr>
            </w:pPr>
            <w:r>
              <w:rPr>
                <w:sz w:val="19"/>
              </w:rPr>
              <w:t xml:space="preserve">30 Mar 1961 (see s. 2 and </w:t>
            </w:r>
            <w:r>
              <w:rPr>
                <w:i/>
                <w:sz w:val="19"/>
              </w:rPr>
              <w:t xml:space="preserve">Gazette </w:t>
            </w:r>
            <w:r>
              <w:rPr>
                <w:sz w:val="19"/>
              </w:rPr>
              <w:t>30 Mar 1961 p. 836)</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1964</w:t>
            </w:r>
          </w:p>
        </w:tc>
        <w:tc>
          <w:tcPr>
            <w:tcW w:w="1131" w:type="dxa"/>
            <w:gridSpan w:val="2"/>
          </w:tcPr>
          <w:p>
            <w:pPr>
              <w:pStyle w:val="nTable"/>
              <w:spacing w:after="40"/>
              <w:rPr>
                <w:sz w:val="19"/>
              </w:rPr>
            </w:pPr>
            <w:r>
              <w:rPr>
                <w:sz w:val="19"/>
              </w:rPr>
              <w:t>17 of 1964</w:t>
            </w:r>
            <w:r>
              <w:rPr>
                <w:sz w:val="19"/>
              </w:rPr>
              <w:br/>
              <w:t>(13 Eliz. II No. 17)</w:t>
            </w:r>
          </w:p>
        </w:tc>
        <w:tc>
          <w:tcPr>
            <w:tcW w:w="1164" w:type="dxa"/>
            <w:gridSpan w:val="2"/>
          </w:tcPr>
          <w:p>
            <w:pPr>
              <w:pStyle w:val="nTable"/>
              <w:spacing w:after="40"/>
              <w:rPr>
                <w:sz w:val="19"/>
              </w:rPr>
            </w:pPr>
            <w:r>
              <w:rPr>
                <w:sz w:val="19"/>
              </w:rPr>
              <w:t>8 Oct 1964</w:t>
            </w:r>
          </w:p>
        </w:tc>
        <w:tc>
          <w:tcPr>
            <w:tcW w:w="2543" w:type="dxa"/>
          </w:tcPr>
          <w:p>
            <w:pPr>
              <w:pStyle w:val="nTable"/>
              <w:spacing w:after="40"/>
              <w:rPr>
                <w:sz w:val="19"/>
              </w:rPr>
            </w:pPr>
            <w:r>
              <w:rPr>
                <w:sz w:val="19"/>
              </w:rPr>
              <w:t>8 Oct 1964</w:t>
            </w:r>
          </w:p>
        </w:tc>
      </w:tr>
      <w:tr>
        <w:trPr>
          <w:gridAfter w:val="1"/>
          <w:wAfter w:w="19" w:type="dxa"/>
          <w:cantSplit/>
        </w:trPr>
        <w:tc>
          <w:tcPr>
            <w:tcW w:w="2227" w:type="dxa"/>
          </w:tcPr>
          <w:p>
            <w:pPr>
              <w:pStyle w:val="nTable"/>
              <w:spacing w:after="40"/>
              <w:ind w:right="113"/>
              <w:rPr>
                <w:sz w:val="19"/>
              </w:rPr>
            </w:pPr>
            <w:r>
              <w:rPr>
                <w:i/>
                <w:sz w:val="19"/>
              </w:rPr>
              <w:t>Decimal Currency Act 1965</w:t>
            </w:r>
          </w:p>
        </w:tc>
        <w:tc>
          <w:tcPr>
            <w:tcW w:w="1131" w:type="dxa"/>
            <w:gridSpan w:val="2"/>
          </w:tcPr>
          <w:p>
            <w:pPr>
              <w:pStyle w:val="nTable"/>
              <w:spacing w:after="40"/>
              <w:rPr>
                <w:sz w:val="19"/>
              </w:rPr>
            </w:pPr>
            <w:r>
              <w:rPr>
                <w:sz w:val="19"/>
              </w:rPr>
              <w:t>113 of 1965</w:t>
            </w:r>
          </w:p>
        </w:tc>
        <w:tc>
          <w:tcPr>
            <w:tcW w:w="1164" w:type="dxa"/>
            <w:gridSpan w:val="2"/>
          </w:tcPr>
          <w:p>
            <w:pPr>
              <w:pStyle w:val="nTable"/>
              <w:spacing w:after="40"/>
              <w:rPr>
                <w:sz w:val="19"/>
              </w:rPr>
            </w:pPr>
            <w:r>
              <w:rPr>
                <w:sz w:val="19"/>
              </w:rPr>
              <w:t>21 Dec 1965</w:t>
            </w:r>
          </w:p>
        </w:tc>
        <w:tc>
          <w:tcPr>
            <w:tcW w:w="2543" w:type="dxa"/>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1970</w:t>
            </w:r>
          </w:p>
        </w:tc>
        <w:tc>
          <w:tcPr>
            <w:tcW w:w="1131" w:type="dxa"/>
            <w:gridSpan w:val="2"/>
          </w:tcPr>
          <w:p>
            <w:pPr>
              <w:pStyle w:val="nTable"/>
              <w:spacing w:after="40"/>
              <w:rPr>
                <w:sz w:val="19"/>
              </w:rPr>
            </w:pPr>
            <w:r>
              <w:rPr>
                <w:sz w:val="19"/>
              </w:rPr>
              <w:t>97 of 1970</w:t>
            </w:r>
          </w:p>
        </w:tc>
        <w:tc>
          <w:tcPr>
            <w:tcW w:w="1164" w:type="dxa"/>
            <w:gridSpan w:val="2"/>
          </w:tcPr>
          <w:p>
            <w:pPr>
              <w:pStyle w:val="nTable"/>
              <w:spacing w:after="40"/>
              <w:rPr>
                <w:sz w:val="19"/>
              </w:rPr>
            </w:pPr>
            <w:r>
              <w:rPr>
                <w:sz w:val="19"/>
              </w:rPr>
              <w:t>8 Dec 1970</w:t>
            </w:r>
          </w:p>
        </w:tc>
        <w:tc>
          <w:tcPr>
            <w:tcW w:w="2543" w:type="dxa"/>
          </w:tcPr>
          <w:p>
            <w:pPr>
              <w:pStyle w:val="nTable"/>
              <w:spacing w:after="40"/>
              <w:rPr>
                <w:sz w:val="19"/>
              </w:rPr>
            </w:pPr>
            <w:r>
              <w:rPr>
                <w:sz w:val="19"/>
              </w:rPr>
              <w:t>8 Dec 1970</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1976</w:t>
            </w:r>
          </w:p>
        </w:tc>
        <w:tc>
          <w:tcPr>
            <w:tcW w:w="1131" w:type="dxa"/>
            <w:gridSpan w:val="2"/>
          </w:tcPr>
          <w:p>
            <w:pPr>
              <w:pStyle w:val="nTable"/>
              <w:spacing w:after="40"/>
              <w:rPr>
                <w:sz w:val="19"/>
              </w:rPr>
            </w:pPr>
            <w:r>
              <w:rPr>
                <w:sz w:val="19"/>
              </w:rPr>
              <w:t>25 of 1976</w:t>
            </w:r>
          </w:p>
        </w:tc>
        <w:tc>
          <w:tcPr>
            <w:tcW w:w="1164" w:type="dxa"/>
            <w:gridSpan w:val="2"/>
          </w:tcPr>
          <w:p>
            <w:pPr>
              <w:pStyle w:val="nTable"/>
              <w:spacing w:after="40"/>
              <w:rPr>
                <w:sz w:val="19"/>
              </w:rPr>
            </w:pPr>
            <w:r>
              <w:rPr>
                <w:sz w:val="19"/>
              </w:rPr>
              <w:t>9 Jun 1976</w:t>
            </w:r>
          </w:p>
        </w:tc>
        <w:tc>
          <w:tcPr>
            <w:tcW w:w="2543" w:type="dxa"/>
          </w:tcPr>
          <w:p>
            <w:pPr>
              <w:pStyle w:val="nTable"/>
              <w:spacing w:after="40"/>
              <w:rPr>
                <w:sz w:val="19"/>
              </w:rPr>
            </w:pPr>
            <w:r>
              <w:rPr>
                <w:sz w:val="19"/>
              </w:rPr>
              <w:t xml:space="preserve">1 Jul 1976 (see s. 2 and </w:t>
            </w:r>
            <w:r>
              <w:rPr>
                <w:i/>
                <w:sz w:val="19"/>
              </w:rPr>
              <w:t xml:space="preserve">Gazette </w:t>
            </w:r>
            <w:r>
              <w:rPr>
                <w:sz w:val="19"/>
              </w:rPr>
              <w:t>18 Jun 1976 p. 2048)</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pPr>
              <w:pStyle w:val="nTable"/>
              <w:spacing w:after="40"/>
              <w:rPr>
                <w:sz w:val="19"/>
              </w:rPr>
            </w:pPr>
            <w:r>
              <w:rPr>
                <w:sz w:val="19"/>
              </w:rPr>
              <w:t>98 of 1985</w:t>
            </w:r>
          </w:p>
        </w:tc>
        <w:tc>
          <w:tcPr>
            <w:tcW w:w="1164" w:type="dxa"/>
            <w:gridSpan w:val="2"/>
          </w:tcPr>
          <w:p>
            <w:pPr>
              <w:pStyle w:val="nTable"/>
              <w:spacing w:after="40"/>
              <w:rPr>
                <w:sz w:val="19"/>
              </w:rPr>
            </w:pPr>
            <w:r>
              <w:rPr>
                <w:sz w:val="19"/>
              </w:rPr>
              <w:t>4 Dec 1985</w:t>
            </w:r>
          </w:p>
        </w:tc>
        <w:tc>
          <w:tcPr>
            <w:tcW w:w="2543"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After w:val="1"/>
          <w:wAfter w:w="19" w:type="dxa"/>
          <w:cantSplit/>
        </w:trPr>
        <w:tc>
          <w:tcPr>
            <w:tcW w:w="2227" w:type="dxa"/>
          </w:tcPr>
          <w:p>
            <w:pPr>
              <w:pStyle w:val="nTable"/>
              <w:spacing w:after="40"/>
              <w:ind w:right="113"/>
              <w:rPr>
                <w:sz w:val="19"/>
              </w:rPr>
            </w:pPr>
            <w:r>
              <w:rPr>
                <w:i/>
                <w:sz w:val="19"/>
              </w:rPr>
              <w:t>Agriculture Protection Board Amendment Act 1986</w:t>
            </w:r>
          </w:p>
        </w:tc>
        <w:tc>
          <w:tcPr>
            <w:tcW w:w="1131" w:type="dxa"/>
            <w:gridSpan w:val="2"/>
          </w:tcPr>
          <w:p>
            <w:pPr>
              <w:pStyle w:val="nTable"/>
              <w:spacing w:after="40"/>
              <w:rPr>
                <w:sz w:val="19"/>
              </w:rPr>
            </w:pPr>
            <w:r>
              <w:rPr>
                <w:sz w:val="19"/>
              </w:rPr>
              <w:t>95 of 1986</w:t>
            </w:r>
          </w:p>
        </w:tc>
        <w:tc>
          <w:tcPr>
            <w:tcW w:w="1164" w:type="dxa"/>
            <w:gridSpan w:val="2"/>
          </w:tcPr>
          <w:p>
            <w:pPr>
              <w:pStyle w:val="nTable"/>
              <w:spacing w:after="40"/>
              <w:rPr>
                <w:sz w:val="19"/>
              </w:rPr>
            </w:pPr>
            <w:r>
              <w:rPr>
                <w:sz w:val="19"/>
              </w:rPr>
              <w:t>10 Dec 1986</w:t>
            </w:r>
          </w:p>
        </w:tc>
        <w:tc>
          <w:tcPr>
            <w:tcW w:w="2543" w:type="dxa"/>
          </w:tcPr>
          <w:p>
            <w:pPr>
              <w:pStyle w:val="nTable"/>
              <w:spacing w:after="40"/>
              <w:rPr>
                <w:sz w:val="19"/>
              </w:rPr>
            </w:pPr>
            <w:r>
              <w:rPr>
                <w:sz w:val="19"/>
              </w:rPr>
              <w:t xml:space="preserve">1 May 1987 (see s. 2 and </w:t>
            </w:r>
            <w:r>
              <w:rPr>
                <w:i/>
                <w:sz w:val="19"/>
              </w:rPr>
              <w:t>Gazette</w:t>
            </w:r>
            <w:r>
              <w:rPr>
                <w:sz w:val="19"/>
              </w:rPr>
              <w:t xml:space="preserve"> 16 Apr 1987 p. 1364)</w:t>
            </w:r>
          </w:p>
        </w:tc>
      </w:tr>
      <w:tr>
        <w:trPr>
          <w:gridAfter w:val="1"/>
          <w:wAfter w:w="19" w:type="dxa"/>
          <w:cantSplit/>
        </w:trPr>
        <w:tc>
          <w:tcPr>
            <w:tcW w:w="2227" w:type="dxa"/>
          </w:tcPr>
          <w:p>
            <w:pPr>
              <w:pStyle w:val="nTable"/>
              <w:spacing w:after="40"/>
              <w:ind w:right="113"/>
              <w:rPr>
                <w:sz w:val="19"/>
              </w:rPr>
            </w:pPr>
            <w:r>
              <w:rPr>
                <w:i/>
                <w:sz w:val="19"/>
              </w:rPr>
              <w:t>Acts Amendment (Public Service) Act 1987</w:t>
            </w:r>
            <w:r>
              <w:rPr>
                <w:sz w:val="19"/>
              </w:rPr>
              <w:t xml:space="preserve"> s. 32</w:t>
            </w:r>
          </w:p>
        </w:tc>
        <w:tc>
          <w:tcPr>
            <w:tcW w:w="1131" w:type="dxa"/>
            <w:gridSpan w:val="2"/>
          </w:tcPr>
          <w:p>
            <w:pPr>
              <w:pStyle w:val="nTable"/>
              <w:spacing w:after="40"/>
              <w:rPr>
                <w:sz w:val="19"/>
              </w:rPr>
            </w:pPr>
            <w:r>
              <w:rPr>
                <w:sz w:val="19"/>
              </w:rPr>
              <w:t>113 of 1987</w:t>
            </w:r>
          </w:p>
        </w:tc>
        <w:tc>
          <w:tcPr>
            <w:tcW w:w="1164" w:type="dxa"/>
            <w:gridSpan w:val="2"/>
          </w:tcPr>
          <w:p>
            <w:pPr>
              <w:pStyle w:val="nTable"/>
              <w:spacing w:after="40"/>
              <w:rPr>
                <w:sz w:val="19"/>
              </w:rPr>
            </w:pPr>
            <w:r>
              <w:rPr>
                <w:sz w:val="19"/>
              </w:rPr>
              <w:t>31 Dec 1987</w:t>
            </w:r>
          </w:p>
        </w:tc>
        <w:tc>
          <w:tcPr>
            <w:tcW w:w="254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9" w:type="dxa"/>
          <w:cantSplit/>
        </w:trPr>
        <w:tc>
          <w:tcPr>
            <w:tcW w:w="2227" w:type="dxa"/>
          </w:tcPr>
          <w:p>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pPr>
              <w:pStyle w:val="nTable"/>
              <w:spacing w:after="40"/>
              <w:rPr>
                <w:sz w:val="19"/>
              </w:rPr>
            </w:pPr>
            <w:r>
              <w:rPr>
                <w:sz w:val="19"/>
              </w:rPr>
              <w:t>20 of 1989</w:t>
            </w:r>
          </w:p>
        </w:tc>
        <w:tc>
          <w:tcPr>
            <w:tcW w:w="1164" w:type="dxa"/>
            <w:gridSpan w:val="2"/>
          </w:tcPr>
          <w:p>
            <w:pPr>
              <w:pStyle w:val="nTable"/>
              <w:spacing w:after="40"/>
              <w:rPr>
                <w:sz w:val="19"/>
              </w:rPr>
            </w:pPr>
            <w:r>
              <w:rPr>
                <w:sz w:val="19"/>
              </w:rPr>
              <w:t>1 Dec 1989</w:t>
            </w:r>
          </w:p>
        </w:tc>
        <w:tc>
          <w:tcPr>
            <w:tcW w:w="2543"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0"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6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ind w:right="113"/>
              <w:rPr>
                <w:sz w:val="19"/>
              </w:rPr>
            </w:pPr>
            <w:r>
              <w:rPr>
                <w:i/>
                <w:sz w:val="19"/>
              </w:rPr>
              <w:t>Industrial Legislation Amendment Act 1995</w:t>
            </w:r>
            <w:r>
              <w:rPr>
                <w:sz w:val="19"/>
              </w:rPr>
              <w:t xml:space="preserve"> s. 35</w:t>
            </w:r>
          </w:p>
        </w:tc>
        <w:tc>
          <w:tcPr>
            <w:tcW w:w="1131" w:type="dxa"/>
            <w:gridSpan w:val="2"/>
          </w:tcPr>
          <w:p>
            <w:pPr>
              <w:pStyle w:val="nTable"/>
              <w:spacing w:after="40"/>
              <w:rPr>
                <w:sz w:val="19"/>
              </w:rPr>
            </w:pPr>
            <w:r>
              <w:rPr>
                <w:sz w:val="19"/>
              </w:rPr>
              <w:t>1 of 1995</w:t>
            </w:r>
          </w:p>
        </w:tc>
        <w:tc>
          <w:tcPr>
            <w:tcW w:w="1131" w:type="dxa"/>
          </w:tcPr>
          <w:p>
            <w:pPr>
              <w:pStyle w:val="nTable"/>
              <w:spacing w:after="40"/>
              <w:rPr>
                <w:sz w:val="19"/>
              </w:rPr>
            </w:pPr>
            <w:r>
              <w:rPr>
                <w:sz w:val="19"/>
              </w:rPr>
              <w:t>9 May 1995</w:t>
            </w:r>
          </w:p>
        </w:tc>
        <w:tc>
          <w:tcPr>
            <w:tcW w:w="2562"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0" w:type="dxa"/>
            <w:gridSpan w:val="2"/>
          </w:tcPr>
          <w:p>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pPr>
              <w:pStyle w:val="nTable"/>
              <w:spacing w:after="40"/>
              <w:rPr>
                <w:sz w:val="19"/>
              </w:rPr>
            </w:pPr>
            <w:r>
              <w:rPr>
                <w:sz w:val="19"/>
              </w:rPr>
              <w:t>29 of 1995</w:t>
            </w:r>
          </w:p>
        </w:tc>
        <w:tc>
          <w:tcPr>
            <w:tcW w:w="1131" w:type="dxa"/>
          </w:tcPr>
          <w:p>
            <w:pPr>
              <w:pStyle w:val="nTable"/>
              <w:spacing w:after="40"/>
              <w:rPr>
                <w:sz w:val="19"/>
              </w:rPr>
            </w:pPr>
            <w:r>
              <w:rPr>
                <w:sz w:val="19"/>
              </w:rPr>
              <w:t>18 Sep 1995</w:t>
            </w:r>
          </w:p>
        </w:tc>
        <w:tc>
          <w:tcPr>
            <w:tcW w:w="2562" w:type="dxa"/>
            <w:gridSpan w:val="2"/>
          </w:tcPr>
          <w:p>
            <w:pPr>
              <w:pStyle w:val="nTable"/>
              <w:spacing w:after="40"/>
              <w:rPr>
                <w:sz w:val="19"/>
              </w:rPr>
            </w:pPr>
            <w:r>
              <w:rPr>
                <w:sz w:val="19"/>
              </w:rPr>
              <w:t xml:space="preserve">9 Dec 1995 (see s. 2 and </w:t>
            </w:r>
            <w:r>
              <w:rPr>
                <w:i/>
                <w:sz w:val="19"/>
              </w:rPr>
              <w:t>Gazette</w:t>
            </w:r>
            <w:r>
              <w:rPr>
                <w:sz w:val="19"/>
              </w:rPr>
              <w:t xml:space="preserve"> 8 Dec 1995 p. 5936)</w:t>
            </w:r>
          </w:p>
        </w:tc>
      </w:tr>
      <w:tr>
        <w:trPr>
          <w:cantSplit/>
        </w:trPr>
        <w:tc>
          <w:tcPr>
            <w:tcW w:w="2260"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62" w:type="dxa"/>
            <w:gridSpan w:val="2"/>
          </w:tcPr>
          <w:p>
            <w:pPr>
              <w:pStyle w:val="nTable"/>
              <w:spacing w:after="40"/>
              <w:rPr>
                <w:sz w:val="19"/>
              </w:rPr>
            </w:pPr>
            <w:r>
              <w:rPr>
                <w:sz w:val="19"/>
              </w:rPr>
              <w:t>1 Jul 1996 (see s. 2)</w:t>
            </w:r>
          </w:p>
        </w:tc>
      </w:tr>
      <w:tr>
        <w:trPr>
          <w:cantSplit/>
        </w:trPr>
        <w:tc>
          <w:tcPr>
            <w:tcW w:w="2260" w:type="dxa"/>
            <w:gridSpan w:val="2"/>
          </w:tcPr>
          <w:p>
            <w:pPr>
              <w:pStyle w:val="nTable"/>
              <w:spacing w:after="40"/>
              <w:ind w:right="113"/>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62" w:type="dxa"/>
            <w:gridSpan w:val="2"/>
          </w:tcPr>
          <w:p>
            <w:pPr>
              <w:pStyle w:val="nTable"/>
              <w:spacing w:after="40"/>
              <w:rPr>
                <w:sz w:val="19"/>
              </w:rPr>
            </w:pPr>
            <w:r>
              <w:rPr>
                <w:sz w:val="19"/>
              </w:rPr>
              <w:t>25 Oct 1996 (see s. 2(1))</w:t>
            </w:r>
          </w:p>
        </w:tc>
      </w:tr>
      <w:tr>
        <w:trPr>
          <w:cantSplit/>
        </w:trPr>
        <w:tc>
          <w:tcPr>
            <w:tcW w:w="2260" w:type="dxa"/>
            <w:gridSpan w:val="2"/>
          </w:tcPr>
          <w:p>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pPr>
              <w:pStyle w:val="nTable"/>
              <w:spacing w:after="40"/>
              <w:rPr>
                <w:sz w:val="19"/>
              </w:rPr>
            </w:pPr>
            <w:r>
              <w:rPr>
                <w:sz w:val="19"/>
              </w:rPr>
              <w:t>9 of 1998</w:t>
            </w:r>
          </w:p>
        </w:tc>
        <w:tc>
          <w:tcPr>
            <w:tcW w:w="1131" w:type="dxa"/>
          </w:tcPr>
          <w:p>
            <w:pPr>
              <w:pStyle w:val="nTable"/>
              <w:spacing w:after="40"/>
              <w:rPr>
                <w:sz w:val="19"/>
              </w:rPr>
            </w:pPr>
            <w:r>
              <w:rPr>
                <w:sz w:val="19"/>
              </w:rPr>
              <w:t>30 Apr 1998</w:t>
            </w:r>
          </w:p>
        </w:tc>
        <w:tc>
          <w:tcPr>
            <w:tcW w:w="2562" w:type="dxa"/>
            <w:gridSpan w:val="2"/>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trPr>
          <w:cantSplit/>
        </w:trPr>
        <w:tc>
          <w:tcPr>
            <w:tcW w:w="2260" w:type="dxa"/>
            <w:gridSpan w:val="2"/>
          </w:tcPr>
          <w:p>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pPr>
              <w:pStyle w:val="nTable"/>
              <w:spacing w:after="40"/>
              <w:rPr>
                <w:sz w:val="19"/>
              </w:rPr>
            </w:pPr>
            <w:r>
              <w:rPr>
                <w:sz w:val="19"/>
              </w:rPr>
              <w:t>31 of 2003</w:t>
            </w:r>
          </w:p>
        </w:tc>
        <w:tc>
          <w:tcPr>
            <w:tcW w:w="1131" w:type="dxa"/>
          </w:tcPr>
          <w:p>
            <w:pPr>
              <w:pStyle w:val="nTable"/>
              <w:spacing w:after="40"/>
              <w:rPr>
                <w:sz w:val="19"/>
              </w:rPr>
            </w:pPr>
            <w:r>
              <w:rPr>
                <w:sz w:val="19"/>
              </w:rPr>
              <w:t>26 May 2003</w:t>
            </w:r>
          </w:p>
        </w:tc>
        <w:tc>
          <w:tcPr>
            <w:tcW w:w="256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62" w:type="dxa"/>
            <w:gridSpan w:val="2"/>
          </w:tcPr>
          <w:p>
            <w:pPr>
              <w:pStyle w:val="nTable"/>
              <w:spacing w:after="40"/>
              <w:rPr>
                <w:sz w:val="19"/>
              </w:rPr>
            </w:pPr>
            <w:r>
              <w:rPr>
                <w:spacing w:val="-2"/>
                <w:sz w:val="19"/>
              </w:rPr>
              <w:t>15 Dec 2003 (see s. 2)</w:t>
            </w:r>
          </w:p>
        </w:tc>
      </w:tr>
      <w:tr>
        <w:trPr>
          <w:cantSplit/>
        </w:trPr>
        <w:tc>
          <w:tcPr>
            <w:tcW w:w="2260"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pPr>
              <w:pStyle w:val="nTable"/>
              <w:spacing w:after="40"/>
              <w:rPr>
                <w:sz w:val="19"/>
              </w:rPr>
            </w:pPr>
            <w:r>
              <w:rPr>
                <w:snapToGrid w:val="0"/>
                <w:sz w:val="19"/>
                <w:lang w:val="en-US"/>
              </w:rPr>
              <w:t>42 of 2004</w:t>
            </w:r>
          </w:p>
        </w:tc>
        <w:tc>
          <w:tcPr>
            <w:tcW w:w="1131" w:type="dxa"/>
          </w:tcPr>
          <w:p>
            <w:pPr>
              <w:pStyle w:val="nTable"/>
              <w:spacing w:after="40"/>
              <w:rPr>
                <w:sz w:val="19"/>
              </w:rPr>
            </w:pPr>
            <w:r>
              <w:rPr>
                <w:sz w:val="19"/>
              </w:rPr>
              <w:t>9 Nov 2004</w:t>
            </w:r>
          </w:p>
        </w:tc>
        <w:tc>
          <w:tcPr>
            <w:tcW w:w="256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0"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62" w:type="dxa"/>
            <w:gridSpan w:val="2"/>
          </w:tcPr>
          <w:p>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trPr>
          <w:cantSplit/>
        </w:trPr>
        <w:tc>
          <w:tcPr>
            <w:tcW w:w="7084" w:type="dxa"/>
            <w:gridSpan w:val="7"/>
          </w:tcPr>
          <w:p>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trPr>
          <w:cantSplit/>
          <w:ins w:id="255" w:author="svcMRProcess" w:date="2015-10-27T06:25:00Z"/>
        </w:trPr>
        <w:tc>
          <w:tcPr>
            <w:tcW w:w="2260" w:type="dxa"/>
            <w:gridSpan w:val="2"/>
            <w:tcBorders>
              <w:bottom w:val="single" w:sz="4" w:space="0" w:color="auto"/>
            </w:tcBorders>
          </w:tcPr>
          <w:p>
            <w:pPr>
              <w:pStyle w:val="nTable"/>
              <w:spacing w:after="40"/>
              <w:ind w:right="113"/>
              <w:rPr>
                <w:ins w:id="256" w:author="svcMRProcess" w:date="2015-10-27T06:25:00Z"/>
                <w:i/>
                <w:snapToGrid w:val="0"/>
                <w:sz w:val="19"/>
                <w:lang w:val="en-US"/>
              </w:rPr>
            </w:pPr>
            <w:ins w:id="257" w:author="svcMRProcess" w:date="2015-10-27T06:25:00Z">
              <w:r>
                <w:rPr>
                  <w:i/>
                  <w:snapToGrid w:val="0"/>
                  <w:sz w:val="19"/>
                  <w:lang w:val="en-US"/>
                </w:rPr>
                <w:t xml:space="preserve">Financial Legislation Amendment and Repeal Act 2006 </w:t>
              </w:r>
              <w:r>
                <w:rPr>
                  <w:iCs/>
                  <w:snapToGrid w:val="0"/>
                  <w:sz w:val="19"/>
                  <w:lang w:val="en-US"/>
                </w:rPr>
                <w:t>s. 17</w:t>
              </w:r>
            </w:ins>
          </w:p>
        </w:tc>
        <w:tc>
          <w:tcPr>
            <w:tcW w:w="1131" w:type="dxa"/>
            <w:gridSpan w:val="2"/>
            <w:tcBorders>
              <w:bottom w:val="single" w:sz="4" w:space="0" w:color="auto"/>
            </w:tcBorders>
          </w:tcPr>
          <w:p>
            <w:pPr>
              <w:pStyle w:val="nTable"/>
              <w:spacing w:after="40"/>
              <w:rPr>
                <w:ins w:id="258" w:author="svcMRProcess" w:date="2015-10-27T06:25:00Z"/>
                <w:snapToGrid w:val="0"/>
                <w:sz w:val="19"/>
                <w:lang w:val="en-US"/>
              </w:rPr>
            </w:pPr>
            <w:ins w:id="259" w:author="svcMRProcess" w:date="2015-10-27T06:25:00Z">
              <w:r>
                <w:rPr>
                  <w:snapToGrid w:val="0"/>
                  <w:sz w:val="19"/>
                  <w:lang w:val="en-US"/>
                </w:rPr>
                <w:t xml:space="preserve">77 of 2006 </w:t>
              </w:r>
            </w:ins>
          </w:p>
        </w:tc>
        <w:tc>
          <w:tcPr>
            <w:tcW w:w="1131" w:type="dxa"/>
            <w:tcBorders>
              <w:bottom w:val="single" w:sz="4" w:space="0" w:color="auto"/>
            </w:tcBorders>
          </w:tcPr>
          <w:p>
            <w:pPr>
              <w:pStyle w:val="nTable"/>
              <w:spacing w:after="40"/>
              <w:rPr>
                <w:ins w:id="260" w:author="svcMRProcess" w:date="2015-10-27T06:25:00Z"/>
                <w:sz w:val="19"/>
              </w:rPr>
            </w:pPr>
            <w:ins w:id="261" w:author="svcMRProcess" w:date="2015-10-27T06:25:00Z">
              <w:r>
                <w:rPr>
                  <w:snapToGrid w:val="0"/>
                  <w:sz w:val="19"/>
                  <w:lang w:val="en-US"/>
                </w:rPr>
                <w:t>21 Dec 2006</w:t>
              </w:r>
            </w:ins>
          </w:p>
        </w:tc>
        <w:tc>
          <w:tcPr>
            <w:tcW w:w="2562" w:type="dxa"/>
            <w:gridSpan w:val="2"/>
            <w:tcBorders>
              <w:bottom w:val="single" w:sz="4" w:space="0" w:color="auto"/>
            </w:tcBorders>
          </w:tcPr>
          <w:p>
            <w:pPr>
              <w:pStyle w:val="nTable"/>
              <w:spacing w:after="40"/>
              <w:rPr>
                <w:ins w:id="262" w:author="svcMRProcess" w:date="2015-10-27T06:25:00Z"/>
                <w:snapToGrid w:val="0"/>
                <w:spacing w:val="-2"/>
                <w:sz w:val="19"/>
                <w:lang w:val="en-US"/>
              </w:rPr>
            </w:pPr>
            <w:ins w:id="263" w:author="svcMRProcess" w:date="2015-10-27T06:2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264" w:name="_Hlt507390729"/>
      <w:bookmarkEnd w:id="264"/>
      <w:r>
        <w:t xml:space="preserve">s </w:t>
      </w:r>
      <w:del w:id="265" w:author="svcMRProcess" w:date="2015-10-27T06:25:00Z">
        <w:r>
          <w:delText>reprint</w:delText>
        </w:r>
      </w:del>
      <w:ins w:id="266" w:author="svcMRProcess" w:date="2015-10-27T06:25:00Z">
        <w:r>
          <w:t>compilation</w:t>
        </w:r>
      </w:ins>
      <w:r>
        <w:t xml:space="preserve"> was prepared, provisions referred to in the following table had not come into operation and were therefore not included in </w:t>
      </w:r>
      <w:del w:id="267" w:author="svcMRProcess" w:date="2015-10-27T06:25:00Z">
        <w:r>
          <w:delText>compiling the reprint.</w:delText>
        </w:r>
      </w:del>
      <w:ins w:id="268" w:author="svcMRProcess" w:date="2015-10-27T06:25:00Z">
        <w:r>
          <w:t>this compilation.</w:t>
        </w:r>
      </w:ins>
      <w:r>
        <w:t xml:space="preserve">  For the text of the provisions see the endnotes referred to in the table.</w:t>
      </w:r>
    </w:p>
    <w:p>
      <w:pPr>
        <w:pStyle w:val="nHeading3"/>
      </w:pPr>
      <w:bookmarkStart w:id="269" w:name="UpToHere"/>
      <w:bookmarkStart w:id="270" w:name="_Toc157831212"/>
      <w:bookmarkStart w:id="271" w:name="_Toc148503574"/>
      <w:bookmarkEnd w:id="269"/>
      <w:r>
        <w:t>Provisions that have not come into operation</w:t>
      </w:r>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w:t>
      </w:r>
      <w:del w:id="272" w:author="svcMRProcess" w:date="2015-10-27T06:25:00Z">
        <w:r>
          <w:delText xml:space="preserve"> </w:delText>
        </w:r>
      </w:del>
      <w:ins w:id="273" w:author="svcMRProcess" w:date="2015-10-27T06:25:00Z">
        <w:r>
          <w:t> </w:t>
        </w:r>
      </w:ins>
      <w:r>
        <w:t xml:space="preserve">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bookmarkStart w:id="274" w:name="_Toc41188069"/>
      <w:r>
        <w:rPr>
          <w:rStyle w:val="CharSectno"/>
        </w:rPr>
        <w:t>93</w:t>
      </w:r>
      <w:r>
        <w:t>.</w:t>
      </w:r>
      <w:r>
        <w:tab/>
        <w:t>Certain contributions by former body suffice</w:t>
      </w:r>
      <w:bookmarkEnd w:id="274"/>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w:t>
      </w:r>
      <w:del w:id="275" w:author="svcMRProcess" w:date="2015-10-27T06:25:00Z">
        <w:r>
          <w:rPr>
            <w:snapToGrid w:val="0"/>
          </w:rPr>
          <w:delText>reprint</w:delText>
        </w:r>
      </w:del>
      <w:ins w:id="276" w:author="svcMRProcess" w:date="2015-10-27T06:25: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6329</Words>
  <Characters>30001</Characters>
  <Application>Microsoft Office Word</Application>
  <DocSecurity>0</DocSecurity>
  <Lines>882</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05-a0-02 - 05-b0-03</dc:title>
  <dc:subject/>
  <dc:creator/>
  <cp:keywords/>
  <dc:description/>
  <cp:lastModifiedBy>svcMRProcess</cp:lastModifiedBy>
  <cp:revision>2</cp:revision>
  <cp:lastPrinted>2006-10-04T00:09:00Z</cp:lastPrinted>
  <dcterms:created xsi:type="dcterms:W3CDTF">2015-10-26T22:25:00Z</dcterms:created>
  <dcterms:modified xsi:type="dcterms:W3CDTF">2015-10-26T22:25:00Z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vt:i4>
  </property>
  <property fmtid="{D5CDD505-2E9C-101B-9397-08002B2CF9AE}" pid="6" name="ReprintedAsAt">
    <vt:filetime>2006-09-21T16:00:00Z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22 Sep 2006</vt:lpwstr>
  </property>
  <property fmtid="{D5CDD505-2E9C-101B-9397-08002B2CF9AE}" pid="10" name="ToSuffix">
    <vt:lpwstr>05-b0-03</vt:lpwstr>
  </property>
  <property fmtid="{D5CDD505-2E9C-101B-9397-08002B2CF9AE}" pid="11" name="ToAsAtDate">
    <vt:lpwstr>01 Feb 2007</vt:lpwstr>
  </property>
</Properties>
</file>