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Artificial Breeding (Cattle) Regulations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2001</w:t>
      </w:r>
      <w:r>
        <w:fldChar w:fldCharType="end"/>
      </w:r>
      <w:r>
        <w:t xml:space="preserve">, </w:t>
      </w:r>
      <w:r>
        <w:fldChar w:fldCharType="begin"/>
      </w:r>
      <w:r>
        <w:instrText xml:space="preserve"> DocProperty FromSuffix </w:instrText>
      </w:r>
      <w:r>
        <w:fldChar w:fldCharType="separate"/>
      </w:r>
      <w:r>
        <w:t>01-b0-06</w:t>
      </w:r>
      <w:r>
        <w:fldChar w:fldCharType="end"/>
      </w:r>
      <w:r>
        <w:t>] and [</w:t>
      </w:r>
      <w:r>
        <w:fldChar w:fldCharType="begin"/>
      </w:r>
      <w:r>
        <w:instrText xml:space="preserve"> DocProperty ToAsAtDate</w:instrText>
      </w:r>
      <w:r>
        <w:fldChar w:fldCharType="separate"/>
      </w:r>
      <w:r>
        <w:t>01 Jul 2007</w:t>
      </w:r>
      <w:r>
        <w:fldChar w:fldCharType="end"/>
      </w:r>
      <w:r>
        <w:t xml:space="preserve">, </w:t>
      </w:r>
      <w:r>
        <w:fldChar w:fldCharType="begin"/>
      </w:r>
      <w:r>
        <w:instrText xml:space="preserve"> DocProperty ToSuffix</w:instrText>
      </w:r>
      <w:r>
        <w:fldChar w:fldCharType="separate"/>
      </w:r>
      <w:r>
        <w:t>01-c0-02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Artificial Breeding of Stock Act 1965</w:t>
      </w:r>
    </w:p>
    <w:p>
      <w:pPr>
        <w:pStyle w:val="NameofActReg"/>
      </w:pPr>
      <w:r>
        <w:t>Artificial Breeding (Cattle) Regulations 1978</w:t>
      </w:r>
    </w:p>
    <w:p>
      <w:pPr>
        <w:pStyle w:val="Heading2"/>
        <w:pageBreakBefore w:val="0"/>
        <w:spacing w:before="240"/>
      </w:pPr>
      <w:bookmarkStart w:id="0" w:name="_Toc170184860"/>
      <w:bookmarkStart w:id="1" w:name="_Toc170716890"/>
      <w:r>
        <w:rPr>
          <w:rStyle w:val="CharPartNo"/>
        </w:rPr>
        <w:t>P</w:t>
      </w:r>
      <w:bookmarkStart w:id="2" w:name="_GoBack"/>
      <w:bookmarkEnd w:id="2"/>
      <w:r>
        <w:rPr>
          <w:rStyle w:val="CharPartNo"/>
        </w:rPr>
        <w:t>art I</w:t>
      </w:r>
      <w:r>
        <w:rPr>
          <w:rStyle w:val="CharDivNo"/>
        </w:rPr>
        <w:t> </w:t>
      </w:r>
      <w:r>
        <w:t>—</w:t>
      </w:r>
      <w:r>
        <w:rPr>
          <w:rStyle w:val="CharDivText"/>
        </w:rPr>
        <w:t> </w:t>
      </w:r>
      <w:r>
        <w:rPr>
          <w:rStyle w:val="CharPartText"/>
        </w:rPr>
        <w:t>Preliminary</w:t>
      </w:r>
      <w:bookmarkEnd w:id="0"/>
      <w:bookmarkEnd w:id="1"/>
      <w:r>
        <w:rPr>
          <w:rStyle w:val="CharPartText"/>
        </w:rPr>
        <w:t xml:space="preserve"> </w:t>
      </w:r>
    </w:p>
    <w:p>
      <w:pPr>
        <w:pStyle w:val="Heading5"/>
        <w:rPr>
          <w:snapToGrid w:val="0"/>
        </w:rPr>
      </w:pPr>
      <w:bookmarkStart w:id="3" w:name="_Toc459092081"/>
      <w:bookmarkStart w:id="4" w:name="_Toc518711409"/>
      <w:bookmarkStart w:id="5" w:name="_Toc170716891"/>
      <w:r>
        <w:rPr>
          <w:rStyle w:val="CharSectno"/>
        </w:rPr>
        <w:t>1</w:t>
      </w:r>
      <w:r>
        <w:rPr>
          <w:snapToGrid w:val="0"/>
        </w:rPr>
        <w:t>.</w:t>
      </w:r>
      <w:r>
        <w:rPr>
          <w:snapToGrid w:val="0"/>
        </w:rPr>
        <w:tab/>
        <w:t>Citation</w:t>
      </w:r>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Artificial Breeding (Cattle) Regulations 1978</w:t>
      </w:r>
      <w:r>
        <w:rPr>
          <w:snapToGrid w:val="0"/>
          <w:vertAlign w:val="superscript"/>
        </w:rPr>
        <w:t xml:space="preserve"> 1</w:t>
      </w:r>
      <w:r>
        <w:rPr>
          <w:snapToGrid w:val="0"/>
        </w:rPr>
        <w:t>.</w:t>
      </w:r>
    </w:p>
    <w:p>
      <w:pPr>
        <w:pStyle w:val="Ednotesection"/>
      </w:pPr>
      <w:r>
        <w:t>[</w:t>
      </w:r>
      <w:r>
        <w:rPr>
          <w:b/>
        </w:rPr>
        <w:t>2.</w:t>
      </w:r>
      <w:r>
        <w:rPr>
          <w:b/>
        </w:rPr>
        <w:tab/>
      </w:r>
      <w:r>
        <w:t xml:space="preserve">Repealed in Gazette 16 October 1987 p.3925.] </w:t>
      </w:r>
    </w:p>
    <w:p>
      <w:pPr>
        <w:pStyle w:val="Heading5"/>
        <w:spacing w:before="120"/>
        <w:rPr>
          <w:snapToGrid w:val="0"/>
        </w:rPr>
      </w:pPr>
      <w:bookmarkStart w:id="6" w:name="_Toc459092082"/>
      <w:bookmarkStart w:id="7" w:name="_Toc518711410"/>
      <w:bookmarkStart w:id="8" w:name="_Toc170716892"/>
      <w:r>
        <w:rPr>
          <w:rStyle w:val="CharSectno"/>
        </w:rPr>
        <w:t>3</w:t>
      </w:r>
      <w:r>
        <w:rPr>
          <w:snapToGrid w:val="0"/>
        </w:rPr>
        <w:t>.</w:t>
      </w:r>
      <w:r>
        <w:rPr>
          <w:snapToGrid w:val="0"/>
        </w:rPr>
        <w:tab/>
        <w:t>Interpretation</w:t>
      </w:r>
      <w:bookmarkEnd w:id="6"/>
      <w:bookmarkEnd w:id="7"/>
      <w:bookmarkEnd w:id="8"/>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cattle</w:t>
      </w:r>
      <w:r>
        <w:rPr>
          <w:b/>
        </w:rPr>
        <w:t>”</w:t>
      </w:r>
      <w:r>
        <w:t xml:space="preserve"> means a bull, cow, ox, steer, heifer or calf of the bovine genus;</w:t>
      </w:r>
    </w:p>
    <w:p>
      <w:pPr>
        <w:pStyle w:val="Defstart"/>
      </w:pPr>
      <w:r>
        <w:rPr>
          <w:b/>
        </w:rPr>
        <w:tab/>
        <w:t>“</w:t>
      </w:r>
      <w:r>
        <w:rPr>
          <w:rStyle w:val="CharDefText"/>
        </w:rPr>
        <w:t>collection</w:t>
      </w:r>
      <w:r>
        <w:rPr>
          <w:b/>
        </w:rPr>
        <w:t>”</w:t>
      </w:r>
      <w:r>
        <w:t>, in relation to semen, means a quantity collected at any one time;</w:t>
      </w:r>
    </w:p>
    <w:p>
      <w:pPr>
        <w:pStyle w:val="Defstart"/>
      </w:pPr>
      <w:r>
        <w:rPr>
          <w:b/>
        </w:rPr>
        <w:tab/>
        <w:t>“</w:t>
      </w:r>
      <w:r>
        <w:rPr>
          <w:rStyle w:val="CharDefText"/>
        </w:rPr>
        <w:t>container</w:t>
      </w:r>
      <w:r>
        <w:rPr>
          <w:b/>
        </w:rPr>
        <w:t>”</w:t>
      </w:r>
      <w:r>
        <w:t xml:space="preserve"> means — </w:t>
      </w:r>
    </w:p>
    <w:p>
      <w:pPr>
        <w:pStyle w:val="Defpara"/>
      </w:pPr>
      <w:r>
        <w:tab/>
        <w:t>(a)</w:t>
      </w:r>
      <w:r>
        <w:tab/>
        <w:t>in the case of frozen semen; straw, ampoule or pellet; and</w:t>
      </w:r>
    </w:p>
    <w:p>
      <w:pPr>
        <w:pStyle w:val="Defpara"/>
      </w:pPr>
      <w:r>
        <w:tab/>
        <w:t>(b)</w:t>
      </w:r>
      <w:r>
        <w:tab/>
        <w:t>in the case of chilled or variable temperature semen; test tube or similar vessel;</w:t>
      </w:r>
    </w:p>
    <w:p>
      <w:pPr>
        <w:pStyle w:val="Defstart"/>
      </w:pPr>
      <w:r>
        <w:rPr>
          <w:b/>
        </w:rPr>
        <w:tab/>
        <w:t>“</w:t>
      </w:r>
      <w:r>
        <w:rPr>
          <w:rStyle w:val="CharDefText"/>
        </w:rPr>
        <w:t>processing</w:t>
      </w:r>
      <w:r>
        <w:rPr>
          <w:b/>
        </w:rPr>
        <w:t>”</w:t>
      </w:r>
      <w:r>
        <w:t>, in relation to semen, means any procedure used in the preparation of collected semen before final use in insemination;</w:t>
      </w:r>
    </w:p>
    <w:p>
      <w:pPr>
        <w:pStyle w:val="Defstart"/>
      </w:pPr>
      <w:r>
        <w:rPr>
          <w:b/>
        </w:rPr>
        <w:tab/>
        <w:t>“</w:t>
      </w:r>
      <w:r>
        <w:rPr>
          <w:rStyle w:val="CharDefText"/>
        </w:rPr>
        <w:t>stock</w:t>
      </w:r>
      <w:r>
        <w:rPr>
          <w:b/>
        </w:rPr>
        <w:t>”</w:t>
      </w:r>
      <w:r>
        <w:t xml:space="preserve"> means any goats, horses, cattle, sheep or pigs and includes poultry of all kinds and such other animals of any </w:t>
      </w:r>
      <w:r>
        <w:lastRenderedPageBreak/>
        <w:t>kind of species that the Governor proclaims to be stock for the purposes of the Act;</w:t>
      </w:r>
    </w:p>
    <w:p>
      <w:pPr>
        <w:pStyle w:val="Defstart"/>
      </w:pPr>
      <w:r>
        <w:rPr>
          <w:b/>
        </w:rPr>
        <w:tab/>
        <w:t>“</w:t>
      </w:r>
      <w:r>
        <w:rPr>
          <w:rStyle w:val="CharDefText"/>
        </w:rPr>
        <w:t>the Act</w:t>
      </w:r>
      <w:bookmarkStart w:id="9" w:name="endcomma"/>
      <w:bookmarkEnd w:id="9"/>
      <w:r>
        <w:rPr>
          <w:b/>
        </w:rPr>
        <w:t>”</w:t>
      </w:r>
      <w:r>
        <w:t xml:space="preserve"> </w:t>
      </w:r>
      <w:bookmarkStart w:id="10" w:name="comma"/>
      <w:bookmarkEnd w:id="10"/>
      <w:r>
        <w:t xml:space="preserve">means the </w:t>
      </w:r>
      <w:r>
        <w:rPr>
          <w:i/>
        </w:rPr>
        <w:t>Artificial Breeding of Stock Act 1965</w:t>
      </w:r>
      <w:r>
        <w:t xml:space="preserve"> as amended from time to time.</w:t>
      </w:r>
    </w:p>
    <w:p>
      <w:pPr>
        <w:pStyle w:val="Footnotesection"/>
      </w:pPr>
      <w:r>
        <w:tab/>
        <w:t xml:space="preserve">[Regulation 3 amended in Gazette 16 October 1987 p.3925.] </w:t>
      </w:r>
    </w:p>
    <w:p>
      <w:pPr>
        <w:pStyle w:val="Heading5"/>
        <w:rPr>
          <w:snapToGrid w:val="0"/>
        </w:rPr>
      </w:pPr>
      <w:bookmarkStart w:id="11" w:name="_Toc459092083"/>
      <w:bookmarkStart w:id="12" w:name="_Toc518711411"/>
      <w:bookmarkStart w:id="13" w:name="_Toc170716893"/>
      <w:r>
        <w:rPr>
          <w:rStyle w:val="CharSectno"/>
        </w:rPr>
        <w:t>3A</w:t>
      </w:r>
      <w:r>
        <w:rPr>
          <w:snapToGrid w:val="0"/>
        </w:rPr>
        <w:t>.</w:t>
      </w:r>
      <w:r>
        <w:rPr>
          <w:snapToGrid w:val="0"/>
        </w:rPr>
        <w:tab/>
        <w:t>Prescribed stock</w:t>
      </w:r>
      <w:bookmarkEnd w:id="11"/>
      <w:bookmarkEnd w:id="12"/>
      <w:bookmarkEnd w:id="13"/>
      <w:r>
        <w:rPr>
          <w:snapToGrid w:val="0"/>
        </w:rPr>
        <w:t xml:space="preserve"> </w:t>
      </w:r>
    </w:p>
    <w:p>
      <w:pPr>
        <w:pStyle w:val="Subsection"/>
        <w:rPr>
          <w:snapToGrid w:val="0"/>
        </w:rPr>
      </w:pPr>
      <w:r>
        <w:rPr>
          <w:snapToGrid w:val="0"/>
        </w:rPr>
        <w:tab/>
      </w:r>
      <w:r>
        <w:rPr>
          <w:snapToGrid w:val="0"/>
        </w:rPr>
        <w:tab/>
        <w:t>Cattle are a prescribed species of stock for the purposes of — </w:t>
      </w:r>
    </w:p>
    <w:p>
      <w:pPr>
        <w:pStyle w:val="Indenta"/>
        <w:rPr>
          <w:snapToGrid w:val="0"/>
        </w:rPr>
      </w:pPr>
      <w:r>
        <w:rPr>
          <w:snapToGrid w:val="0"/>
        </w:rPr>
        <w:tab/>
        <w:t>(a)</w:t>
      </w:r>
      <w:r>
        <w:rPr>
          <w:snapToGrid w:val="0"/>
        </w:rPr>
        <w:tab/>
        <w:t>paragraph (b) of the definition of “artificial breeding” in section 4 of the Act; and</w:t>
      </w:r>
    </w:p>
    <w:p>
      <w:pPr>
        <w:pStyle w:val="Indenta"/>
        <w:rPr>
          <w:snapToGrid w:val="0"/>
        </w:rPr>
      </w:pPr>
      <w:r>
        <w:rPr>
          <w:snapToGrid w:val="0"/>
        </w:rPr>
        <w:tab/>
        <w:t>(b)</w:t>
      </w:r>
      <w:r>
        <w:rPr>
          <w:snapToGrid w:val="0"/>
        </w:rPr>
        <w:tab/>
        <w:t>section 5B(3) of the Act.</w:t>
      </w:r>
    </w:p>
    <w:p>
      <w:pPr>
        <w:pStyle w:val="Footnotesection"/>
      </w:pPr>
      <w:r>
        <w:tab/>
        <w:t xml:space="preserve">[Regulation 3A inserted in Gazette 16 October 1987 p.3925.] </w:t>
      </w:r>
    </w:p>
    <w:p>
      <w:pPr>
        <w:pStyle w:val="Heading5"/>
        <w:rPr>
          <w:snapToGrid w:val="0"/>
        </w:rPr>
      </w:pPr>
      <w:bookmarkStart w:id="14" w:name="_Toc459092084"/>
      <w:bookmarkStart w:id="15" w:name="_Toc518711412"/>
      <w:bookmarkStart w:id="16" w:name="_Toc170716894"/>
      <w:r>
        <w:rPr>
          <w:rStyle w:val="CharSectno"/>
        </w:rPr>
        <w:t>4</w:t>
      </w:r>
      <w:r>
        <w:rPr>
          <w:snapToGrid w:val="0"/>
        </w:rPr>
        <w:t>.</w:t>
      </w:r>
      <w:r>
        <w:rPr>
          <w:snapToGrid w:val="0"/>
        </w:rPr>
        <w:tab/>
        <w:t>Forms</w:t>
      </w:r>
      <w:bookmarkEnd w:id="14"/>
      <w:bookmarkEnd w:id="15"/>
      <w:bookmarkEnd w:id="16"/>
      <w:r>
        <w:rPr>
          <w:snapToGrid w:val="0"/>
        </w:rPr>
        <w:t xml:space="preserve"> </w:t>
      </w:r>
    </w:p>
    <w:p>
      <w:pPr>
        <w:pStyle w:val="Subsection"/>
        <w:rPr>
          <w:snapToGrid w:val="0"/>
        </w:rPr>
      </w:pPr>
      <w:r>
        <w:rPr>
          <w:snapToGrid w:val="0"/>
        </w:rPr>
        <w:tab/>
        <w:t>(1)</w:t>
      </w:r>
      <w:r>
        <w:rPr>
          <w:snapToGrid w:val="0"/>
        </w:rPr>
        <w:tab/>
        <w:t>The several forms set out in the First Schedule are the forms prescribed for the respective purposes therein appearing.</w:t>
      </w:r>
    </w:p>
    <w:p>
      <w:pPr>
        <w:pStyle w:val="Subsection"/>
        <w:rPr>
          <w:snapToGrid w:val="0"/>
        </w:rPr>
      </w:pPr>
      <w:r>
        <w:rPr>
          <w:snapToGrid w:val="0"/>
        </w:rPr>
        <w:tab/>
        <w:t>(2)</w:t>
      </w:r>
      <w:r>
        <w:rPr>
          <w:snapToGrid w:val="0"/>
        </w:rPr>
        <w:tab/>
        <w:t>Where a form prescribed by these regulations requires completion by the insertion of particulars or other matters referred to in the form, those particulars or other matters are prescribed as those required by these regulations.</w:t>
      </w:r>
    </w:p>
    <w:p>
      <w:pPr>
        <w:pStyle w:val="Subsection"/>
        <w:rPr>
          <w:snapToGrid w:val="0"/>
        </w:rPr>
      </w:pPr>
      <w:r>
        <w:rPr>
          <w:snapToGrid w:val="0"/>
        </w:rPr>
        <w:tab/>
        <w:t>(3)</w:t>
      </w:r>
      <w:r>
        <w:rPr>
          <w:snapToGrid w:val="0"/>
        </w:rPr>
        <w:tab/>
        <w:t>A form prescribed by these regulations and containing any directions for its completion, shall be completed in accordance with those directions.</w:t>
      </w:r>
    </w:p>
    <w:p>
      <w:pPr>
        <w:pStyle w:val="Heading5"/>
        <w:rPr>
          <w:snapToGrid w:val="0"/>
        </w:rPr>
      </w:pPr>
      <w:bookmarkStart w:id="17" w:name="_Toc459092085"/>
      <w:bookmarkStart w:id="18" w:name="_Toc518711413"/>
      <w:bookmarkStart w:id="19" w:name="_Toc170716895"/>
      <w:r>
        <w:rPr>
          <w:rStyle w:val="CharSectno"/>
        </w:rPr>
        <w:t>5</w:t>
      </w:r>
      <w:r>
        <w:rPr>
          <w:snapToGrid w:val="0"/>
        </w:rPr>
        <w:t>.</w:t>
      </w:r>
      <w:r>
        <w:rPr>
          <w:snapToGrid w:val="0"/>
        </w:rPr>
        <w:tab/>
        <w:t>Fees</w:t>
      </w:r>
      <w:bookmarkEnd w:id="17"/>
      <w:bookmarkEnd w:id="18"/>
      <w:bookmarkEnd w:id="19"/>
      <w:r>
        <w:rPr>
          <w:snapToGrid w:val="0"/>
        </w:rPr>
        <w:t xml:space="preserve"> </w:t>
      </w:r>
    </w:p>
    <w:p>
      <w:pPr>
        <w:pStyle w:val="Subsection"/>
        <w:rPr>
          <w:snapToGrid w:val="0"/>
        </w:rPr>
      </w:pPr>
      <w:r>
        <w:rPr>
          <w:snapToGrid w:val="0"/>
        </w:rPr>
        <w:tab/>
        <w:t>(1)</w:t>
      </w:r>
      <w:r>
        <w:rPr>
          <w:snapToGrid w:val="0"/>
        </w:rPr>
        <w:tab/>
        <w:t>Every application for the issue, renewal, transfer or variation of a licence or an application for a certificate of competency shall be accompanied by the fee prescribed in subregulation (2).</w:t>
      </w:r>
    </w:p>
    <w:p>
      <w:pPr>
        <w:pStyle w:val="Subsection"/>
      </w:pPr>
      <w:r>
        <w:tab/>
        <w:t>(2)</w:t>
      </w:r>
      <w:r>
        <w:tab/>
        <w:t>The following fees are payable in respect of the matters listed below</w:t>
      </w:r>
      <w:del w:id="20" w:author="Master Repository Process" w:date="2021-07-31T07:53:00Z">
        <w:r>
          <w:delText>:</w:delText>
        </w:r>
      </w:del>
      <w:ins w:id="21" w:author="Master Repository Process" w:date="2021-07-31T07:53:00Z">
        <w:r>
          <w:t xml:space="preserve"> — </w:t>
        </w:r>
      </w:ins>
    </w:p>
    <w:p>
      <w:pPr>
        <w:pStyle w:val="MiscellaneousHeading"/>
        <w:rPr>
          <w:del w:id="22" w:author="Master Repository Process" w:date="2021-07-31T07:53:00Z"/>
          <w:b/>
          <w:bCs/>
        </w:rPr>
      </w:pPr>
    </w:p>
    <w:tbl>
      <w:tblPr>
        <w:tblW w:w="0" w:type="auto"/>
        <w:tblInd w:w="959" w:type="dxa"/>
        <w:tblLayout w:type="fixed"/>
        <w:tblLook w:val="0000" w:firstRow="0" w:lastRow="0" w:firstColumn="0" w:lastColumn="0" w:noHBand="0" w:noVBand="0"/>
      </w:tblPr>
      <w:tblGrid>
        <w:gridCol w:w="1134"/>
        <w:gridCol w:w="709"/>
        <w:gridCol w:w="3260"/>
        <w:gridCol w:w="1134"/>
      </w:tblGrid>
      <w:tr>
        <w:tc>
          <w:tcPr>
            <w:tcW w:w="1134" w:type="dxa"/>
          </w:tcPr>
          <w:p>
            <w:pPr>
              <w:pStyle w:val="Table"/>
              <w:keepNext/>
              <w:keepLines/>
            </w:pPr>
            <w:r>
              <w:t>(a)</w:t>
            </w:r>
          </w:p>
        </w:tc>
        <w:tc>
          <w:tcPr>
            <w:tcW w:w="3969" w:type="dxa"/>
            <w:gridSpan w:val="2"/>
          </w:tcPr>
          <w:p>
            <w:pPr>
              <w:pStyle w:val="Table"/>
              <w:keepNext/>
              <w:keepLines/>
            </w:pPr>
            <w:r>
              <w:t>for the issue or renewal of a licence for the collection and processing of semen for general sale or use .....................................</w:t>
            </w:r>
          </w:p>
        </w:tc>
        <w:tc>
          <w:tcPr>
            <w:tcW w:w="1134" w:type="dxa"/>
          </w:tcPr>
          <w:p>
            <w:pPr>
              <w:pStyle w:val="Table"/>
              <w:rPr>
                <w:del w:id="23" w:author="Master Repository Process" w:date="2021-07-31T07:53:00Z"/>
              </w:rPr>
            </w:pPr>
          </w:p>
          <w:p>
            <w:pPr>
              <w:pStyle w:val="Table"/>
              <w:spacing w:before="0"/>
              <w:rPr>
                <w:del w:id="24" w:author="Master Repository Process" w:date="2021-07-31T07:53:00Z"/>
              </w:rPr>
            </w:pPr>
          </w:p>
          <w:p>
            <w:pPr>
              <w:pStyle w:val="Table"/>
              <w:keepNext/>
              <w:keepLines/>
              <w:rPr>
                <w:i/>
              </w:rPr>
            </w:pPr>
            <w:del w:id="25" w:author="Master Repository Process" w:date="2021-07-31T07:53:00Z">
              <w:r>
                <w:delText>600</w:delText>
              </w:r>
            </w:del>
            <w:ins w:id="26" w:author="Master Repository Process" w:date="2021-07-31T07:53:00Z">
              <w:r>
                <w:br/>
              </w:r>
              <w:r>
                <w:br/>
                <w:t>630</w:t>
              </w:r>
            </w:ins>
            <w:r>
              <w:t>.00</w:t>
            </w:r>
          </w:p>
        </w:tc>
      </w:tr>
      <w:tr>
        <w:tc>
          <w:tcPr>
            <w:tcW w:w="1134" w:type="dxa"/>
          </w:tcPr>
          <w:p>
            <w:pPr>
              <w:pStyle w:val="Table"/>
            </w:pPr>
            <w:r>
              <w:t>(b)</w:t>
            </w:r>
          </w:p>
        </w:tc>
        <w:tc>
          <w:tcPr>
            <w:tcW w:w="3969" w:type="dxa"/>
            <w:gridSpan w:val="2"/>
          </w:tcPr>
          <w:p>
            <w:pPr>
              <w:pStyle w:val="Table"/>
            </w:pPr>
            <w:r>
              <w:t>for the issue or renewal of a licence for storage and sale of semen ..........................</w:t>
            </w:r>
          </w:p>
        </w:tc>
        <w:tc>
          <w:tcPr>
            <w:tcW w:w="1134" w:type="dxa"/>
          </w:tcPr>
          <w:p>
            <w:pPr>
              <w:pStyle w:val="Table"/>
              <w:spacing w:before="0"/>
              <w:rPr>
                <w:del w:id="27" w:author="Master Repository Process" w:date="2021-07-31T07:53:00Z"/>
              </w:rPr>
            </w:pPr>
          </w:p>
          <w:p>
            <w:pPr>
              <w:pStyle w:val="Table"/>
              <w:rPr>
                <w:i/>
              </w:rPr>
            </w:pPr>
            <w:del w:id="28" w:author="Master Repository Process" w:date="2021-07-31T07:53:00Z">
              <w:r>
                <w:delText>400</w:delText>
              </w:r>
            </w:del>
            <w:ins w:id="29" w:author="Master Repository Process" w:date="2021-07-31T07:53:00Z">
              <w:r>
                <w:br/>
                <w:t>420</w:t>
              </w:r>
            </w:ins>
            <w:r>
              <w:t>.00</w:t>
            </w:r>
          </w:p>
        </w:tc>
      </w:tr>
      <w:tr>
        <w:tc>
          <w:tcPr>
            <w:tcW w:w="1134" w:type="dxa"/>
          </w:tcPr>
          <w:p>
            <w:pPr>
              <w:pStyle w:val="Table"/>
            </w:pPr>
            <w:r>
              <w:t>(c)</w:t>
            </w:r>
          </w:p>
        </w:tc>
        <w:tc>
          <w:tcPr>
            <w:tcW w:w="3969" w:type="dxa"/>
            <w:gridSpan w:val="2"/>
          </w:tcPr>
          <w:p>
            <w:pPr>
              <w:pStyle w:val="Table"/>
            </w:pPr>
            <w:r>
              <w:t>for the issue or renewal of a licence for the transplanting of ova and processes of production, handling, fertilisation, implantation and storage of ova for general sale or use .....................................</w:t>
            </w:r>
          </w:p>
        </w:tc>
        <w:tc>
          <w:tcPr>
            <w:tcW w:w="1134" w:type="dxa"/>
          </w:tcPr>
          <w:p>
            <w:pPr>
              <w:pStyle w:val="Table"/>
              <w:rPr>
                <w:del w:id="30" w:author="Master Repository Process" w:date="2021-07-31T07:53:00Z"/>
              </w:rPr>
            </w:pPr>
          </w:p>
          <w:p>
            <w:pPr>
              <w:pStyle w:val="Table"/>
              <w:spacing w:before="0"/>
              <w:rPr>
                <w:del w:id="31" w:author="Master Repository Process" w:date="2021-07-31T07:53:00Z"/>
              </w:rPr>
            </w:pPr>
          </w:p>
          <w:p>
            <w:pPr>
              <w:pStyle w:val="Table"/>
              <w:spacing w:before="0"/>
              <w:rPr>
                <w:del w:id="32" w:author="Master Repository Process" w:date="2021-07-31T07:53:00Z"/>
              </w:rPr>
            </w:pPr>
          </w:p>
          <w:p>
            <w:pPr>
              <w:pStyle w:val="Table"/>
              <w:tabs>
                <w:tab w:val="decimal" w:pos="317"/>
              </w:tabs>
              <w:rPr>
                <w:del w:id="33" w:author="Master Repository Process" w:date="2021-07-31T07:53:00Z"/>
              </w:rPr>
            </w:pPr>
          </w:p>
          <w:p>
            <w:pPr>
              <w:pStyle w:val="Table"/>
            </w:pPr>
            <w:del w:id="34" w:author="Master Repository Process" w:date="2021-07-31T07:53:00Z">
              <w:r>
                <w:delText>600</w:delText>
              </w:r>
            </w:del>
            <w:ins w:id="35" w:author="Master Repository Process" w:date="2021-07-31T07:53:00Z">
              <w:r>
                <w:br/>
              </w:r>
              <w:r>
                <w:br/>
              </w:r>
              <w:r>
                <w:br/>
              </w:r>
              <w:r>
                <w:br/>
                <w:t>630</w:t>
              </w:r>
            </w:ins>
            <w:r>
              <w:t>.00</w:t>
            </w:r>
          </w:p>
        </w:tc>
      </w:tr>
      <w:tr>
        <w:tc>
          <w:tcPr>
            <w:tcW w:w="1134" w:type="dxa"/>
          </w:tcPr>
          <w:p>
            <w:pPr>
              <w:pStyle w:val="Table"/>
            </w:pPr>
            <w:r>
              <w:t>(d)</w:t>
            </w:r>
          </w:p>
        </w:tc>
        <w:tc>
          <w:tcPr>
            <w:tcW w:w="3969" w:type="dxa"/>
            <w:gridSpan w:val="2"/>
          </w:tcPr>
          <w:p>
            <w:pPr>
              <w:pStyle w:val="Table"/>
            </w:pPr>
            <w:r>
              <w:t>for the transfer or variation of a licence ....</w:t>
            </w:r>
          </w:p>
        </w:tc>
        <w:tc>
          <w:tcPr>
            <w:tcW w:w="1134" w:type="dxa"/>
          </w:tcPr>
          <w:p>
            <w:pPr>
              <w:pStyle w:val="Table"/>
            </w:pPr>
            <w:del w:id="36" w:author="Master Repository Process" w:date="2021-07-31T07:53:00Z">
              <w:r>
                <w:delText>100</w:delText>
              </w:r>
            </w:del>
            <w:ins w:id="37" w:author="Master Repository Process" w:date="2021-07-31T07:53:00Z">
              <w:r>
                <w:t>105</w:t>
              </w:r>
            </w:ins>
            <w:r>
              <w:t>.00</w:t>
            </w:r>
          </w:p>
        </w:tc>
      </w:tr>
      <w:tr>
        <w:tc>
          <w:tcPr>
            <w:tcW w:w="1134" w:type="dxa"/>
          </w:tcPr>
          <w:p>
            <w:pPr>
              <w:pStyle w:val="Table"/>
            </w:pPr>
            <w:r>
              <w:t>(e)</w:t>
            </w:r>
          </w:p>
        </w:tc>
        <w:tc>
          <w:tcPr>
            <w:tcW w:w="3969" w:type="dxa"/>
            <w:gridSpan w:val="2"/>
          </w:tcPr>
          <w:p>
            <w:pPr>
              <w:pStyle w:val="Table"/>
            </w:pPr>
            <w:r>
              <w:t>for an application for a certificate of competency —</w:t>
            </w:r>
          </w:p>
        </w:tc>
        <w:tc>
          <w:tcPr>
            <w:tcW w:w="1134" w:type="dxa"/>
          </w:tcPr>
          <w:p>
            <w:pPr>
              <w:pStyle w:val="Table"/>
            </w:pPr>
          </w:p>
        </w:tc>
      </w:tr>
      <w:tr>
        <w:trPr>
          <w:cantSplit/>
        </w:trPr>
        <w:tc>
          <w:tcPr>
            <w:tcW w:w="1134" w:type="dxa"/>
          </w:tcPr>
          <w:p>
            <w:pPr>
              <w:pStyle w:val="Table"/>
            </w:pPr>
          </w:p>
        </w:tc>
        <w:tc>
          <w:tcPr>
            <w:tcW w:w="709" w:type="dxa"/>
            <w:cellIns w:id="38" w:author="Master Repository Process" w:date="2021-07-31T07:53:00Z"/>
          </w:tcPr>
          <w:p>
            <w:pPr>
              <w:pStyle w:val="Table"/>
            </w:pPr>
            <w:ins w:id="39" w:author="Master Repository Process" w:date="2021-07-31T07:53:00Z">
              <w:r>
                <w:t>(i)</w:t>
              </w:r>
            </w:ins>
          </w:p>
        </w:tc>
        <w:tc>
          <w:tcPr>
            <w:tcW w:w="3260" w:type="dxa"/>
          </w:tcPr>
          <w:p>
            <w:pPr>
              <w:pStyle w:val="Table"/>
            </w:pPr>
            <w:del w:id="40" w:author="Master Repository Process" w:date="2021-07-31T07:53:00Z">
              <w:r>
                <w:delText>(i)</w:delText>
              </w:r>
              <w:r>
                <w:tab/>
              </w:r>
            </w:del>
            <w:r>
              <w:t>in respect of the class of herdsman</w:t>
            </w:r>
            <w:del w:id="41" w:author="Master Repository Process" w:date="2021-07-31T07:53:00Z">
              <w:r>
                <w:delText>-</w:delText>
              </w:r>
            </w:del>
            <w:ins w:id="42" w:author="Master Repository Process" w:date="2021-07-31T07:53:00Z">
              <w:r>
                <w:noBreakHyphen/>
              </w:r>
            </w:ins>
            <w:r>
              <w:t xml:space="preserve">inseminator </w:t>
            </w:r>
            <w:del w:id="43" w:author="Master Repository Process" w:date="2021-07-31T07:53:00Z">
              <w:r>
                <w:delText>....................................</w:delText>
              </w:r>
            </w:del>
            <w:ins w:id="44" w:author="Master Repository Process" w:date="2021-07-31T07:53:00Z">
              <w:r>
                <w:t>..................</w:t>
              </w:r>
            </w:ins>
          </w:p>
        </w:tc>
        <w:tc>
          <w:tcPr>
            <w:tcW w:w="1134" w:type="dxa"/>
          </w:tcPr>
          <w:p>
            <w:pPr>
              <w:pStyle w:val="Table"/>
              <w:rPr>
                <w:del w:id="45" w:author="Master Repository Process" w:date="2021-07-31T07:53:00Z"/>
              </w:rPr>
            </w:pPr>
          </w:p>
          <w:p>
            <w:pPr>
              <w:pStyle w:val="Table"/>
              <w:rPr>
                <w:i/>
              </w:rPr>
            </w:pPr>
            <w:del w:id="46" w:author="Master Repository Process" w:date="2021-07-31T07:53:00Z">
              <w:r>
                <w:delText>60</w:delText>
              </w:r>
            </w:del>
            <w:ins w:id="47" w:author="Master Repository Process" w:date="2021-07-31T07:53:00Z">
              <w:r>
                <w:br/>
                <w:t>63</w:t>
              </w:r>
            </w:ins>
            <w:r>
              <w:t>.00</w:t>
            </w:r>
          </w:p>
        </w:tc>
      </w:tr>
      <w:tr>
        <w:trPr>
          <w:cantSplit/>
        </w:trPr>
        <w:tc>
          <w:tcPr>
            <w:tcW w:w="1134" w:type="dxa"/>
          </w:tcPr>
          <w:p>
            <w:pPr>
              <w:pStyle w:val="Table"/>
            </w:pPr>
          </w:p>
        </w:tc>
        <w:tc>
          <w:tcPr>
            <w:tcW w:w="709" w:type="dxa"/>
            <w:cellIns w:id="48" w:author="Master Repository Process" w:date="2021-07-31T07:53:00Z"/>
          </w:tcPr>
          <w:p>
            <w:pPr>
              <w:pStyle w:val="Table"/>
            </w:pPr>
            <w:ins w:id="49" w:author="Master Repository Process" w:date="2021-07-31T07:53:00Z">
              <w:r>
                <w:t>(ii)</w:t>
              </w:r>
            </w:ins>
          </w:p>
        </w:tc>
        <w:tc>
          <w:tcPr>
            <w:tcW w:w="3260" w:type="dxa"/>
          </w:tcPr>
          <w:p>
            <w:pPr>
              <w:pStyle w:val="Table"/>
            </w:pPr>
            <w:del w:id="50" w:author="Master Repository Process" w:date="2021-07-31T07:53:00Z">
              <w:r>
                <w:delText>(ii)</w:delText>
              </w:r>
              <w:r>
                <w:tab/>
              </w:r>
            </w:del>
            <w:r>
              <w:t>in respect of any other class .........</w:t>
            </w:r>
          </w:p>
        </w:tc>
        <w:tc>
          <w:tcPr>
            <w:tcW w:w="1134" w:type="dxa"/>
          </w:tcPr>
          <w:p>
            <w:pPr>
              <w:pStyle w:val="Table"/>
            </w:pPr>
            <w:del w:id="51" w:author="Master Repository Process" w:date="2021-07-31T07:53:00Z">
              <w:r>
                <w:delText>400</w:delText>
              </w:r>
            </w:del>
            <w:ins w:id="52" w:author="Master Repository Process" w:date="2021-07-31T07:53:00Z">
              <w:r>
                <w:t>420</w:t>
              </w:r>
            </w:ins>
            <w:r>
              <w:t>.00</w:t>
            </w:r>
            <w:del w:id="53" w:author="Master Repository Process" w:date="2021-07-31T07:53:00Z">
              <w:r>
                <w:delText>.</w:delText>
              </w:r>
            </w:del>
          </w:p>
        </w:tc>
      </w:tr>
    </w:tbl>
    <w:p>
      <w:pPr>
        <w:pStyle w:val="Footnotesection"/>
      </w:pPr>
      <w:r>
        <w:tab/>
        <w:t>[Regulation 5 amended in Gazette 18 July 1980 p.2436; 28 August 1981 p.3591; 12 August 1983 p.2956; 3 May 1985 p.1590; 27 June 1986 p.2221; 30 October 1987 p.4050; 14 October 1988 p.4205; 17 August 1990 pp.4067</w:t>
      </w:r>
      <w:r>
        <w:noBreakHyphen/>
        <w:t>8; 18 October 1991 p.5310; 24 July 1992 p.3602; 17 September 1993 pp.5042</w:t>
      </w:r>
      <w:r>
        <w:noBreakHyphen/>
        <w:t>3; 24 June 1994 pp.2831</w:t>
      </w:r>
      <w:r>
        <w:noBreakHyphen/>
        <w:t>2; 21 July 1995 p.3060; 3 September 1996 pp.4370</w:t>
      </w:r>
      <w:r>
        <w:noBreakHyphen/>
        <w:t>1; 19 August 1997 p.4715; 23 June 1998 p.3316; 20 June 2000 p.3008; 5 Jun 2001 p. 2844</w:t>
      </w:r>
      <w:ins w:id="54" w:author="Master Repository Process" w:date="2021-07-31T07:53:00Z">
        <w:r>
          <w:t>; 15 Jun 2007 p. 2753-4</w:t>
        </w:r>
      </w:ins>
      <w:r>
        <w:t>.]</w:t>
      </w:r>
    </w:p>
    <w:p>
      <w:pPr>
        <w:pStyle w:val="Heading5"/>
        <w:rPr>
          <w:snapToGrid w:val="0"/>
        </w:rPr>
      </w:pPr>
      <w:bookmarkStart w:id="55" w:name="_Toc459092086"/>
      <w:bookmarkStart w:id="56" w:name="_Toc518711414"/>
      <w:bookmarkStart w:id="57" w:name="_Toc170716896"/>
      <w:r>
        <w:rPr>
          <w:rStyle w:val="CharSectno"/>
        </w:rPr>
        <w:t>6</w:t>
      </w:r>
      <w:r>
        <w:rPr>
          <w:snapToGrid w:val="0"/>
        </w:rPr>
        <w:t>.</w:t>
      </w:r>
      <w:r>
        <w:rPr>
          <w:snapToGrid w:val="0"/>
        </w:rPr>
        <w:tab/>
        <w:t>Condition for issue of licences</w:t>
      </w:r>
      <w:bookmarkEnd w:id="55"/>
      <w:bookmarkEnd w:id="56"/>
      <w:bookmarkEnd w:id="57"/>
      <w:r>
        <w:rPr>
          <w:snapToGrid w:val="0"/>
        </w:rPr>
        <w:t xml:space="preserve"> </w:t>
      </w:r>
    </w:p>
    <w:p>
      <w:pPr>
        <w:pStyle w:val="Subsection"/>
        <w:rPr>
          <w:snapToGrid w:val="0"/>
        </w:rPr>
      </w:pPr>
      <w:r>
        <w:rPr>
          <w:snapToGrid w:val="0"/>
        </w:rPr>
        <w:tab/>
      </w:r>
      <w:r>
        <w:rPr>
          <w:snapToGrid w:val="0"/>
        </w:rPr>
        <w:tab/>
        <w:t>It is a condition of any licence issued pursuant to Part II which includes one or more of the following: collection, dilution, examination, chilling, freezing and processing of semen, that a veterinary surgeon or a person who is the holder of a certificate of competency for these procedures issued by the authority of the Minister be continuously employed on the premises and be responsible for the conduct of the licence in accordance with these regulations.</w:t>
      </w:r>
    </w:p>
    <w:p>
      <w:pPr>
        <w:pStyle w:val="Heading2"/>
      </w:pPr>
      <w:bookmarkStart w:id="58" w:name="_Toc170184867"/>
      <w:bookmarkStart w:id="59" w:name="_Toc170716897"/>
      <w:r>
        <w:rPr>
          <w:rStyle w:val="CharPartNo"/>
        </w:rPr>
        <w:t>Part II</w:t>
      </w:r>
      <w:r>
        <w:t> — </w:t>
      </w:r>
      <w:r>
        <w:rPr>
          <w:rStyle w:val="CharPartText"/>
        </w:rPr>
        <w:t>Licensed premises</w:t>
      </w:r>
      <w:bookmarkEnd w:id="58"/>
      <w:bookmarkEnd w:id="59"/>
      <w:r>
        <w:rPr>
          <w:rStyle w:val="CharPartText"/>
        </w:rPr>
        <w:t xml:space="preserve"> </w:t>
      </w:r>
    </w:p>
    <w:p>
      <w:pPr>
        <w:pStyle w:val="Heading3"/>
      </w:pPr>
      <w:bookmarkStart w:id="60" w:name="_Toc170184868"/>
      <w:bookmarkStart w:id="61" w:name="_Toc170716898"/>
      <w:r>
        <w:rPr>
          <w:rStyle w:val="CharDivNo"/>
        </w:rPr>
        <w:t>Division 1</w:t>
      </w:r>
      <w:r>
        <w:t> — </w:t>
      </w:r>
      <w:r>
        <w:rPr>
          <w:rStyle w:val="CharDivText"/>
        </w:rPr>
        <w:t>Premises licensed for the collection and processing of semen for general sale or use</w:t>
      </w:r>
      <w:bookmarkEnd w:id="60"/>
      <w:bookmarkEnd w:id="61"/>
      <w:r>
        <w:rPr>
          <w:rStyle w:val="CharDivText"/>
        </w:rPr>
        <w:t xml:space="preserve"> </w:t>
      </w:r>
    </w:p>
    <w:p>
      <w:pPr>
        <w:pStyle w:val="Heading5"/>
        <w:rPr>
          <w:snapToGrid w:val="0"/>
        </w:rPr>
      </w:pPr>
      <w:bookmarkStart w:id="62" w:name="_Toc459092087"/>
      <w:bookmarkStart w:id="63" w:name="_Toc518711415"/>
      <w:bookmarkStart w:id="64" w:name="_Toc170716899"/>
      <w:r>
        <w:rPr>
          <w:rStyle w:val="CharSectno"/>
        </w:rPr>
        <w:t>7</w:t>
      </w:r>
      <w:r>
        <w:rPr>
          <w:snapToGrid w:val="0"/>
        </w:rPr>
        <w:t>.</w:t>
      </w:r>
      <w:r>
        <w:rPr>
          <w:snapToGrid w:val="0"/>
        </w:rPr>
        <w:tab/>
        <w:t>Licensed premises</w:t>
      </w:r>
      <w:bookmarkEnd w:id="62"/>
      <w:bookmarkEnd w:id="63"/>
      <w:bookmarkEnd w:id="64"/>
      <w:r>
        <w:rPr>
          <w:snapToGrid w:val="0"/>
        </w:rPr>
        <w:t xml:space="preserve"> </w:t>
      </w:r>
    </w:p>
    <w:p>
      <w:pPr>
        <w:pStyle w:val="Subsection"/>
        <w:rPr>
          <w:snapToGrid w:val="0"/>
        </w:rPr>
      </w:pPr>
      <w:r>
        <w:rPr>
          <w:snapToGrid w:val="0"/>
        </w:rPr>
        <w:tab/>
        <w:t>(1)</w:t>
      </w:r>
      <w:r>
        <w:rPr>
          <w:snapToGrid w:val="0"/>
        </w:rPr>
        <w:tab/>
        <w:t>A licence for the collection and processing of semen for general sale or use shall not be issued unless the premises to which the licence applies are provided with — </w:t>
      </w:r>
    </w:p>
    <w:p>
      <w:pPr>
        <w:pStyle w:val="Indenta"/>
        <w:rPr>
          <w:snapToGrid w:val="0"/>
        </w:rPr>
      </w:pPr>
      <w:r>
        <w:rPr>
          <w:snapToGrid w:val="0"/>
        </w:rPr>
        <w:tab/>
        <w:t>(a)</w:t>
      </w:r>
      <w:r>
        <w:rPr>
          <w:snapToGrid w:val="0"/>
        </w:rPr>
        <w:tab/>
        <w:t>fences and gateways constructed in accordance with the provisions of subregulation (2), so as to prevent the transmission of disease to stock on the premises, and prevent the unauthorized movement of stock onto, within or out of the premises;</w:t>
      </w:r>
    </w:p>
    <w:p>
      <w:pPr>
        <w:pStyle w:val="Indenta"/>
        <w:rPr>
          <w:snapToGrid w:val="0"/>
        </w:rPr>
      </w:pPr>
      <w:r>
        <w:rPr>
          <w:snapToGrid w:val="0"/>
        </w:rPr>
        <w:tab/>
        <w:t>(b)</w:t>
      </w:r>
      <w:r>
        <w:rPr>
          <w:snapToGrid w:val="0"/>
        </w:rPr>
        <w:tab/>
        <w:t>a quarantine area so situated that drainage or effluent cannot flow onto or escape from that area to any other part of the premises to which stock have access; and</w:t>
      </w:r>
    </w:p>
    <w:p>
      <w:pPr>
        <w:pStyle w:val="Indenta"/>
        <w:rPr>
          <w:snapToGrid w:val="0"/>
        </w:rPr>
      </w:pPr>
      <w:r>
        <w:rPr>
          <w:snapToGrid w:val="0"/>
        </w:rPr>
        <w:tab/>
        <w:t>(c)</w:t>
      </w:r>
      <w:r>
        <w:rPr>
          <w:snapToGrid w:val="0"/>
        </w:rPr>
        <w:tab/>
        <w:t>a hospital area for the housing, diagnosis and treatment of intercurrent diseases of stock which have been admitted to the premises.</w:t>
      </w:r>
    </w:p>
    <w:p>
      <w:pPr>
        <w:pStyle w:val="Subsection"/>
        <w:rPr>
          <w:snapToGrid w:val="0"/>
        </w:rPr>
      </w:pPr>
      <w:r>
        <w:rPr>
          <w:snapToGrid w:val="0"/>
        </w:rPr>
        <w:tab/>
        <w:t>(2)</w:t>
      </w:r>
      <w:r>
        <w:rPr>
          <w:snapToGrid w:val="0"/>
        </w:rPr>
        <w:tab/>
        <w:t>For the purposes of subregulation (1), licensed premises shall comprise — </w:t>
      </w:r>
    </w:p>
    <w:p>
      <w:pPr>
        <w:pStyle w:val="Indenta"/>
        <w:rPr>
          <w:snapToGrid w:val="0"/>
        </w:rPr>
      </w:pPr>
      <w:r>
        <w:rPr>
          <w:snapToGrid w:val="0"/>
        </w:rPr>
        <w:tab/>
        <w:t>(a)</w:t>
      </w:r>
      <w:r>
        <w:rPr>
          <w:snapToGrid w:val="0"/>
        </w:rPr>
        <w:tab/>
        <w:t>a fence surrounding the boundary of the premises;</w:t>
      </w:r>
    </w:p>
    <w:p>
      <w:pPr>
        <w:pStyle w:val="Indenta"/>
        <w:rPr>
          <w:snapToGrid w:val="0"/>
        </w:rPr>
      </w:pPr>
      <w:r>
        <w:rPr>
          <w:snapToGrid w:val="0"/>
        </w:rPr>
        <w:tab/>
        <w:t>(b)</w:t>
      </w:r>
      <w:r>
        <w:rPr>
          <w:snapToGrid w:val="0"/>
        </w:rPr>
        <w:tab/>
        <w:t>a fence so erected that — </w:t>
      </w:r>
    </w:p>
    <w:p>
      <w:pPr>
        <w:pStyle w:val="Indenti"/>
        <w:rPr>
          <w:snapToGrid w:val="0"/>
        </w:rPr>
      </w:pPr>
      <w:r>
        <w:rPr>
          <w:snapToGrid w:val="0"/>
        </w:rPr>
        <w:tab/>
        <w:t>(i)</w:t>
      </w:r>
      <w:r>
        <w:rPr>
          <w:snapToGrid w:val="0"/>
        </w:rPr>
        <w:tab/>
        <w:t>no part of it is within 3 metres of the boundary fence; and</w:t>
      </w:r>
    </w:p>
    <w:p>
      <w:pPr>
        <w:pStyle w:val="Indenti"/>
        <w:rPr>
          <w:snapToGrid w:val="0"/>
        </w:rPr>
      </w:pPr>
      <w:r>
        <w:rPr>
          <w:snapToGrid w:val="0"/>
        </w:rPr>
        <w:tab/>
        <w:t>(ii)</w:t>
      </w:r>
      <w:r>
        <w:rPr>
          <w:snapToGrid w:val="0"/>
        </w:rPr>
        <w:tab/>
        <w:t>it will prevent the unauthorized access of animals on the premises to the boundary fence or any gateway which is part of the boundary fence;</w:t>
      </w:r>
    </w:p>
    <w:p>
      <w:pPr>
        <w:pStyle w:val="Indenta"/>
        <w:rPr>
          <w:snapToGrid w:val="0"/>
        </w:rPr>
      </w:pPr>
      <w:r>
        <w:rPr>
          <w:snapToGrid w:val="0"/>
        </w:rPr>
        <w:tab/>
        <w:t>(c)</w:t>
      </w:r>
      <w:r>
        <w:rPr>
          <w:snapToGrid w:val="0"/>
        </w:rPr>
        <w:tab/>
        <w:t>a post and rail fence of not less than 1.5 metres in height surrounding the quarantine area on the premises with a gate or gates that are capable of being securely fastened; and</w:t>
      </w:r>
    </w:p>
    <w:p>
      <w:pPr>
        <w:pStyle w:val="Indenta"/>
        <w:rPr>
          <w:snapToGrid w:val="0"/>
        </w:rPr>
      </w:pPr>
      <w:r>
        <w:rPr>
          <w:snapToGrid w:val="0"/>
        </w:rPr>
        <w:tab/>
        <w:t>(d)</w:t>
      </w:r>
      <w:r>
        <w:rPr>
          <w:snapToGrid w:val="0"/>
        </w:rPr>
        <w:tab/>
        <w:t>a fence that will prevent the unauthorized approach of any stock on the premises to within 6 metres of the quarantine area.</w:t>
      </w:r>
    </w:p>
    <w:p>
      <w:pPr>
        <w:pStyle w:val="Heading5"/>
        <w:spacing w:before="120"/>
        <w:rPr>
          <w:snapToGrid w:val="0"/>
        </w:rPr>
      </w:pPr>
      <w:bookmarkStart w:id="65" w:name="_Toc459092088"/>
      <w:bookmarkStart w:id="66" w:name="_Toc518711416"/>
      <w:bookmarkStart w:id="67" w:name="_Toc170716900"/>
      <w:r>
        <w:rPr>
          <w:rStyle w:val="CharSectno"/>
        </w:rPr>
        <w:t>8</w:t>
      </w:r>
      <w:r>
        <w:rPr>
          <w:snapToGrid w:val="0"/>
        </w:rPr>
        <w:t>.</w:t>
      </w:r>
      <w:r>
        <w:rPr>
          <w:snapToGrid w:val="0"/>
        </w:rPr>
        <w:tab/>
        <w:t>Movement of stock into and out of licensed premises</w:t>
      </w:r>
      <w:bookmarkEnd w:id="65"/>
      <w:bookmarkEnd w:id="66"/>
      <w:bookmarkEnd w:id="67"/>
      <w:r>
        <w:rPr>
          <w:snapToGrid w:val="0"/>
        </w:rPr>
        <w:t xml:space="preserve"> </w:t>
      </w:r>
    </w:p>
    <w:p>
      <w:pPr>
        <w:pStyle w:val="Subsection"/>
        <w:rPr>
          <w:snapToGrid w:val="0"/>
        </w:rPr>
      </w:pPr>
      <w:r>
        <w:rPr>
          <w:snapToGrid w:val="0"/>
        </w:rPr>
        <w:tab/>
        <w:t>(1)</w:t>
      </w:r>
      <w:r>
        <w:rPr>
          <w:snapToGrid w:val="0"/>
        </w:rPr>
        <w:tab/>
        <w:t>A person shall not, except with the approval of the Chief Veterinary Surgeon, move stock into or out of the quarantine area.</w:t>
      </w:r>
    </w:p>
    <w:p>
      <w:pPr>
        <w:pStyle w:val="Subsection"/>
        <w:rPr>
          <w:snapToGrid w:val="0"/>
        </w:rPr>
      </w:pPr>
      <w:r>
        <w:rPr>
          <w:snapToGrid w:val="0"/>
        </w:rPr>
        <w:tab/>
        <w:t>(2)</w:t>
      </w:r>
      <w:r>
        <w:rPr>
          <w:snapToGrid w:val="0"/>
        </w:rPr>
        <w:tab/>
        <w:t>Subject to these regulations, a person shall not permit any animals, other than cattle, horses or dogs, to enter or remain upon licensed premises.</w:t>
      </w:r>
    </w:p>
    <w:p>
      <w:pPr>
        <w:pStyle w:val="Heading5"/>
        <w:spacing w:before="120"/>
        <w:rPr>
          <w:snapToGrid w:val="0"/>
        </w:rPr>
      </w:pPr>
      <w:bookmarkStart w:id="68" w:name="_Toc459092089"/>
      <w:bookmarkStart w:id="69" w:name="_Toc518711417"/>
      <w:bookmarkStart w:id="70" w:name="_Toc170716901"/>
      <w:r>
        <w:rPr>
          <w:rStyle w:val="CharSectno"/>
        </w:rPr>
        <w:t>9</w:t>
      </w:r>
      <w:r>
        <w:rPr>
          <w:snapToGrid w:val="0"/>
        </w:rPr>
        <w:t>.</w:t>
      </w:r>
      <w:r>
        <w:rPr>
          <w:snapToGrid w:val="0"/>
        </w:rPr>
        <w:tab/>
        <w:t>Movement of horses on premises</w:t>
      </w:r>
      <w:bookmarkEnd w:id="68"/>
      <w:bookmarkEnd w:id="69"/>
      <w:bookmarkEnd w:id="70"/>
      <w:r>
        <w:rPr>
          <w:snapToGrid w:val="0"/>
        </w:rPr>
        <w:t xml:space="preserve"> </w:t>
      </w:r>
    </w:p>
    <w:p>
      <w:pPr>
        <w:pStyle w:val="Subsection"/>
        <w:rPr>
          <w:snapToGrid w:val="0"/>
        </w:rPr>
      </w:pPr>
      <w:r>
        <w:rPr>
          <w:snapToGrid w:val="0"/>
        </w:rPr>
        <w:tab/>
        <w:t>(1)</w:t>
      </w:r>
      <w:r>
        <w:rPr>
          <w:snapToGrid w:val="0"/>
        </w:rPr>
        <w:tab/>
        <w:t>A person shall not permit a horse to enter, or remain upon the premises, unless the horse has, within the 30 days immediately prior to its entry, been tested for brucellosis and leptospirosis, by a veterinary surgeon and has given negative result to those tests.</w:t>
      </w:r>
    </w:p>
    <w:p>
      <w:pPr>
        <w:pStyle w:val="Subsection"/>
        <w:rPr>
          <w:snapToGrid w:val="0"/>
        </w:rPr>
      </w:pPr>
      <w:r>
        <w:rPr>
          <w:snapToGrid w:val="0"/>
        </w:rPr>
        <w:tab/>
        <w:t>(2)</w:t>
      </w:r>
      <w:r>
        <w:rPr>
          <w:snapToGrid w:val="0"/>
        </w:rPr>
        <w:tab/>
        <w:t>A horse admitted to the premises pursuant to subregulation (1) shall, forthwith after entry, be placed in the quarantine area and a person shall not permit it to be removed therefrom until it has been tested again by a veterinary surgeon, for the diseases referred to in subregulation (1), and has given negative result to those tests.</w:t>
      </w:r>
    </w:p>
    <w:p>
      <w:pPr>
        <w:pStyle w:val="Heading5"/>
        <w:spacing w:before="120"/>
        <w:rPr>
          <w:snapToGrid w:val="0"/>
        </w:rPr>
      </w:pPr>
      <w:bookmarkStart w:id="71" w:name="_Toc459092090"/>
      <w:bookmarkStart w:id="72" w:name="_Toc518711418"/>
      <w:bookmarkStart w:id="73" w:name="_Toc170716902"/>
      <w:r>
        <w:rPr>
          <w:rStyle w:val="CharSectno"/>
        </w:rPr>
        <w:t>10</w:t>
      </w:r>
      <w:r>
        <w:rPr>
          <w:snapToGrid w:val="0"/>
        </w:rPr>
        <w:t>.</w:t>
      </w:r>
      <w:r>
        <w:rPr>
          <w:snapToGrid w:val="0"/>
        </w:rPr>
        <w:tab/>
        <w:t>Entry of bulls on premises</w:t>
      </w:r>
      <w:bookmarkEnd w:id="71"/>
      <w:bookmarkEnd w:id="72"/>
      <w:bookmarkEnd w:id="73"/>
      <w:r>
        <w:rPr>
          <w:snapToGrid w:val="0"/>
        </w:rPr>
        <w:t xml:space="preserve"> </w:t>
      </w:r>
    </w:p>
    <w:p>
      <w:pPr>
        <w:pStyle w:val="Subsection"/>
        <w:rPr>
          <w:snapToGrid w:val="0"/>
        </w:rPr>
      </w:pPr>
      <w:r>
        <w:rPr>
          <w:snapToGrid w:val="0"/>
        </w:rPr>
        <w:tab/>
        <w:t>(1)</w:t>
      </w:r>
      <w:r>
        <w:rPr>
          <w:snapToGrid w:val="0"/>
        </w:rPr>
        <w:tab/>
        <w:t>A person shall not permit a bull to enter or remain upon the premises, unless the bull has, within the 30 days immediately prior to its entry, been examined clinically and tested in isolation by a veterinary surgeon for — </w:t>
      </w:r>
    </w:p>
    <w:p>
      <w:pPr>
        <w:pStyle w:val="Indenta"/>
        <w:rPr>
          <w:snapToGrid w:val="0"/>
        </w:rPr>
      </w:pPr>
      <w:r>
        <w:rPr>
          <w:snapToGrid w:val="0"/>
        </w:rPr>
        <w:tab/>
        <w:t>(a)</w:t>
      </w:r>
      <w:r>
        <w:rPr>
          <w:snapToGrid w:val="0"/>
        </w:rPr>
        <w:tab/>
        <w:t>tuberculosis; using the single intradermal (caudal fold) test, with negative results;</w:t>
      </w:r>
    </w:p>
    <w:p>
      <w:pPr>
        <w:pStyle w:val="Indenta"/>
        <w:rPr>
          <w:snapToGrid w:val="0"/>
        </w:rPr>
      </w:pPr>
      <w:r>
        <w:rPr>
          <w:snapToGrid w:val="0"/>
        </w:rPr>
        <w:tab/>
        <w:t>(b)</w:t>
      </w:r>
      <w:r>
        <w:rPr>
          <w:snapToGrid w:val="0"/>
        </w:rPr>
        <w:tab/>
        <w:t>brucellosis; using the Complement Fixation Test, by warm fixation and doubling serum dilution from 1 in 4 to 1 in 128 inclusive, with negative results;</w:t>
      </w:r>
    </w:p>
    <w:p>
      <w:pPr>
        <w:pStyle w:val="Indenta"/>
        <w:rPr>
          <w:snapToGrid w:val="0"/>
        </w:rPr>
      </w:pPr>
      <w:r>
        <w:rPr>
          <w:snapToGrid w:val="0"/>
        </w:rPr>
        <w:tab/>
        <w:t>(c)</w:t>
      </w:r>
      <w:r>
        <w:rPr>
          <w:snapToGrid w:val="0"/>
        </w:rPr>
        <w:tab/>
        <w:t>leptospirosis; using the agglutination</w:t>
      </w:r>
      <w:r>
        <w:rPr>
          <w:snapToGrid w:val="0"/>
        </w:rPr>
        <w:noBreakHyphen/>
        <w:t>lysis test, for L. pomona and L. hardjo with negative results;</w:t>
      </w:r>
    </w:p>
    <w:p>
      <w:pPr>
        <w:pStyle w:val="Indenta"/>
        <w:rPr>
          <w:snapToGrid w:val="0"/>
        </w:rPr>
      </w:pPr>
      <w:r>
        <w:rPr>
          <w:snapToGrid w:val="0"/>
        </w:rPr>
        <w:tab/>
        <w:t>(d)</w:t>
      </w:r>
      <w:r>
        <w:rPr>
          <w:snapToGrid w:val="0"/>
        </w:rPr>
        <w:tab/>
        <w:t>vibriosis; by examination of preputial scrapings by culture and immunofluorescence, with negative results;</w:t>
      </w:r>
    </w:p>
    <w:p>
      <w:pPr>
        <w:pStyle w:val="Indenta"/>
        <w:rPr>
          <w:snapToGrid w:val="0"/>
        </w:rPr>
      </w:pPr>
      <w:r>
        <w:rPr>
          <w:snapToGrid w:val="0"/>
        </w:rPr>
        <w:tab/>
        <w:t>(e)</w:t>
      </w:r>
      <w:r>
        <w:rPr>
          <w:snapToGrid w:val="0"/>
        </w:rPr>
        <w:tab/>
        <w:t>trichomoniasis; by examination of preputial scrapings by culture, with negative results and found to be free of trichomoniasis;</w:t>
      </w:r>
    </w:p>
    <w:p>
      <w:pPr>
        <w:pStyle w:val="Indenta"/>
        <w:rPr>
          <w:snapToGrid w:val="0"/>
        </w:rPr>
      </w:pPr>
      <w:r>
        <w:rPr>
          <w:snapToGrid w:val="0"/>
        </w:rPr>
        <w:tab/>
        <w:t>(f)</w:t>
      </w:r>
      <w:r>
        <w:rPr>
          <w:snapToGrid w:val="0"/>
        </w:rPr>
        <w:tab/>
        <w:t>evidence of infectious or contagious disease; and</w:t>
      </w:r>
    </w:p>
    <w:p>
      <w:pPr>
        <w:pStyle w:val="Indenta"/>
        <w:rPr>
          <w:snapToGrid w:val="0"/>
        </w:rPr>
      </w:pPr>
      <w:r>
        <w:rPr>
          <w:snapToGrid w:val="0"/>
        </w:rPr>
        <w:tab/>
        <w:t>(g)</w:t>
      </w:r>
      <w:r>
        <w:rPr>
          <w:snapToGrid w:val="0"/>
        </w:rPr>
        <w:tab/>
        <w:t>hereditary defects as listed in the Second Schedule, including testing for mannosidosis of bulls of susceptible breeds.</w:t>
      </w:r>
    </w:p>
    <w:p>
      <w:pPr>
        <w:pStyle w:val="Subsection"/>
        <w:rPr>
          <w:snapToGrid w:val="0"/>
        </w:rPr>
      </w:pPr>
      <w:r>
        <w:rPr>
          <w:snapToGrid w:val="0"/>
        </w:rPr>
        <w:tab/>
        <w:t>(2)</w:t>
      </w:r>
      <w:r>
        <w:rPr>
          <w:snapToGrid w:val="0"/>
        </w:rPr>
        <w:tab/>
        <w:t>in the case of a sexually mature bull, in addition to compliance with the provisions of subregulation (1) — </w:t>
      </w:r>
    </w:p>
    <w:p>
      <w:pPr>
        <w:pStyle w:val="Indenta"/>
        <w:rPr>
          <w:snapToGrid w:val="0"/>
        </w:rPr>
      </w:pPr>
      <w:r>
        <w:rPr>
          <w:snapToGrid w:val="0"/>
        </w:rPr>
        <w:tab/>
        <w:t>(a)</w:t>
      </w:r>
      <w:r>
        <w:rPr>
          <w:snapToGrid w:val="0"/>
        </w:rPr>
        <w:tab/>
        <w:t>a semen examination shall be performed, with satisfactory results as to sperm morphology, density, motility, and freedom from the presence of inflammatory products; and</w:t>
      </w:r>
    </w:p>
    <w:p>
      <w:pPr>
        <w:pStyle w:val="Indenta"/>
        <w:rPr>
          <w:snapToGrid w:val="0"/>
        </w:rPr>
      </w:pPr>
      <w:r>
        <w:rPr>
          <w:snapToGrid w:val="0"/>
        </w:rPr>
        <w:tab/>
        <w:t>(b)</w:t>
      </w:r>
      <w:r>
        <w:rPr>
          <w:snapToGrid w:val="0"/>
        </w:rPr>
        <w:tab/>
        <w:t>seminal plasma shall be subjected to a brucellosis agglutination test, with negative results.</w:t>
      </w:r>
    </w:p>
    <w:p>
      <w:pPr>
        <w:pStyle w:val="Subsection"/>
        <w:rPr>
          <w:snapToGrid w:val="0"/>
        </w:rPr>
      </w:pPr>
      <w:r>
        <w:rPr>
          <w:snapToGrid w:val="0"/>
        </w:rPr>
        <w:tab/>
        <w:t>(3)</w:t>
      </w:r>
      <w:r>
        <w:rPr>
          <w:snapToGrid w:val="0"/>
        </w:rPr>
        <w:tab/>
        <w:t>Notwithstanding anything in subregulation (1) bulls under the age of 5 months which are sexually immature may be permitted to enter and remain upon the premises without being tested for vibriosis and trichomoniasis, but shall be subjected to those tests at the age of 10 months, and prior to the first collection of semen.</w:t>
      </w:r>
    </w:p>
    <w:p>
      <w:pPr>
        <w:pStyle w:val="Subsection"/>
        <w:rPr>
          <w:snapToGrid w:val="0"/>
        </w:rPr>
      </w:pPr>
      <w:r>
        <w:rPr>
          <w:snapToGrid w:val="0"/>
        </w:rPr>
        <w:tab/>
        <w:t>(4)</w:t>
      </w:r>
      <w:r>
        <w:rPr>
          <w:snapToGrid w:val="0"/>
        </w:rPr>
        <w:tab/>
        <w:t>A veterinary surgeon examining a bull shall certify — </w:t>
      </w:r>
    </w:p>
    <w:p>
      <w:pPr>
        <w:pStyle w:val="Indenta"/>
        <w:rPr>
          <w:snapToGrid w:val="0"/>
        </w:rPr>
      </w:pPr>
      <w:r>
        <w:rPr>
          <w:snapToGrid w:val="0"/>
        </w:rPr>
        <w:tab/>
        <w:t>(a)</w:t>
      </w:r>
      <w:r>
        <w:rPr>
          <w:snapToGrid w:val="0"/>
        </w:rPr>
        <w:tab/>
        <w:t>that he has found no evidence of any infectious or contagious disease, or hereditary defect as listed in the Second Schedule; and</w:t>
      </w:r>
    </w:p>
    <w:p>
      <w:pPr>
        <w:pStyle w:val="Indenta"/>
        <w:rPr>
          <w:snapToGrid w:val="0"/>
        </w:rPr>
      </w:pPr>
      <w:r>
        <w:rPr>
          <w:snapToGrid w:val="0"/>
        </w:rPr>
        <w:tab/>
        <w:t>(b)</w:t>
      </w:r>
      <w:r>
        <w:rPr>
          <w:snapToGrid w:val="0"/>
        </w:rPr>
        <w:tab/>
        <w:t>that the results to the tests performed pursuant to subregulation (1)(a), (b), (c), (d) and (e) are negative.</w:t>
      </w:r>
    </w:p>
    <w:p>
      <w:pPr>
        <w:pStyle w:val="Heading5"/>
        <w:rPr>
          <w:snapToGrid w:val="0"/>
        </w:rPr>
      </w:pPr>
      <w:bookmarkStart w:id="74" w:name="_Toc459092091"/>
      <w:bookmarkStart w:id="75" w:name="_Toc518711419"/>
      <w:bookmarkStart w:id="76" w:name="_Toc170716903"/>
      <w:r>
        <w:rPr>
          <w:rStyle w:val="CharSectno"/>
        </w:rPr>
        <w:t>11</w:t>
      </w:r>
      <w:r>
        <w:rPr>
          <w:snapToGrid w:val="0"/>
        </w:rPr>
        <w:t>.</w:t>
      </w:r>
      <w:r>
        <w:rPr>
          <w:snapToGrid w:val="0"/>
        </w:rPr>
        <w:tab/>
        <w:t>Tests for bulls in quarantine area</w:t>
      </w:r>
      <w:bookmarkEnd w:id="74"/>
      <w:bookmarkEnd w:id="75"/>
      <w:bookmarkEnd w:id="76"/>
      <w:r>
        <w:rPr>
          <w:snapToGrid w:val="0"/>
        </w:rPr>
        <w:t xml:space="preserve"> </w:t>
      </w:r>
    </w:p>
    <w:p>
      <w:pPr>
        <w:pStyle w:val="Subsection"/>
        <w:rPr>
          <w:snapToGrid w:val="0"/>
        </w:rPr>
      </w:pPr>
      <w:r>
        <w:rPr>
          <w:snapToGrid w:val="0"/>
        </w:rPr>
        <w:tab/>
        <w:t>(1)</w:t>
      </w:r>
      <w:r>
        <w:rPr>
          <w:snapToGrid w:val="0"/>
        </w:rPr>
        <w:tab/>
        <w:t>A bull qualified to enter and remain on the premises pursuant to regulation 10 shall, forthwith after entry, be placed in the quarantine area, and shall not be removed unless it has again been tested by a veterinary surgeon for — </w:t>
      </w:r>
    </w:p>
    <w:p>
      <w:pPr>
        <w:pStyle w:val="Indenta"/>
        <w:rPr>
          <w:snapToGrid w:val="0"/>
        </w:rPr>
      </w:pPr>
      <w:r>
        <w:rPr>
          <w:snapToGrid w:val="0"/>
        </w:rPr>
        <w:tab/>
        <w:t>(a)</w:t>
      </w:r>
      <w:r>
        <w:rPr>
          <w:snapToGrid w:val="0"/>
        </w:rPr>
        <w:tab/>
        <w:t>tuberculosis; using the single intradermal (caudal fold) test not earlier than 8 weeks after the introductory test, with negative results;</w:t>
      </w:r>
    </w:p>
    <w:p>
      <w:pPr>
        <w:pStyle w:val="Indenta"/>
        <w:rPr>
          <w:snapToGrid w:val="0"/>
        </w:rPr>
      </w:pPr>
      <w:r>
        <w:rPr>
          <w:snapToGrid w:val="0"/>
        </w:rPr>
        <w:tab/>
        <w:t>(b)</w:t>
      </w:r>
      <w:r>
        <w:rPr>
          <w:snapToGrid w:val="0"/>
        </w:rPr>
        <w:tab/>
        <w:t>brucellosis; according to the procedure set out in regulation 10(1)(b) not earlier than 8 weeks after the introductory test, with negative results;</w:t>
      </w:r>
    </w:p>
    <w:p>
      <w:pPr>
        <w:pStyle w:val="Indenta"/>
        <w:rPr>
          <w:snapToGrid w:val="0"/>
        </w:rPr>
      </w:pPr>
      <w:r>
        <w:rPr>
          <w:snapToGrid w:val="0"/>
        </w:rPr>
        <w:tab/>
        <w:t>(c)</w:t>
      </w:r>
      <w:r>
        <w:rPr>
          <w:snapToGrid w:val="0"/>
        </w:rPr>
        <w:tab/>
        <w:t>leptospirosis; according to the procedure set out in regulation 10(1)(c) not earlier than 8 weeks after the introductory test, with negative results; and</w:t>
      </w:r>
    </w:p>
    <w:p>
      <w:pPr>
        <w:pStyle w:val="Indenta"/>
        <w:rPr>
          <w:snapToGrid w:val="0"/>
        </w:rPr>
      </w:pPr>
      <w:r>
        <w:rPr>
          <w:snapToGrid w:val="0"/>
        </w:rPr>
        <w:tab/>
        <w:t>(d)</w:t>
      </w:r>
      <w:r>
        <w:rPr>
          <w:snapToGrid w:val="0"/>
        </w:rPr>
        <w:tab/>
        <w:t>subject to subregulation (2), vibriosis and trichomoniasis; according to the procedures set out in paragraphs (d) and (e), respectively, of regulation 10(1) on 4 occasions at weekly intervals, with negative results.</w:t>
      </w:r>
    </w:p>
    <w:p>
      <w:pPr>
        <w:pStyle w:val="Subsection"/>
        <w:rPr>
          <w:snapToGrid w:val="0"/>
        </w:rPr>
      </w:pPr>
      <w:r>
        <w:rPr>
          <w:snapToGrid w:val="0"/>
        </w:rPr>
        <w:tab/>
        <w:t>(2)</w:t>
      </w:r>
      <w:r>
        <w:rPr>
          <w:snapToGrid w:val="0"/>
        </w:rPr>
        <w:tab/>
        <w:t>The provisions of subregulation (1)(d) shall not apply in the case of bulls admitted in accordance with regulation 10(3).</w:t>
      </w:r>
    </w:p>
    <w:p>
      <w:pPr>
        <w:pStyle w:val="Subsection"/>
        <w:rPr>
          <w:snapToGrid w:val="0"/>
        </w:rPr>
      </w:pPr>
      <w:r>
        <w:rPr>
          <w:snapToGrid w:val="0"/>
        </w:rPr>
        <w:tab/>
        <w:t>(3)</w:t>
      </w:r>
      <w:r>
        <w:rPr>
          <w:snapToGrid w:val="0"/>
        </w:rPr>
        <w:tab/>
        <w:t>All bulls shall be subjected to an approved course of treatment with streptomycin after the completion of the final testing for vibriosis and trichomoniasis.</w:t>
      </w:r>
    </w:p>
    <w:p>
      <w:pPr>
        <w:pStyle w:val="Subsection"/>
        <w:rPr>
          <w:snapToGrid w:val="0"/>
        </w:rPr>
      </w:pPr>
      <w:r>
        <w:rPr>
          <w:snapToGrid w:val="0"/>
        </w:rPr>
        <w:tab/>
        <w:t>(4)</w:t>
      </w:r>
      <w:r>
        <w:rPr>
          <w:snapToGrid w:val="0"/>
        </w:rPr>
        <w:tab/>
        <w:t>Where a bull gives positive results to testing for leptospirosis, it may be accepted if additional tests after treatment with streptomycin show a stable or falling titre.</w:t>
      </w:r>
    </w:p>
    <w:p>
      <w:pPr>
        <w:pStyle w:val="Subsection"/>
        <w:rPr>
          <w:snapToGrid w:val="0"/>
        </w:rPr>
      </w:pPr>
      <w:r>
        <w:rPr>
          <w:snapToGrid w:val="0"/>
        </w:rPr>
        <w:tab/>
        <w:t>(5)</w:t>
      </w:r>
      <w:r>
        <w:rPr>
          <w:snapToGrid w:val="0"/>
        </w:rPr>
        <w:tab/>
        <w:t>A veterinary surgeon examining a bull shall, on completion of the tests referred to in subregulation (1), certify that the results to those tests are negative.</w:t>
      </w:r>
    </w:p>
    <w:p>
      <w:pPr>
        <w:pStyle w:val="Heading5"/>
        <w:rPr>
          <w:snapToGrid w:val="0"/>
        </w:rPr>
      </w:pPr>
      <w:bookmarkStart w:id="77" w:name="_Toc459092092"/>
      <w:bookmarkStart w:id="78" w:name="_Toc518711420"/>
      <w:bookmarkStart w:id="79" w:name="_Toc170716904"/>
      <w:r>
        <w:rPr>
          <w:rStyle w:val="CharSectno"/>
        </w:rPr>
        <w:t>12</w:t>
      </w:r>
      <w:r>
        <w:rPr>
          <w:snapToGrid w:val="0"/>
        </w:rPr>
        <w:t>.</w:t>
      </w:r>
      <w:r>
        <w:rPr>
          <w:snapToGrid w:val="0"/>
        </w:rPr>
        <w:tab/>
        <w:t>Semen not to be collected from bulls in quarantine</w:t>
      </w:r>
      <w:bookmarkEnd w:id="77"/>
      <w:bookmarkEnd w:id="78"/>
      <w:bookmarkEnd w:id="79"/>
      <w:r>
        <w:rPr>
          <w:snapToGrid w:val="0"/>
        </w:rPr>
        <w:t xml:space="preserve"> </w:t>
      </w:r>
    </w:p>
    <w:p>
      <w:pPr>
        <w:pStyle w:val="Subsection"/>
        <w:rPr>
          <w:snapToGrid w:val="0"/>
        </w:rPr>
      </w:pPr>
      <w:r>
        <w:rPr>
          <w:snapToGrid w:val="0"/>
        </w:rPr>
        <w:tab/>
      </w:r>
      <w:r>
        <w:rPr>
          <w:snapToGrid w:val="0"/>
        </w:rPr>
        <w:tab/>
        <w:t>Semen shall not be collected for sale from a bull while it is being held in a quarantine area pursuant to these regulations.</w:t>
      </w:r>
    </w:p>
    <w:p>
      <w:pPr>
        <w:pStyle w:val="Heading5"/>
        <w:rPr>
          <w:snapToGrid w:val="0"/>
        </w:rPr>
      </w:pPr>
      <w:bookmarkStart w:id="80" w:name="_Toc459092093"/>
      <w:bookmarkStart w:id="81" w:name="_Toc518711421"/>
      <w:bookmarkStart w:id="82" w:name="_Toc170716905"/>
      <w:r>
        <w:rPr>
          <w:rStyle w:val="CharSectno"/>
        </w:rPr>
        <w:t>13</w:t>
      </w:r>
      <w:r>
        <w:rPr>
          <w:snapToGrid w:val="0"/>
        </w:rPr>
        <w:t>.</w:t>
      </w:r>
      <w:r>
        <w:rPr>
          <w:snapToGrid w:val="0"/>
        </w:rPr>
        <w:tab/>
        <w:t>Entry of steers on premises</w:t>
      </w:r>
      <w:bookmarkEnd w:id="80"/>
      <w:bookmarkEnd w:id="81"/>
      <w:bookmarkEnd w:id="82"/>
      <w:r>
        <w:rPr>
          <w:snapToGrid w:val="0"/>
        </w:rPr>
        <w:t xml:space="preserve"> </w:t>
      </w:r>
    </w:p>
    <w:p>
      <w:pPr>
        <w:pStyle w:val="Subsection"/>
        <w:rPr>
          <w:snapToGrid w:val="0"/>
        </w:rPr>
      </w:pPr>
      <w:r>
        <w:rPr>
          <w:snapToGrid w:val="0"/>
        </w:rPr>
        <w:tab/>
        <w:t>(1)</w:t>
      </w:r>
      <w:r>
        <w:rPr>
          <w:snapToGrid w:val="0"/>
        </w:rPr>
        <w:tab/>
        <w:t>A person shall not permit a steer to enter or remain upon the premises unless — </w:t>
      </w:r>
    </w:p>
    <w:p>
      <w:pPr>
        <w:pStyle w:val="Indenta"/>
        <w:rPr>
          <w:snapToGrid w:val="0"/>
        </w:rPr>
      </w:pPr>
      <w:r>
        <w:rPr>
          <w:snapToGrid w:val="0"/>
        </w:rPr>
        <w:tab/>
        <w:t>(a)</w:t>
      </w:r>
      <w:r>
        <w:rPr>
          <w:snapToGrid w:val="0"/>
        </w:rPr>
        <w:tab/>
        <w:t>the steer has been castrated before the age of 5 months; and</w:t>
      </w:r>
    </w:p>
    <w:p>
      <w:pPr>
        <w:pStyle w:val="Indenta"/>
        <w:rPr>
          <w:snapToGrid w:val="0"/>
        </w:rPr>
      </w:pPr>
      <w:r>
        <w:rPr>
          <w:snapToGrid w:val="0"/>
        </w:rPr>
        <w:tab/>
        <w:t>(b)</w:t>
      </w:r>
      <w:r>
        <w:rPr>
          <w:snapToGrid w:val="0"/>
        </w:rPr>
        <w:tab/>
        <w:t>within 30 days prior to entry the steer was examined by a veterinary surgeon whilst held in isolation, in accordance with the provisions of subregulation (2).</w:t>
      </w:r>
    </w:p>
    <w:p>
      <w:pPr>
        <w:pStyle w:val="Subsection"/>
        <w:rPr>
          <w:snapToGrid w:val="0"/>
        </w:rPr>
      </w:pPr>
      <w:r>
        <w:rPr>
          <w:snapToGrid w:val="0"/>
        </w:rPr>
        <w:tab/>
        <w:t>(2)</w:t>
      </w:r>
      <w:r>
        <w:rPr>
          <w:snapToGrid w:val="0"/>
        </w:rPr>
        <w:tab/>
        <w:t>A veterinary surgeon examining a steer shall certify — </w:t>
      </w:r>
    </w:p>
    <w:p>
      <w:pPr>
        <w:pStyle w:val="Indenta"/>
        <w:rPr>
          <w:snapToGrid w:val="0"/>
        </w:rPr>
      </w:pPr>
      <w:r>
        <w:rPr>
          <w:snapToGrid w:val="0"/>
        </w:rPr>
        <w:tab/>
        <w:t>(a)</w:t>
      </w:r>
      <w:r>
        <w:rPr>
          <w:snapToGrid w:val="0"/>
        </w:rPr>
        <w:tab/>
        <w:t>that he has found no evidence of any infectious or contagious disease; and</w:t>
      </w:r>
    </w:p>
    <w:p>
      <w:pPr>
        <w:pStyle w:val="Indenta"/>
        <w:rPr>
          <w:snapToGrid w:val="0"/>
        </w:rPr>
      </w:pPr>
      <w:r>
        <w:rPr>
          <w:snapToGrid w:val="0"/>
        </w:rPr>
        <w:tab/>
        <w:t>(b)</w:t>
      </w:r>
      <w:r>
        <w:rPr>
          <w:snapToGrid w:val="0"/>
        </w:rPr>
        <w:tab/>
        <w:t>that the results to tests performed for tuberculosis, brucellosis and leptospirosis according to the provisions of regulation 10(1)(a), (b) and (c) are negative.</w:t>
      </w:r>
    </w:p>
    <w:p>
      <w:pPr>
        <w:pStyle w:val="Heading5"/>
        <w:rPr>
          <w:snapToGrid w:val="0"/>
        </w:rPr>
      </w:pPr>
      <w:bookmarkStart w:id="83" w:name="_Toc459092094"/>
      <w:bookmarkStart w:id="84" w:name="_Toc518711422"/>
      <w:bookmarkStart w:id="85" w:name="_Toc170716906"/>
      <w:r>
        <w:rPr>
          <w:rStyle w:val="CharSectno"/>
        </w:rPr>
        <w:t>14</w:t>
      </w:r>
      <w:r>
        <w:rPr>
          <w:snapToGrid w:val="0"/>
        </w:rPr>
        <w:t>.</w:t>
      </w:r>
      <w:r>
        <w:rPr>
          <w:snapToGrid w:val="0"/>
        </w:rPr>
        <w:tab/>
        <w:t>Tests of steers in quarantine</w:t>
      </w:r>
      <w:bookmarkEnd w:id="83"/>
      <w:bookmarkEnd w:id="84"/>
      <w:bookmarkEnd w:id="85"/>
      <w:r>
        <w:rPr>
          <w:snapToGrid w:val="0"/>
        </w:rPr>
        <w:t xml:space="preserve"> </w:t>
      </w:r>
    </w:p>
    <w:p>
      <w:pPr>
        <w:pStyle w:val="Subsection"/>
        <w:rPr>
          <w:snapToGrid w:val="0"/>
        </w:rPr>
      </w:pPr>
      <w:r>
        <w:rPr>
          <w:snapToGrid w:val="0"/>
        </w:rPr>
        <w:tab/>
        <w:t>(1)</w:t>
      </w:r>
      <w:r>
        <w:rPr>
          <w:snapToGrid w:val="0"/>
        </w:rPr>
        <w:tab/>
        <w:t>A steer qualified to enter premises pursuant to regulation 13 shall forthwith after entry be placed in the quarantine area and shall not be removed unless it has again been tested by a veterinary surgeon for tuberculosis, brucellosis and leptospirosis according to the provisions of regulation 11(1)(a), (b) and (c), with negative results.</w:t>
      </w:r>
    </w:p>
    <w:p>
      <w:pPr>
        <w:pStyle w:val="Subsection"/>
        <w:rPr>
          <w:snapToGrid w:val="0"/>
        </w:rPr>
      </w:pPr>
      <w:r>
        <w:rPr>
          <w:snapToGrid w:val="0"/>
        </w:rPr>
        <w:tab/>
        <w:t>(2)</w:t>
      </w:r>
      <w:r>
        <w:rPr>
          <w:snapToGrid w:val="0"/>
        </w:rPr>
        <w:tab/>
        <w:t>A veterinary surgeon testing a steer shall on completion of the tests referred to in subregulation (1), certify that the results to those tests are negative.</w:t>
      </w:r>
    </w:p>
    <w:p>
      <w:pPr>
        <w:pStyle w:val="Heading5"/>
        <w:rPr>
          <w:snapToGrid w:val="0"/>
        </w:rPr>
      </w:pPr>
      <w:bookmarkStart w:id="86" w:name="_Toc459092095"/>
      <w:bookmarkStart w:id="87" w:name="_Toc518711423"/>
      <w:bookmarkStart w:id="88" w:name="_Toc170716907"/>
      <w:r>
        <w:rPr>
          <w:rStyle w:val="CharSectno"/>
        </w:rPr>
        <w:t>15</w:t>
      </w:r>
      <w:r>
        <w:rPr>
          <w:snapToGrid w:val="0"/>
        </w:rPr>
        <w:t>.</w:t>
      </w:r>
      <w:r>
        <w:rPr>
          <w:snapToGrid w:val="0"/>
        </w:rPr>
        <w:tab/>
        <w:t>Entry of cows and heifers on premises</w:t>
      </w:r>
      <w:bookmarkEnd w:id="86"/>
      <w:bookmarkEnd w:id="87"/>
      <w:bookmarkEnd w:id="88"/>
      <w:r>
        <w:rPr>
          <w:snapToGrid w:val="0"/>
        </w:rPr>
        <w:t xml:space="preserve"> </w:t>
      </w:r>
    </w:p>
    <w:p>
      <w:pPr>
        <w:pStyle w:val="Subsection"/>
        <w:rPr>
          <w:snapToGrid w:val="0"/>
        </w:rPr>
      </w:pPr>
      <w:r>
        <w:rPr>
          <w:snapToGrid w:val="0"/>
        </w:rPr>
        <w:tab/>
        <w:t>(1)</w:t>
      </w:r>
      <w:r>
        <w:rPr>
          <w:snapToGrid w:val="0"/>
        </w:rPr>
        <w:tab/>
        <w:t>A person shall not permit a cow or heifer to enter or remain upon the premises unless it has within the 30 days immediately prior to its entry been clinically examined and tested in isolation by a veterinary surgeon in accordance with the provisions of subregulation (2).</w:t>
      </w:r>
    </w:p>
    <w:p>
      <w:pPr>
        <w:pStyle w:val="Subsection"/>
        <w:rPr>
          <w:snapToGrid w:val="0"/>
        </w:rPr>
      </w:pPr>
      <w:r>
        <w:rPr>
          <w:snapToGrid w:val="0"/>
        </w:rPr>
        <w:tab/>
        <w:t>(2)</w:t>
      </w:r>
      <w:r>
        <w:rPr>
          <w:snapToGrid w:val="0"/>
        </w:rPr>
        <w:tab/>
        <w:t>A veterinary surgeon examining a cow or heifer shall certify that — </w:t>
      </w:r>
    </w:p>
    <w:p>
      <w:pPr>
        <w:pStyle w:val="Indenta"/>
        <w:rPr>
          <w:snapToGrid w:val="0"/>
        </w:rPr>
      </w:pPr>
      <w:r>
        <w:rPr>
          <w:snapToGrid w:val="0"/>
        </w:rPr>
        <w:tab/>
        <w:t>(a)</w:t>
      </w:r>
      <w:r>
        <w:rPr>
          <w:snapToGrid w:val="0"/>
        </w:rPr>
        <w:tab/>
        <w:t>he has found no evidence of infectious or contagious disease;</w:t>
      </w:r>
    </w:p>
    <w:p>
      <w:pPr>
        <w:pStyle w:val="Indenta"/>
        <w:rPr>
          <w:snapToGrid w:val="0"/>
        </w:rPr>
      </w:pPr>
      <w:r>
        <w:rPr>
          <w:snapToGrid w:val="0"/>
        </w:rPr>
        <w:tab/>
        <w:t>(b)</w:t>
      </w:r>
      <w:r>
        <w:rPr>
          <w:snapToGrid w:val="0"/>
        </w:rPr>
        <w:tab/>
        <w:t>he has tested the animal for tuberculosis, brucellosis and leptospirosis according to the provisions of regulation 10(1)(a), (b) and (c) with negative results;</w:t>
      </w:r>
    </w:p>
    <w:p>
      <w:pPr>
        <w:pStyle w:val="Indenta"/>
        <w:rPr>
          <w:snapToGrid w:val="0"/>
        </w:rPr>
      </w:pPr>
      <w:r>
        <w:rPr>
          <w:snapToGrid w:val="0"/>
        </w:rPr>
        <w:tab/>
        <w:t>(c)</w:t>
      </w:r>
      <w:r>
        <w:rPr>
          <w:snapToGrid w:val="0"/>
        </w:rPr>
        <w:tab/>
        <w:t>vaginal mucous was collected and submitted to agglutination and cultural tests for vibriosis with negative results; and</w:t>
      </w:r>
    </w:p>
    <w:p>
      <w:pPr>
        <w:pStyle w:val="Indenta"/>
        <w:rPr>
          <w:snapToGrid w:val="0"/>
        </w:rPr>
      </w:pPr>
      <w:r>
        <w:rPr>
          <w:snapToGrid w:val="0"/>
        </w:rPr>
        <w:tab/>
        <w:t>(d)</w:t>
      </w:r>
      <w:r>
        <w:rPr>
          <w:snapToGrid w:val="0"/>
        </w:rPr>
        <w:tab/>
        <w:t>vaginal mucous was collected and cultured for evidence of trichomoniasis with negative results.</w:t>
      </w:r>
    </w:p>
    <w:p>
      <w:pPr>
        <w:pStyle w:val="Heading5"/>
        <w:rPr>
          <w:snapToGrid w:val="0"/>
        </w:rPr>
      </w:pPr>
      <w:bookmarkStart w:id="89" w:name="_Toc459092096"/>
      <w:bookmarkStart w:id="90" w:name="_Toc518711424"/>
      <w:bookmarkStart w:id="91" w:name="_Toc170716908"/>
      <w:r>
        <w:rPr>
          <w:rStyle w:val="CharSectno"/>
        </w:rPr>
        <w:t>16</w:t>
      </w:r>
      <w:r>
        <w:rPr>
          <w:snapToGrid w:val="0"/>
        </w:rPr>
        <w:t>.</w:t>
      </w:r>
      <w:r>
        <w:rPr>
          <w:snapToGrid w:val="0"/>
        </w:rPr>
        <w:tab/>
        <w:t>Tests for cows and heifers in quarantine</w:t>
      </w:r>
      <w:bookmarkEnd w:id="89"/>
      <w:bookmarkEnd w:id="90"/>
      <w:bookmarkEnd w:id="91"/>
      <w:r>
        <w:rPr>
          <w:snapToGrid w:val="0"/>
        </w:rPr>
        <w:t xml:space="preserve"> </w:t>
      </w:r>
    </w:p>
    <w:p>
      <w:pPr>
        <w:pStyle w:val="Subsection"/>
        <w:rPr>
          <w:snapToGrid w:val="0"/>
        </w:rPr>
      </w:pPr>
      <w:r>
        <w:rPr>
          <w:snapToGrid w:val="0"/>
        </w:rPr>
        <w:tab/>
        <w:t>(1)</w:t>
      </w:r>
      <w:r>
        <w:rPr>
          <w:snapToGrid w:val="0"/>
        </w:rPr>
        <w:tab/>
        <w:t>A cow, or heifer, that is qualified to enter premises pursuant to regulation 15 shall, forthwith after entry, be placed in the quarantine area and shall not be removed until it has again been tested by a veterinary surgeon for — </w:t>
      </w:r>
    </w:p>
    <w:p>
      <w:pPr>
        <w:pStyle w:val="Indenta"/>
        <w:rPr>
          <w:snapToGrid w:val="0"/>
        </w:rPr>
      </w:pPr>
      <w:r>
        <w:rPr>
          <w:snapToGrid w:val="0"/>
        </w:rPr>
        <w:tab/>
        <w:t>(a)</w:t>
      </w:r>
      <w:r>
        <w:rPr>
          <w:snapToGrid w:val="0"/>
        </w:rPr>
        <w:tab/>
        <w:t>tuberculosis, brucellosis and leptospirosis; according to the provisions of regulation 11(1)(a), (b) and (c), with negative results;</w:t>
      </w:r>
    </w:p>
    <w:p>
      <w:pPr>
        <w:pStyle w:val="Indenta"/>
        <w:rPr>
          <w:snapToGrid w:val="0"/>
        </w:rPr>
      </w:pPr>
      <w:r>
        <w:rPr>
          <w:snapToGrid w:val="0"/>
        </w:rPr>
        <w:tab/>
        <w:t>(b)</w:t>
      </w:r>
      <w:r>
        <w:rPr>
          <w:snapToGrid w:val="0"/>
        </w:rPr>
        <w:tab/>
        <w:t>vibriosis; by examination of vaginal mucous by agglutination and culture, on 4 occasions at weekly intervals, with negative results; and</w:t>
      </w:r>
    </w:p>
    <w:p>
      <w:pPr>
        <w:pStyle w:val="Indenta"/>
        <w:rPr>
          <w:snapToGrid w:val="0"/>
        </w:rPr>
      </w:pPr>
      <w:r>
        <w:rPr>
          <w:snapToGrid w:val="0"/>
        </w:rPr>
        <w:tab/>
        <w:t>(c)</w:t>
      </w:r>
      <w:r>
        <w:rPr>
          <w:snapToGrid w:val="0"/>
        </w:rPr>
        <w:tab/>
        <w:t>trichomoniasis; by cultural examination of vaginal mucous, on 4 occasions at weekly intervals, with negative results.</w:t>
      </w:r>
    </w:p>
    <w:p>
      <w:pPr>
        <w:pStyle w:val="Subsection"/>
        <w:rPr>
          <w:snapToGrid w:val="0"/>
        </w:rPr>
      </w:pPr>
      <w:r>
        <w:rPr>
          <w:snapToGrid w:val="0"/>
        </w:rPr>
        <w:tab/>
        <w:t>(2)</w:t>
      </w:r>
      <w:r>
        <w:rPr>
          <w:snapToGrid w:val="0"/>
        </w:rPr>
        <w:tab/>
        <w:t>A veterinary surgeon testing a cow or heifer shall on completion of the tests referred to in subregulation (1), certify that the results of those tests are negative.</w:t>
      </w:r>
    </w:p>
    <w:p>
      <w:pPr>
        <w:pStyle w:val="Heading5"/>
        <w:rPr>
          <w:snapToGrid w:val="0"/>
        </w:rPr>
      </w:pPr>
      <w:bookmarkStart w:id="92" w:name="_Toc459092097"/>
      <w:bookmarkStart w:id="93" w:name="_Toc518711425"/>
      <w:bookmarkStart w:id="94" w:name="_Toc170716909"/>
      <w:r>
        <w:rPr>
          <w:rStyle w:val="CharSectno"/>
        </w:rPr>
        <w:t>17</w:t>
      </w:r>
      <w:r>
        <w:rPr>
          <w:snapToGrid w:val="0"/>
        </w:rPr>
        <w:t>.</w:t>
      </w:r>
      <w:r>
        <w:rPr>
          <w:snapToGrid w:val="0"/>
        </w:rPr>
        <w:tab/>
        <w:t>Testing of stock after release from quarantine area</w:t>
      </w:r>
      <w:bookmarkEnd w:id="92"/>
      <w:bookmarkEnd w:id="93"/>
      <w:bookmarkEnd w:id="94"/>
      <w:r>
        <w:rPr>
          <w:snapToGrid w:val="0"/>
        </w:rPr>
        <w:t xml:space="preserve"> </w:t>
      </w:r>
    </w:p>
    <w:p>
      <w:pPr>
        <w:pStyle w:val="Subsection"/>
        <w:spacing w:before="80" w:after="120"/>
        <w:rPr>
          <w:snapToGrid w:val="0"/>
        </w:rPr>
      </w:pPr>
      <w:r>
        <w:rPr>
          <w:snapToGrid w:val="0"/>
        </w:rPr>
        <w:tab/>
        <w:t>(1)</w:t>
      </w:r>
      <w:r>
        <w:rPr>
          <w:snapToGrid w:val="0"/>
        </w:rPr>
        <w:tab/>
        <w:t>Any stock which have been removed from the quarantine area after completion of negative tests and are retained on the premises shall be checked for the diseases, in accordance with the procedures (if any) at such time intervals as are specified in the following table — </w:t>
      </w:r>
    </w:p>
    <w:p>
      <w:pPr>
        <w:pStyle w:val="MiscellaneousHeading"/>
        <w:rPr>
          <w:b/>
          <w:bCs/>
          <w:snapToGrid w:val="0"/>
        </w:rPr>
      </w:pPr>
    </w:p>
    <w:tbl>
      <w:tblPr>
        <w:tblW w:w="0" w:type="auto"/>
        <w:tblInd w:w="141" w:type="dxa"/>
        <w:tblLayout w:type="fixed"/>
        <w:tblCellMar>
          <w:left w:w="141" w:type="dxa"/>
          <w:right w:w="141" w:type="dxa"/>
        </w:tblCellMar>
        <w:tblLook w:val="0000" w:firstRow="0" w:lastRow="0" w:firstColumn="0" w:lastColumn="0" w:noHBand="0" w:noVBand="0"/>
      </w:tblPr>
      <w:tblGrid>
        <w:gridCol w:w="1705"/>
        <w:gridCol w:w="3103"/>
        <w:gridCol w:w="2280"/>
      </w:tblGrid>
      <w:tr>
        <w:trPr>
          <w:tblHeader/>
        </w:trPr>
        <w:tc>
          <w:tcPr>
            <w:tcW w:w="1705" w:type="dxa"/>
            <w:tcBorders>
              <w:top w:val="single" w:sz="12" w:space="0" w:color="auto"/>
              <w:bottom w:val="single" w:sz="12" w:space="0" w:color="auto"/>
            </w:tcBorders>
          </w:tcPr>
          <w:p>
            <w:pPr>
              <w:pStyle w:val="Table"/>
              <w:spacing w:before="0"/>
              <w:jc w:val="center"/>
              <w:rPr>
                <w:b/>
                <w:sz w:val="24"/>
              </w:rPr>
            </w:pPr>
            <w:r>
              <w:rPr>
                <w:b/>
                <w:sz w:val="24"/>
              </w:rPr>
              <w:t>Stock</w:t>
            </w:r>
          </w:p>
        </w:tc>
        <w:tc>
          <w:tcPr>
            <w:tcW w:w="3103" w:type="dxa"/>
            <w:tcBorders>
              <w:top w:val="single" w:sz="12" w:space="0" w:color="auto"/>
              <w:left w:val="single" w:sz="4" w:space="0" w:color="auto"/>
              <w:bottom w:val="single" w:sz="12" w:space="0" w:color="auto"/>
              <w:right w:val="single" w:sz="4" w:space="0" w:color="auto"/>
            </w:tcBorders>
          </w:tcPr>
          <w:p>
            <w:pPr>
              <w:pStyle w:val="Table"/>
              <w:spacing w:before="0"/>
              <w:jc w:val="center"/>
              <w:rPr>
                <w:b/>
                <w:sz w:val="24"/>
              </w:rPr>
            </w:pPr>
            <w:r>
              <w:rPr>
                <w:b/>
                <w:sz w:val="24"/>
              </w:rPr>
              <w:t>Disease, Procedure and Result</w:t>
            </w:r>
          </w:p>
        </w:tc>
        <w:tc>
          <w:tcPr>
            <w:tcW w:w="2280" w:type="dxa"/>
            <w:tcBorders>
              <w:top w:val="single" w:sz="12" w:space="0" w:color="auto"/>
              <w:left w:val="nil"/>
              <w:bottom w:val="single" w:sz="12" w:space="0" w:color="auto"/>
            </w:tcBorders>
          </w:tcPr>
          <w:p>
            <w:pPr>
              <w:pStyle w:val="Table"/>
              <w:spacing w:before="0"/>
              <w:jc w:val="center"/>
              <w:rPr>
                <w:b/>
                <w:sz w:val="24"/>
              </w:rPr>
            </w:pPr>
            <w:r>
              <w:rPr>
                <w:b/>
                <w:sz w:val="24"/>
              </w:rPr>
              <w:t>Frequency</w:t>
            </w:r>
          </w:p>
        </w:tc>
      </w:tr>
      <w:tr>
        <w:tc>
          <w:tcPr>
            <w:tcW w:w="1705" w:type="dxa"/>
          </w:tcPr>
          <w:p>
            <w:pPr>
              <w:pStyle w:val="Table"/>
              <w:tabs>
                <w:tab w:val="left" w:pos="377"/>
              </w:tabs>
              <w:spacing w:before="0"/>
              <w:rPr>
                <w:sz w:val="23"/>
                <w:lang w:val="en-US"/>
              </w:rPr>
            </w:pPr>
            <w:r>
              <w:rPr>
                <w:sz w:val="23"/>
              </w:rPr>
              <w:t>1.</w:t>
            </w:r>
            <w:r>
              <w:rPr>
                <w:sz w:val="23"/>
              </w:rPr>
              <w:tab/>
              <w:t>Horses.</w:t>
            </w:r>
          </w:p>
        </w:tc>
        <w:tc>
          <w:tcPr>
            <w:tcW w:w="3103" w:type="dxa"/>
            <w:tcBorders>
              <w:left w:val="single" w:sz="4" w:space="0" w:color="auto"/>
              <w:right w:val="single" w:sz="4" w:space="0" w:color="auto"/>
            </w:tcBorders>
          </w:tcPr>
          <w:p>
            <w:pPr>
              <w:pStyle w:val="Table"/>
              <w:tabs>
                <w:tab w:val="left" w:pos="382"/>
              </w:tabs>
              <w:spacing w:before="0"/>
              <w:ind w:left="382" w:hanging="382"/>
              <w:rPr>
                <w:sz w:val="23"/>
              </w:rPr>
            </w:pPr>
            <w:r>
              <w:rPr>
                <w:sz w:val="23"/>
              </w:rPr>
              <w:t>(a)</w:t>
            </w:r>
            <w:r>
              <w:rPr>
                <w:sz w:val="23"/>
              </w:rPr>
              <w:tab/>
              <w:t>Brucellosis with negative results.</w:t>
            </w:r>
          </w:p>
        </w:tc>
        <w:tc>
          <w:tcPr>
            <w:tcW w:w="2280" w:type="dxa"/>
            <w:tcBorders>
              <w:left w:val="nil"/>
            </w:tcBorders>
          </w:tcPr>
          <w:p>
            <w:pPr>
              <w:pStyle w:val="Table"/>
              <w:spacing w:before="0"/>
              <w:rPr>
                <w:sz w:val="23"/>
              </w:rPr>
            </w:pPr>
            <w:r>
              <w:rPr>
                <w:sz w:val="23"/>
              </w:rPr>
              <w:t>Not less than once in every 12 months.</w:t>
            </w:r>
          </w:p>
        </w:tc>
      </w:tr>
      <w:tr>
        <w:tc>
          <w:tcPr>
            <w:tcW w:w="1705" w:type="dxa"/>
          </w:tcPr>
          <w:p>
            <w:pPr>
              <w:pStyle w:val="Table"/>
              <w:spacing w:before="0"/>
              <w:rPr>
                <w:sz w:val="23"/>
              </w:rPr>
            </w:pPr>
          </w:p>
        </w:tc>
        <w:tc>
          <w:tcPr>
            <w:tcW w:w="3103" w:type="dxa"/>
            <w:tcBorders>
              <w:left w:val="single" w:sz="4" w:space="0" w:color="auto"/>
              <w:right w:val="single" w:sz="4" w:space="0" w:color="auto"/>
            </w:tcBorders>
          </w:tcPr>
          <w:p>
            <w:pPr>
              <w:pStyle w:val="Table"/>
              <w:tabs>
                <w:tab w:val="left" w:pos="382"/>
              </w:tabs>
              <w:spacing w:before="0"/>
              <w:ind w:left="382" w:hanging="382"/>
              <w:rPr>
                <w:sz w:val="23"/>
              </w:rPr>
            </w:pPr>
            <w:r>
              <w:rPr>
                <w:sz w:val="23"/>
              </w:rPr>
              <w:t>(b)</w:t>
            </w:r>
            <w:r>
              <w:rPr>
                <w:sz w:val="23"/>
              </w:rPr>
              <w:tab/>
              <w:t>Leptospirosis with negative results.</w:t>
            </w:r>
          </w:p>
        </w:tc>
        <w:tc>
          <w:tcPr>
            <w:tcW w:w="2280" w:type="dxa"/>
            <w:tcBorders>
              <w:left w:val="nil"/>
            </w:tcBorders>
          </w:tcPr>
          <w:p>
            <w:pPr>
              <w:pStyle w:val="Table"/>
              <w:spacing w:before="0"/>
              <w:rPr>
                <w:sz w:val="23"/>
              </w:rPr>
            </w:pPr>
            <w:r>
              <w:rPr>
                <w:sz w:val="23"/>
              </w:rPr>
              <w:t>Not less than once in every 12 months.</w:t>
            </w:r>
          </w:p>
        </w:tc>
      </w:tr>
      <w:tr>
        <w:tc>
          <w:tcPr>
            <w:tcW w:w="1705" w:type="dxa"/>
          </w:tcPr>
          <w:p>
            <w:pPr>
              <w:pStyle w:val="Table"/>
              <w:tabs>
                <w:tab w:val="left" w:pos="374"/>
              </w:tabs>
              <w:spacing w:before="0"/>
              <w:rPr>
                <w:sz w:val="23"/>
              </w:rPr>
            </w:pPr>
            <w:r>
              <w:rPr>
                <w:sz w:val="23"/>
              </w:rPr>
              <w:t>2.</w:t>
            </w:r>
            <w:r>
              <w:rPr>
                <w:sz w:val="23"/>
              </w:rPr>
              <w:tab/>
              <w:t>Bulls.</w:t>
            </w:r>
          </w:p>
        </w:tc>
        <w:tc>
          <w:tcPr>
            <w:tcW w:w="3103" w:type="dxa"/>
            <w:tcBorders>
              <w:left w:val="single" w:sz="4" w:space="0" w:color="auto"/>
              <w:right w:val="single" w:sz="4" w:space="0" w:color="auto"/>
            </w:tcBorders>
          </w:tcPr>
          <w:p>
            <w:pPr>
              <w:pStyle w:val="Table"/>
              <w:tabs>
                <w:tab w:val="left" w:pos="382"/>
              </w:tabs>
              <w:spacing w:before="0"/>
              <w:ind w:left="382" w:hanging="382"/>
              <w:rPr>
                <w:sz w:val="23"/>
              </w:rPr>
            </w:pPr>
            <w:r>
              <w:rPr>
                <w:sz w:val="23"/>
              </w:rPr>
              <w:t>(a)</w:t>
            </w:r>
            <w:r>
              <w:rPr>
                <w:sz w:val="23"/>
              </w:rPr>
              <w:tab/>
              <w:t>Tuberculin test with negative results.</w:t>
            </w:r>
          </w:p>
        </w:tc>
        <w:tc>
          <w:tcPr>
            <w:tcW w:w="2280" w:type="dxa"/>
            <w:tcBorders>
              <w:left w:val="nil"/>
            </w:tcBorders>
          </w:tcPr>
          <w:p>
            <w:pPr>
              <w:pStyle w:val="Table"/>
              <w:spacing w:before="0"/>
              <w:rPr>
                <w:sz w:val="23"/>
              </w:rPr>
            </w:pPr>
            <w:r>
              <w:rPr>
                <w:sz w:val="23"/>
              </w:rPr>
              <w:t>Not less than once in every 12 months.</w:t>
            </w:r>
          </w:p>
        </w:tc>
      </w:tr>
      <w:tr>
        <w:tc>
          <w:tcPr>
            <w:tcW w:w="1705" w:type="dxa"/>
          </w:tcPr>
          <w:p>
            <w:pPr>
              <w:pStyle w:val="Table"/>
              <w:spacing w:before="0"/>
              <w:rPr>
                <w:sz w:val="23"/>
              </w:rPr>
            </w:pPr>
          </w:p>
        </w:tc>
        <w:tc>
          <w:tcPr>
            <w:tcW w:w="3103" w:type="dxa"/>
            <w:tcBorders>
              <w:left w:val="single" w:sz="4" w:space="0" w:color="auto"/>
              <w:right w:val="single" w:sz="4" w:space="0" w:color="auto"/>
            </w:tcBorders>
          </w:tcPr>
          <w:p>
            <w:pPr>
              <w:pStyle w:val="Table"/>
              <w:tabs>
                <w:tab w:val="left" w:pos="382"/>
              </w:tabs>
              <w:spacing w:before="0"/>
              <w:ind w:left="382" w:hanging="382"/>
              <w:rPr>
                <w:sz w:val="23"/>
              </w:rPr>
            </w:pPr>
            <w:r>
              <w:rPr>
                <w:sz w:val="23"/>
              </w:rPr>
              <w:t>(b)</w:t>
            </w:r>
            <w:r>
              <w:rPr>
                <w:sz w:val="23"/>
              </w:rPr>
              <w:tab/>
              <w:t>Brucellosis —complement fixation test with negative results.</w:t>
            </w:r>
          </w:p>
        </w:tc>
        <w:tc>
          <w:tcPr>
            <w:tcW w:w="2280" w:type="dxa"/>
            <w:tcBorders>
              <w:left w:val="nil"/>
            </w:tcBorders>
          </w:tcPr>
          <w:p>
            <w:pPr>
              <w:pStyle w:val="Table"/>
              <w:spacing w:before="0"/>
              <w:rPr>
                <w:sz w:val="23"/>
              </w:rPr>
            </w:pPr>
            <w:r>
              <w:rPr>
                <w:sz w:val="23"/>
              </w:rPr>
              <w:t>Not less than once in every 12 months.</w:t>
            </w:r>
          </w:p>
        </w:tc>
      </w:tr>
      <w:tr>
        <w:tc>
          <w:tcPr>
            <w:tcW w:w="1705" w:type="dxa"/>
          </w:tcPr>
          <w:p>
            <w:pPr>
              <w:pStyle w:val="Table"/>
              <w:spacing w:before="0"/>
              <w:rPr>
                <w:sz w:val="23"/>
              </w:rPr>
            </w:pPr>
          </w:p>
        </w:tc>
        <w:tc>
          <w:tcPr>
            <w:tcW w:w="3103" w:type="dxa"/>
            <w:tcBorders>
              <w:left w:val="single" w:sz="4" w:space="0" w:color="auto"/>
              <w:right w:val="single" w:sz="4" w:space="0" w:color="auto"/>
            </w:tcBorders>
          </w:tcPr>
          <w:p>
            <w:pPr>
              <w:pStyle w:val="Table"/>
              <w:tabs>
                <w:tab w:val="left" w:pos="382"/>
              </w:tabs>
              <w:spacing w:before="0"/>
              <w:ind w:left="382" w:hanging="382"/>
              <w:rPr>
                <w:sz w:val="23"/>
              </w:rPr>
            </w:pPr>
            <w:r>
              <w:rPr>
                <w:sz w:val="23"/>
              </w:rPr>
              <w:t>(c)</w:t>
            </w:r>
            <w:r>
              <w:rPr>
                <w:sz w:val="23"/>
              </w:rPr>
              <w:tab/>
              <w:t>Leptospirosis — with results satisfactory to the Chief Veterinary Surgeon.</w:t>
            </w:r>
          </w:p>
        </w:tc>
        <w:tc>
          <w:tcPr>
            <w:tcW w:w="2280" w:type="dxa"/>
            <w:tcBorders>
              <w:left w:val="nil"/>
            </w:tcBorders>
          </w:tcPr>
          <w:p>
            <w:pPr>
              <w:pStyle w:val="Table"/>
              <w:spacing w:before="0"/>
              <w:rPr>
                <w:sz w:val="23"/>
              </w:rPr>
            </w:pPr>
            <w:r>
              <w:rPr>
                <w:sz w:val="23"/>
              </w:rPr>
              <w:t>Not less than once in every 12 months.</w:t>
            </w:r>
          </w:p>
        </w:tc>
      </w:tr>
      <w:tr>
        <w:tc>
          <w:tcPr>
            <w:tcW w:w="1705" w:type="dxa"/>
          </w:tcPr>
          <w:p>
            <w:pPr>
              <w:pStyle w:val="Table"/>
              <w:spacing w:before="0"/>
              <w:rPr>
                <w:sz w:val="23"/>
              </w:rPr>
            </w:pPr>
          </w:p>
        </w:tc>
        <w:tc>
          <w:tcPr>
            <w:tcW w:w="3103" w:type="dxa"/>
            <w:tcBorders>
              <w:left w:val="single" w:sz="4" w:space="0" w:color="auto"/>
              <w:right w:val="single" w:sz="4" w:space="0" w:color="auto"/>
            </w:tcBorders>
          </w:tcPr>
          <w:p>
            <w:pPr>
              <w:pStyle w:val="Table"/>
              <w:tabs>
                <w:tab w:val="left" w:pos="382"/>
              </w:tabs>
              <w:spacing w:before="0"/>
              <w:ind w:left="382" w:hanging="382"/>
              <w:rPr>
                <w:sz w:val="23"/>
              </w:rPr>
            </w:pPr>
            <w:r>
              <w:rPr>
                <w:sz w:val="23"/>
              </w:rPr>
              <w:t>(d)</w:t>
            </w:r>
            <w:r>
              <w:rPr>
                <w:sz w:val="23"/>
              </w:rPr>
              <w:tab/>
              <w:t>Examination by culture and immunoflorescence of preputial scrapings for vibriosis infection, with negative results.</w:t>
            </w:r>
          </w:p>
        </w:tc>
        <w:tc>
          <w:tcPr>
            <w:tcW w:w="2280" w:type="dxa"/>
            <w:tcBorders>
              <w:left w:val="nil"/>
            </w:tcBorders>
          </w:tcPr>
          <w:p>
            <w:pPr>
              <w:pStyle w:val="Table"/>
              <w:spacing w:before="0"/>
              <w:rPr>
                <w:sz w:val="23"/>
              </w:rPr>
            </w:pPr>
            <w:r>
              <w:rPr>
                <w:sz w:val="23"/>
              </w:rPr>
              <w:t>Not less than once in every 12 months.</w:t>
            </w:r>
          </w:p>
        </w:tc>
      </w:tr>
      <w:tr>
        <w:tc>
          <w:tcPr>
            <w:tcW w:w="1705" w:type="dxa"/>
          </w:tcPr>
          <w:p>
            <w:pPr>
              <w:pStyle w:val="Table"/>
              <w:spacing w:before="0"/>
              <w:rPr>
                <w:sz w:val="23"/>
              </w:rPr>
            </w:pPr>
          </w:p>
        </w:tc>
        <w:tc>
          <w:tcPr>
            <w:tcW w:w="3103" w:type="dxa"/>
            <w:tcBorders>
              <w:left w:val="single" w:sz="4" w:space="0" w:color="auto"/>
              <w:right w:val="single" w:sz="4" w:space="0" w:color="auto"/>
            </w:tcBorders>
          </w:tcPr>
          <w:p>
            <w:pPr>
              <w:pStyle w:val="Table"/>
              <w:tabs>
                <w:tab w:val="left" w:pos="382"/>
              </w:tabs>
              <w:spacing w:before="0"/>
              <w:ind w:left="382" w:hanging="382"/>
              <w:rPr>
                <w:sz w:val="23"/>
              </w:rPr>
            </w:pPr>
            <w:r>
              <w:rPr>
                <w:sz w:val="23"/>
              </w:rPr>
              <w:t>(e)</w:t>
            </w:r>
            <w:r>
              <w:rPr>
                <w:sz w:val="23"/>
              </w:rPr>
              <w:tab/>
              <w:t>Examination by culture of preputial scrapings, for trichomoniasis infection with negative results.</w:t>
            </w:r>
          </w:p>
        </w:tc>
        <w:tc>
          <w:tcPr>
            <w:tcW w:w="2280" w:type="dxa"/>
            <w:tcBorders>
              <w:left w:val="nil"/>
            </w:tcBorders>
          </w:tcPr>
          <w:p>
            <w:pPr>
              <w:pStyle w:val="Table"/>
              <w:spacing w:before="0"/>
              <w:rPr>
                <w:sz w:val="23"/>
              </w:rPr>
            </w:pPr>
            <w:r>
              <w:rPr>
                <w:sz w:val="23"/>
              </w:rPr>
              <w:t>Not less than once in every 12 months.</w:t>
            </w:r>
          </w:p>
        </w:tc>
      </w:tr>
      <w:tr>
        <w:tc>
          <w:tcPr>
            <w:tcW w:w="1705" w:type="dxa"/>
          </w:tcPr>
          <w:p>
            <w:pPr>
              <w:pStyle w:val="Table"/>
              <w:tabs>
                <w:tab w:val="left" w:pos="374"/>
              </w:tabs>
              <w:spacing w:before="0"/>
              <w:rPr>
                <w:sz w:val="23"/>
              </w:rPr>
            </w:pPr>
            <w:r>
              <w:rPr>
                <w:sz w:val="23"/>
              </w:rPr>
              <w:t>3.</w:t>
            </w:r>
            <w:r>
              <w:rPr>
                <w:sz w:val="23"/>
              </w:rPr>
              <w:tab/>
              <w:t>Steers</w:t>
            </w:r>
          </w:p>
        </w:tc>
        <w:tc>
          <w:tcPr>
            <w:tcW w:w="3103" w:type="dxa"/>
            <w:tcBorders>
              <w:left w:val="single" w:sz="4" w:space="0" w:color="auto"/>
              <w:right w:val="single" w:sz="4" w:space="0" w:color="auto"/>
            </w:tcBorders>
          </w:tcPr>
          <w:p>
            <w:pPr>
              <w:pStyle w:val="Table"/>
              <w:tabs>
                <w:tab w:val="left" w:pos="382"/>
              </w:tabs>
              <w:spacing w:before="0"/>
              <w:ind w:left="382" w:hanging="382"/>
              <w:rPr>
                <w:sz w:val="23"/>
              </w:rPr>
            </w:pPr>
            <w:r>
              <w:rPr>
                <w:sz w:val="23"/>
              </w:rPr>
              <w:t>(a)</w:t>
            </w:r>
            <w:r>
              <w:rPr>
                <w:sz w:val="23"/>
              </w:rPr>
              <w:tab/>
              <w:t>Tuberculin test with negative results.</w:t>
            </w:r>
          </w:p>
        </w:tc>
        <w:tc>
          <w:tcPr>
            <w:tcW w:w="2280" w:type="dxa"/>
            <w:tcBorders>
              <w:left w:val="nil"/>
            </w:tcBorders>
          </w:tcPr>
          <w:p>
            <w:pPr>
              <w:pStyle w:val="Table"/>
              <w:spacing w:before="0"/>
              <w:rPr>
                <w:sz w:val="23"/>
              </w:rPr>
            </w:pPr>
            <w:r>
              <w:rPr>
                <w:sz w:val="23"/>
              </w:rPr>
              <w:t>Not less than once in every 12 months.</w:t>
            </w:r>
          </w:p>
        </w:tc>
      </w:tr>
      <w:tr>
        <w:tc>
          <w:tcPr>
            <w:tcW w:w="1705" w:type="dxa"/>
          </w:tcPr>
          <w:p>
            <w:pPr>
              <w:pStyle w:val="Table"/>
              <w:spacing w:before="0"/>
              <w:rPr>
                <w:sz w:val="23"/>
              </w:rPr>
            </w:pPr>
          </w:p>
        </w:tc>
        <w:tc>
          <w:tcPr>
            <w:tcW w:w="3103" w:type="dxa"/>
            <w:tcBorders>
              <w:left w:val="single" w:sz="4" w:space="0" w:color="auto"/>
              <w:right w:val="single" w:sz="4" w:space="0" w:color="auto"/>
            </w:tcBorders>
          </w:tcPr>
          <w:p>
            <w:pPr>
              <w:pStyle w:val="Table"/>
              <w:tabs>
                <w:tab w:val="left" w:pos="382"/>
              </w:tabs>
              <w:spacing w:before="0"/>
              <w:ind w:left="382" w:hanging="382"/>
              <w:rPr>
                <w:sz w:val="23"/>
              </w:rPr>
            </w:pPr>
            <w:r>
              <w:rPr>
                <w:sz w:val="23"/>
              </w:rPr>
              <w:t>(b)</w:t>
            </w:r>
            <w:r>
              <w:rPr>
                <w:sz w:val="23"/>
              </w:rPr>
              <w:tab/>
              <w:t>Leptospirosis — with results satisfactory to the Chief Veterinary Surgeon.</w:t>
            </w:r>
          </w:p>
        </w:tc>
        <w:tc>
          <w:tcPr>
            <w:tcW w:w="2280" w:type="dxa"/>
            <w:tcBorders>
              <w:left w:val="nil"/>
            </w:tcBorders>
          </w:tcPr>
          <w:p>
            <w:pPr>
              <w:pStyle w:val="Table"/>
              <w:spacing w:before="0"/>
              <w:rPr>
                <w:sz w:val="23"/>
              </w:rPr>
            </w:pPr>
            <w:r>
              <w:rPr>
                <w:sz w:val="23"/>
              </w:rPr>
              <w:t>Not less than once in every 12 months.</w:t>
            </w:r>
          </w:p>
        </w:tc>
      </w:tr>
      <w:tr>
        <w:tc>
          <w:tcPr>
            <w:tcW w:w="1705" w:type="dxa"/>
          </w:tcPr>
          <w:p>
            <w:pPr>
              <w:pStyle w:val="Table"/>
              <w:tabs>
                <w:tab w:val="left" w:pos="374"/>
              </w:tabs>
              <w:spacing w:before="0"/>
              <w:rPr>
                <w:sz w:val="23"/>
              </w:rPr>
            </w:pPr>
            <w:r>
              <w:rPr>
                <w:sz w:val="23"/>
              </w:rPr>
              <w:t>4.</w:t>
            </w:r>
            <w:r>
              <w:rPr>
                <w:sz w:val="23"/>
              </w:rPr>
              <w:tab/>
              <w:t>Cows and</w:t>
            </w:r>
          </w:p>
          <w:p>
            <w:pPr>
              <w:pStyle w:val="Table"/>
              <w:tabs>
                <w:tab w:val="left" w:pos="374"/>
              </w:tabs>
              <w:spacing w:before="0"/>
              <w:rPr>
                <w:sz w:val="23"/>
              </w:rPr>
            </w:pPr>
            <w:r>
              <w:rPr>
                <w:sz w:val="23"/>
              </w:rPr>
              <w:tab/>
              <w:t>heifers.</w:t>
            </w:r>
          </w:p>
        </w:tc>
        <w:tc>
          <w:tcPr>
            <w:tcW w:w="3103" w:type="dxa"/>
            <w:tcBorders>
              <w:left w:val="single" w:sz="4" w:space="0" w:color="auto"/>
              <w:right w:val="single" w:sz="4" w:space="0" w:color="auto"/>
            </w:tcBorders>
          </w:tcPr>
          <w:p>
            <w:pPr>
              <w:pStyle w:val="Table"/>
              <w:tabs>
                <w:tab w:val="left" w:pos="382"/>
              </w:tabs>
              <w:spacing w:before="0"/>
              <w:ind w:left="382" w:hanging="382"/>
              <w:rPr>
                <w:sz w:val="23"/>
              </w:rPr>
            </w:pPr>
            <w:r>
              <w:rPr>
                <w:sz w:val="23"/>
              </w:rPr>
              <w:t>(a)</w:t>
            </w:r>
            <w:r>
              <w:rPr>
                <w:sz w:val="23"/>
              </w:rPr>
              <w:tab/>
              <w:t>Tuberculin test with negative results.</w:t>
            </w:r>
          </w:p>
        </w:tc>
        <w:tc>
          <w:tcPr>
            <w:tcW w:w="2280" w:type="dxa"/>
            <w:tcBorders>
              <w:left w:val="nil"/>
            </w:tcBorders>
          </w:tcPr>
          <w:p>
            <w:pPr>
              <w:pStyle w:val="Table"/>
              <w:spacing w:before="0"/>
              <w:rPr>
                <w:sz w:val="23"/>
              </w:rPr>
            </w:pPr>
            <w:r>
              <w:rPr>
                <w:sz w:val="23"/>
              </w:rPr>
              <w:t>Not less than once in every 12 months.</w:t>
            </w:r>
          </w:p>
        </w:tc>
      </w:tr>
      <w:tr>
        <w:tc>
          <w:tcPr>
            <w:tcW w:w="1705" w:type="dxa"/>
          </w:tcPr>
          <w:p>
            <w:pPr>
              <w:pStyle w:val="Table"/>
              <w:keepNext/>
              <w:keepLines/>
              <w:spacing w:before="0"/>
              <w:rPr>
                <w:sz w:val="23"/>
              </w:rPr>
            </w:pPr>
          </w:p>
        </w:tc>
        <w:tc>
          <w:tcPr>
            <w:tcW w:w="3103" w:type="dxa"/>
            <w:tcBorders>
              <w:left w:val="single" w:sz="4" w:space="0" w:color="auto"/>
              <w:right w:val="single" w:sz="4" w:space="0" w:color="auto"/>
            </w:tcBorders>
          </w:tcPr>
          <w:p>
            <w:pPr>
              <w:pStyle w:val="Table"/>
              <w:keepNext/>
              <w:keepLines/>
              <w:tabs>
                <w:tab w:val="left" w:pos="382"/>
              </w:tabs>
              <w:spacing w:before="0"/>
              <w:ind w:left="382" w:hanging="382"/>
              <w:rPr>
                <w:sz w:val="23"/>
              </w:rPr>
            </w:pPr>
            <w:r>
              <w:rPr>
                <w:sz w:val="23"/>
              </w:rPr>
              <w:t>(b)</w:t>
            </w:r>
            <w:r>
              <w:rPr>
                <w:sz w:val="23"/>
              </w:rPr>
              <w:tab/>
              <w:t>Brucellosis —complement fixation test, with negative results.</w:t>
            </w:r>
          </w:p>
        </w:tc>
        <w:tc>
          <w:tcPr>
            <w:tcW w:w="2280" w:type="dxa"/>
            <w:tcBorders>
              <w:left w:val="nil"/>
            </w:tcBorders>
          </w:tcPr>
          <w:p>
            <w:pPr>
              <w:pStyle w:val="Table"/>
              <w:keepNext/>
              <w:keepLines/>
              <w:spacing w:before="0"/>
              <w:rPr>
                <w:sz w:val="23"/>
              </w:rPr>
            </w:pPr>
            <w:r>
              <w:rPr>
                <w:sz w:val="23"/>
              </w:rPr>
              <w:t>Not less than once in every 12 months.</w:t>
            </w:r>
          </w:p>
        </w:tc>
      </w:tr>
      <w:tr>
        <w:tc>
          <w:tcPr>
            <w:tcW w:w="1705" w:type="dxa"/>
          </w:tcPr>
          <w:p>
            <w:pPr>
              <w:pStyle w:val="Table"/>
              <w:spacing w:before="0"/>
              <w:rPr>
                <w:sz w:val="23"/>
              </w:rPr>
            </w:pPr>
          </w:p>
        </w:tc>
        <w:tc>
          <w:tcPr>
            <w:tcW w:w="3103" w:type="dxa"/>
            <w:tcBorders>
              <w:left w:val="single" w:sz="4" w:space="0" w:color="auto"/>
              <w:right w:val="single" w:sz="4" w:space="0" w:color="auto"/>
            </w:tcBorders>
          </w:tcPr>
          <w:p>
            <w:pPr>
              <w:pStyle w:val="Table"/>
              <w:tabs>
                <w:tab w:val="left" w:pos="382"/>
              </w:tabs>
              <w:spacing w:before="0"/>
              <w:ind w:left="382" w:hanging="382"/>
              <w:rPr>
                <w:sz w:val="23"/>
              </w:rPr>
            </w:pPr>
            <w:r>
              <w:rPr>
                <w:sz w:val="23"/>
              </w:rPr>
              <w:t>(c)</w:t>
            </w:r>
            <w:r>
              <w:rPr>
                <w:sz w:val="23"/>
              </w:rPr>
              <w:tab/>
              <w:t>Leptospirosis — with results satisfactory to the Chief Veterinary Surgeon.</w:t>
            </w:r>
          </w:p>
        </w:tc>
        <w:tc>
          <w:tcPr>
            <w:tcW w:w="2280" w:type="dxa"/>
            <w:tcBorders>
              <w:left w:val="nil"/>
            </w:tcBorders>
          </w:tcPr>
          <w:p>
            <w:pPr>
              <w:pStyle w:val="Table"/>
              <w:spacing w:before="0"/>
              <w:rPr>
                <w:sz w:val="23"/>
              </w:rPr>
            </w:pPr>
            <w:r>
              <w:rPr>
                <w:sz w:val="23"/>
              </w:rPr>
              <w:t>Not less than once in every 12 months.</w:t>
            </w:r>
          </w:p>
        </w:tc>
      </w:tr>
      <w:tr>
        <w:tc>
          <w:tcPr>
            <w:tcW w:w="1705" w:type="dxa"/>
          </w:tcPr>
          <w:p>
            <w:pPr>
              <w:pStyle w:val="Table"/>
              <w:spacing w:before="0"/>
              <w:rPr>
                <w:sz w:val="23"/>
              </w:rPr>
            </w:pPr>
          </w:p>
        </w:tc>
        <w:tc>
          <w:tcPr>
            <w:tcW w:w="3103" w:type="dxa"/>
            <w:tcBorders>
              <w:left w:val="single" w:sz="4" w:space="0" w:color="auto"/>
              <w:right w:val="single" w:sz="4" w:space="0" w:color="auto"/>
            </w:tcBorders>
          </w:tcPr>
          <w:p>
            <w:pPr>
              <w:pStyle w:val="Table"/>
              <w:tabs>
                <w:tab w:val="left" w:pos="382"/>
              </w:tabs>
              <w:spacing w:before="0"/>
              <w:ind w:left="382" w:hanging="382"/>
              <w:rPr>
                <w:sz w:val="23"/>
              </w:rPr>
            </w:pPr>
            <w:r>
              <w:rPr>
                <w:sz w:val="23"/>
              </w:rPr>
              <w:t>(d)</w:t>
            </w:r>
            <w:r>
              <w:rPr>
                <w:sz w:val="23"/>
              </w:rPr>
              <w:tab/>
              <w:t>Examination by culture and mucous agglutination tests of vaginal mucous for vibriosis, with negative results.</w:t>
            </w:r>
          </w:p>
        </w:tc>
        <w:tc>
          <w:tcPr>
            <w:tcW w:w="2280" w:type="dxa"/>
            <w:tcBorders>
              <w:left w:val="nil"/>
            </w:tcBorders>
          </w:tcPr>
          <w:p>
            <w:pPr>
              <w:pStyle w:val="Table"/>
              <w:spacing w:before="0"/>
              <w:rPr>
                <w:sz w:val="23"/>
              </w:rPr>
            </w:pPr>
            <w:r>
              <w:rPr>
                <w:sz w:val="23"/>
              </w:rPr>
              <w:t>Not less than once in every 3 months.</w:t>
            </w:r>
          </w:p>
        </w:tc>
      </w:tr>
      <w:tr>
        <w:tc>
          <w:tcPr>
            <w:tcW w:w="1705" w:type="dxa"/>
            <w:tcBorders>
              <w:bottom w:val="single" w:sz="4" w:space="0" w:color="auto"/>
            </w:tcBorders>
          </w:tcPr>
          <w:p>
            <w:pPr>
              <w:pStyle w:val="Table"/>
              <w:spacing w:before="0"/>
              <w:rPr>
                <w:sz w:val="23"/>
              </w:rPr>
            </w:pPr>
          </w:p>
        </w:tc>
        <w:tc>
          <w:tcPr>
            <w:tcW w:w="3103" w:type="dxa"/>
            <w:tcBorders>
              <w:left w:val="single" w:sz="4" w:space="0" w:color="auto"/>
              <w:bottom w:val="single" w:sz="4" w:space="0" w:color="auto"/>
              <w:right w:val="single" w:sz="4" w:space="0" w:color="auto"/>
            </w:tcBorders>
          </w:tcPr>
          <w:p>
            <w:pPr>
              <w:pStyle w:val="Table"/>
              <w:tabs>
                <w:tab w:val="left" w:pos="382"/>
              </w:tabs>
              <w:spacing w:before="0"/>
              <w:ind w:left="382" w:hanging="382"/>
              <w:rPr>
                <w:sz w:val="23"/>
              </w:rPr>
            </w:pPr>
            <w:r>
              <w:rPr>
                <w:sz w:val="23"/>
              </w:rPr>
              <w:t>(e)</w:t>
            </w:r>
            <w:r>
              <w:rPr>
                <w:sz w:val="23"/>
              </w:rPr>
              <w:tab/>
              <w:t>Examination by culture of vaginal mucous for trichomoniasis with negative results.</w:t>
            </w:r>
          </w:p>
        </w:tc>
        <w:tc>
          <w:tcPr>
            <w:tcW w:w="2280" w:type="dxa"/>
            <w:tcBorders>
              <w:left w:val="nil"/>
              <w:bottom w:val="single" w:sz="4" w:space="0" w:color="auto"/>
            </w:tcBorders>
          </w:tcPr>
          <w:p>
            <w:pPr>
              <w:pStyle w:val="Table"/>
              <w:spacing w:before="0"/>
              <w:rPr>
                <w:sz w:val="23"/>
              </w:rPr>
            </w:pPr>
            <w:r>
              <w:rPr>
                <w:sz w:val="23"/>
              </w:rPr>
              <w:t>Not less than once in every 3 months.</w:t>
            </w:r>
          </w:p>
        </w:tc>
      </w:tr>
    </w:tbl>
    <w:p>
      <w:pPr>
        <w:pStyle w:val="Subsection"/>
        <w:rPr>
          <w:snapToGrid w:val="0"/>
        </w:rPr>
      </w:pPr>
      <w:r>
        <w:rPr>
          <w:snapToGrid w:val="0"/>
        </w:rPr>
        <w:tab/>
        <w:t>(2)</w:t>
      </w:r>
      <w:r>
        <w:rPr>
          <w:snapToGrid w:val="0"/>
        </w:rPr>
        <w:tab/>
        <w:t>Notwithstanding anything in subregulation (1), the Chief Veterinary Surgeon may require any stock referred to in subregulation (1), to be tested or treated in such manner and at such times as he may direct.</w:t>
      </w:r>
    </w:p>
    <w:p>
      <w:pPr>
        <w:pStyle w:val="Heading5"/>
        <w:spacing w:before="120"/>
        <w:rPr>
          <w:snapToGrid w:val="0"/>
        </w:rPr>
      </w:pPr>
      <w:bookmarkStart w:id="95" w:name="_Toc459092098"/>
      <w:bookmarkStart w:id="96" w:name="_Toc518711426"/>
      <w:bookmarkStart w:id="97" w:name="_Toc170716910"/>
      <w:r>
        <w:rPr>
          <w:rStyle w:val="CharSectno"/>
        </w:rPr>
        <w:t>18</w:t>
      </w:r>
      <w:r>
        <w:rPr>
          <w:snapToGrid w:val="0"/>
        </w:rPr>
        <w:t>.</w:t>
      </w:r>
      <w:r>
        <w:rPr>
          <w:snapToGrid w:val="0"/>
        </w:rPr>
        <w:tab/>
        <w:t>Records to be kept by licensee</w:t>
      </w:r>
      <w:bookmarkEnd w:id="95"/>
      <w:bookmarkEnd w:id="96"/>
      <w:bookmarkEnd w:id="97"/>
      <w:r>
        <w:rPr>
          <w:snapToGrid w:val="0"/>
        </w:rPr>
        <w:t xml:space="preserve"> </w:t>
      </w:r>
    </w:p>
    <w:p>
      <w:pPr>
        <w:pStyle w:val="Subsection"/>
        <w:spacing w:before="80"/>
        <w:rPr>
          <w:snapToGrid w:val="0"/>
        </w:rPr>
      </w:pPr>
      <w:r>
        <w:rPr>
          <w:snapToGrid w:val="0"/>
        </w:rPr>
        <w:tab/>
        <w:t>(1)</w:t>
      </w:r>
      <w:r>
        <w:rPr>
          <w:snapToGrid w:val="0"/>
        </w:rPr>
        <w:tab/>
        <w:t>The licensee of premises under this Division shall keep records on the premises with respect to every horse and head of cattle that has at any time entered the premises, containing details of — </w:t>
      </w:r>
    </w:p>
    <w:p>
      <w:pPr>
        <w:pStyle w:val="Indenta"/>
        <w:spacing w:before="60"/>
        <w:rPr>
          <w:snapToGrid w:val="0"/>
        </w:rPr>
      </w:pPr>
      <w:r>
        <w:rPr>
          <w:snapToGrid w:val="0"/>
        </w:rPr>
        <w:tab/>
        <w:t>(a)</w:t>
      </w:r>
      <w:r>
        <w:rPr>
          <w:snapToGrid w:val="0"/>
        </w:rPr>
        <w:tab/>
        <w:t>the date or dates of the entry of the animal to, and its departure from the premises;</w:t>
      </w:r>
    </w:p>
    <w:p>
      <w:pPr>
        <w:pStyle w:val="Indenta"/>
        <w:spacing w:before="60"/>
        <w:rPr>
          <w:snapToGrid w:val="0"/>
        </w:rPr>
      </w:pPr>
      <w:r>
        <w:rPr>
          <w:snapToGrid w:val="0"/>
        </w:rPr>
        <w:tab/>
        <w:t>(b)</w:t>
      </w:r>
      <w:r>
        <w:rPr>
          <w:snapToGrid w:val="0"/>
        </w:rPr>
        <w:tab/>
        <w:t>the particulars and dates of any tests or treatment for disease to which the animal is, or has been, subject; and</w:t>
      </w:r>
    </w:p>
    <w:p>
      <w:pPr>
        <w:pStyle w:val="Indenta"/>
        <w:spacing w:before="60"/>
        <w:rPr>
          <w:snapToGrid w:val="0"/>
        </w:rPr>
      </w:pPr>
      <w:r>
        <w:rPr>
          <w:snapToGrid w:val="0"/>
        </w:rPr>
        <w:tab/>
        <w:t>(c)</w:t>
      </w:r>
      <w:r>
        <w:rPr>
          <w:snapToGrid w:val="0"/>
        </w:rPr>
        <w:tab/>
        <w:t>the identity of the animal.</w:t>
      </w:r>
    </w:p>
    <w:p>
      <w:pPr>
        <w:pStyle w:val="Subsection"/>
        <w:spacing w:before="80"/>
        <w:rPr>
          <w:snapToGrid w:val="0"/>
        </w:rPr>
      </w:pPr>
      <w:r>
        <w:rPr>
          <w:snapToGrid w:val="0"/>
        </w:rPr>
        <w:tab/>
        <w:t>(2)</w:t>
      </w:r>
      <w:r>
        <w:rPr>
          <w:snapToGrid w:val="0"/>
        </w:rPr>
        <w:tab/>
        <w:t>Notwithstanding anything in subregulation (1), where the animal is a bull, the records shall provide details of the date or dates of entry, name, breed, herd book registration number, tattoo mark (if any) and the date of birth.</w:t>
      </w:r>
    </w:p>
    <w:p>
      <w:pPr>
        <w:pStyle w:val="Heading5"/>
        <w:rPr>
          <w:snapToGrid w:val="0"/>
        </w:rPr>
      </w:pPr>
      <w:bookmarkStart w:id="98" w:name="_Toc459092099"/>
      <w:bookmarkStart w:id="99" w:name="_Toc518711427"/>
      <w:bookmarkStart w:id="100" w:name="_Toc170716911"/>
      <w:r>
        <w:rPr>
          <w:rStyle w:val="CharSectno"/>
        </w:rPr>
        <w:t>19</w:t>
      </w:r>
      <w:r>
        <w:rPr>
          <w:snapToGrid w:val="0"/>
        </w:rPr>
        <w:t>.</w:t>
      </w:r>
      <w:r>
        <w:rPr>
          <w:snapToGrid w:val="0"/>
        </w:rPr>
        <w:tab/>
        <w:t>Annual report</w:t>
      </w:r>
      <w:bookmarkEnd w:id="98"/>
      <w:bookmarkEnd w:id="99"/>
      <w:bookmarkEnd w:id="100"/>
      <w:r>
        <w:rPr>
          <w:snapToGrid w:val="0"/>
        </w:rPr>
        <w:t xml:space="preserve"> </w:t>
      </w:r>
    </w:p>
    <w:p>
      <w:pPr>
        <w:pStyle w:val="Subsection"/>
        <w:rPr>
          <w:snapToGrid w:val="0"/>
        </w:rPr>
      </w:pPr>
      <w:r>
        <w:rPr>
          <w:snapToGrid w:val="0"/>
        </w:rPr>
        <w:tab/>
      </w:r>
      <w:r>
        <w:rPr>
          <w:snapToGrid w:val="0"/>
        </w:rPr>
        <w:tab/>
        <w:t>The licensee shall submit to the Chief Veterinary Surgeon a report comprising of a certificate in the form of Form 11 in the First Schedule by the end of January of each year.</w:t>
      </w:r>
    </w:p>
    <w:p>
      <w:pPr>
        <w:pStyle w:val="Heading5"/>
        <w:rPr>
          <w:snapToGrid w:val="0"/>
        </w:rPr>
      </w:pPr>
      <w:bookmarkStart w:id="101" w:name="_Toc459092100"/>
      <w:bookmarkStart w:id="102" w:name="_Toc518711428"/>
      <w:bookmarkStart w:id="103" w:name="_Toc170716912"/>
      <w:r>
        <w:rPr>
          <w:rStyle w:val="CharSectno"/>
        </w:rPr>
        <w:t>20</w:t>
      </w:r>
      <w:r>
        <w:rPr>
          <w:snapToGrid w:val="0"/>
        </w:rPr>
        <w:t>.</w:t>
      </w:r>
      <w:r>
        <w:rPr>
          <w:snapToGrid w:val="0"/>
        </w:rPr>
        <w:tab/>
        <w:t>Collection of semen</w:t>
      </w:r>
      <w:bookmarkEnd w:id="101"/>
      <w:bookmarkEnd w:id="102"/>
      <w:bookmarkEnd w:id="103"/>
      <w:r>
        <w:rPr>
          <w:snapToGrid w:val="0"/>
        </w:rPr>
        <w:t xml:space="preserve"> </w:t>
      </w:r>
    </w:p>
    <w:p>
      <w:pPr>
        <w:pStyle w:val="Subsection"/>
        <w:rPr>
          <w:snapToGrid w:val="0"/>
        </w:rPr>
      </w:pPr>
      <w:r>
        <w:rPr>
          <w:snapToGrid w:val="0"/>
        </w:rPr>
        <w:tab/>
        <w:t>(1)</w:t>
      </w:r>
      <w:r>
        <w:rPr>
          <w:snapToGrid w:val="0"/>
        </w:rPr>
        <w:tab/>
        <w:t>Semen shall be collected by means of an artificial vagina or by electrical stimulation and not otherwise.</w:t>
      </w:r>
    </w:p>
    <w:p>
      <w:pPr>
        <w:pStyle w:val="Subsection"/>
        <w:rPr>
          <w:snapToGrid w:val="0"/>
        </w:rPr>
      </w:pPr>
      <w:r>
        <w:rPr>
          <w:snapToGrid w:val="0"/>
        </w:rPr>
        <w:tab/>
        <w:t>(2)</w:t>
      </w:r>
      <w:r>
        <w:rPr>
          <w:snapToGrid w:val="0"/>
        </w:rPr>
        <w:tab/>
        <w:t>A cow or heifer shall not be used as a decoy during the process of collecting semen, unless the cow or heifer is correctly fitted with an approved appliance that will prevent the transmission of bovine venereal disease.</w:t>
      </w:r>
    </w:p>
    <w:p>
      <w:pPr>
        <w:pStyle w:val="Heading5"/>
        <w:rPr>
          <w:snapToGrid w:val="0"/>
        </w:rPr>
      </w:pPr>
      <w:bookmarkStart w:id="104" w:name="_Toc459092101"/>
      <w:bookmarkStart w:id="105" w:name="_Toc518711429"/>
      <w:bookmarkStart w:id="106" w:name="_Toc170716913"/>
      <w:r>
        <w:rPr>
          <w:rStyle w:val="CharSectno"/>
        </w:rPr>
        <w:t>21</w:t>
      </w:r>
      <w:r>
        <w:rPr>
          <w:snapToGrid w:val="0"/>
        </w:rPr>
        <w:t>.</w:t>
      </w:r>
      <w:r>
        <w:rPr>
          <w:snapToGrid w:val="0"/>
        </w:rPr>
        <w:tab/>
        <w:t>Licensed premises to be properly equipped and maintained</w:t>
      </w:r>
      <w:bookmarkEnd w:id="104"/>
      <w:bookmarkEnd w:id="105"/>
      <w:bookmarkEnd w:id="106"/>
      <w:r>
        <w:rPr>
          <w:snapToGrid w:val="0"/>
        </w:rPr>
        <w:t xml:space="preserve"> </w:t>
      </w:r>
    </w:p>
    <w:p>
      <w:pPr>
        <w:pStyle w:val="Subsection"/>
        <w:rPr>
          <w:snapToGrid w:val="0"/>
        </w:rPr>
      </w:pPr>
      <w:r>
        <w:rPr>
          <w:snapToGrid w:val="0"/>
        </w:rPr>
        <w:tab/>
        <w:t>(1)</w:t>
      </w:r>
      <w:r>
        <w:rPr>
          <w:snapToGrid w:val="0"/>
        </w:rPr>
        <w:tab/>
        <w:t>All premises licensed under this Division shall be provided with a laboratory equipped with all the necessary equipment for the examination, appraisal, dilution, chilling, freezing, processing and storage of semen.</w:t>
      </w:r>
    </w:p>
    <w:p>
      <w:pPr>
        <w:pStyle w:val="Subsection"/>
        <w:rPr>
          <w:snapToGrid w:val="0"/>
        </w:rPr>
      </w:pPr>
      <w:r>
        <w:rPr>
          <w:snapToGrid w:val="0"/>
        </w:rPr>
        <w:tab/>
        <w:t>(2)</w:t>
      </w:r>
      <w:r>
        <w:rPr>
          <w:snapToGrid w:val="0"/>
        </w:rPr>
        <w:tab/>
        <w:t>All equipment with which semen may come into contact during collection and any procedure referred to in subregulation (1) shall — </w:t>
      </w:r>
    </w:p>
    <w:p>
      <w:pPr>
        <w:pStyle w:val="Indenta"/>
        <w:rPr>
          <w:snapToGrid w:val="0"/>
        </w:rPr>
      </w:pPr>
      <w:r>
        <w:rPr>
          <w:snapToGrid w:val="0"/>
        </w:rPr>
        <w:tab/>
        <w:t>(a)</w:t>
      </w:r>
      <w:r>
        <w:rPr>
          <w:snapToGrid w:val="0"/>
        </w:rPr>
        <w:tab/>
        <w:t>be effectively cleaned and sterilized before any occasion of its use for that purpose; and</w:t>
      </w:r>
    </w:p>
    <w:p>
      <w:pPr>
        <w:pStyle w:val="Indenta"/>
        <w:rPr>
          <w:snapToGrid w:val="0"/>
        </w:rPr>
      </w:pPr>
      <w:r>
        <w:rPr>
          <w:snapToGrid w:val="0"/>
        </w:rPr>
        <w:tab/>
        <w:t>(b)</w:t>
      </w:r>
      <w:r>
        <w:rPr>
          <w:snapToGrid w:val="0"/>
        </w:rPr>
        <w:tab/>
        <w:t>not be used on any other premises without the prior consent of the Chief Veterinary Surgeon.</w:t>
      </w:r>
    </w:p>
    <w:p>
      <w:pPr>
        <w:pStyle w:val="Heading5"/>
        <w:rPr>
          <w:snapToGrid w:val="0"/>
        </w:rPr>
      </w:pPr>
      <w:bookmarkStart w:id="107" w:name="_Toc459092102"/>
      <w:bookmarkStart w:id="108" w:name="_Toc518711430"/>
      <w:bookmarkStart w:id="109" w:name="_Toc170716914"/>
      <w:r>
        <w:rPr>
          <w:rStyle w:val="CharSectno"/>
        </w:rPr>
        <w:t>22</w:t>
      </w:r>
      <w:r>
        <w:rPr>
          <w:snapToGrid w:val="0"/>
        </w:rPr>
        <w:t>.</w:t>
      </w:r>
      <w:r>
        <w:rPr>
          <w:snapToGrid w:val="0"/>
        </w:rPr>
        <w:tab/>
        <w:t>Samples from test bulls not to be introduced into laboratory</w:t>
      </w:r>
      <w:bookmarkEnd w:id="107"/>
      <w:bookmarkEnd w:id="108"/>
      <w:bookmarkEnd w:id="109"/>
      <w:r>
        <w:rPr>
          <w:snapToGrid w:val="0"/>
        </w:rPr>
        <w:t xml:space="preserve"> </w:t>
      </w:r>
    </w:p>
    <w:p>
      <w:pPr>
        <w:pStyle w:val="Subsection"/>
        <w:rPr>
          <w:snapToGrid w:val="0"/>
        </w:rPr>
      </w:pPr>
      <w:r>
        <w:rPr>
          <w:snapToGrid w:val="0"/>
        </w:rPr>
        <w:tab/>
      </w:r>
      <w:r>
        <w:rPr>
          <w:snapToGrid w:val="0"/>
        </w:rPr>
        <w:tab/>
        <w:t>Samples collected from bulls under test pursuant to regulation 10 and regulation 11 and any equipment used in the process shall not be introduced into the laboratory referred to in regulation 21.</w:t>
      </w:r>
    </w:p>
    <w:p>
      <w:pPr>
        <w:pStyle w:val="Heading5"/>
        <w:rPr>
          <w:snapToGrid w:val="0"/>
        </w:rPr>
      </w:pPr>
      <w:bookmarkStart w:id="110" w:name="_Toc459092103"/>
      <w:bookmarkStart w:id="111" w:name="_Toc518711431"/>
      <w:bookmarkStart w:id="112" w:name="_Toc170716915"/>
      <w:r>
        <w:rPr>
          <w:rStyle w:val="CharSectno"/>
        </w:rPr>
        <w:t>23</w:t>
      </w:r>
      <w:r>
        <w:rPr>
          <w:snapToGrid w:val="0"/>
        </w:rPr>
        <w:t>.</w:t>
      </w:r>
      <w:r>
        <w:rPr>
          <w:snapToGrid w:val="0"/>
        </w:rPr>
        <w:tab/>
        <w:t>Terminal for inseminators to be outside of premises</w:t>
      </w:r>
      <w:bookmarkEnd w:id="110"/>
      <w:bookmarkEnd w:id="111"/>
      <w:bookmarkEnd w:id="112"/>
      <w:r>
        <w:rPr>
          <w:snapToGrid w:val="0"/>
        </w:rPr>
        <w:t xml:space="preserve"> </w:t>
      </w:r>
    </w:p>
    <w:p>
      <w:pPr>
        <w:pStyle w:val="Subsection"/>
        <w:rPr>
          <w:snapToGrid w:val="0"/>
        </w:rPr>
      </w:pPr>
      <w:r>
        <w:rPr>
          <w:snapToGrid w:val="0"/>
        </w:rPr>
        <w:tab/>
      </w:r>
      <w:r>
        <w:rPr>
          <w:snapToGrid w:val="0"/>
        </w:rPr>
        <w:tab/>
        <w:t>Where a terminal for inseminators is associated with the premises, it shall be situated outside the boundary of the licensed premises.</w:t>
      </w:r>
    </w:p>
    <w:p>
      <w:pPr>
        <w:pStyle w:val="Heading5"/>
        <w:spacing w:before="120"/>
        <w:rPr>
          <w:snapToGrid w:val="0"/>
        </w:rPr>
      </w:pPr>
      <w:bookmarkStart w:id="113" w:name="_Toc459092104"/>
      <w:bookmarkStart w:id="114" w:name="_Toc518711432"/>
      <w:bookmarkStart w:id="115" w:name="_Toc170716916"/>
      <w:r>
        <w:rPr>
          <w:rStyle w:val="CharSectno"/>
        </w:rPr>
        <w:t>24</w:t>
      </w:r>
      <w:r>
        <w:rPr>
          <w:snapToGrid w:val="0"/>
        </w:rPr>
        <w:t>.</w:t>
      </w:r>
      <w:r>
        <w:rPr>
          <w:snapToGrid w:val="0"/>
        </w:rPr>
        <w:tab/>
        <w:t>Semen not produced on premises not to be processed thereon</w:t>
      </w:r>
      <w:bookmarkEnd w:id="113"/>
      <w:bookmarkEnd w:id="114"/>
      <w:bookmarkEnd w:id="115"/>
      <w:r>
        <w:rPr>
          <w:snapToGrid w:val="0"/>
        </w:rPr>
        <w:t xml:space="preserve"> </w:t>
      </w:r>
    </w:p>
    <w:p>
      <w:pPr>
        <w:pStyle w:val="Subsection"/>
        <w:rPr>
          <w:snapToGrid w:val="0"/>
        </w:rPr>
      </w:pPr>
      <w:r>
        <w:rPr>
          <w:snapToGrid w:val="0"/>
        </w:rPr>
        <w:tab/>
      </w:r>
      <w:r>
        <w:rPr>
          <w:snapToGrid w:val="0"/>
        </w:rPr>
        <w:tab/>
        <w:t>Only semen produced on premises licensed under this Division shall be processed on those premises.</w:t>
      </w:r>
    </w:p>
    <w:p>
      <w:pPr>
        <w:pStyle w:val="Heading5"/>
        <w:spacing w:before="120"/>
        <w:rPr>
          <w:snapToGrid w:val="0"/>
        </w:rPr>
      </w:pPr>
      <w:bookmarkStart w:id="116" w:name="_Toc459092105"/>
      <w:bookmarkStart w:id="117" w:name="_Toc518711433"/>
      <w:bookmarkStart w:id="118" w:name="_Toc170716917"/>
      <w:r>
        <w:rPr>
          <w:rStyle w:val="CharSectno"/>
        </w:rPr>
        <w:t>25</w:t>
      </w:r>
      <w:r>
        <w:rPr>
          <w:snapToGrid w:val="0"/>
        </w:rPr>
        <w:t>.</w:t>
      </w:r>
      <w:r>
        <w:rPr>
          <w:snapToGrid w:val="0"/>
        </w:rPr>
        <w:tab/>
        <w:t>Vessels to be clearly identified</w:t>
      </w:r>
      <w:bookmarkEnd w:id="116"/>
      <w:bookmarkEnd w:id="117"/>
      <w:bookmarkEnd w:id="118"/>
      <w:r>
        <w:rPr>
          <w:snapToGrid w:val="0"/>
        </w:rPr>
        <w:t xml:space="preserve"> </w:t>
      </w:r>
    </w:p>
    <w:p>
      <w:pPr>
        <w:pStyle w:val="Subsection"/>
        <w:rPr>
          <w:snapToGrid w:val="0"/>
        </w:rPr>
      </w:pPr>
      <w:r>
        <w:rPr>
          <w:snapToGrid w:val="0"/>
        </w:rPr>
        <w:tab/>
        <w:t>(1)</w:t>
      </w:r>
      <w:r>
        <w:rPr>
          <w:snapToGrid w:val="0"/>
        </w:rPr>
        <w:tab/>
        <w:t>Any vessel used to hold semen between the time of collection and that of storage or packing for sale shall be clearly marked so as to enable the semen it contains to be identified.</w:t>
      </w:r>
    </w:p>
    <w:p>
      <w:pPr>
        <w:pStyle w:val="Subsection"/>
        <w:rPr>
          <w:snapToGrid w:val="0"/>
        </w:rPr>
      </w:pPr>
      <w:r>
        <w:rPr>
          <w:snapToGrid w:val="0"/>
        </w:rPr>
        <w:tab/>
        <w:t>(2)</w:t>
      </w:r>
      <w:r>
        <w:rPr>
          <w:snapToGrid w:val="0"/>
        </w:rPr>
        <w:tab/>
        <w:t>The mark referred to in subregulation (1) shall correspond to the entry in the records kept pursuant to regulation 30.</w:t>
      </w:r>
    </w:p>
    <w:p>
      <w:pPr>
        <w:pStyle w:val="Heading5"/>
        <w:spacing w:before="120"/>
        <w:rPr>
          <w:snapToGrid w:val="0"/>
        </w:rPr>
      </w:pPr>
      <w:bookmarkStart w:id="119" w:name="_Toc459092106"/>
      <w:bookmarkStart w:id="120" w:name="_Toc518711434"/>
      <w:bookmarkStart w:id="121" w:name="_Toc170716918"/>
      <w:r>
        <w:rPr>
          <w:rStyle w:val="CharSectno"/>
        </w:rPr>
        <w:t>26</w:t>
      </w:r>
      <w:r>
        <w:rPr>
          <w:snapToGrid w:val="0"/>
        </w:rPr>
        <w:t>.</w:t>
      </w:r>
      <w:r>
        <w:rPr>
          <w:snapToGrid w:val="0"/>
        </w:rPr>
        <w:tab/>
        <w:t>Semen to be appraised after collection</w:t>
      </w:r>
      <w:bookmarkEnd w:id="119"/>
      <w:bookmarkEnd w:id="120"/>
      <w:bookmarkEnd w:id="121"/>
      <w:r>
        <w:rPr>
          <w:snapToGrid w:val="0"/>
        </w:rPr>
        <w:t xml:space="preserve"> </w:t>
      </w:r>
    </w:p>
    <w:p>
      <w:pPr>
        <w:pStyle w:val="Subsection"/>
        <w:rPr>
          <w:snapToGrid w:val="0"/>
        </w:rPr>
      </w:pPr>
      <w:r>
        <w:rPr>
          <w:snapToGrid w:val="0"/>
        </w:rPr>
        <w:tab/>
        <w:t>(1)</w:t>
      </w:r>
      <w:r>
        <w:rPr>
          <w:snapToGrid w:val="0"/>
        </w:rPr>
        <w:tab/>
        <w:t>All semen shall, forthwith after collection, be appraised for the concentration, motility and morphology of its content of spermatozoa.</w:t>
      </w:r>
    </w:p>
    <w:p>
      <w:pPr>
        <w:pStyle w:val="Subsection"/>
        <w:rPr>
          <w:snapToGrid w:val="0"/>
        </w:rPr>
      </w:pPr>
      <w:r>
        <w:rPr>
          <w:snapToGrid w:val="0"/>
        </w:rPr>
        <w:tab/>
        <w:t>(2)</w:t>
      </w:r>
      <w:r>
        <w:rPr>
          <w:snapToGrid w:val="0"/>
        </w:rPr>
        <w:tab/>
        <w:t>Semen shall not be diluted, chilled, frozen or processed, unless at the time of its appraisal — </w:t>
      </w:r>
    </w:p>
    <w:p>
      <w:pPr>
        <w:pStyle w:val="Indenta"/>
        <w:rPr>
          <w:snapToGrid w:val="0"/>
        </w:rPr>
      </w:pPr>
      <w:r>
        <w:rPr>
          <w:snapToGrid w:val="0"/>
        </w:rPr>
        <w:tab/>
        <w:t>(a)</w:t>
      </w:r>
      <w:r>
        <w:rPr>
          <w:snapToGrid w:val="0"/>
        </w:rPr>
        <w:tab/>
        <w:t>it contains a concentration of not less than 500 million spermatozoa per millilitre; and</w:t>
      </w:r>
    </w:p>
    <w:p>
      <w:pPr>
        <w:pStyle w:val="Indenta"/>
        <w:rPr>
          <w:snapToGrid w:val="0"/>
        </w:rPr>
      </w:pPr>
      <w:r>
        <w:rPr>
          <w:snapToGrid w:val="0"/>
        </w:rPr>
        <w:tab/>
        <w:t>(b)</w:t>
      </w:r>
      <w:r>
        <w:rPr>
          <w:snapToGrid w:val="0"/>
        </w:rPr>
        <w:tab/>
        <w:t>not less than 60% of spermatozoa content is actively motile and morphologically normal.</w:t>
      </w:r>
    </w:p>
    <w:p>
      <w:pPr>
        <w:pStyle w:val="Heading5"/>
        <w:spacing w:before="120"/>
        <w:rPr>
          <w:snapToGrid w:val="0"/>
        </w:rPr>
      </w:pPr>
      <w:bookmarkStart w:id="122" w:name="_Toc459092107"/>
      <w:bookmarkStart w:id="123" w:name="_Toc518711435"/>
      <w:bookmarkStart w:id="124" w:name="_Toc170716919"/>
      <w:r>
        <w:rPr>
          <w:rStyle w:val="CharSectno"/>
        </w:rPr>
        <w:t>27</w:t>
      </w:r>
      <w:r>
        <w:rPr>
          <w:snapToGrid w:val="0"/>
        </w:rPr>
        <w:t>.</w:t>
      </w:r>
      <w:r>
        <w:rPr>
          <w:snapToGrid w:val="0"/>
        </w:rPr>
        <w:tab/>
        <w:t>Storage of semen intended for sale</w:t>
      </w:r>
      <w:bookmarkEnd w:id="122"/>
      <w:bookmarkEnd w:id="123"/>
      <w:bookmarkEnd w:id="124"/>
      <w:r>
        <w:rPr>
          <w:snapToGrid w:val="0"/>
        </w:rPr>
        <w:t xml:space="preserve"> </w:t>
      </w:r>
    </w:p>
    <w:p>
      <w:pPr>
        <w:pStyle w:val="Subsection"/>
        <w:rPr>
          <w:snapToGrid w:val="0"/>
        </w:rPr>
      </w:pPr>
      <w:r>
        <w:rPr>
          <w:snapToGrid w:val="0"/>
        </w:rPr>
        <w:tab/>
      </w:r>
      <w:r>
        <w:rPr>
          <w:snapToGrid w:val="0"/>
        </w:rPr>
        <w:tab/>
        <w:t>Semen found to be suitable for processing pursuant to regulation 26(2) shall, as soon as practicable after appraisal, be diluted and where the semen is intended for sale shall — </w:t>
      </w:r>
    </w:p>
    <w:p>
      <w:pPr>
        <w:pStyle w:val="Indenta"/>
        <w:rPr>
          <w:snapToGrid w:val="0"/>
        </w:rPr>
      </w:pPr>
      <w:r>
        <w:rPr>
          <w:snapToGrid w:val="0"/>
        </w:rPr>
        <w:tab/>
        <w:t>(a)</w:t>
      </w:r>
      <w:r>
        <w:rPr>
          <w:snapToGrid w:val="0"/>
        </w:rPr>
        <w:tab/>
        <w:t>as chilled semen, be chilled to a temperature of between 1°C and 10°C;</w:t>
      </w:r>
    </w:p>
    <w:p>
      <w:pPr>
        <w:pStyle w:val="Indenta"/>
        <w:rPr>
          <w:snapToGrid w:val="0"/>
        </w:rPr>
      </w:pPr>
      <w:r>
        <w:rPr>
          <w:snapToGrid w:val="0"/>
        </w:rPr>
        <w:tab/>
        <w:t>(b)</w:t>
      </w:r>
      <w:r>
        <w:rPr>
          <w:snapToGrid w:val="0"/>
        </w:rPr>
        <w:tab/>
        <w:t>as frozen semen, be chilled and placed in approved containers and sealed in approved quantities and be frozen to a temperature of -75°C, or at a lower temperature; and</w:t>
      </w:r>
    </w:p>
    <w:p>
      <w:pPr>
        <w:pStyle w:val="Indenta"/>
        <w:rPr>
          <w:snapToGrid w:val="0"/>
        </w:rPr>
      </w:pPr>
      <w:r>
        <w:rPr>
          <w:snapToGrid w:val="0"/>
        </w:rPr>
        <w:tab/>
        <w:t>(c)</w:t>
      </w:r>
      <w:r>
        <w:rPr>
          <w:snapToGrid w:val="0"/>
        </w:rPr>
        <w:tab/>
        <w:t>as variable temperature semen, be maintained at a temperature not exceeding 27°C.</w:t>
      </w:r>
    </w:p>
    <w:p>
      <w:pPr>
        <w:pStyle w:val="Heading5"/>
        <w:rPr>
          <w:snapToGrid w:val="0"/>
        </w:rPr>
      </w:pPr>
      <w:bookmarkStart w:id="125" w:name="_Toc459092108"/>
      <w:bookmarkStart w:id="126" w:name="_Toc518711436"/>
      <w:bookmarkStart w:id="127" w:name="_Toc170716920"/>
      <w:r>
        <w:rPr>
          <w:rStyle w:val="CharSectno"/>
        </w:rPr>
        <w:t>28</w:t>
      </w:r>
      <w:r>
        <w:rPr>
          <w:snapToGrid w:val="0"/>
        </w:rPr>
        <w:t>.</w:t>
      </w:r>
      <w:r>
        <w:rPr>
          <w:snapToGrid w:val="0"/>
        </w:rPr>
        <w:tab/>
        <w:t>Sale of frozen semen</w:t>
      </w:r>
      <w:bookmarkEnd w:id="125"/>
      <w:bookmarkEnd w:id="126"/>
      <w:bookmarkEnd w:id="127"/>
      <w:r>
        <w:rPr>
          <w:snapToGrid w:val="0"/>
        </w:rPr>
        <w:t xml:space="preserve"> </w:t>
      </w:r>
    </w:p>
    <w:p>
      <w:pPr>
        <w:pStyle w:val="Subsection"/>
        <w:rPr>
          <w:snapToGrid w:val="0"/>
        </w:rPr>
      </w:pPr>
      <w:r>
        <w:rPr>
          <w:snapToGrid w:val="0"/>
        </w:rPr>
        <w:tab/>
        <w:t>(1)</w:t>
      </w:r>
      <w:r>
        <w:rPr>
          <w:snapToGrid w:val="0"/>
        </w:rPr>
        <w:tab/>
        <w:t>Semen frozen pursuant to regulation 27(b) shall not be sold unless each container holds not less than 5 million actively motile and morphologically normal spermatozoa after thawing.</w:t>
      </w:r>
    </w:p>
    <w:p>
      <w:pPr>
        <w:pStyle w:val="Subsection"/>
        <w:rPr>
          <w:snapToGrid w:val="0"/>
        </w:rPr>
      </w:pPr>
      <w:r>
        <w:rPr>
          <w:snapToGrid w:val="0"/>
        </w:rPr>
        <w:tab/>
        <w:t>(2)</w:t>
      </w:r>
      <w:r>
        <w:rPr>
          <w:snapToGrid w:val="0"/>
        </w:rPr>
        <w:tab/>
        <w:t>The licensee shall destroy all semen collected in the same collection for freezing, where the semen tested does not comply with the requirements of subregulation (1).</w:t>
      </w:r>
    </w:p>
    <w:p>
      <w:pPr>
        <w:pStyle w:val="Heading5"/>
        <w:rPr>
          <w:snapToGrid w:val="0"/>
        </w:rPr>
      </w:pPr>
      <w:bookmarkStart w:id="128" w:name="_Toc459092109"/>
      <w:bookmarkStart w:id="129" w:name="_Toc518711437"/>
      <w:bookmarkStart w:id="130" w:name="_Toc170716921"/>
      <w:r>
        <w:rPr>
          <w:rStyle w:val="CharSectno"/>
        </w:rPr>
        <w:t>29</w:t>
      </w:r>
      <w:r>
        <w:rPr>
          <w:snapToGrid w:val="0"/>
        </w:rPr>
        <w:t>.</w:t>
      </w:r>
      <w:r>
        <w:rPr>
          <w:snapToGrid w:val="0"/>
        </w:rPr>
        <w:tab/>
        <w:t>Containers for packing semen to be identified</w:t>
      </w:r>
      <w:bookmarkEnd w:id="128"/>
      <w:bookmarkEnd w:id="129"/>
      <w:bookmarkEnd w:id="130"/>
      <w:r>
        <w:rPr>
          <w:snapToGrid w:val="0"/>
        </w:rPr>
        <w:t xml:space="preserve"> </w:t>
      </w:r>
    </w:p>
    <w:p>
      <w:pPr>
        <w:pStyle w:val="Subsection"/>
        <w:rPr>
          <w:snapToGrid w:val="0"/>
        </w:rPr>
      </w:pPr>
      <w:r>
        <w:rPr>
          <w:snapToGrid w:val="0"/>
        </w:rPr>
        <w:tab/>
      </w:r>
      <w:r>
        <w:rPr>
          <w:snapToGrid w:val="0"/>
        </w:rPr>
        <w:tab/>
        <w:t>Each container in which semen is stored or packed for despatch from the premises shall be colour</w:t>
      </w:r>
      <w:r>
        <w:rPr>
          <w:snapToGrid w:val="0"/>
        </w:rPr>
        <w:noBreakHyphen/>
        <w:t>coded and shall be clearly and indelibly marked — </w:t>
      </w:r>
    </w:p>
    <w:p>
      <w:pPr>
        <w:pStyle w:val="Indenta"/>
        <w:rPr>
          <w:snapToGrid w:val="0"/>
        </w:rPr>
      </w:pPr>
      <w:r>
        <w:rPr>
          <w:snapToGrid w:val="0"/>
        </w:rPr>
        <w:tab/>
        <w:t>(a)</w:t>
      </w:r>
      <w:r>
        <w:rPr>
          <w:snapToGrid w:val="0"/>
        </w:rPr>
        <w:tab/>
        <w:t>with the date of collection;</w:t>
      </w:r>
    </w:p>
    <w:p>
      <w:pPr>
        <w:pStyle w:val="Indenta"/>
        <w:rPr>
          <w:snapToGrid w:val="0"/>
        </w:rPr>
      </w:pPr>
      <w:r>
        <w:rPr>
          <w:snapToGrid w:val="0"/>
        </w:rPr>
        <w:tab/>
        <w:t>(b)</w:t>
      </w:r>
      <w:r>
        <w:rPr>
          <w:snapToGrid w:val="0"/>
        </w:rPr>
        <w:tab/>
        <w:t>the batch number;</w:t>
      </w:r>
    </w:p>
    <w:p>
      <w:pPr>
        <w:pStyle w:val="Indenta"/>
        <w:rPr>
          <w:snapToGrid w:val="0"/>
        </w:rPr>
      </w:pPr>
      <w:r>
        <w:rPr>
          <w:snapToGrid w:val="0"/>
        </w:rPr>
        <w:tab/>
        <w:t>(c)</w:t>
      </w:r>
      <w:r>
        <w:rPr>
          <w:snapToGrid w:val="0"/>
        </w:rPr>
        <w:tab/>
        <w:t>the licensed premises at which it was collected; and</w:t>
      </w:r>
    </w:p>
    <w:p>
      <w:pPr>
        <w:pStyle w:val="Indenta"/>
        <w:rPr>
          <w:snapToGrid w:val="0"/>
        </w:rPr>
      </w:pPr>
      <w:r>
        <w:rPr>
          <w:snapToGrid w:val="0"/>
        </w:rPr>
        <w:tab/>
        <w:t>(d)</w:t>
      </w:r>
      <w:r>
        <w:rPr>
          <w:snapToGrid w:val="0"/>
        </w:rPr>
        <w:tab/>
        <w:t>the identification and breed of bull from which it was collected.</w:t>
      </w:r>
    </w:p>
    <w:p>
      <w:pPr>
        <w:pStyle w:val="Heading5"/>
        <w:rPr>
          <w:snapToGrid w:val="0"/>
        </w:rPr>
      </w:pPr>
      <w:bookmarkStart w:id="131" w:name="_Toc459092110"/>
      <w:bookmarkStart w:id="132" w:name="_Toc518711438"/>
      <w:bookmarkStart w:id="133" w:name="_Toc170716922"/>
      <w:r>
        <w:rPr>
          <w:rStyle w:val="CharSectno"/>
        </w:rPr>
        <w:t>30</w:t>
      </w:r>
      <w:r>
        <w:rPr>
          <w:snapToGrid w:val="0"/>
        </w:rPr>
        <w:t>.</w:t>
      </w:r>
      <w:r>
        <w:rPr>
          <w:snapToGrid w:val="0"/>
        </w:rPr>
        <w:tab/>
        <w:t>Licensee to keep records of collected semen</w:t>
      </w:r>
      <w:bookmarkEnd w:id="131"/>
      <w:bookmarkEnd w:id="132"/>
      <w:bookmarkEnd w:id="133"/>
      <w:r>
        <w:rPr>
          <w:snapToGrid w:val="0"/>
        </w:rPr>
        <w:t xml:space="preserve"> </w:t>
      </w:r>
    </w:p>
    <w:p>
      <w:pPr>
        <w:pStyle w:val="Subsection"/>
        <w:rPr>
          <w:snapToGrid w:val="0"/>
        </w:rPr>
      </w:pPr>
      <w:r>
        <w:rPr>
          <w:snapToGrid w:val="0"/>
        </w:rPr>
        <w:tab/>
      </w:r>
      <w:r>
        <w:rPr>
          <w:snapToGrid w:val="0"/>
        </w:rPr>
        <w:tab/>
        <w:t>The licensee shall cause records to be maintained on premises at all times showing — </w:t>
      </w:r>
    </w:p>
    <w:p>
      <w:pPr>
        <w:pStyle w:val="Indenta"/>
        <w:rPr>
          <w:snapToGrid w:val="0"/>
        </w:rPr>
      </w:pPr>
      <w:r>
        <w:rPr>
          <w:snapToGrid w:val="0"/>
        </w:rPr>
        <w:tab/>
        <w:t>(a)</w:t>
      </w:r>
      <w:r>
        <w:rPr>
          <w:snapToGrid w:val="0"/>
        </w:rPr>
        <w:tab/>
        <w:t>with respect to the collection of semen — </w:t>
      </w:r>
    </w:p>
    <w:p>
      <w:pPr>
        <w:pStyle w:val="Indenti"/>
        <w:rPr>
          <w:snapToGrid w:val="0"/>
        </w:rPr>
      </w:pPr>
      <w:r>
        <w:rPr>
          <w:snapToGrid w:val="0"/>
        </w:rPr>
        <w:tab/>
        <w:t>(i)</w:t>
      </w:r>
      <w:r>
        <w:rPr>
          <w:snapToGrid w:val="0"/>
        </w:rPr>
        <w:tab/>
        <w:t>the identity of the bull from which the semen was collected;</w:t>
      </w:r>
    </w:p>
    <w:p>
      <w:pPr>
        <w:pStyle w:val="Indenti"/>
        <w:rPr>
          <w:snapToGrid w:val="0"/>
        </w:rPr>
      </w:pPr>
      <w:r>
        <w:rPr>
          <w:snapToGrid w:val="0"/>
        </w:rPr>
        <w:tab/>
        <w:t>(ii)</w:t>
      </w:r>
      <w:r>
        <w:rPr>
          <w:snapToGrid w:val="0"/>
        </w:rPr>
        <w:tab/>
        <w:t>the date of collection and the identity number assigned to such collection and batch of semen;</w:t>
      </w:r>
    </w:p>
    <w:p>
      <w:pPr>
        <w:pStyle w:val="Indenti"/>
        <w:rPr>
          <w:snapToGrid w:val="0"/>
        </w:rPr>
      </w:pPr>
      <w:r>
        <w:rPr>
          <w:snapToGrid w:val="0"/>
        </w:rPr>
        <w:tab/>
        <w:t>(iii)</w:t>
      </w:r>
      <w:r>
        <w:rPr>
          <w:snapToGrid w:val="0"/>
        </w:rPr>
        <w:tab/>
        <w:t>the total quantity collected;</w:t>
      </w:r>
    </w:p>
    <w:p>
      <w:pPr>
        <w:pStyle w:val="Indenti"/>
        <w:rPr>
          <w:snapToGrid w:val="0"/>
        </w:rPr>
      </w:pPr>
      <w:r>
        <w:rPr>
          <w:snapToGrid w:val="0"/>
        </w:rPr>
        <w:tab/>
        <w:t>(iv)</w:t>
      </w:r>
      <w:r>
        <w:rPr>
          <w:snapToGrid w:val="0"/>
        </w:rPr>
        <w:tab/>
        <w:t>the results of the appraisal, with respect to the concentration, motility and morphology of spermatozoa;</w:t>
      </w:r>
    </w:p>
    <w:p>
      <w:pPr>
        <w:pStyle w:val="Indenti"/>
        <w:rPr>
          <w:snapToGrid w:val="0"/>
        </w:rPr>
      </w:pPr>
      <w:r>
        <w:rPr>
          <w:snapToGrid w:val="0"/>
        </w:rPr>
        <w:tab/>
        <w:t>(v)</w:t>
      </w:r>
      <w:r>
        <w:rPr>
          <w:snapToGrid w:val="0"/>
        </w:rPr>
        <w:tab/>
        <w:t>the degree to which the semen is diluted and the constituents of the diluent used;</w:t>
      </w:r>
    </w:p>
    <w:p>
      <w:pPr>
        <w:pStyle w:val="Indenti"/>
        <w:rPr>
          <w:snapToGrid w:val="0"/>
        </w:rPr>
      </w:pPr>
      <w:r>
        <w:rPr>
          <w:snapToGrid w:val="0"/>
        </w:rPr>
        <w:tab/>
        <w:t>(vi)</w:t>
      </w:r>
      <w:r>
        <w:rPr>
          <w:snapToGrid w:val="0"/>
        </w:rPr>
        <w:tab/>
        <w:t>whether the semen is chilled or frozen and the quantity of semen so preserved;</w:t>
      </w:r>
    </w:p>
    <w:p>
      <w:pPr>
        <w:pStyle w:val="Indenti"/>
        <w:rPr>
          <w:snapToGrid w:val="0"/>
        </w:rPr>
      </w:pPr>
      <w:r>
        <w:rPr>
          <w:snapToGrid w:val="0"/>
        </w:rPr>
        <w:tab/>
        <w:t>(vii)</w:t>
      </w:r>
      <w:r>
        <w:rPr>
          <w:snapToGrid w:val="0"/>
        </w:rPr>
        <w:tab/>
        <w:t>details of the despatch of the collection or any of it for sale; and</w:t>
      </w:r>
    </w:p>
    <w:p>
      <w:pPr>
        <w:pStyle w:val="Indenti"/>
        <w:rPr>
          <w:snapToGrid w:val="0"/>
        </w:rPr>
      </w:pPr>
      <w:r>
        <w:rPr>
          <w:snapToGrid w:val="0"/>
        </w:rPr>
        <w:tab/>
        <w:t>(viii)</w:t>
      </w:r>
      <w:r>
        <w:rPr>
          <w:snapToGrid w:val="0"/>
        </w:rPr>
        <w:tab/>
        <w:t>details of the disposal of any part of the collection, whether diluted or undiluted that is not otherwise accounted for under subparagraph (vii);</w:t>
      </w:r>
    </w:p>
    <w:p>
      <w:pPr>
        <w:pStyle w:val="Indenta"/>
        <w:rPr>
          <w:snapToGrid w:val="0"/>
        </w:rPr>
      </w:pPr>
      <w:r>
        <w:rPr>
          <w:snapToGrid w:val="0"/>
        </w:rPr>
        <w:tab/>
        <w:t>(b)</w:t>
      </w:r>
      <w:r>
        <w:rPr>
          <w:snapToGrid w:val="0"/>
        </w:rPr>
        <w:tab/>
        <w:t>with respect to the disposal of all semen, whether by rejection, destruction, use for examination, sale or other disposition showing — </w:t>
      </w:r>
    </w:p>
    <w:p>
      <w:pPr>
        <w:pStyle w:val="Indenti"/>
        <w:rPr>
          <w:snapToGrid w:val="0"/>
        </w:rPr>
      </w:pPr>
      <w:r>
        <w:rPr>
          <w:snapToGrid w:val="0"/>
        </w:rPr>
        <w:tab/>
        <w:t>(i)</w:t>
      </w:r>
      <w:r>
        <w:rPr>
          <w:snapToGrid w:val="0"/>
        </w:rPr>
        <w:tab/>
        <w:t>the date of despatch of semen;</w:t>
      </w:r>
    </w:p>
    <w:p>
      <w:pPr>
        <w:pStyle w:val="Indenti"/>
        <w:rPr>
          <w:snapToGrid w:val="0"/>
        </w:rPr>
      </w:pPr>
      <w:r>
        <w:rPr>
          <w:snapToGrid w:val="0"/>
        </w:rPr>
        <w:tab/>
        <w:t>(ii)</w:t>
      </w:r>
      <w:r>
        <w:rPr>
          <w:snapToGrid w:val="0"/>
        </w:rPr>
        <w:tab/>
        <w:t>the name of the licensed premises or person to whom it was despatched;</w:t>
      </w:r>
    </w:p>
    <w:p>
      <w:pPr>
        <w:pStyle w:val="Indenti"/>
        <w:rPr>
          <w:snapToGrid w:val="0"/>
        </w:rPr>
      </w:pPr>
      <w:r>
        <w:rPr>
          <w:snapToGrid w:val="0"/>
        </w:rPr>
        <w:tab/>
        <w:t>(iii)</w:t>
      </w:r>
      <w:r>
        <w:rPr>
          <w:snapToGrid w:val="0"/>
        </w:rPr>
        <w:tab/>
        <w:t>the quantities of semen despatched;</w:t>
      </w:r>
    </w:p>
    <w:p>
      <w:pPr>
        <w:pStyle w:val="Indenti"/>
        <w:rPr>
          <w:snapToGrid w:val="0"/>
        </w:rPr>
      </w:pPr>
      <w:r>
        <w:rPr>
          <w:snapToGrid w:val="0"/>
        </w:rPr>
        <w:tab/>
        <w:t>(iv)</w:t>
      </w:r>
      <w:r>
        <w:rPr>
          <w:snapToGrid w:val="0"/>
        </w:rPr>
        <w:tab/>
        <w:t>the markings made on containers, pursuant to regulation 29, of semen despatched or taken from the premises and, in each case whether it was chilled, or frozen semen;</w:t>
      </w:r>
    </w:p>
    <w:p>
      <w:pPr>
        <w:pStyle w:val="Indenti"/>
        <w:rPr>
          <w:snapToGrid w:val="0"/>
        </w:rPr>
      </w:pPr>
      <w:r>
        <w:rPr>
          <w:snapToGrid w:val="0"/>
        </w:rPr>
        <w:tab/>
        <w:t>(v)</w:t>
      </w:r>
      <w:r>
        <w:rPr>
          <w:snapToGrid w:val="0"/>
        </w:rPr>
        <w:tab/>
        <w:t>the quantities of semen returned as unused, the name of the person and date; and</w:t>
      </w:r>
    </w:p>
    <w:p>
      <w:pPr>
        <w:pStyle w:val="Indenti"/>
        <w:rPr>
          <w:snapToGrid w:val="0"/>
        </w:rPr>
      </w:pPr>
      <w:r>
        <w:rPr>
          <w:snapToGrid w:val="0"/>
        </w:rPr>
        <w:tab/>
        <w:t>(vi)</w:t>
      </w:r>
      <w:r>
        <w:rPr>
          <w:snapToGrid w:val="0"/>
        </w:rPr>
        <w:tab/>
        <w:t>the method, date of disposal and particulars of any semen not otherwise accounted for in the records.</w:t>
      </w:r>
    </w:p>
    <w:p>
      <w:pPr>
        <w:pStyle w:val="Heading5"/>
        <w:spacing w:before="120"/>
        <w:rPr>
          <w:snapToGrid w:val="0"/>
        </w:rPr>
      </w:pPr>
      <w:bookmarkStart w:id="134" w:name="_Toc459092111"/>
      <w:bookmarkStart w:id="135" w:name="_Toc518711439"/>
      <w:bookmarkStart w:id="136" w:name="_Toc170716923"/>
      <w:r>
        <w:rPr>
          <w:rStyle w:val="CharSectno"/>
        </w:rPr>
        <w:t>31</w:t>
      </w:r>
      <w:r>
        <w:rPr>
          <w:snapToGrid w:val="0"/>
        </w:rPr>
        <w:t>.</w:t>
      </w:r>
      <w:r>
        <w:rPr>
          <w:snapToGrid w:val="0"/>
        </w:rPr>
        <w:tab/>
        <w:t>Certificate to be attached to despatched semen</w:t>
      </w:r>
      <w:bookmarkEnd w:id="134"/>
      <w:bookmarkEnd w:id="135"/>
      <w:bookmarkEnd w:id="136"/>
      <w:r>
        <w:rPr>
          <w:snapToGrid w:val="0"/>
        </w:rPr>
        <w:t xml:space="preserve"> </w:t>
      </w:r>
    </w:p>
    <w:p>
      <w:pPr>
        <w:pStyle w:val="Subsection"/>
        <w:spacing w:before="80"/>
        <w:rPr>
          <w:snapToGrid w:val="0"/>
        </w:rPr>
      </w:pPr>
      <w:r>
        <w:rPr>
          <w:snapToGrid w:val="0"/>
        </w:rPr>
        <w:tab/>
      </w:r>
      <w:r>
        <w:rPr>
          <w:snapToGrid w:val="0"/>
        </w:rPr>
        <w:tab/>
        <w:t>The licensee shall ensure that a certificate is sent with all semen despatched, certifying — </w:t>
      </w:r>
    </w:p>
    <w:p>
      <w:pPr>
        <w:pStyle w:val="Indenta"/>
        <w:rPr>
          <w:snapToGrid w:val="0"/>
        </w:rPr>
      </w:pPr>
      <w:r>
        <w:rPr>
          <w:snapToGrid w:val="0"/>
        </w:rPr>
        <w:tab/>
        <w:t>(a)</w:t>
      </w:r>
      <w:r>
        <w:rPr>
          <w:snapToGrid w:val="0"/>
        </w:rPr>
        <w:tab/>
        <w:t>the origin of the semen;</w:t>
      </w:r>
    </w:p>
    <w:p>
      <w:pPr>
        <w:pStyle w:val="Indenta"/>
        <w:rPr>
          <w:snapToGrid w:val="0"/>
        </w:rPr>
      </w:pPr>
      <w:r>
        <w:rPr>
          <w:snapToGrid w:val="0"/>
        </w:rPr>
        <w:tab/>
        <w:t>(b)</w:t>
      </w:r>
      <w:r>
        <w:rPr>
          <w:snapToGrid w:val="0"/>
        </w:rPr>
        <w:tab/>
        <w:t>the name and address of the premises from which it is despatched; and</w:t>
      </w:r>
    </w:p>
    <w:p>
      <w:pPr>
        <w:pStyle w:val="Indenta"/>
        <w:rPr>
          <w:snapToGrid w:val="0"/>
        </w:rPr>
      </w:pPr>
      <w:r>
        <w:rPr>
          <w:snapToGrid w:val="0"/>
        </w:rPr>
        <w:tab/>
        <w:t>(c)</w:t>
      </w:r>
      <w:r>
        <w:rPr>
          <w:snapToGrid w:val="0"/>
        </w:rPr>
        <w:tab/>
        <w:t>that the semen to which the certificate relates corresponds to the markings identifying it on the container in which it was despatched.</w:t>
      </w:r>
    </w:p>
    <w:p>
      <w:pPr>
        <w:pStyle w:val="Heading3"/>
        <w:spacing w:before="120"/>
        <w:rPr>
          <w:snapToGrid w:val="0"/>
        </w:rPr>
      </w:pPr>
      <w:bookmarkStart w:id="137" w:name="_Toc170184894"/>
      <w:bookmarkStart w:id="138" w:name="_Toc170716924"/>
      <w:r>
        <w:rPr>
          <w:rStyle w:val="CharDivNo"/>
        </w:rPr>
        <w:t>Division 2</w:t>
      </w:r>
      <w:r>
        <w:rPr>
          <w:snapToGrid w:val="0"/>
        </w:rPr>
        <w:t> — </w:t>
      </w:r>
      <w:r>
        <w:rPr>
          <w:rStyle w:val="CharDivText"/>
        </w:rPr>
        <w:t>Premises licensed for the storage and sale of semen</w:t>
      </w:r>
      <w:bookmarkEnd w:id="137"/>
      <w:bookmarkEnd w:id="138"/>
      <w:r>
        <w:rPr>
          <w:rStyle w:val="CharDivText"/>
        </w:rPr>
        <w:t xml:space="preserve"> </w:t>
      </w:r>
    </w:p>
    <w:p>
      <w:pPr>
        <w:pStyle w:val="Heading5"/>
        <w:spacing w:before="120"/>
        <w:rPr>
          <w:snapToGrid w:val="0"/>
        </w:rPr>
      </w:pPr>
      <w:bookmarkStart w:id="139" w:name="_Toc459092112"/>
      <w:bookmarkStart w:id="140" w:name="_Toc518711440"/>
      <w:bookmarkStart w:id="141" w:name="_Toc170716925"/>
      <w:r>
        <w:rPr>
          <w:rStyle w:val="CharSectno"/>
        </w:rPr>
        <w:t>32</w:t>
      </w:r>
      <w:r>
        <w:rPr>
          <w:snapToGrid w:val="0"/>
        </w:rPr>
        <w:t>.</w:t>
      </w:r>
      <w:r>
        <w:rPr>
          <w:snapToGrid w:val="0"/>
        </w:rPr>
        <w:tab/>
        <w:t>Licensed premises</w:t>
      </w:r>
      <w:bookmarkEnd w:id="139"/>
      <w:bookmarkEnd w:id="140"/>
      <w:bookmarkEnd w:id="141"/>
      <w:r>
        <w:rPr>
          <w:snapToGrid w:val="0"/>
        </w:rPr>
        <w:t xml:space="preserve"> </w:t>
      </w:r>
    </w:p>
    <w:p>
      <w:pPr>
        <w:pStyle w:val="Subsection"/>
        <w:spacing w:before="80"/>
        <w:rPr>
          <w:snapToGrid w:val="0"/>
        </w:rPr>
      </w:pPr>
      <w:r>
        <w:rPr>
          <w:snapToGrid w:val="0"/>
        </w:rPr>
        <w:tab/>
      </w:r>
      <w:r>
        <w:rPr>
          <w:snapToGrid w:val="0"/>
        </w:rPr>
        <w:tab/>
        <w:t>A licence for the storage and sale of semen shall not be issued unless the premises to which the licence applies include — </w:t>
      </w:r>
    </w:p>
    <w:p>
      <w:pPr>
        <w:pStyle w:val="Indenta"/>
        <w:rPr>
          <w:snapToGrid w:val="0"/>
        </w:rPr>
      </w:pPr>
      <w:r>
        <w:rPr>
          <w:snapToGrid w:val="0"/>
        </w:rPr>
        <w:tab/>
        <w:t>(a)</w:t>
      </w:r>
      <w:r>
        <w:rPr>
          <w:snapToGrid w:val="0"/>
        </w:rPr>
        <w:tab/>
        <w:t>facilities approved by the Chief Veterinary Surgeon for the holding or storage of semen; and</w:t>
      </w:r>
    </w:p>
    <w:p>
      <w:pPr>
        <w:pStyle w:val="Indenta"/>
        <w:rPr>
          <w:snapToGrid w:val="0"/>
        </w:rPr>
      </w:pPr>
      <w:r>
        <w:rPr>
          <w:snapToGrid w:val="0"/>
        </w:rPr>
        <w:tab/>
        <w:t>(b)</w:t>
      </w:r>
      <w:r>
        <w:rPr>
          <w:snapToGrid w:val="0"/>
        </w:rPr>
        <w:tab/>
        <w:t>facilities for cleaning and sterilizing of equipment used for storage of semen.</w:t>
      </w:r>
    </w:p>
    <w:p>
      <w:pPr>
        <w:pStyle w:val="Heading5"/>
        <w:rPr>
          <w:snapToGrid w:val="0"/>
        </w:rPr>
      </w:pPr>
      <w:bookmarkStart w:id="142" w:name="_Toc459092113"/>
      <w:bookmarkStart w:id="143" w:name="_Toc518711441"/>
      <w:bookmarkStart w:id="144" w:name="_Toc170716926"/>
      <w:r>
        <w:rPr>
          <w:rStyle w:val="CharSectno"/>
        </w:rPr>
        <w:t>33</w:t>
      </w:r>
      <w:r>
        <w:rPr>
          <w:snapToGrid w:val="0"/>
        </w:rPr>
        <w:t>.</w:t>
      </w:r>
      <w:r>
        <w:rPr>
          <w:snapToGrid w:val="0"/>
        </w:rPr>
        <w:tab/>
        <w:t>Licensee to keep records</w:t>
      </w:r>
      <w:bookmarkEnd w:id="142"/>
      <w:bookmarkEnd w:id="143"/>
      <w:bookmarkEnd w:id="144"/>
      <w:r>
        <w:rPr>
          <w:snapToGrid w:val="0"/>
        </w:rPr>
        <w:t xml:space="preserve"> </w:t>
      </w:r>
    </w:p>
    <w:p>
      <w:pPr>
        <w:pStyle w:val="Subsection"/>
        <w:rPr>
          <w:snapToGrid w:val="0"/>
        </w:rPr>
      </w:pPr>
      <w:r>
        <w:rPr>
          <w:snapToGrid w:val="0"/>
        </w:rPr>
        <w:tab/>
      </w:r>
      <w:r>
        <w:rPr>
          <w:snapToGrid w:val="0"/>
        </w:rPr>
        <w:tab/>
        <w:t>The licensee of premises under this Division shall keep records showing — </w:t>
      </w:r>
    </w:p>
    <w:p>
      <w:pPr>
        <w:pStyle w:val="Indenta"/>
        <w:rPr>
          <w:snapToGrid w:val="0"/>
        </w:rPr>
      </w:pPr>
      <w:r>
        <w:rPr>
          <w:snapToGrid w:val="0"/>
        </w:rPr>
        <w:tab/>
        <w:t>(a)</w:t>
      </w:r>
      <w:r>
        <w:rPr>
          <w:snapToGrid w:val="0"/>
        </w:rPr>
        <w:tab/>
        <w:t>the date of the receipt and despatch of semen;</w:t>
      </w:r>
    </w:p>
    <w:p>
      <w:pPr>
        <w:pStyle w:val="Indenta"/>
        <w:rPr>
          <w:snapToGrid w:val="0"/>
        </w:rPr>
      </w:pPr>
      <w:r>
        <w:rPr>
          <w:snapToGrid w:val="0"/>
        </w:rPr>
        <w:tab/>
        <w:t>(b)</w:t>
      </w:r>
      <w:r>
        <w:rPr>
          <w:snapToGrid w:val="0"/>
        </w:rPr>
        <w:tab/>
        <w:t>the name of the licensed premises from which semen was received and of the person to whom it was despatched;</w:t>
      </w:r>
    </w:p>
    <w:p>
      <w:pPr>
        <w:pStyle w:val="Indenta"/>
        <w:rPr>
          <w:snapToGrid w:val="0"/>
        </w:rPr>
      </w:pPr>
      <w:r>
        <w:rPr>
          <w:snapToGrid w:val="0"/>
        </w:rPr>
        <w:tab/>
        <w:t>(c)</w:t>
      </w:r>
      <w:r>
        <w:rPr>
          <w:snapToGrid w:val="0"/>
        </w:rPr>
        <w:tab/>
        <w:t>the quantities of semen received and the quantities despatched;</w:t>
      </w:r>
    </w:p>
    <w:p>
      <w:pPr>
        <w:pStyle w:val="Indenta"/>
        <w:rPr>
          <w:snapToGrid w:val="0"/>
        </w:rPr>
      </w:pPr>
      <w:r>
        <w:rPr>
          <w:snapToGrid w:val="0"/>
        </w:rPr>
        <w:tab/>
        <w:t>(d)</w:t>
      </w:r>
      <w:r>
        <w:rPr>
          <w:snapToGrid w:val="0"/>
        </w:rPr>
        <w:tab/>
        <w:t>the markings made on containers, pursuant to regulation 29, of semen received and despatched from the premises and, in each case, whether it was chilled or frozen semen;</w:t>
      </w:r>
    </w:p>
    <w:p>
      <w:pPr>
        <w:pStyle w:val="Indenta"/>
        <w:rPr>
          <w:snapToGrid w:val="0"/>
        </w:rPr>
      </w:pPr>
      <w:r>
        <w:rPr>
          <w:snapToGrid w:val="0"/>
        </w:rPr>
        <w:tab/>
        <w:t>(e)</w:t>
      </w:r>
      <w:r>
        <w:rPr>
          <w:snapToGrid w:val="0"/>
        </w:rPr>
        <w:tab/>
        <w:t>any quantities of semen returned as unused and the name of the person and date;</w:t>
      </w:r>
    </w:p>
    <w:p>
      <w:pPr>
        <w:pStyle w:val="Indenta"/>
        <w:rPr>
          <w:snapToGrid w:val="0"/>
        </w:rPr>
      </w:pPr>
      <w:r>
        <w:rPr>
          <w:snapToGrid w:val="0"/>
        </w:rPr>
        <w:tab/>
        <w:t>(f)</w:t>
      </w:r>
      <w:r>
        <w:rPr>
          <w:snapToGrid w:val="0"/>
        </w:rPr>
        <w:tab/>
        <w:t>the method, date of disposal and particulars of semen not otherwise accounted for in paragraphs (a) to (e) inclusive of this regulation.</w:t>
      </w:r>
    </w:p>
    <w:p>
      <w:pPr>
        <w:pStyle w:val="Heading5"/>
        <w:spacing w:before="120"/>
        <w:rPr>
          <w:snapToGrid w:val="0"/>
        </w:rPr>
      </w:pPr>
      <w:bookmarkStart w:id="145" w:name="_Toc459092114"/>
      <w:bookmarkStart w:id="146" w:name="_Toc518711442"/>
      <w:bookmarkStart w:id="147" w:name="_Toc170716927"/>
      <w:r>
        <w:rPr>
          <w:rStyle w:val="CharSectno"/>
        </w:rPr>
        <w:t>34</w:t>
      </w:r>
      <w:r>
        <w:rPr>
          <w:snapToGrid w:val="0"/>
        </w:rPr>
        <w:t>.</w:t>
      </w:r>
      <w:r>
        <w:rPr>
          <w:snapToGrid w:val="0"/>
        </w:rPr>
        <w:tab/>
        <w:t>Licensee to issue certificate</w:t>
      </w:r>
      <w:bookmarkEnd w:id="145"/>
      <w:bookmarkEnd w:id="146"/>
      <w:bookmarkEnd w:id="147"/>
      <w:r>
        <w:rPr>
          <w:snapToGrid w:val="0"/>
        </w:rPr>
        <w:t xml:space="preserve"> </w:t>
      </w:r>
    </w:p>
    <w:p>
      <w:pPr>
        <w:pStyle w:val="Subsection"/>
        <w:rPr>
          <w:snapToGrid w:val="0"/>
        </w:rPr>
      </w:pPr>
      <w:r>
        <w:rPr>
          <w:snapToGrid w:val="0"/>
        </w:rPr>
        <w:tab/>
      </w:r>
      <w:r>
        <w:rPr>
          <w:snapToGrid w:val="0"/>
        </w:rPr>
        <w:tab/>
        <w:t>The licensee of premises under this Division shall cause a certificate to be sent with all semen despatched, certifying as to — </w:t>
      </w:r>
    </w:p>
    <w:p>
      <w:pPr>
        <w:pStyle w:val="Indenta"/>
        <w:rPr>
          <w:snapToGrid w:val="0"/>
        </w:rPr>
      </w:pPr>
      <w:r>
        <w:rPr>
          <w:snapToGrid w:val="0"/>
        </w:rPr>
        <w:tab/>
        <w:t>(a)</w:t>
      </w:r>
      <w:r>
        <w:rPr>
          <w:snapToGrid w:val="0"/>
        </w:rPr>
        <w:tab/>
        <w:t>the origin of the semen;</w:t>
      </w:r>
    </w:p>
    <w:p>
      <w:pPr>
        <w:pStyle w:val="Indenta"/>
        <w:rPr>
          <w:snapToGrid w:val="0"/>
        </w:rPr>
      </w:pPr>
      <w:r>
        <w:rPr>
          <w:snapToGrid w:val="0"/>
        </w:rPr>
        <w:tab/>
        <w:t>(b)</w:t>
      </w:r>
      <w:r>
        <w:rPr>
          <w:snapToGrid w:val="0"/>
        </w:rPr>
        <w:tab/>
        <w:t>the name and address of the premises from which it is despatched; and</w:t>
      </w:r>
    </w:p>
    <w:p>
      <w:pPr>
        <w:pStyle w:val="Indenta"/>
        <w:rPr>
          <w:snapToGrid w:val="0"/>
        </w:rPr>
      </w:pPr>
      <w:r>
        <w:rPr>
          <w:snapToGrid w:val="0"/>
        </w:rPr>
        <w:tab/>
        <w:t>(c)</w:t>
      </w:r>
      <w:r>
        <w:rPr>
          <w:snapToGrid w:val="0"/>
        </w:rPr>
        <w:tab/>
        <w:t>the identity of the semen by referral to the markings on the container in which it was despatched.</w:t>
      </w:r>
    </w:p>
    <w:p>
      <w:pPr>
        <w:pStyle w:val="Heading5"/>
        <w:spacing w:before="120"/>
        <w:rPr>
          <w:snapToGrid w:val="0"/>
        </w:rPr>
      </w:pPr>
      <w:bookmarkStart w:id="148" w:name="_Toc459092115"/>
      <w:bookmarkStart w:id="149" w:name="_Toc518711443"/>
      <w:bookmarkStart w:id="150" w:name="_Toc170716928"/>
      <w:r>
        <w:rPr>
          <w:rStyle w:val="CharSectno"/>
        </w:rPr>
        <w:t>35</w:t>
      </w:r>
      <w:r>
        <w:rPr>
          <w:snapToGrid w:val="0"/>
        </w:rPr>
        <w:t>.</w:t>
      </w:r>
      <w:r>
        <w:rPr>
          <w:snapToGrid w:val="0"/>
        </w:rPr>
        <w:tab/>
        <w:t>Records</w:t>
      </w:r>
      <w:bookmarkEnd w:id="148"/>
      <w:bookmarkEnd w:id="149"/>
      <w:bookmarkEnd w:id="150"/>
      <w:r>
        <w:rPr>
          <w:snapToGrid w:val="0"/>
        </w:rPr>
        <w:t xml:space="preserve"> </w:t>
      </w:r>
    </w:p>
    <w:p>
      <w:pPr>
        <w:pStyle w:val="Subsection"/>
        <w:rPr>
          <w:snapToGrid w:val="0"/>
        </w:rPr>
      </w:pPr>
      <w:r>
        <w:rPr>
          <w:snapToGrid w:val="0"/>
        </w:rPr>
        <w:tab/>
      </w:r>
      <w:r>
        <w:rPr>
          <w:snapToGrid w:val="0"/>
        </w:rPr>
        <w:tab/>
        <w:t>The licensee shall submit a record of semen receivals and usage in the form of Form 7 in the First Schedule for examination by 31 July and 31 January of each year.</w:t>
      </w:r>
    </w:p>
    <w:p>
      <w:pPr>
        <w:pStyle w:val="Heading3"/>
      </w:pPr>
      <w:bookmarkStart w:id="151" w:name="_Toc170184899"/>
      <w:bookmarkStart w:id="152" w:name="_Toc170716929"/>
      <w:r>
        <w:rPr>
          <w:rStyle w:val="CharDivNo"/>
        </w:rPr>
        <w:t>Division 3</w:t>
      </w:r>
      <w:r>
        <w:t> — </w:t>
      </w:r>
      <w:r>
        <w:rPr>
          <w:rStyle w:val="CharDivText"/>
        </w:rPr>
        <w:t>Premises licensed for the transplanting of ova and processes of production, handling, fertilization, implantation and storage of ova for general sale or use</w:t>
      </w:r>
      <w:bookmarkEnd w:id="151"/>
      <w:bookmarkEnd w:id="152"/>
      <w:r>
        <w:rPr>
          <w:rStyle w:val="CharDivText"/>
        </w:rPr>
        <w:t xml:space="preserve"> </w:t>
      </w:r>
    </w:p>
    <w:p>
      <w:pPr>
        <w:pStyle w:val="Heading5"/>
        <w:spacing w:before="120"/>
        <w:rPr>
          <w:snapToGrid w:val="0"/>
        </w:rPr>
      </w:pPr>
      <w:bookmarkStart w:id="153" w:name="_Toc459092116"/>
      <w:bookmarkStart w:id="154" w:name="_Toc518711444"/>
      <w:bookmarkStart w:id="155" w:name="_Toc170716930"/>
      <w:r>
        <w:rPr>
          <w:rStyle w:val="CharSectno"/>
        </w:rPr>
        <w:t>36</w:t>
      </w:r>
      <w:r>
        <w:rPr>
          <w:snapToGrid w:val="0"/>
        </w:rPr>
        <w:t>.</w:t>
      </w:r>
      <w:r>
        <w:rPr>
          <w:snapToGrid w:val="0"/>
        </w:rPr>
        <w:tab/>
        <w:t>Facilities for premises</w:t>
      </w:r>
      <w:bookmarkEnd w:id="153"/>
      <w:bookmarkEnd w:id="154"/>
      <w:bookmarkEnd w:id="155"/>
      <w:r>
        <w:rPr>
          <w:snapToGrid w:val="0"/>
        </w:rPr>
        <w:t xml:space="preserve"> </w:t>
      </w:r>
    </w:p>
    <w:p>
      <w:pPr>
        <w:pStyle w:val="Subsection"/>
        <w:rPr>
          <w:snapToGrid w:val="0"/>
        </w:rPr>
      </w:pPr>
      <w:r>
        <w:rPr>
          <w:snapToGrid w:val="0"/>
        </w:rPr>
        <w:tab/>
      </w:r>
      <w:r>
        <w:rPr>
          <w:snapToGrid w:val="0"/>
        </w:rPr>
        <w:tab/>
        <w:t>A licence for the transplantation of ova and the processes of production, handling, fertilization, implantation and storage of ova for general sale or use shall not be issued unless the premises to which the licence applies are provided with — </w:t>
      </w:r>
    </w:p>
    <w:p>
      <w:pPr>
        <w:pStyle w:val="Indenta"/>
        <w:rPr>
          <w:snapToGrid w:val="0"/>
        </w:rPr>
      </w:pPr>
      <w:r>
        <w:rPr>
          <w:snapToGrid w:val="0"/>
        </w:rPr>
        <w:tab/>
        <w:t>(a)</w:t>
      </w:r>
      <w:r>
        <w:rPr>
          <w:snapToGrid w:val="0"/>
        </w:rPr>
        <w:tab/>
        <w:t>fences of such quality and construction as will prevent unauthorized movement of stock onto, within, or out of the premises, and prevent the transmission of disease to stock on the premises;</w:t>
      </w:r>
    </w:p>
    <w:p>
      <w:pPr>
        <w:pStyle w:val="Indenta"/>
        <w:rPr>
          <w:snapToGrid w:val="0"/>
        </w:rPr>
      </w:pPr>
      <w:r>
        <w:rPr>
          <w:snapToGrid w:val="0"/>
        </w:rPr>
        <w:tab/>
        <w:t>(b)</w:t>
      </w:r>
      <w:r>
        <w:rPr>
          <w:snapToGrid w:val="0"/>
        </w:rPr>
        <w:tab/>
        <w:t>hospital area for housing, diagnosis and treatment of intercurrent diseases of stock admitted to the premises; and</w:t>
      </w:r>
    </w:p>
    <w:p>
      <w:pPr>
        <w:pStyle w:val="Indenta"/>
        <w:rPr>
          <w:snapToGrid w:val="0"/>
        </w:rPr>
      </w:pPr>
      <w:r>
        <w:rPr>
          <w:snapToGrid w:val="0"/>
        </w:rPr>
        <w:tab/>
        <w:t>(c)</w:t>
      </w:r>
      <w:r>
        <w:rPr>
          <w:snapToGrid w:val="0"/>
        </w:rPr>
        <w:tab/>
        <w:t>all necessary equipment and facilities to carry out the procedures related to the production, fertilization and transplantation of ova.</w:t>
      </w:r>
    </w:p>
    <w:p>
      <w:pPr>
        <w:pStyle w:val="Heading5"/>
        <w:rPr>
          <w:snapToGrid w:val="0"/>
        </w:rPr>
      </w:pPr>
      <w:bookmarkStart w:id="156" w:name="_Toc459092117"/>
      <w:bookmarkStart w:id="157" w:name="_Toc518711445"/>
      <w:bookmarkStart w:id="158" w:name="_Toc170716931"/>
      <w:r>
        <w:rPr>
          <w:rStyle w:val="CharSectno"/>
        </w:rPr>
        <w:t>37</w:t>
      </w:r>
      <w:r>
        <w:rPr>
          <w:snapToGrid w:val="0"/>
        </w:rPr>
        <w:t>.</w:t>
      </w:r>
      <w:r>
        <w:rPr>
          <w:snapToGrid w:val="0"/>
        </w:rPr>
        <w:tab/>
        <w:t>Use of equipment</w:t>
      </w:r>
      <w:bookmarkEnd w:id="156"/>
      <w:bookmarkEnd w:id="157"/>
      <w:bookmarkEnd w:id="158"/>
      <w:r>
        <w:rPr>
          <w:snapToGrid w:val="0"/>
        </w:rPr>
        <w:t xml:space="preserve"> </w:t>
      </w:r>
    </w:p>
    <w:p>
      <w:pPr>
        <w:pStyle w:val="Subsection"/>
        <w:rPr>
          <w:snapToGrid w:val="0"/>
        </w:rPr>
      </w:pPr>
      <w:r>
        <w:rPr>
          <w:snapToGrid w:val="0"/>
        </w:rPr>
        <w:tab/>
      </w:r>
      <w:r>
        <w:rPr>
          <w:snapToGrid w:val="0"/>
        </w:rPr>
        <w:tab/>
        <w:t>All equipment provided pursuant to regulation 36(c), which may come into contact with semen or ova shall — </w:t>
      </w:r>
    </w:p>
    <w:p>
      <w:pPr>
        <w:pStyle w:val="Indenta"/>
        <w:rPr>
          <w:snapToGrid w:val="0"/>
        </w:rPr>
      </w:pPr>
      <w:r>
        <w:rPr>
          <w:snapToGrid w:val="0"/>
        </w:rPr>
        <w:tab/>
        <w:t>(a)</w:t>
      </w:r>
      <w:r>
        <w:rPr>
          <w:snapToGrid w:val="0"/>
        </w:rPr>
        <w:tab/>
        <w:t>be properly cleaned and sterilized before any occasion of its use; and</w:t>
      </w:r>
    </w:p>
    <w:p>
      <w:pPr>
        <w:pStyle w:val="Indenta"/>
        <w:rPr>
          <w:snapToGrid w:val="0"/>
        </w:rPr>
      </w:pPr>
      <w:r>
        <w:rPr>
          <w:snapToGrid w:val="0"/>
        </w:rPr>
        <w:tab/>
        <w:t>(b)</w:t>
      </w:r>
      <w:r>
        <w:rPr>
          <w:snapToGrid w:val="0"/>
        </w:rPr>
        <w:tab/>
        <w:t>not be used on any premises other than the licensed premises, without the consent of the Chief Veterinary Surgeon.</w:t>
      </w:r>
    </w:p>
    <w:p>
      <w:pPr>
        <w:pStyle w:val="Heading5"/>
        <w:rPr>
          <w:snapToGrid w:val="0"/>
        </w:rPr>
      </w:pPr>
      <w:bookmarkStart w:id="159" w:name="_Toc459092118"/>
      <w:bookmarkStart w:id="160" w:name="_Toc518711446"/>
      <w:bookmarkStart w:id="161" w:name="_Toc170716932"/>
      <w:r>
        <w:rPr>
          <w:rStyle w:val="CharSectno"/>
        </w:rPr>
        <w:t>38</w:t>
      </w:r>
      <w:r>
        <w:rPr>
          <w:snapToGrid w:val="0"/>
        </w:rPr>
        <w:t>.</w:t>
      </w:r>
      <w:r>
        <w:rPr>
          <w:snapToGrid w:val="0"/>
        </w:rPr>
        <w:tab/>
        <w:t>Introduction of semen onto premises</w:t>
      </w:r>
      <w:bookmarkEnd w:id="159"/>
      <w:bookmarkEnd w:id="160"/>
      <w:bookmarkEnd w:id="161"/>
      <w:r>
        <w:rPr>
          <w:snapToGrid w:val="0"/>
        </w:rPr>
        <w:t xml:space="preserve"> </w:t>
      </w:r>
    </w:p>
    <w:p>
      <w:pPr>
        <w:pStyle w:val="Subsection"/>
        <w:rPr>
          <w:snapToGrid w:val="0"/>
        </w:rPr>
      </w:pPr>
      <w:r>
        <w:rPr>
          <w:snapToGrid w:val="0"/>
        </w:rPr>
        <w:tab/>
        <w:t>(1)</w:t>
      </w:r>
      <w:r>
        <w:rPr>
          <w:snapToGrid w:val="0"/>
        </w:rPr>
        <w:tab/>
        <w:t>A person shall not introduce semen or permit semen to be introduced onto the premises unless that semen is derived from premises licensed pursuant to Division 1.</w:t>
      </w:r>
    </w:p>
    <w:p>
      <w:pPr>
        <w:pStyle w:val="Subsection"/>
        <w:rPr>
          <w:snapToGrid w:val="0"/>
        </w:rPr>
      </w:pPr>
      <w:r>
        <w:rPr>
          <w:snapToGrid w:val="0"/>
        </w:rPr>
        <w:tab/>
        <w:t>(2)</w:t>
      </w:r>
      <w:r>
        <w:rPr>
          <w:snapToGrid w:val="0"/>
        </w:rPr>
        <w:tab/>
        <w:t>Notwithstanding the provisions of subregulation (1), semen may be introduced if the prior approval of the Chief Veterinary Surgeon is obtained, subject to any conditions that the Chief Veterinary Surgeon may impose.</w:t>
      </w:r>
    </w:p>
    <w:p>
      <w:pPr>
        <w:pStyle w:val="Heading5"/>
        <w:rPr>
          <w:snapToGrid w:val="0"/>
        </w:rPr>
      </w:pPr>
      <w:bookmarkStart w:id="162" w:name="_Toc459092119"/>
      <w:bookmarkStart w:id="163" w:name="_Toc518711447"/>
      <w:bookmarkStart w:id="164" w:name="_Toc170716933"/>
      <w:r>
        <w:rPr>
          <w:rStyle w:val="CharSectno"/>
        </w:rPr>
        <w:t>39</w:t>
      </w:r>
      <w:r>
        <w:rPr>
          <w:snapToGrid w:val="0"/>
        </w:rPr>
        <w:t>.</w:t>
      </w:r>
      <w:r>
        <w:rPr>
          <w:snapToGrid w:val="0"/>
        </w:rPr>
        <w:tab/>
        <w:t>Entry of bulls onto premises</w:t>
      </w:r>
      <w:bookmarkEnd w:id="162"/>
      <w:bookmarkEnd w:id="163"/>
      <w:bookmarkEnd w:id="164"/>
      <w:r>
        <w:rPr>
          <w:snapToGrid w:val="0"/>
        </w:rPr>
        <w:t xml:space="preserve"> </w:t>
      </w:r>
    </w:p>
    <w:p>
      <w:pPr>
        <w:pStyle w:val="Subsection"/>
        <w:rPr>
          <w:snapToGrid w:val="0"/>
        </w:rPr>
      </w:pPr>
      <w:r>
        <w:rPr>
          <w:snapToGrid w:val="0"/>
        </w:rPr>
        <w:tab/>
      </w:r>
      <w:r>
        <w:rPr>
          <w:snapToGrid w:val="0"/>
        </w:rPr>
        <w:tab/>
        <w:t>A person shall not permit a bull to enter or remain upon the premises unless it has been conveyed directly from premises licensed under Division 1 and has complied with the tests set out in regulation 10 and regulation 11.</w:t>
      </w:r>
    </w:p>
    <w:p>
      <w:pPr>
        <w:pStyle w:val="Heading5"/>
        <w:rPr>
          <w:snapToGrid w:val="0"/>
        </w:rPr>
      </w:pPr>
      <w:bookmarkStart w:id="165" w:name="_Toc459092120"/>
      <w:bookmarkStart w:id="166" w:name="_Toc518711448"/>
      <w:bookmarkStart w:id="167" w:name="_Toc170716934"/>
      <w:r>
        <w:rPr>
          <w:rStyle w:val="CharSectno"/>
        </w:rPr>
        <w:t>40</w:t>
      </w:r>
      <w:r>
        <w:rPr>
          <w:snapToGrid w:val="0"/>
        </w:rPr>
        <w:t>.</w:t>
      </w:r>
      <w:r>
        <w:rPr>
          <w:snapToGrid w:val="0"/>
        </w:rPr>
        <w:tab/>
        <w:t>Admission of horses onto premises</w:t>
      </w:r>
      <w:bookmarkEnd w:id="165"/>
      <w:bookmarkEnd w:id="166"/>
      <w:bookmarkEnd w:id="167"/>
      <w:r>
        <w:rPr>
          <w:snapToGrid w:val="0"/>
        </w:rPr>
        <w:t xml:space="preserve"> </w:t>
      </w:r>
    </w:p>
    <w:p>
      <w:pPr>
        <w:pStyle w:val="Subsection"/>
        <w:rPr>
          <w:snapToGrid w:val="0"/>
        </w:rPr>
      </w:pPr>
      <w:r>
        <w:rPr>
          <w:snapToGrid w:val="0"/>
        </w:rPr>
        <w:tab/>
      </w:r>
      <w:r>
        <w:rPr>
          <w:snapToGrid w:val="0"/>
        </w:rPr>
        <w:tab/>
        <w:t>A person shall not permit a horse to enter or remain upon the premises unless it has within 30 days immediately prior to entry been tested for brucellosis by a veterinary surgeon and has given negative results to that test.</w:t>
      </w:r>
    </w:p>
    <w:p>
      <w:pPr>
        <w:pStyle w:val="Heading5"/>
        <w:rPr>
          <w:snapToGrid w:val="0"/>
        </w:rPr>
      </w:pPr>
      <w:bookmarkStart w:id="168" w:name="_Toc459092121"/>
      <w:bookmarkStart w:id="169" w:name="_Toc518711449"/>
      <w:bookmarkStart w:id="170" w:name="_Toc170716935"/>
      <w:r>
        <w:rPr>
          <w:rStyle w:val="CharSectno"/>
        </w:rPr>
        <w:t>41</w:t>
      </w:r>
      <w:r>
        <w:rPr>
          <w:snapToGrid w:val="0"/>
        </w:rPr>
        <w:t>.</w:t>
      </w:r>
      <w:r>
        <w:rPr>
          <w:snapToGrid w:val="0"/>
        </w:rPr>
        <w:tab/>
        <w:t>Entry of cows, heifers and steers onto premises</w:t>
      </w:r>
      <w:bookmarkEnd w:id="168"/>
      <w:bookmarkEnd w:id="169"/>
      <w:bookmarkEnd w:id="170"/>
      <w:r>
        <w:rPr>
          <w:snapToGrid w:val="0"/>
        </w:rPr>
        <w:t xml:space="preserve"> </w:t>
      </w:r>
    </w:p>
    <w:p>
      <w:pPr>
        <w:pStyle w:val="Subsection"/>
        <w:rPr>
          <w:snapToGrid w:val="0"/>
        </w:rPr>
      </w:pPr>
      <w:r>
        <w:rPr>
          <w:snapToGrid w:val="0"/>
        </w:rPr>
        <w:tab/>
        <w:t>(1)</w:t>
      </w:r>
      <w:r>
        <w:rPr>
          <w:snapToGrid w:val="0"/>
        </w:rPr>
        <w:tab/>
        <w:t>A person shall not permit a cow, heifer or steer to enter or remain upon the premises unless the animal has been conveyed — </w:t>
      </w:r>
    </w:p>
    <w:p>
      <w:pPr>
        <w:pStyle w:val="Indenta"/>
        <w:rPr>
          <w:snapToGrid w:val="0"/>
        </w:rPr>
      </w:pPr>
      <w:r>
        <w:rPr>
          <w:snapToGrid w:val="0"/>
        </w:rPr>
        <w:tab/>
        <w:t>(a)</w:t>
      </w:r>
      <w:r>
        <w:rPr>
          <w:snapToGrid w:val="0"/>
        </w:rPr>
        <w:tab/>
        <w:t xml:space="preserve">from a herd which has been declared by the Chief Veterinary Surgeon pursuant to the </w:t>
      </w:r>
      <w:r>
        <w:rPr>
          <w:i/>
          <w:snapToGrid w:val="0"/>
        </w:rPr>
        <w:t>Stock Diseases (Regulations) Act 1968</w:t>
      </w:r>
      <w:r>
        <w:rPr>
          <w:snapToGrid w:val="0"/>
        </w:rPr>
        <w:t xml:space="preserve"> as amended, to be — </w:t>
      </w:r>
    </w:p>
    <w:p>
      <w:pPr>
        <w:pStyle w:val="Indenti"/>
        <w:rPr>
          <w:snapToGrid w:val="0"/>
        </w:rPr>
      </w:pPr>
      <w:r>
        <w:rPr>
          <w:snapToGrid w:val="0"/>
        </w:rPr>
        <w:tab/>
        <w:t>(i)</w:t>
      </w:r>
      <w:r>
        <w:rPr>
          <w:snapToGrid w:val="0"/>
        </w:rPr>
        <w:tab/>
        <w:t>accredited brucellosis free; or</w:t>
      </w:r>
    </w:p>
    <w:p>
      <w:pPr>
        <w:pStyle w:val="Indenti"/>
        <w:rPr>
          <w:snapToGrid w:val="0"/>
        </w:rPr>
      </w:pPr>
      <w:r>
        <w:rPr>
          <w:snapToGrid w:val="0"/>
        </w:rPr>
        <w:tab/>
        <w:t>(ii)</w:t>
      </w:r>
      <w:r>
        <w:rPr>
          <w:snapToGrid w:val="0"/>
        </w:rPr>
        <w:tab/>
        <w:t>certified brucellosis free;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from a herd not under quarantine restrictions in a declared brucellosis free area or provisionally free area pursuant to the </w:t>
      </w:r>
      <w:r>
        <w:rPr>
          <w:i/>
          <w:snapToGrid w:val="0"/>
        </w:rPr>
        <w:t xml:space="preserve">Stock Diseases (Regulations) Act 1968 </w:t>
      </w:r>
      <w:r>
        <w:rPr>
          <w:snapToGrid w:val="0"/>
        </w:rPr>
        <w:t>as amended.</w:t>
      </w:r>
    </w:p>
    <w:p>
      <w:pPr>
        <w:pStyle w:val="Subsection"/>
        <w:rPr>
          <w:snapToGrid w:val="0"/>
        </w:rPr>
      </w:pPr>
      <w:r>
        <w:rPr>
          <w:snapToGrid w:val="0"/>
        </w:rPr>
        <w:tab/>
        <w:t>(2)</w:t>
      </w:r>
      <w:r>
        <w:rPr>
          <w:snapToGrid w:val="0"/>
        </w:rPr>
        <w:tab/>
        <w:t>The Chief Veterinary Surgeon may require an animal referred to in subregulation (1) to undergo such other diagnostic tests as he may determine.</w:t>
      </w:r>
    </w:p>
    <w:p>
      <w:pPr>
        <w:pStyle w:val="Heading5"/>
        <w:rPr>
          <w:snapToGrid w:val="0"/>
        </w:rPr>
      </w:pPr>
      <w:bookmarkStart w:id="171" w:name="_Toc459092122"/>
      <w:bookmarkStart w:id="172" w:name="_Toc518711450"/>
      <w:bookmarkStart w:id="173" w:name="_Toc170716936"/>
      <w:r>
        <w:rPr>
          <w:rStyle w:val="CharSectno"/>
        </w:rPr>
        <w:t>42</w:t>
      </w:r>
      <w:r>
        <w:rPr>
          <w:snapToGrid w:val="0"/>
        </w:rPr>
        <w:t>.</w:t>
      </w:r>
      <w:r>
        <w:rPr>
          <w:snapToGrid w:val="0"/>
        </w:rPr>
        <w:tab/>
        <w:t>Chief Veterinary Surgeon may require animals to be tested and treated</w:t>
      </w:r>
      <w:bookmarkEnd w:id="171"/>
      <w:bookmarkEnd w:id="172"/>
      <w:bookmarkEnd w:id="173"/>
      <w:r>
        <w:rPr>
          <w:snapToGrid w:val="0"/>
        </w:rPr>
        <w:t xml:space="preserve"> </w:t>
      </w:r>
    </w:p>
    <w:p>
      <w:pPr>
        <w:pStyle w:val="Subsection"/>
        <w:rPr>
          <w:snapToGrid w:val="0"/>
        </w:rPr>
      </w:pPr>
      <w:r>
        <w:rPr>
          <w:snapToGrid w:val="0"/>
        </w:rPr>
        <w:tab/>
      </w:r>
      <w:r>
        <w:rPr>
          <w:snapToGrid w:val="0"/>
        </w:rPr>
        <w:tab/>
        <w:t>The Chief Veterinary Surgeon may require any horse or cattle on the premises to be tested and treated for disease in such a manner and at such times as he may specify, and that animal or those animals shall be treated accordingly.</w:t>
      </w:r>
    </w:p>
    <w:p>
      <w:pPr>
        <w:pStyle w:val="Heading5"/>
        <w:rPr>
          <w:snapToGrid w:val="0"/>
        </w:rPr>
      </w:pPr>
      <w:bookmarkStart w:id="174" w:name="_Toc459092123"/>
      <w:bookmarkStart w:id="175" w:name="_Toc518711451"/>
      <w:bookmarkStart w:id="176" w:name="_Toc170716937"/>
      <w:r>
        <w:rPr>
          <w:rStyle w:val="CharSectno"/>
        </w:rPr>
        <w:t>43</w:t>
      </w:r>
      <w:r>
        <w:rPr>
          <w:snapToGrid w:val="0"/>
        </w:rPr>
        <w:t>.</w:t>
      </w:r>
      <w:r>
        <w:rPr>
          <w:snapToGrid w:val="0"/>
        </w:rPr>
        <w:tab/>
        <w:t>Tests for animals leaving premises</w:t>
      </w:r>
      <w:bookmarkEnd w:id="174"/>
      <w:bookmarkEnd w:id="175"/>
      <w:bookmarkEnd w:id="176"/>
      <w:r>
        <w:rPr>
          <w:snapToGrid w:val="0"/>
        </w:rPr>
        <w:t xml:space="preserve"> </w:t>
      </w:r>
    </w:p>
    <w:p>
      <w:pPr>
        <w:pStyle w:val="Subsection"/>
        <w:rPr>
          <w:snapToGrid w:val="0"/>
        </w:rPr>
      </w:pPr>
      <w:r>
        <w:rPr>
          <w:snapToGrid w:val="0"/>
        </w:rPr>
        <w:tab/>
      </w:r>
      <w:r>
        <w:rPr>
          <w:snapToGrid w:val="0"/>
        </w:rPr>
        <w:tab/>
        <w:t>A person shall not permit a cow, or heifer or bull to leave the premises unless — </w:t>
      </w:r>
    </w:p>
    <w:p>
      <w:pPr>
        <w:pStyle w:val="Indenta"/>
        <w:rPr>
          <w:snapToGrid w:val="0"/>
        </w:rPr>
      </w:pPr>
      <w:r>
        <w:rPr>
          <w:snapToGrid w:val="0"/>
        </w:rPr>
        <w:tab/>
        <w:t>(a)</w:t>
      </w:r>
      <w:r>
        <w:rPr>
          <w:snapToGrid w:val="0"/>
        </w:rPr>
        <w:tab/>
        <w:t>it has been tested for brucellosis with negative results; or</w:t>
      </w:r>
    </w:p>
    <w:p>
      <w:pPr>
        <w:pStyle w:val="Indenta"/>
        <w:rPr>
          <w:snapToGrid w:val="0"/>
        </w:rPr>
      </w:pPr>
      <w:r>
        <w:rPr>
          <w:snapToGrid w:val="0"/>
        </w:rPr>
        <w:tab/>
        <w:t>(b)</w:t>
      </w:r>
      <w:r>
        <w:rPr>
          <w:snapToGrid w:val="0"/>
        </w:rPr>
        <w:tab/>
        <w:t>a permit to remove has been obtained from the District Inspector, subject to any conditions that the Chief Veterinary Surgeon may make.</w:t>
      </w:r>
    </w:p>
    <w:p>
      <w:pPr>
        <w:pStyle w:val="Heading5"/>
        <w:rPr>
          <w:snapToGrid w:val="0"/>
        </w:rPr>
      </w:pPr>
      <w:bookmarkStart w:id="177" w:name="_Toc459092124"/>
      <w:bookmarkStart w:id="178" w:name="_Toc518711452"/>
      <w:bookmarkStart w:id="179" w:name="_Toc170716938"/>
      <w:r>
        <w:rPr>
          <w:rStyle w:val="CharSectno"/>
        </w:rPr>
        <w:t>44</w:t>
      </w:r>
      <w:r>
        <w:rPr>
          <w:snapToGrid w:val="0"/>
        </w:rPr>
        <w:t>.</w:t>
      </w:r>
      <w:r>
        <w:rPr>
          <w:snapToGrid w:val="0"/>
        </w:rPr>
        <w:tab/>
        <w:t>Records</w:t>
      </w:r>
      <w:bookmarkEnd w:id="177"/>
      <w:bookmarkEnd w:id="178"/>
      <w:bookmarkEnd w:id="179"/>
      <w:r>
        <w:rPr>
          <w:snapToGrid w:val="0"/>
        </w:rPr>
        <w:t xml:space="preserve"> </w:t>
      </w:r>
    </w:p>
    <w:p>
      <w:pPr>
        <w:pStyle w:val="Subsection"/>
        <w:rPr>
          <w:snapToGrid w:val="0"/>
        </w:rPr>
      </w:pPr>
      <w:r>
        <w:rPr>
          <w:snapToGrid w:val="0"/>
        </w:rPr>
        <w:tab/>
        <w:t>(1)</w:t>
      </w:r>
      <w:r>
        <w:rPr>
          <w:snapToGrid w:val="0"/>
        </w:rPr>
        <w:tab/>
        <w:t>The licensee of premises under this Division shall cause records to be kept on the premises in respect of every horse and head of cattle that has at any time been on the premises, setting out — </w:t>
      </w:r>
    </w:p>
    <w:p>
      <w:pPr>
        <w:pStyle w:val="Indenta"/>
        <w:rPr>
          <w:snapToGrid w:val="0"/>
        </w:rPr>
      </w:pPr>
      <w:r>
        <w:rPr>
          <w:snapToGrid w:val="0"/>
        </w:rPr>
        <w:tab/>
        <w:t>(a)</w:t>
      </w:r>
      <w:r>
        <w:rPr>
          <w:snapToGrid w:val="0"/>
        </w:rPr>
        <w:tab/>
        <w:t>individual identification;</w:t>
      </w:r>
    </w:p>
    <w:p>
      <w:pPr>
        <w:pStyle w:val="Indenta"/>
        <w:rPr>
          <w:snapToGrid w:val="0"/>
        </w:rPr>
      </w:pPr>
      <w:r>
        <w:rPr>
          <w:snapToGrid w:val="0"/>
        </w:rPr>
        <w:tab/>
        <w:t>(b)</w:t>
      </w:r>
      <w:r>
        <w:rPr>
          <w:snapToGrid w:val="0"/>
        </w:rPr>
        <w:tab/>
        <w:t>the date of entry of the animal and its origin;</w:t>
      </w:r>
    </w:p>
    <w:p>
      <w:pPr>
        <w:pStyle w:val="Indenta"/>
        <w:rPr>
          <w:snapToGrid w:val="0"/>
        </w:rPr>
      </w:pPr>
      <w:r>
        <w:rPr>
          <w:snapToGrid w:val="0"/>
        </w:rPr>
        <w:tab/>
        <w:t>(c)</w:t>
      </w:r>
      <w:r>
        <w:rPr>
          <w:snapToGrid w:val="0"/>
        </w:rPr>
        <w:tab/>
        <w:t>the date of departure of the animal and its destination; and</w:t>
      </w:r>
    </w:p>
    <w:p>
      <w:pPr>
        <w:pStyle w:val="Indenta"/>
        <w:rPr>
          <w:snapToGrid w:val="0"/>
        </w:rPr>
      </w:pPr>
      <w:r>
        <w:rPr>
          <w:snapToGrid w:val="0"/>
        </w:rPr>
        <w:tab/>
        <w:t>(d)</w:t>
      </w:r>
      <w:r>
        <w:rPr>
          <w:snapToGrid w:val="0"/>
        </w:rPr>
        <w:tab/>
        <w:t>the particulars, dates and results of any tests or treatment for disease to which the animal is, or has been subject.</w:t>
      </w:r>
    </w:p>
    <w:p>
      <w:pPr>
        <w:pStyle w:val="Subsection"/>
        <w:rPr>
          <w:snapToGrid w:val="0"/>
        </w:rPr>
      </w:pPr>
      <w:r>
        <w:rPr>
          <w:snapToGrid w:val="0"/>
        </w:rPr>
        <w:tab/>
        <w:t>(2)</w:t>
      </w:r>
      <w:r>
        <w:rPr>
          <w:snapToGrid w:val="0"/>
        </w:rPr>
        <w:tab/>
        <w:t>The licensee of premises under this Division shall cause to be kept on the premises records showing — </w:t>
      </w:r>
    </w:p>
    <w:p>
      <w:pPr>
        <w:pStyle w:val="Indenta"/>
        <w:rPr>
          <w:snapToGrid w:val="0"/>
        </w:rPr>
      </w:pPr>
      <w:r>
        <w:rPr>
          <w:snapToGrid w:val="0"/>
        </w:rPr>
        <w:tab/>
        <w:t>(a)</w:t>
      </w:r>
      <w:r>
        <w:rPr>
          <w:snapToGrid w:val="0"/>
        </w:rPr>
        <w:tab/>
        <w:t>the date of receipt of semen;</w:t>
      </w:r>
    </w:p>
    <w:p>
      <w:pPr>
        <w:pStyle w:val="Indenta"/>
        <w:rPr>
          <w:snapToGrid w:val="0"/>
        </w:rPr>
      </w:pPr>
      <w:r>
        <w:rPr>
          <w:snapToGrid w:val="0"/>
        </w:rPr>
        <w:tab/>
        <w:t>(b)</w:t>
      </w:r>
      <w:r>
        <w:rPr>
          <w:snapToGrid w:val="0"/>
        </w:rPr>
        <w:tab/>
        <w:t>the name of the licensed premises from which semen was received;</w:t>
      </w:r>
    </w:p>
    <w:p>
      <w:pPr>
        <w:pStyle w:val="Indenta"/>
        <w:rPr>
          <w:snapToGrid w:val="0"/>
        </w:rPr>
      </w:pPr>
      <w:r>
        <w:rPr>
          <w:snapToGrid w:val="0"/>
        </w:rPr>
        <w:tab/>
        <w:t>(c)</w:t>
      </w:r>
      <w:r>
        <w:rPr>
          <w:snapToGrid w:val="0"/>
        </w:rPr>
        <w:tab/>
        <w:t>the markings on each container received;</w:t>
      </w:r>
    </w:p>
    <w:p>
      <w:pPr>
        <w:pStyle w:val="Indenta"/>
        <w:rPr>
          <w:snapToGrid w:val="0"/>
        </w:rPr>
      </w:pPr>
      <w:r>
        <w:rPr>
          <w:snapToGrid w:val="0"/>
        </w:rPr>
        <w:tab/>
        <w:t>(d)</w:t>
      </w:r>
      <w:r>
        <w:rPr>
          <w:snapToGrid w:val="0"/>
        </w:rPr>
        <w:tab/>
        <w:t>the date on which the semen was used for artificial insemination of cows;</w:t>
      </w:r>
    </w:p>
    <w:p>
      <w:pPr>
        <w:pStyle w:val="Indenta"/>
        <w:rPr>
          <w:snapToGrid w:val="0"/>
        </w:rPr>
      </w:pPr>
      <w:r>
        <w:rPr>
          <w:snapToGrid w:val="0"/>
        </w:rPr>
        <w:tab/>
        <w:t>(e)</w:t>
      </w:r>
      <w:r>
        <w:rPr>
          <w:snapToGrid w:val="0"/>
        </w:rPr>
        <w:tab/>
        <w:t>the identification of the cows inseminated;</w:t>
      </w:r>
    </w:p>
    <w:p>
      <w:pPr>
        <w:pStyle w:val="Indenta"/>
        <w:rPr>
          <w:snapToGrid w:val="0"/>
        </w:rPr>
      </w:pPr>
      <w:r>
        <w:rPr>
          <w:snapToGrid w:val="0"/>
        </w:rPr>
        <w:tab/>
        <w:t>(f)</w:t>
      </w:r>
      <w:r>
        <w:rPr>
          <w:snapToGrid w:val="0"/>
        </w:rPr>
        <w:tab/>
        <w:t>the method and date of disposal; and</w:t>
      </w:r>
    </w:p>
    <w:p>
      <w:pPr>
        <w:pStyle w:val="Indenta"/>
        <w:rPr>
          <w:snapToGrid w:val="0"/>
        </w:rPr>
      </w:pPr>
      <w:r>
        <w:rPr>
          <w:snapToGrid w:val="0"/>
        </w:rPr>
        <w:tab/>
        <w:t>(g)</w:t>
      </w:r>
      <w:r>
        <w:rPr>
          <w:snapToGrid w:val="0"/>
        </w:rPr>
        <w:tab/>
        <w:t>particulars of semen not otherwise accounted for pursuant to this subregulation.</w:t>
      </w:r>
    </w:p>
    <w:p>
      <w:pPr>
        <w:pStyle w:val="Heading2"/>
      </w:pPr>
      <w:bookmarkStart w:id="180" w:name="_Toc170184909"/>
      <w:bookmarkStart w:id="181" w:name="_Toc170716939"/>
      <w:r>
        <w:rPr>
          <w:rStyle w:val="CharPartNo"/>
        </w:rPr>
        <w:t>Part III</w:t>
      </w:r>
      <w:r>
        <w:rPr>
          <w:rStyle w:val="CharDivNo"/>
        </w:rPr>
        <w:t> </w:t>
      </w:r>
      <w:r>
        <w:t>—</w:t>
      </w:r>
      <w:r>
        <w:rPr>
          <w:rStyle w:val="CharDivText"/>
        </w:rPr>
        <w:t> </w:t>
      </w:r>
      <w:r>
        <w:rPr>
          <w:rStyle w:val="CharPartText"/>
        </w:rPr>
        <w:t>Certificates of competency</w:t>
      </w:r>
      <w:bookmarkEnd w:id="180"/>
      <w:bookmarkEnd w:id="181"/>
      <w:r>
        <w:rPr>
          <w:rStyle w:val="CharPartText"/>
        </w:rPr>
        <w:t xml:space="preserve"> </w:t>
      </w:r>
    </w:p>
    <w:p>
      <w:pPr>
        <w:pStyle w:val="Heading5"/>
        <w:rPr>
          <w:snapToGrid w:val="0"/>
        </w:rPr>
      </w:pPr>
      <w:bookmarkStart w:id="182" w:name="_Toc459092125"/>
      <w:bookmarkStart w:id="183" w:name="_Toc518711453"/>
      <w:bookmarkStart w:id="184" w:name="_Toc170716940"/>
      <w:r>
        <w:rPr>
          <w:rStyle w:val="CharSectno"/>
        </w:rPr>
        <w:t>45</w:t>
      </w:r>
      <w:r>
        <w:rPr>
          <w:snapToGrid w:val="0"/>
        </w:rPr>
        <w:t>.</w:t>
      </w:r>
      <w:r>
        <w:rPr>
          <w:snapToGrid w:val="0"/>
        </w:rPr>
        <w:tab/>
        <w:t>Application for certificate of competency</w:t>
      </w:r>
      <w:bookmarkEnd w:id="182"/>
      <w:bookmarkEnd w:id="183"/>
      <w:bookmarkEnd w:id="184"/>
      <w:r>
        <w:rPr>
          <w:snapToGrid w:val="0"/>
        </w:rPr>
        <w:t xml:space="preserve"> </w:t>
      </w:r>
    </w:p>
    <w:p>
      <w:pPr>
        <w:pStyle w:val="Subsection"/>
        <w:rPr>
          <w:snapToGrid w:val="0"/>
        </w:rPr>
      </w:pPr>
      <w:r>
        <w:rPr>
          <w:snapToGrid w:val="0"/>
        </w:rPr>
        <w:tab/>
        <w:t>(1)</w:t>
      </w:r>
      <w:r>
        <w:rPr>
          <w:snapToGrid w:val="0"/>
        </w:rPr>
        <w:tab/>
        <w:t>A person who seeks to be issued with a certificate of competency shall make an application in the form of Form 5 in the First Schedule.</w:t>
      </w:r>
    </w:p>
    <w:p>
      <w:pPr>
        <w:pStyle w:val="Subsection"/>
        <w:rPr>
          <w:snapToGrid w:val="0"/>
        </w:rPr>
      </w:pPr>
      <w:r>
        <w:rPr>
          <w:snapToGrid w:val="0"/>
        </w:rPr>
        <w:tab/>
        <w:t>(2)</w:t>
      </w:r>
      <w:r>
        <w:rPr>
          <w:snapToGrid w:val="0"/>
        </w:rPr>
        <w:tab/>
        <w:t>A certificate of competency shall be issued to a herdsman</w:t>
      </w:r>
      <w:r>
        <w:rPr>
          <w:snapToGrid w:val="0"/>
        </w:rPr>
        <w:noBreakHyphen/>
        <w:t>inseminator or an authorized inseminator on the condition that the holder of the certificate of competency annually submits to the Chief Veterinary Surgeon the Inseminator Annual Return of Semen usage and Non</w:t>
      </w:r>
      <w:r>
        <w:rPr>
          <w:snapToGrid w:val="0"/>
        </w:rPr>
        <w:noBreakHyphen/>
        <w:t>Return Ratios in the form of Form 8 in the First Schedule.</w:t>
      </w:r>
    </w:p>
    <w:p>
      <w:pPr>
        <w:pStyle w:val="Heading5"/>
        <w:rPr>
          <w:snapToGrid w:val="0"/>
        </w:rPr>
      </w:pPr>
      <w:bookmarkStart w:id="185" w:name="_Toc459092126"/>
      <w:bookmarkStart w:id="186" w:name="_Toc518711454"/>
      <w:bookmarkStart w:id="187" w:name="_Toc170716941"/>
      <w:r>
        <w:rPr>
          <w:rStyle w:val="CharSectno"/>
        </w:rPr>
        <w:t>46</w:t>
      </w:r>
      <w:r>
        <w:rPr>
          <w:snapToGrid w:val="0"/>
        </w:rPr>
        <w:t>.</w:t>
      </w:r>
      <w:r>
        <w:rPr>
          <w:snapToGrid w:val="0"/>
        </w:rPr>
        <w:tab/>
        <w:t>Authorized inseminators</w:t>
      </w:r>
      <w:bookmarkEnd w:id="185"/>
      <w:bookmarkEnd w:id="186"/>
      <w:bookmarkEnd w:id="187"/>
      <w:r>
        <w:rPr>
          <w:snapToGrid w:val="0"/>
        </w:rPr>
        <w:t xml:space="preserve"> </w:t>
      </w:r>
    </w:p>
    <w:p>
      <w:pPr>
        <w:pStyle w:val="Subsection"/>
        <w:rPr>
          <w:snapToGrid w:val="0"/>
        </w:rPr>
      </w:pPr>
      <w:r>
        <w:rPr>
          <w:snapToGrid w:val="0"/>
        </w:rPr>
        <w:tab/>
      </w:r>
      <w:r>
        <w:rPr>
          <w:snapToGrid w:val="0"/>
        </w:rPr>
        <w:tab/>
        <w:t>A person who desires to be issued with a certificate of competency as an authorized inseminator shall — </w:t>
      </w:r>
    </w:p>
    <w:p>
      <w:pPr>
        <w:pStyle w:val="Indenta"/>
        <w:rPr>
          <w:snapToGrid w:val="0"/>
        </w:rPr>
      </w:pPr>
      <w:r>
        <w:rPr>
          <w:snapToGrid w:val="0"/>
        </w:rPr>
        <w:tab/>
        <w:t>(a)</w:t>
      </w:r>
      <w:r>
        <w:rPr>
          <w:snapToGrid w:val="0"/>
        </w:rPr>
        <w:tab/>
        <w:t>pass an examination on the theory of artificial insemination conducted by a person or organization approved by the Chief Veterinary Surgeon; or</w:t>
      </w:r>
    </w:p>
    <w:p>
      <w:pPr>
        <w:pStyle w:val="Indenta"/>
        <w:rPr>
          <w:snapToGrid w:val="0"/>
        </w:rPr>
      </w:pPr>
      <w:r>
        <w:rPr>
          <w:snapToGrid w:val="0"/>
        </w:rPr>
        <w:tab/>
        <w:t>(b)</w:t>
      </w:r>
      <w:r>
        <w:rPr>
          <w:snapToGrid w:val="0"/>
        </w:rPr>
        <w:tab/>
        <w:t>show, in the opinion of the Chief Veterinary Surgeon, such knowledge of the theory of artificial insemination of cattle and such practical training in the packing and storing and use of semen, whether demonstrated by practical test or not, as warrants the issue of a certificate.</w:t>
      </w:r>
    </w:p>
    <w:p>
      <w:pPr>
        <w:pStyle w:val="Heading5"/>
        <w:rPr>
          <w:snapToGrid w:val="0"/>
        </w:rPr>
      </w:pPr>
      <w:bookmarkStart w:id="188" w:name="_Toc459092127"/>
      <w:bookmarkStart w:id="189" w:name="_Toc518711455"/>
      <w:bookmarkStart w:id="190" w:name="_Toc170716942"/>
      <w:r>
        <w:rPr>
          <w:rStyle w:val="CharSectno"/>
        </w:rPr>
        <w:t>47</w:t>
      </w:r>
      <w:r>
        <w:rPr>
          <w:snapToGrid w:val="0"/>
        </w:rPr>
        <w:t>.</w:t>
      </w:r>
      <w:r>
        <w:rPr>
          <w:snapToGrid w:val="0"/>
        </w:rPr>
        <w:tab/>
        <w:t>Herdsman</w:t>
      </w:r>
      <w:r>
        <w:rPr>
          <w:snapToGrid w:val="0"/>
        </w:rPr>
        <w:noBreakHyphen/>
        <w:t>inseminators</w:t>
      </w:r>
      <w:bookmarkEnd w:id="188"/>
      <w:bookmarkEnd w:id="189"/>
      <w:bookmarkEnd w:id="190"/>
      <w:r>
        <w:rPr>
          <w:snapToGrid w:val="0"/>
        </w:rPr>
        <w:t xml:space="preserve"> </w:t>
      </w:r>
    </w:p>
    <w:p>
      <w:pPr>
        <w:pStyle w:val="Subsection"/>
        <w:rPr>
          <w:snapToGrid w:val="0"/>
        </w:rPr>
      </w:pPr>
      <w:r>
        <w:rPr>
          <w:snapToGrid w:val="0"/>
        </w:rPr>
        <w:tab/>
      </w:r>
      <w:r>
        <w:rPr>
          <w:snapToGrid w:val="0"/>
        </w:rPr>
        <w:tab/>
        <w:t>A person who desires to be issued with a certificate of competency as a herdsman</w:t>
      </w:r>
      <w:r>
        <w:rPr>
          <w:snapToGrid w:val="0"/>
        </w:rPr>
        <w:noBreakHyphen/>
        <w:t>inseminator shall — </w:t>
      </w:r>
    </w:p>
    <w:p>
      <w:pPr>
        <w:pStyle w:val="Indenta"/>
        <w:rPr>
          <w:snapToGrid w:val="0"/>
        </w:rPr>
      </w:pPr>
      <w:r>
        <w:rPr>
          <w:snapToGrid w:val="0"/>
        </w:rPr>
        <w:tab/>
        <w:t>(a)</w:t>
      </w:r>
      <w:r>
        <w:rPr>
          <w:snapToGrid w:val="0"/>
        </w:rPr>
        <w:tab/>
        <w:t>pass an examination on the theory and practice of artificial insemination conducted by a person or organization approved by the Chief Veterinary Surgeon; or</w:t>
      </w:r>
    </w:p>
    <w:p>
      <w:pPr>
        <w:pStyle w:val="Indenta"/>
        <w:rPr>
          <w:snapToGrid w:val="0"/>
        </w:rPr>
      </w:pPr>
      <w:r>
        <w:rPr>
          <w:snapToGrid w:val="0"/>
        </w:rPr>
        <w:tab/>
        <w:t>(b)</w:t>
      </w:r>
      <w:r>
        <w:rPr>
          <w:snapToGrid w:val="0"/>
        </w:rPr>
        <w:tab/>
        <w:t>show, in the opinion of the Chief Veterinary Surgeon, such knowledge of the theory and practice of artificial insemination, whether demonstrated by practical test or not, as warrants the issue of a certificate.</w:t>
      </w:r>
    </w:p>
    <w:p>
      <w:pPr>
        <w:pStyle w:val="Heading5"/>
        <w:rPr>
          <w:snapToGrid w:val="0"/>
        </w:rPr>
      </w:pPr>
      <w:bookmarkStart w:id="191" w:name="_Toc459092128"/>
      <w:bookmarkStart w:id="192" w:name="_Toc518711456"/>
      <w:bookmarkStart w:id="193" w:name="_Toc170716943"/>
      <w:r>
        <w:rPr>
          <w:rStyle w:val="CharSectno"/>
        </w:rPr>
        <w:t>48</w:t>
      </w:r>
      <w:r>
        <w:rPr>
          <w:snapToGrid w:val="0"/>
        </w:rPr>
        <w:t>.</w:t>
      </w:r>
      <w:r>
        <w:rPr>
          <w:snapToGrid w:val="0"/>
        </w:rPr>
        <w:tab/>
        <w:t>Custom collectors</w:t>
      </w:r>
      <w:bookmarkEnd w:id="191"/>
      <w:bookmarkEnd w:id="192"/>
      <w:bookmarkEnd w:id="193"/>
      <w:r>
        <w:rPr>
          <w:snapToGrid w:val="0"/>
        </w:rPr>
        <w:t xml:space="preserve"> </w:t>
      </w:r>
    </w:p>
    <w:p>
      <w:pPr>
        <w:pStyle w:val="Subsection"/>
        <w:rPr>
          <w:snapToGrid w:val="0"/>
        </w:rPr>
      </w:pPr>
      <w:r>
        <w:rPr>
          <w:snapToGrid w:val="0"/>
        </w:rPr>
        <w:tab/>
      </w:r>
      <w:r>
        <w:rPr>
          <w:snapToGrid w:val="0"/>
        </w:rPr>
        <w:tab/>
        <w:t>A person who desires to be issued with a certificate of competency as a custom collector of semen shall satisfy the Chief Veterinary Surgeon that he possesses adequate knowledge of the theory and practice of the collection and processing of semen.</w:t>
      </w:r>
    </w:p>
    <w:p>
      <w:pPr>
        <w:pStyle w:val="Heading2"/>
      </w:pPr>
      <w:bookmarkStart w:id="194" w:name="_Toc170184914"/>
      <w:bookmarkStart w:id="195" w:name="_Toc170716944"/>
      <w:r>
        <w:rPr>
          <w:rStyle w:val="CharPartNo"/>
        </w:rPr>
        <w:t>Part IV</w:t>
      </w:r>
      <w:r>
        <w:rPr>
          <w:rStyle w:val="CharDivNo"/>
        </w:rPr>
        <w:t> </w:t>
      </w:r>
      <w:r>
        <w:t>—</w:t>
      </w:r>
      <w:r>
        <w:rPr>
          <w:rStyle w:val="CharDivText"/>
        </w:rPr>
        <w:t> </w:t>
      </w:r>
      <w:r>
        <w:rPr>
          <w:rStyle w:val="CharPartText"/>
        </w:rPr>
        <w:t>Inseminators</w:t>
      </w:r>
      <w:bookmarkEnd w:id="194"/>
      <w:bookmarkEnd w:id="195"/>
      <w:r>
        <w:rPr>
          <w:rStyle w:val="CharPartText"/>
        </w:rPr>
        <w:t xml:space="preserve"> </w:t>
      </w:r>
    </w:p>
    <w:p>
      <w:pPr>
        <w:pStyle w:val="Heading5"/>
        <w:rPr>
          <w:snapToGrid w:val="0"/>
        </w:rPr>
      </w:pPr>
      <w:bookmarkStart w:id="196" w:name="_Toc459092129"/>
      <w:bookmarkStart w:id="197" w:name="_Toc518711457"/>
      <w:bookmarkStart w:id="198" w:name="_Toc170716945"/>
      <w:r>
        <w:rPr>
          <w:rStyle w:val="CharSectno"/>
        </w:rPr>
        <w:t>49</w:t>
      </w:r>
      <w:r>
        <w:rPr>
          <w:snapToGrid w:val="0"/>
        </w:rPr>
        <w:t>.</w:t>
      </w:r>
      <w:r>
        <w:rPr>
          <w:snapToGrid w:val="0"/>
        </w:rPr>
        <w:tab/>
        <w:t>Records</w:t>
      </w:r>
      <w:bookmarkEnd w:id="196"/>
      <w:bookmarkEnd w:id="197"/>
      <w:bookmarkEnd w:id="198"/>
      <w:r>
        <w:rPr>
          <w:snapToGrid w:val="0"/>
        </w:rPr>
        <w:t xml:space="preserve"> </w:t>
      </w:r>
    </w:p>
    <w:p>
      <w:pPr>
        <w:pStyle w:val="Subsection"/>
        <w:rPr>
          <w:snapToGrid w:val="0"/>
        </w:rPr>
      </w:pPr>
      <w:r>
        <w:rPr>
          <w:snapToGrid w:val="0"/>
        </w:rPr>
        <w:tab/>
      </w:r>
      <w:r>
        <w:rPr>
          <w:snapToGrid w:val="0"/>
        </w:rPr>
        <w:tab/>
        <w:t>An authorized inseminator or herdsman</w:t>
      </w:r>
      <w:r>
        <w:rPr>
          <w:snapToGrid w:val="0"/>
        </w:rPr>
        <w:noBreakHyphen/>
        <w:t>inseminator shall keep a record of all semen received by him from licensed premises for the purpose of the artificial insemination of cows providing details of — </w:t>
      </w:r>
    </w:p>
    <w:p>
      <w:pPr>
        <w:pStyle w:val="Indenta"/>
        <w:rPr>
          <w:snapToGrid w:val="0"/>
        </w:rPr>
      </w:pPr>
      <w:r>
        <w:rPr>
          <w:snapToGrid w:val="0"/>
        </w:rPr>
        <w:tab/>
        <w:t>(a)</w:t>
      </w:r>
      <w:r>
        <w:rPr>
          <w:snapToGrid w:val="0"/>
        </w:rPr>
        <w:tab/>
        <w:t>the address of every licensed premises from which semen is received, the quantities received in each case and the date of each receipt;</w:t>
      </w:r>
    </w:p>
    <w:p>
      <w:pPr>
        <w:pStyle w:val="Indenta"/>
        <w:rPr>
          <w:snapToGrid w:val="0"/>
        </w:rPr>
      </w:pPr>
      <w:r>
        <w:rPr>
          <w:snapToGrid w:val="0"/>
        </w:rPr>
        <w:tab/>
        <w:t>(b)</w:t>
      </w:r>
      <w:r>
        <w:rPr>
          <w:snapToGrid w:val="0"/>
        </w:rPr>
        <w:tab/>
        <w:t>the markings on each container received and whether it contained chilled or frozen semen;</w:t>
      </w:r>
    </w:p>
    <w:p>
      <w:pPr>
        <w:pStyle w:val="Indenta"/>
        <w:rPr>
          <w:snapToGrid w:val="0"/>
        </w:rPr>
      </w:pPr>
      <w:r>
        <w:rPr>
          <w:snapToGrid w:val="0"/>
        </w:rPr>
        <w:tab/>
        <w:t>(c)</w:t>
      </w:r>
      <w:r>
        <w:rPr>
          <w:snapToGrid w:val="0"/>
        </w:rPr>
        <w:tab/>
        <w:t>the date on which the semen or any of it was used for the artificial insemination of cows;</w:t>
      </w:r>
    </w:p>
    <w:p>
      <w:pPr>
        <w:pStyle w:val="Indenta"/>
        <w:rPr>
          <w:snapToGrid w:val="0"/>
        </w:rPr>
      </w:pPr>
      <w:r>
        <w:rPr>
          <w:snapToGrid w:val="0"/>
        </w:rPr>
        <w:tab/>
        <w:t>(d)</w:t>
      </w:r>
      <w:r>
        <w:rPr>
          <w:snapToGrid w:val="0"/>
        </w:rPr>
        <w:tab/>
        <w:t>the identity of, and the name and address of the owner of any cows inseminated; and</w:t>
      </w:r>
    </w:p>
    <w:p>
      <w:pPr>
        <w:pStyle w:val="Indenta"/>
        <w:rPr>
          <w:snapToGrid w:val="0"/>
        </w:rPr>
      </w:pPr>
      <w:r>
        <w:rPr>
          <w:snapToGrid w:val="0"/>
        </w:rPr>
        <w:tab/>
        <w:t>(e)</w:t>
      </w:r>
      <w:r>
        <w:rPr>
          <w:snapToGrid w:val="0"/>
        </w:rPr>
        <w:tab/>
        <w:t>the method, date of disposal and particulars of any semen not used for insemination of cows or otherwise accounted for in accordance with this regulation.</w:t>
      </w:r>
    </w:p>
    <w:p>
      <w:pPr>
        <w:pStyle w:val="Heading5"/>
        <w:rPr>
          <w:snapToGrid w:val="0"/>
        </w:rPr>
      </w:pPr>
      <w:bookmarkStart w:id="199" w:name="_Toc459092130"/>
      <w:bookmarkStart w:id="200" w:name="_Toc518711458"/>
      <w:bookmarkStart w:id="201" w:name="_Toc170716946"/>
      <w:r>
        <w:rPr>
          <w:rStyle w:val="CharSectno"/>
        </w:rPr>
        <w:t>50</w:t>
      </w:r>
      <w:r>
        <w:rPr>
          <w:snapToGrid w:val="0"/>
        </w:rPr>
        <w:t>.</w:t>
      </w:r>
      <w:r>
        <w:rPr>
          <w:snapToGrid w:val="0"/>
        </w:rPr>
        <w:tab/>
        <w:t>Records of conception rate</w:t>
      </w:r>
      <w:bookmarkEnd w:id="199"/>
      <w:bookmarkEnd w:id="200"/>
      <w:bookmarkEnd w:id="201"/>
      <w:r>
        <w:rPr>
          <w:snapToGrid w:val="0"/>
        </w:rPr>
        <w:t xml:space="preserve"> </w:t>
      </w:r>
    </w:p>
    <w:p>
      <w:pPr>
        <w:pStyle w:val="Subsection"/>
        <w:rPr>
          <w:snapToGrid w:val="0"/>
        </w:rPr>
      </w:pPr>
      <w:r>
        <w:rPr>
          <w:snapToGrid w:val="0"/>
        </w:rPr>
        <w:tab/>
      </w:r>
      <w:r>
        <w:rPr>
          <w:snapToGrid w:val="0"/>
        </w:rPr>
        <w:tab/>
        <w:t>An authorized inseminator or herdsman</w:t>
      </w:r>
      <w:r>
        <w:rPr>
          <w:snapToGrid w:val="0"/>
        </w:rPr>
        <w:noBreakHyphen/>
        <w:t>inseminator shall keep records showing the conception rate resulting from the use of semen, identifying the rate in each case with the particulars of the bull from which it appears that the semen was collected.</w:t>
      </w:r>
    </w:p>
    <w:p>
      <w:pPr>
        <w:pStyle w:val="Heading5"/>
        <w:rPr>
          <w:snapToGrid w:val="0"/>
        </w:rPr>
      </w:pPr>
      <w:bookmarkStart w:id="202" w:name="_Toc459092131"/>
      <w:bookmarkStart w:id="203" w:name="_Toc518711459"/>
      <w:bookmarkStart w:id="204" w:name="_Toc170716947"/>
      <w:r>
        <w:rPr>
          <w:rStyle w:val="CharSectno"/>
        </w:rPr>
        <w:t>51</w:t>
      </w:r>
      <w:r>
        <w:rPr>
          <w:snapToGrid w:val="0"/>
        </w:rPr>
        <w:t>.</w:t>
      </w:r>
      <w:r>
        <w:rPr>
          <w:snapToGrid w:val="0"/>
        </w:rPr>
        <w:tab/>
        <w:t>Use of semen</w:t>
      </w:r>
      <w:bookmarkEnd w:id="202"/>
      <w:bookmarkEnd w:id="203"/>
      <w:bookmarkEnd w:id="204"/>
      <w:r>
        <w:rPr>
          <w:snapToGrid w:val="0"/>
        </w:rPr>
        <w:t xml:space="preserve"> </w:t>
      </w:r>
    </w:p>
    <w:p>
      <w:pPr>
        <w:pStyle w:val="Subsection"/>
        <w:rPr>
          <w:snapToGrid w:val="0"/>
        </w:rPr>
      </w:pPr>
      <w:r>
        <w:rPr>
          <w:snapToGrid w:val="0"/>
        </w:rPr>
        <w:tab/>
      </w:r>
      <w:r>
        <w:rPr>
          <w:snapToGrid w:val="0"/>
        </w:rPr>
        <w:tab/>
        <w:t>An authorized inseminator or herdsman</w:t>
      </w:r>
      <w:r>
        <w:rPr>
          <w:snapToGrid w:val="0"/>
        </w:rPr>
        <w:noBreakHyphen/>
        <w:t>inseminator shall not use any semen for the insemination of cows other than semen drawn from a container marked in accordance with the provisions of regulation 29.</w:t>
      </w:r>
    </w:p>
    <w:p>
      <w:pPr>
        <w:pStyle w:val="Heading5"/>
        <w:rPr>
          <w:snapToGrid w:val="0"/>
        </w:rPr>
      </w:pPr>
      <w:bookmarkStart w:id="205" w:name="_Toc459092132"/>
      <w:bookmarkStart w:id="206" w:name="_Toc518711460"/>
      <w:bookmarkStart w:id="207" w:name="_Toc170716948"/>
      <w:r>
        <w:rPr>
          <w:rStyle w:val="CharSectno"/>
        </w:rPr>
        <w:t>52</w:t>
      </w:r>
      <w:r>
        <w:rPr>
          <w:snapToGrid w:val="0"/>
        </w:rPr>
        <w:t>.</w:t>
      </w:r>
      <w:r>
        <w:rPr>
          <w:snapToGrid w:val="0"/>
        </w:rPr>
        <w:tab/>
        <w:t>Equipment in transport of semen</w:t>
      </w:r>
      <w:bookmarkEnd w:id="205"/>
      <w:bookmarkEnd w:id="206"/>
      <w:bookmarkEnd w:id="207"/>
      <w:r>
        <w:rPr>
          <w:snapToGrid w:val="0"/>
        </w:rPr>
        <w:t xml:space="preserve"> </w:t>
      </w:r>
    </w:p>
    <w:p>
      <w:pPr>
        <w:pStyle w:val="Subsection"/>
        <w:rPr>
          <w:snapToGrid w:val="0"/>
        </w:rPr>
      </w:pPr>
      <w:r>
        <w:rPr>
          <w:snapToGrid w:val="0"/>
        </w:rPr>
        <w:tab/>
      </w:r>
      <w:r>
        <w:rPr>
          <w:snapToGrid w:val="0"/>
        </w:rPr>
        <w:tab/>
        <w:t>An authorized inseminator or herdsman</w:t>
      </w:r>
      <w:r>
        <w:rPr>
          <w:snapToGrid w:val="0"/>
        </w:rPr>
        <w:noBreakHyphen/>
        <w:t>inseminator shall use for the transport of semen such equipment as will maintain the semen at the respective temperatures prescribed for its storage by regulation 27.</w:t>
      </w:r>
    </w:p>
    <w:p>
      <w:pPr>
        <w:pStyle w:val="Heading5"/>
        <w:rPr>
          <w:snapToGrid w:val="0"/>
        </w:rPr>
      </w:pPr>
      <w:bookmarkStart w:id="208" w:name="_Toc459092133"/>
      <w:bookmarkStart w:id="209" w:name="_Toc518711461"/>
      <w:bookmarkStart w:id="210" w:name="_Toc170716949"/>
      <w:r>
        <w:rPr>
          <w:rStyle w:val="CharSectno"/>
        </w:rPr>
        <w:t>53</w:t>
      </w:r>
      <w:r>
        <w:rPr>
          <w:snapToGrid w:val="0"/>
        </w:rPr>
        <w:t>.</w:t>
      </w:r>
      <w:r>
        <w:rPr>
          <w:snapToGrid w:val="0"/>
        </w:rPr>
        <w:tab/>
        <w:t>Prevention of transmission of disease</w:t>
      </w:r>
      <w:bookmarkEnd w:id="208"/>
      <w:bookmarkEnd w:id="209"/>
      <w:bookmarkEnd w:id="210"/>
      <w:r>
        <w:rPr>
          <w:snapToGrid w:val="0"/>
        </w:rPr>
        <w:t xml:space="preserve"> </w:t>
      </w:r>
    </w:p>
    <w:p>
      <w:pPr>
        <w:pStyle w:val="Subsection"/>
        <w:rPr>
          <w:snapToGrid w:val="0"/>
        </w:rPr>
      </w:pPr>
      <w:r>
        <w:rPr>
          <w:snapToGrid w:val="0"/>
        </w:rPr>
        <w:tab/>
        <w:t>(1)</w:t>
      </w:r>
      <w:r>
        <w:rPr>
          <w:snapToGrid w:val="0"/>
        </w:rPr>
        <w:tab/>
        <w:t>An authorized inseminator or herdsman</w:t>
      </w:r>
      <w:r>
        <w:rPr>
          <w:snapToGrid w:val="0"/>
        </w:rPr>
        <w:noBreakHyphen/>
        <w:t>inseminator when inseminating cows, shall take every precaution necessary to ensure that disease is not transmitted between cows, whether of the same herd or from a different herd.</w:t>
      </w:r>
    </w:p>
    <w:p>
      <w:pPr>
        <w:pStyle w:val="Subsection"/>
        <w:rPr>
          <w:snapToGrid w:val="0"/>
        </w:rPr>
      </w:pPr>
      <w:r>
        <w:rPr>
          <w:snapToGrid w:val="0"/>
        </w:rPr>
        <w:tab/>
        <w:t>(2)</w:t>
      </w:r>
      <w:r>
        <w:rPr>
          <w:snapToGrid w:val="0"/>
        </w:rPr>
        <w:tab/>
        <w:t>A fresh, sterile pipette or sheath shall be used for each insemination and shall be discarded after use.</w:t>
      </w:r>
    </w:p>
    <w:p>
      <w:pPr>
        <w:pStyle w:val="Heading2"/>
      </w:pPr>
      <w:bookmarkStart w:id="211" w:name="_Toc170184920"/>
      <w:bookmarkStart w:id="212" w:name="_Toc170716950"/>
      <w:r>
        <w:rPr>
          <w:rStyle w:val="CharPartNo"/>
        </w:rPr>
        <w:t>Part V</w:t>
      </w:r>
      <w:r>
        <w:rPr>
          <w:rStyle w:val="CharDivNo"/>
        </w:rPr>
        <w:t> </w:t>
      </w:r>
      <w:r>
        <w:t>—</w:t>
      </w:r>
      <w:r>
        <w:rPr>
          <w:rStyle w:val="CharDivText"/>
        </w:rPr>
        <w:t> </w:t>
      </w:r>
      <w:r>
        <w:rPr>
          <w:rStyle w:val="CharPartText"/>
        </w:rPr>
        <w:t>Custom collection of semen</w:t>
      </w:r>
      <w:bookmarkEnd w:id="211"/>
      <w:bookmarkEnd w:id="212"/>
      <w:r>
        <w:rPr>
          <w:rStyle w:val="CharPartText"/>
        </w:rPr>
        <w:t xml:space="preserve"> </w:t>
      </w:r>
    </w:p>
    <w:p>
      <w:pPr>
        <w:pStyle w:val="Heading5"/>
        <w:rPr>
          <w:snapToGrid w:val="0"/>
        </w:rPr>
      </w:pPr>
      <w:bookmarkStart w:id="213" w:name="_Toc459092134"/>
      <w:bookmarkStart w:id="214" w:name="_Toc518711462"/>
      <w:bookmarkStart w:id="215" w:name="_Toc170716951"/>
      <w:r>
        <w:rPr>
          <w:rStyle w:val="CharSectno"/>
        </w:rPr>
        <w:t>54</w:t>
      </w:r>
      <w:r>
        <w:rPr>
          <w:snapToGrid w:val="0"/>
        </w:rPr>
        <w:t>.</w:t>
      </w:r>
      <w:r>
        <w:rPr>
          <w:snapToGrid w:val="0"/>
        </w:rPr>
        <w:tab/>
        <w:t>Processing of semen</w:t>
      </w:r>
      <w:bookmarkEnd w:id="213"/>
      <w:bookmarkEnd w:id="214"/>
      <w:bookmarkEnd w:id="215"/>
      <w:r>
        <w:rPr>
          <w:snapToGrid w:val="0"/>
        </w:rPr>
        <w:t xml:space="preserve"> </w:t>
      </w:r>
    </w:p>
    <w:p>
      <w:pPr>
        <w:pStyle w:val="Subsection"/>
        <w:rPr>
          <w:snapToGrid w:val="0"/>
        </w:rPr>
      </w:pPr>
      <w:r>
        <w:rPr>
          <w:snapToGrid w:val="0"/>
        </w:rPr>
        <w:tab/>
      </w:r>
      <w:r>
        <w:rPr>
          <w:snapToGrid w:val="0"/>
        </w:rPr>
        <w:tab/>
        <w:t>A custom collector of semen shall not process semen from a bull for storing unless — </w:t>
      </w:r>
    </w:p>
    <w:p>
      <w:pPr>
        <w:pStyle w:val="Indenta"/>
        <w:rPr>
          <w:snapToGrid w:val="0"/>
        </w:rPr>
      </w:pPr>
      <w:r>
        <w:rPr>
          <w:snapToGrid w:val="0"/>
        </w:rPr>
        <w:tab/>
        <w:t>(a)</w:t>
      </w:r>
      <w:r>
        <w:rPr>
          <w:snapToGrid w:val="0"/>
        </w:rPr>
        <w:tab/>
        <w:t xml:space="preserve">the animal is resident in a herd which has been declared by the Chief Veterinary Surgeon pursuant to the </w:t>
      </w:r>
      <w:r>
        <w:rPr>
          <w:i/>
          <w:snapToGrid w:val="0"/>
        </w:rPr>
        <w:t>Stock Diseases (Regulations) Act 1968</w:t>
      </w:r>
      <w:r>
        <w:rPr>
          <w:snapToGrid w:val="0"/>
        </w:rPr>
        <w:t xml:space="preserve"> as amended, by notice in writing to be an accredited brucellosis free herd, or a certified brucellosis free herd; or</w:t>
      </w:r>
    </w:p>
    <w:p>
      <w:pPr>
        <w:pStyle w:val="Indenta"/>
        <w:rPr>
          <w:snapToGrid w:val="0"/>
        </w:rPr>
      </w:pPr>
      <w:r>
        <w:rPr>
          <w:snapToGrid w:val="0"/>
        </w:rPr>
        <w:tab/>
        <w:t>(b)</w:t>
      </w:r>
      <w:r>
        <w:rPr>
          <w:snapToGrid w:val="0"/>
        </w:rPr>
        <w:tab/>
        <w:t xml:space="preserve">the animal is resident in a herd, not under quarantine restrictions in a declared brucellosis free area, or brucellosis provisionally free area, under the provisions of the </w:t>
      </w:r>
      <w:r>
        <w:rPr>
          <w:i/>
          <w:snapToGrid w:val="0"/>
        </w:rPr>
        <w:t>Stock Diseases (Regulations) Act 1968</w:t>
      </w:r>
      <w:r>
        <w:rPr>
          <w:snapToGrid w:val="0"/>
        </w:rPr>
        <w:t xml:space="preserve"> as amended; or</w:t>
      </w:r>
    </w:p>
    <w:p>
      <w:pPr>
        <w:pStyle w:val="Indenta"/>
        <w:rPr>
          <w:snapToGrid w:val="0"/>
        </w:rPr>
      </w:pPr>
      <w:r>
        <w:rPr>
          <w:snapToGrid w:val="0"/>
        </w:rPr>
        <w:tab/>
        <w:t>(c)</w:t>
      </w:r>
      <w:r>
        <w:rPr>
          <w:snapToGrid w:val="0"/>
        </w:rPr>
        <w:tab/>
        <w:t>the approval of the Chief Veterinary Surgeon has been obtained and the bull has been subjected to isolation and tests for brucellosis as required by him; and</w:t>
      </w:r>
    </w:p>
    <w:p>
      <w:pPr>
        <w:pStyle w:val="Indenta"/>
        <w:rPr>
          <w:snapToGrid w:val="0"/>
        </w:rPr>
      </w:pPr>
      <w:r>
        <w:rPr>
          <w:snapToGrid w:val="0"/>
        </w:rPr>
        <w:tab/>
        <w:t>(d)</w:t>
      </w:r>
      <w:r>
        <w:rPr>
          <w:snapToGrid w:val="0"/>
        </w:rPr>
        <w:tab/>
        <w:t>the animal is resident in a herd which has been declared by the Chief Veterinary Surgeon by notice in writing to be accredited tuberculosis free; or</w:t>
      </w:r>
    </w:p>
    <w:p>
      <w:pPr>
        <w:pStyle w:val="Indenta"/>
        <w:rPr>
          <w:snapToGrid w:val="0"/>
        </w:rPr>
      </w:pPr>
      <w:r>
        <w:rPr>
          <w:snapToGrid w:val="0"/>
        </w:rPr>
        <w:tab/>
        <w:t>(e)</w:t>
      </w:r>
      <w:r>
        <w:rPr>
          <w:snapToGrid w:val="0"/>
        </w:rPr>
        <w:tab/>
        <w:t>the animal is resident in a herd not under quarantine restrictions in a declared tuberculosis free area; or</w:t>
      </w:r>
    </w:p>
    <w:p>
      <w:pPr>
        <w:pStyle w:val="Indenta"/>
        <w:rPr>
          <w:snapToGrid w:val="0"/>
        </w:rPr>
      </w:pPr>
      <w:r>
        <w:rPr>
          <w:snapToGrid w:val="0"/>
        </w:rPr>
        <w:tab/>
        <w:t>(f)</w:t>
      </w:r>
      <w:r>
        <w:rPr>
          <w:snapToGrid w:val="0"/>
        </w:rPr>
        <w:tab/>
        <w:t>the animal is resident in a herd not under quarantine restrictions in a declared tuberculosis provisionally free area, and the herd has been tested with negative results not more than 12 months prior to the date of collection and processing; or</w:t>
      </w:r>
    </w:p>
    <w:p>
      <w:pPr>
        <w:pStyle w:val="Indenta"/>
        <w:rPr>
          <w:snapToGrid w:val="0"/>
        </w:rPr>
      </w:pPr>
      <w:r>
        <w:rPr>
          <w:snapToGrid w:val="0"/>
        </w:rPr>
        <w:tab/>
        <w:t>(g)</w:t>
      </w:r>
      <w:r>
        <w:rPr>
          <w:snapToGrid w:val="0"/>
        </w:rPr>
        <w:tab/>
        <w:t>the animal has been isolated for 30 days and then tuberculin tested with negative results prior to the date of collection and processing.</w:t>
      </w:r>
    </w:p>
    <w:p>
      <w:pPr>
        <w:pStyle w:val="Heading5"/>
        <w:rPr>
          <w:snapToGrid w:val="0"/>
        </w:rPr>
      </w:pPr>
      <w:bookmarkStart w:id="216" w:name="_Toc459092135"/>
      <w:bookmarkStart w:id="217" w:name="_Toc518711463"/>
      <w:bookmarkStart w:id="218" w:name="_Toc170716952"/>
      <w:r>
        <w:rPr>
          <w:rStyle w:val="CharSectno"/>
        </w:rPr>
        <w:t>55</w:t>
      </w:r>
      <w:r>
        <w:rPr>
          <w:snapToGrid w:val="0"/>
        </w:rPr>
        <w:t>.</w:t>
      </w:r>
      <w:r>
        <w:rPr>
          <w:snapToGrid w:val="0"/>
        </w:rPr>
        <w:tab/>
        <w:t>Identification of semen</w:t>
      </w:r>
      <w:bookmarkEnd w:id="216"/>
      <w:bookmarkEnd w:id="217"/>
      <w:bookmarkEnd w:id="218"/>
      <w:r>
        <w:rPr>
          <w:snapToGrid w:val="0"/>
        </w:rPr>
        <w:t xml:space="preserve"> </w:t>
      </w:r>
    </w:p>
    <w:p>
      <w:pPr>
        <w:pStyle w:val="Subsection"/>
        <w:rPr>
          <w:snapToGrid w:val="0"/>
        </w:rPr>
      </w:pPr>
      <w:r>
        <w:rPr>
          <w:snapToGrid w:val="0"/>
        </w:rPr>
        <w:tab/>
      </w:r>
      <w:r>
        <w:rPr>
          <w:snapToGrid w:val="0"/>
        </w:rPr>
        <w:tab/>
        <w:t>The semen shall be processed in ampoules or wine red straws identified by marking “UL — (owner of bull) — (processor) — (bull) — (batch)”.</w:t>
      </w:r>
    </w:p>
    <w:p>
      <w:pPr>
        <w:pStyle w:val="Heading5"/>
        <w:rPr>
          <w:snapToGrid w:val="0"/>
        </w:rPr>
      </w:pPr>
      <w:bookmarkStart w:id="219" w:name="_Toc459092136"/>
      <w:bookmarkStart w:id="220" w:name="_Toc518711464"/>
      <w:bookmarkStart w:id="221" w:name="_Toc170716953"/>
      <w:r>
        <w:rPr>
          <w:rStyle w:val="CharSectno"/>
        </w:rPr>
        <w:t>56</w:t>
      </w:r>
      <w:r>
        <w:rPr>
          <w:snapToGrid w:val="0"/>
        </w:rPr>
        <w:t>.</w:t>
      </w:r>
      <w:r>
        <w:rPr>
          <w:snapToGrid w:val="0"/>
        </w:rPr>
        <w:tab/>
        <w:t>Certification of doses</w:t>
      </w:r>
      <w:bookmarkEnd w:id="219"/>
      <w:bookmarkEnd w:id="220"/>
      <w:bookmarkEnd w:id="221"/>
      <w:r>
        <w:rPr>
          <w:snapToGrid w:val="0"/>
        </w:rPr>
        <w:t xml:space="preserve"> </w:t>
      </w:r>
    </w:p>
    <w:p>
      <w:pPr>
        <w:pStyle w:val="Subsection"/>
        <w:rPr>
          <w:snapToGrid w:val="0"/>
        </w:rPr>
      </w:pPr>
      <w:r>
        <w:rPr>
          <w:snapToGrid w:val="0"/>
        </w:rPr>
        <w:tab/>
      </w:r>
      <w:r>
        <w:rPr>
          <w:snapToGrid w:val="0"/>
        </w:rPr>
        <w:tab/>
        <w:t>Each batch shall be sample checked and certified that each dose, on thawing contains a concentration of not less than 5 million actively motile and morphologically normal spermatozoa.</w:t>
      </w:r>
    </w:p>
    <w:p>
      <w:pPr>
        <w:pStyle w:val="Heading5"/>
        <w:rPr>
          <w:snapToGrid w:val="0"/>
        </w:rPr>
      </w:pPr>
      <w:bookmarkStart w:id="222" w:name="_Toc459092137"/>
      <w:bookmarkStart w:id="223" w:name="_Toc518711465"/>
      <w:bookmarkStart w:id="224" w:name="_Toc170716954"/>
      <w:r>
        <w:rPr>
          <w:rStyle w:val="CharSectno"/>
        </w:rPr>
        <w:t>57</w:t>
      </w:r>
      <w:r>
        <w:rPr>
          <w:snapToGrid w:val="0"/>
        </w:rPr>
        <w:t>.</w:t>
      </w:r>
      <w:r>
        <w:rPr>
          <w:snapToGrid w:val="0"/>
        </w:rPr>
        <w:tab/>
        <w:t>Storage of semen in licensed premises</w:t>
      </w:r>
      <w:bookmarkEnd w:id="222"/>
      <w:bookmarkEnd w:id="223"/>
      <w:bookmarkEnd w:id="224"/>
      <w:r>
        <w:rPr>
          <w:snapToGrid w:val="0"/>
        </w:rPr>
        <w:t xml:space="preserve"> </w:t>
      </w:r>
    </w:p>
    <w:p>
      <w:pPr>
        <w:pStyle w:val="Subsection"/>
        <w:rPr>
          <w:snapToGrid w:val="0"/>
        </w:rPr>
      </w:pPr>
      <w:r>
        <w:rPr>
          <w:snapToGrid w:val="0"/>
        </w:rPr>
        <w:tab/>
      </w:r>
      <w:r>
        <w:rPr>
          <w:snapToGrid w:val="0"/>
        </w:rPr>
        <w:tab/>
        <w:t>The semen may be stored at premises licensed for storage and sale provided that it is stored in a vessel containing only such semen and which is clearly identified as such.</w:t>
      </w:r>
    </w:p>
    <w:p>
      <w:pPr>
        <w:pStyle w:val="Heading5"/>
        <w:rPr>
          <w:snapToGrid w:val="0"/>
        </w:rPr>
      </w:pPr>
      <w:bookmarkStart w:id="225" w:name="_Toc459092138"/>
      <w:bookmarkStart w:id="226" w:name="_Toc518711466"/>
      <w:bookmarkStart w:id="227" w:name="_Toc170716955"/>
      <w:r>
        <w:rPr>
          <w:rStyle w:val="CharSectno"/>
        </w:rPr>
        <w:t>58</w:t>
      </w:r>
      <w:r>
        <w:rPr>
          <w:snapToGrid w:val="0"/>
        </w:rPr>
        <w:t>.</w:t>
      </w:r>
      <w:r>
        <w:rPr>
          <w:snapToGrid w:val="0"/>
        </w:rPr>
        <w:tab/>
        <w:t>Chief Veterinary Surgeon to be notified of collection</w:t>
      </w:r>
      <w:bookmarkEnd w:id="225"/>
      <w:bookmarkEnd w:id="226"/>
      <w:bookmarkEnd w:id="227"/>
      <w:r>
        <w:rPr>
          <w:snapToGrid w:val="0"/>
        </w:rPr>
        <w:t xml:space="preserve"> </w:t>
      </w:r>
    </w:p>
    <w:p>
      <w:pPr>
        <w:pStyle w:val="Subsection"/>
        <w:rPr>
          <w:snapToGrid w:val="0"/>
        </w:rPr>
      </w:pPr>
      <w:r>
        <w:rPr>
          <w:snapToGrid w:val="0"/>
        </w:rPr>
        <w:tab/>
      </w:r>
      <w:r>
        <w:rPr>
          <w:snapToGrid w:val="0"/>
        </w:rPr>
        <w:tab/>
        <w:t>A custom collector shall notify the Chief Veterinary Surgeon of each collection in the form of Form 9 in the First Schedule.</w:t>
      </w:r>
    </w:p>
    <w:p>
      <w:pPr>
        <w:pStyle w:val="Heading2"/>
      </w:pPr>
      <w:bookmarkStart w:id="228" w:name="_Toc170184926"/>
      <w:bookmarkStart w:id="229" w:name="_Toc170716956"/>
      <w:r>
        <w:rPr>
          <w:rStyle w:val="CharPartNo"/>
        </w:rPr>
        <w:t>Part VI</w:t>
      </w:r>
      <w:r>
        <w:rPr>
          <w:rStyle w:val="CharDivNo"/>
        </w:rPr>
        <w:t> </w:t>
      </w:r>
      <w:r>
        <w:t>—</w:t>
      </w:r>
      <w:r>
        <w:rPr>
          <w:rStyle w:val="CharDivText"/>
        </w:rPr>
        <w:t> </w:t>
      </w:r>
      <w:r>
        <w:rPr>
          <w:rStyle w:val="CharPartText"/>
        </w:rPr>
        <w:t>Importation of semen from other States or parts of the Commonwealth</w:t>
      </w:r>
      <w:bookmarkEnd w:id="228"/>
      <w:bookmarkEnd w:id="229"/>
      <w:r>
        <w:rPr>
          <w:rStyle w:val="CharPartText"/>
        </w:rPr>
        <w:t xml:space="preserve"> </w:t>
      </w:r>
    </w:p>
    <w:p>
      <w:pPr>
        <w:pStyle w:val="Heading5"/>
        <w:rPr>
          <w:snapToGrid w:val="0"/>
        </w:rPr>
      </w:pPr>
      <w:bookmarkStart w:id="230" w:name="_Toc459092139"/>
      <w:bookmarkStart w:id="231" w:name="_Toc518711467"/>
      <w:bookmarkStart w:id="232" w:name="_Toc170716957"/>
      <w:r>
        <w:rPr>
          <w:rStyle w:val="CharSectno"/>
        </w:rPr>
        <w:t>59</w:t>
      </w:r>
      <w:r>
        <w:rPr>
          <w:snapToGrid w:val="0"/>
        </w:rPr>
        <w:t>.</w:t>
      </w:r>
      <w:r>
        <w:rPr>
          <w:snapToGrid w:val="0"/>
        </w:rPr>
        <w:tab/>
        <w:t>Prohibition on importation of bovine semen</w:t>
      </w:r>
      <w:bookmarkEnd w:id="230"/>
      <w:bookmarkEnd w:id="231"/>
      <w:bookmarkEnd w:id="232"/>
      <w:r>
        <w:rPr>
          <w:snapToGrid w:val="0"/>
        </w:rPr>
        <w:t xml:space="preserve"> </w:t>
      </w:r>
    </w:p>
    <w:p>
      <w:pPr>
        <w:pStyle w:val="Subsection"/>
        <w:rPr>
          <w:snapToGrid w:val="0"/>
        </w:rPr>
      </w:pPr>
      <w:r>
        <w:rPr>
          <w:snapToGrid w:val="0"/>
        </w:rPr>
        <w:tab/>
      </w:r>
      <w:r>
        <w:rPr>
          <w:snapToGrid w:val="0"/>
        </w:rPr>
        <w:tab/>
        <w:t>A person shall not, without the written authority of an inspector in the form of Form 10 in the First Schedule, import into this State any bovine semen or accept delivery of such semen, whether personally or by agent.</w:t>
      </w:r>
    </w:p>
    <w:p>
      <w:pPr>
        <w:pStyle w:val="Heading5"/>
        <w:rPr>
          <w:snapToGrid w:val="0"/>
        </w:rPr>
      </w:pPr>
      <w:bookmarkStart w:id="233" w:name="_Toc459092140"/>
      <w:bookmarkStart w:id="234" w:name="_Toc518711468"/>
      <w:bookmarkStart w:id="235" w:name="_Toc170716958"/>
      <w:r>
        <w:rPr>
          <w:rStyle w:val="CharSectno"/>
        </w:rPr>
        <w:t>60</w:t>
      </w:r>
      <w:r>
        <w:rPr>
          <w:snapToGrid w:val="0"/>
        </w:rPr>
        <w:t>.</w:t>
      </w:r>
      <w:r>
        <w:rPr>
          <w:snapToGrid w:val="0"/>
        </w:rPr>
        <w:tab/>
        <w:t>Importation of semen from licensed premises</w:t>
      </w:r>
      <w:bookmarkEnd w:id="233"/>
      <w:bookmarkEnd w:id="234"/>
      <w:bookmarkEnd w:id="235"/>
      <w:r>
        <w:rPr>
          <w:snapToGrid w:val="0"/>
        </w:rPr>
        <w:t xml:space="preserve"> </w:t>
      </w:r>
    </w:p>
    <w:p>
      <w:pPr>
        <w:pStyle w:val="Subsection"/>
        <w:rPr>
          <w:snapToGrid w:val="0"/>
        </w:rPr>
      </w:pPr>
      <w:r>
        <w:rPr>
          <w:snapToGrid w:val="0"/>
        </w:rPr>
        <w:tab/>
      </w:r>
      <w:r>
        <w:rPr>
          <w:snapToGrid w:val="0"/>
        </w:rPr>
        <w:tab/>
        <w:t>A person shall not import into this State semen that is produced at or introduced directly from premises licensed under legislation controlling artificial breeding of stock in any State or Territory of the Commonwealth, unless it is accompanied by a certificate of identification approved by the Chief Veterinary Surgeon — </w:t>
      </w:r>
    </w:p>
    <w:p>
      <w:pPr>
        <w:pStyle w:val="Indenta"/>
        <w:rPr>
          <w:snapToGrid w:val="0"/>
        </w:rPr>
      </w:pPr>
      <w:r>
        <w:rPr>
          <w:snapToGrid w:val="0"/>
        </w:rPr>
        <w:tab/>
        <w:t>(a)</w:t>
      </w:r>
      <w:r>
        <w:rPr>
          <w:snapToGrid w:val="0"/>
        </w:rPr>
        <w:tab/>
        <w:t>listing the names and breeds of the donor bulls;</w:t>
      </w:r>
    </w:p>
    <w:p>
      <w:pPr>
        <w:pStyle w:val="Indenta"/>
        <w:rPr>
          <w:snapToGrid w:val="0"/>
        </w:rPr>
      </w:pPr>
      <w:r>
        <w:rPr>
          <w:snapToGrid w:val="0"/>
        </w:rPr>
        <w:tab/>
        <w:t>(b)</w:t>
      </w:r>
      <w:r>
        <w:rPr>
          <w:snapToGrid w:val="0"/>
        </w:rPr>
        <w:tab/>
        <w:t>stating the quantity, date of collection and batch number of containers in the consignment; and</w:t>
      </w:r>
    </w:p>
    <w:p>
      <w:pPr>
        <w:pStyle w:val="Indenta"/>
        <w:rPr>
          <w:snapToGrid w:val="0"/>
        </w:rPr>
      </w:pPr>
      <w:r>
        <w:rPr>
          <w:snapToGrid w:val="0"/>
        </w:rPr>
        <w:tab/>
        <w:t>(c)</w:t>
      </w:r>
      <w:r>
        <w:rPr>
          <w:snapToGrid w:val="0"/>
        </w:rPr>
        <w:tab/>
        <w:t>stating that each container holds not less than 5 million actively motile and morphologically normal spermatozoa on thawing.</w:t>
      </w:r>
    </w:p>
    <w:p>
      <w:pPr>
        <w:pStyle w:val="Heading5"/>
        <w:spacing w:before="120"/>
        <w:rPr>
          <w:snapToGrid w:val="0"/>
        </w:rPr>
      </w:pPr>
      <w:bookmarkStart w:id="236" w:name="_Toc459092141"/>
      <w:bookmarkStart w:id="237" w:name="_Toc518711469"/>
      <w:bookmarkStart w:id="238" w:name="_Toc170716959"/>
      <w:r>
        <w:rPr>
          <w:rStyle w:val="CharSectno"/>
        </w:rPr>
        <w:t>61</w:t>
      </w:r>
      <w:r>
        <w:rPr>
          <w:snapToGrid w:val="0"/>
        </w:rPr>
        <w:t>.</w:t>
      </w:r>
      <w:r>
        <w:rPr>
          <w:snapToGrid w:val="0"/>
        </w:rPr>
        <w:tab/>
        <w:t>Additional containers</w:t>
      </w:r>
      <w:bookmarkEnd w:id="236"/>
      <w:bookmarkEnd w:id="237"/>
      <w:bookmarkEnd w:id="238"/>
      <w:r>
        <w:rPr>
          <w:snapToGrid w:val="0"/>
        </w:rPr>
        <w:t xml:space="preserve"> </w:t>
      </w:r>
    </w:p>
    <w:p>
      <w:pPr>
        <w:pStyle w:val="Subsection"/>
        <w:rPr>
          <w:snapToGrid w:val="0"/>
        </w:rPr>
      </w:pPr>
      <w:r>
        <w:rPr>
          <w:snapToGrid w:val="0"/>
        </w:rPr>
        <w:tab/>
      </w:r>
      <w:r>
        <w:rPr>
          <w:snapToGrid w:val="0"/>
        </w:rPr>
        <w:tab/>
        <w:t>Where the requirements of regulation 60(c) are not met, samples additional to those intended to be imported shall be included in the consignment in respect of each collection of semen from each bull — </w:t>
      </w:r>
    </w:p>
    <w:p>
      <w:pPr>
        <w:pStyle w:val="Indenta"/>
        <w:rPr>
          <w:snapToGrid w:val="0"/>
        </w:rPr>
      </w:pPr>
      <w:r>
        <w:rPr>
          <w:snapToGrid w:val="0"/>
        </w:rPr>
        <w:tab/>
        <w:t>(a)</w:t>
      </w:r>
      <w:r>
        <w:rPr>
          <w:snapToGrid w:val="0"/>
        </w:rPr>
        <w:tab/>
        <w:t>where not more than 100 containers are intended to be imported or introduced, an additional 3 containers; or</w:t>
      </w:r>
    </w:p>
    <w:p>
      <w:pPr>
        <w:pStyle w:val="Indenta"/>
        <w:rPr>
          <w:snapToGrid w:val="0"/>
        </w:rPr>
      </w:pPr>
      <w:r>
        <w:rPr>
          <w:snapToGrid w:val="0"/>
        </w:rPr>
        <w:tab/>
        <w:t>(b)</w:t>
      </w:r>
      <w:r>
        <w:rPr>
          <w:snapToGrid w:val="0"/>
        </w:rPr>
        <w:tab/>
        <w:t>where more than 100 containers are intended to be imported or introduced, an additional 3 containers for the first 100, and a further 2 containers for each further 100 or part of 100.</w:t>
      </w:r>
    </w:p>
    <w:p>
      <w:pPr>
        <w:pStyle w:val="Heading5"/>
        <w:rPr>
          <w:snapToGrid w:val="0"/>
        </w:rPr>
      </w:pPr>
      <w:bookmarkStart w:id="239" w:name="_Toc459092142"/>
      <w:bookmarkStart w:id="240" w:name="_Toc518711470"/>
      <w:bookmarkStart w:id="241" w:name="_Toc170716960"/>
      <w:r>
        <w:rPr>
          <w:rStyle w:val="CharSectno"/>
        </w:rPr>
        <w:t>62</w:t>
      </w:r>
      <w:r>
        <w:rPr>
          <w:snapToGrid w:val="0"/>
        </w:rPr>
        <w:t>.</w:t>
      </w:r>
      <w:r>
        <w:rPr>
          <w:snapToGrid w:val="0"/>
        </w:rPr>
        <w:tab/>
        <w:t>Importation of semen from unlicensed premises</w:t>
      </w:r>
      <w:bookmarkEnd w:id="239"/>
      <w:bookmarkEnd w:id="240"/>
      <w:bookmarkEnd w:id="241"/>
      <w:r>
        <w:rPr>
          <w:snapToGrid w:val="0"/>
        </w:rPr>
        <w:t xml:space="preserve"> </w:t>
      </w:r>
    </w:p>
    <w:p>
      <w:pPr>
        <w:pStyle w:val="Subsection"/>
        <w:rPr>
          <w:snapToGrid w:val="0"/>
        </w:rPr>
      </w:pPr>
      <w:r>
        <w:rPr>
          <w:snapToGrid w:val="0"/>
        </w:rPr>
        <w:tab/>
        <w:t>(1)</w:t>
      </w:r>
      <w:r>
        <w:rPr>
          <w:snapToGrid w:val="0"/>
        </w:rPr>
        <w:tab/>
        <w:t>A person shall not import into this State semen that is produced at or imported from premises which are not licensed under legislation controlling artificial breeding of stock in a State or Territory of the Commonwealth unless — </w:t>
      </w:r>
    </w:p>
    <w:p>
      <w:pPr>
        <w:pStyle w:val="Indenta"/>
        <w:rPr>
          <w:snapToGrid w:val="0"/>
        </w:rPr>
      </w:pPr>
      <w:r>
        <w:rPr>
          <w:snapToGrid w:val="0"/>
        </w:rPr>
        <w:tab/>
        <w:t>(a)</w:t>
      </w:r>
      <w:r>
        <w:rPr>
          <w:snapToGrid w:val="0"/>
        </w:rPr>
        <w:tab/>
        <w:t>the approval of the Chief Veterinary Surgeon shall be obtained prior to the importation;</w:t>
      </w:r>
    </w:p>
    <w:p>
      <w:pPr>
        <w:pStyle w:val="Indenta"/>
        <w:rPr>
          <w:snapToGrid w:val="0"/>
        </w:rPr>
      </w:pPr>
      <w:r>
        <w:rPr>
          <w:snapToGrid w:val="0"/>
        </w:rPr>
        <w:tab/>
        <w:t>(b)</w:t>
      </w:r>
      <w:r>
        <w:rPr>
          <w:snapToGrid w:val="0"/>
        </w:rPr>
        <w:tab/>
        <w:t>the semen is accompanied by a certificate from the District Veterinary Officer for the district of the State or Territory from which the semen will be imported certifying — </w:t>
      </w:r>
    </w:p>
    <w:p>
      <w:pPr>
        <w:pStyle w:val="Indenti"/>
        <w:rPr>
          <w:snapToGrid w:val="0"/>
        </w:rPr>
      </w:pPr>
      <w:r>
        <w:rPr>
          <w:snapToGrid w:val="0"/>
        </w:rPr>
        <w:tab/>
        <w:t>(i)</w:t>
      </w:r>
      <w:r>
        <w:rPr>
          <w:snapToGrid w:val="0"/>
        </w:rPr>
        <w:tab/>
        <w:t>that the donor bull is derived from a herd which is not known to be or suspected of being infected with tuberculosis or brucellosis and in which Johne’s disease has not been known or suspected to exist during the 5 years prior to the date of collection; and</w:t>
      </w:r>
    </w:p>
    <w:p>
      <w:pPr>
        <w:pStyle w:val="Indenti"/>
        <w:rPr>
          <w:snapToGrid w:val="0"/>
        </w:rPr>
      </w:pPr>
      <w:r>
        <w:rPr>
          <w:snapToGrid w:val="0"/>
        </w:rPr>
        <w:tab/>
        <w:t>(ii)</w:t>
      </w:r>
      <w:r>
        <w:rPr>
          <w:snapToGrid w:val="0"/>
        </w:rPr>
        <w:tab/>
        <w:t>that the donor bull prior to collection has been isolated for a period of not less than 60 days prior to being tested with negative results for — </w:t>
      </w:r>
    </w:p>
    <w:p>
      <w:pPr>
        <w:pStyle w:val="IndentI0"/>
        <w:rPr>
          <w:snapToGrid w:val="0"/>
        </w:rPr>
      </w:pPr>
      <w:r>
        <w:rPr>
          <w:snapToGrid w:val="0"/>
        </w:rPr>
        <w:tab/>
        <w:t>(I)</w:t>
      </w:r>
      <w:r>
        <w:rPr>
          <w:snapToGrid w:val="0"/>
        </w:rPr>
        <w:tab/>
        <w:t>tuberculosis, using the single intra</w:t>
      </w:r>
      <w:r>
        <w:rPr>
          <w:snapToGrid w:val="0"/>
        </w:rPr>
        <w:noBreakHyphen/>
        <w:t>dermal tuberculin test;</w:t>
      </w:r>
    </w:p>
    <w:p>
      <w:pPr>
        <w:pStyle w:val="IndentI0"/>
        <w:rPr>
          <w:snapToGrid w:val="0"/>
        </w:rPr>
      </w:pPr>
      <w:r>
        <w:rPr>
          <w:snapToGrid w:val="0"/>
        </w:rPr>
        <w:tab/>
        <w:t>(II)</w:t>
      </w:r>
      <w:r>
        <w:rPr>
          <w:snapToGrid w:val="0"/>
        </w:rPr>
        <w:tab/>
        <w:t>brucellosis, using the Complement Fixation Test, by warm fixation and doubling serum dilution from 1 in 4 to 1 in 128 inclusive;</w:t>
      </w:r>
    </w:p>
    <w:p>
      <w:pPr>
        <w:pStyle w:val="IndentI0"/>
        <w:rPr>
          <w:snapToGrid w:val="0"/>
        </w:rPr>
      </w:pPr>
      <w:r>
        <w:rPr>
          <w:snapToGrid w:val="0"/>
        </w:rPr>
        <w:tab/>
        <w:t>(III)</w:t>
      </w:r>
      <w:r>
        <w:rPr>
          <w:snapToGrid w:val="0"/>
        </w:rPr>
        <w:tab/>
        <w:t>leptospirosis, using the agglutination</w:t>
      </w:r>
      <w:r>
        <w:rPr>
          <w:snapToGrid w:val="0"/>
        </w:rPr>
        <w:noBreakHyphen/>
        <w:t>lysis test for L. pomona, and L. hardjo;</w:t>
      </w:r>
    </w:p>
    <w:p>
      <w:pPr>
        <w:pStyle w:val="IndentI0"/>
        <w:rPr>
          <w:snapToGrid w:val="0"/>
        </w:rPr>
      </w:pPr>
      <w:r>
        <w:rPr>
          <w:snapToGrid w:val="0"/>
        </w:rPr>
        <w:tab/>
        <w:t>(IV)</w:t>
      </w:r>
      <w:r>
        <w:rPr>
          <w:snapToGrid w:val="0"/>
        </w:rPr>
        <w:tab/>
        <w:t>vibriosis, by examination of preputial scrapings by culture and immunofluorescence;</w:t>
      </w:r>
    </w:p>
    <w:p>
      <w:pPr>
        <w:pStyle w:val="IndentI0"/>
        <w:rPr>
          <w:snapToGrid w:val="0"/>
        </w:rPr>
      </w:pPr>
      <w:r>
        <w:rPr>
          <w:snapToGrid w:val="0"/>
        </w:rPr>
        <w:tab/>
        <w:t>(V)</w:t>
      </w:r>
      <w:r>
        <w:rPr>
          <w:snapToGrid w:val="0"/>
        </w:rPr>
        <w:tab/>
        <w:t>trichomoniasis, by examination of preputial scrapings by culture.</w:t>
      </w:r>
    </w:p>
    <w:p>
      <w:pPr>
        <w:pStyle w:val="Subsection"/>
        <w:rPr>
          <w:snapToGrid w:val="0"/>
        </w:rPr>
      </w:pPr>
      <w:r>
        <w:rPr>
          <w:snapToGrid w:val="0"/>
        </w:rPr>
        <w:tab/>
        <w:t>(2)</w:t>
      </w:r>
      <w:r>
        <w:rPr>
          <w:snapToGrid w:val="0"/>
        </w:rPr>
        <w:tab/>
        <w:t>Semen imported pursuant to subregulation (1) shall be — </w:t>
      </w:r>
    </w:p>
    <w:p>
      <w:pPr>
        <w:pStyle w:val="Indenta"/>
        <w:rPr>
          <w:snapToGrid w:val="0"/>
        </w:rPr>
      </w:pPr>
      <w:r>
        <w:rPr>
          <w:snapToGrid w:val="0"/>
        </w:rPr>
        <w:tab/>
        <w:t>(a)</w:t>
      </w:r>
      <w:r>
        <w:rPr>
          <w:snapToGrid w:val="0"/>
        </w:rPr>
        <w:tab/>
        <w:t>despatched in ampoules or wine red straws marked — </w:t>
      </w:r>
    </w:p>
    <w:p>
      <w:pPr>
        <w:pStyle w:val="Indenta"/>
        <w:rPr>
          <w:snapToGrid w:val="0"/>
        </w:rPr>
      </w:pPr>
      <w:r>
        <w:rPr>
          <w:snapToGrid w:val="0"/>
        </w:rPr>
        <w:tab/>
      </w:r>
      <w:r>
        <w:rPr>
          <w:snapToGrid w:val="0"/>
        </w:rPr>
        <w:tab/>
        <w:t>UL — (owner of bull) — (processor) — (bull) — (batch);</w:t>
      </w:r>
    </w:p>
    <w:p>
      <w:pPr>
        <w:pStyle w:val="Indenta"/>
        <w:rPr>
          <w:snapToGrid w:val="0"/>
        </w:rPr>
      </w:pPr>
      <w:r>
        <w:rPr>
          <w:snapToGrid w:val="0"/>
        </w:rPr>
        <w:tab/>
        <w:t>(b)</w:t>
      </w:r>
      <w:r>
        <w:rPr>
          <w:snapToGrid w:val="0"/>
        </w:rPr>
        <w:tab/>
        <w:t>certified that each batch has been checked and each dose, on thawing, contains a concentration of not less than 5 million actively motile and morphologically normal spermatozoa;</w:t>
      </w:r>
    </w:p>
    <w:p>
      <w:pPr>
        <w:pStyle w:val="Indenta"/>
        <w:rPr>
          <w:snapToGrid w:val="0"/>
        </w:rPr>
      </w:pPr>
      <w:r>
        <w:rPr>
          <w:snapToGrid w:val="0"/>
        </w:rPr>
        <w:tab/>
        <w:t>(c)</w:t>
      </w:r>
      <w:r>
        <w:rPr>
          <w:snapToGrid w:val="0"/>
        </w:rPr>
        <w:tab/>
        <w:t>used only on cattle in Western Australia owned by the person to whom the semen is being consigned.</w:t>
      </w:r>
    </w:p>
    <w:p>
      <w:pPr>
        <w:pStyle w:val="Subsection"/>
        <w:rPr>
          <w:snapToGrid w:val="0"/>
        </w:rPr>
      </w:pPr>
      <w:r>
        <w:rPr>
          <w:snapToGrid w:val="0"/>
        </w:rPr>
        <w:tab/>
        <w:t>(3)</w:t>
      </w:r>
      <w:r>
        <w:rPr>
          <w:snapToGrid w:val="0"/>
        </w:rPr>
        <w:tab/>
        <w:t>Semen imported into the State pursuant to subregulation (1) may be stored at licensed premises provided that it is stored in a vessel containing only such semen and the vessel is clearly identified as such.</w:t>
      </w:r>
    </w:p>
    <w:p>
      <w:pPr>
        <w:pStyle w:val="Heading2"/>
      </w:pPr>
      <w:bookmarkStart w:id="242" w:name="_Toc170184931"/>
      <w:bookmarkStart w:id="243" w:name="_Toc170716961"/>
      <w:r>
        <w:rPr>
          <w:rStyle w:val="CharPartNo"/>
        </w:rPr>
        <w:t>Part VII</w:t>
      </w:r>
      <w:r>
        <w:rPr>
          <w:rStyle w:val="CharDivNo"/>
        </w:rPr>
        <w:t> </w:t>
      </w:r>
      <w:r>
        <w:t>—</w:t>
      </w:r>
      <w:r>
        <w:rPr>
          <w:rStyle w:val="CharDivText"/>
        </w:rPr>
        <w:t> </w:t>
      </w:r>
      <w:r>
        <w:rPr>
          <w:rStyle w:val="CharPartText"/>
        </w:rPr>
        <w:t>Miscellaneous</w:t>
      </w:r>
      <w:bookmarkEnd w:id="242"/>
      <w:bookmarkEnd w:id="243"/>
      <w:r>
        <w:rPr>
          <w:rStyle w:val="CharPartText"/>
        </w:rPr>
        <w:t xml:space="preserve"> </w:t>
      </w:r>
    </w:p>
    <w:p>
      <w:pPr>
        <w:pStyle w:val="Heading5"/>
        <w:rPr>
          <w:snapToGrid w:val="0"/>
        </w:rPr>
      </w:pPr>
      <w:bookmarkStart w:id="244" w:name="_Toc459092143"/>
      <w:bookmarkStart w:id="245" w:name="_Toc518711471"/>
      <w:bookmarkStart w:id="246" w:name="_Toc170716962"/>
      <w:r>
        <w:rPr>
          <w:rStyle w:val="CharSectno"/>
        </w:rPr>
        <w:t>63</w:t>
      </w:r>
      <w:r>
        <w:rPr>
          <w:snapToGrid w:val="0"/>
        </w:rPr>
        <w:t>.</w:t>
      </w:r>
      <w:r>
        <w:rPr>
          <w:snapToGrid w:val="0"/>
        </w:rPr>
        <w:tab/>
        <w:t>Days semen not to be mixed</w:t>
      </w:r>
      <w:bookmarkEnd w:id="244"/>
      <w:bookmarkEnd w:id="245"/>
      <w:bookmarkEnd w:id="246"/>
    </w:p>
    <w:p>
      <w:pPr>
        <w:pStyle w:val="Subsection"/>
        <w:rPr>
          <w:snapToGrid w:val="0"/>
        </w:rPr>
      </w:pPr>
      <w:r>
        <w:rPr>
          <w:snapToGrid w:val="0"/>
        </w:rPr>
        <w:tab/>
      </w:r>
      <w:r>
        <w:rPr>
          <w:snapToGrid w:val="0"/>
        </w:rPr>
        <w:tab/>
        <w:t>A person shall not mix semen of one bull with that of another or mix semen collected on one day with that collected on another.</w:t>
      </w:r>
    </w:p>
    <w:p>
      <w:pPr>
        <w:pStyle w:val="Heading5"/>
        <w:rPr>
          <w:snapToGrid w:val="0"/>
        </w:rPr>
      </w:pPr>
      <w:bookmarkStart w:id="247" w:name="_Toc459092144"/>
      <w:bookmarkStart w:id="248" w:name="_Toc518711472"/>
      <w:bookmarkStart w:id="249" w:name="_Toc170716963"/>
      <w:r>
        <w:rPr>
          <w:rStyle w:val="CharSectno"/>
        </w:rPr>
        <w:t>64</w:t>
      </w:r>
      <w:r>
        <w:rPr>
          <w:snapToGrid w:val="0"/>
        </w:rPr>
        <w:t>.</w:t>
      </w:r>
      <w:r>
        <w:rPr>
          <w:snapToGrid w:val="0"/>
        </w:rPr>
        <w:tab/>
        <w:t>Records to be kept for 3 years</w:t>
      </w:r>
      <w:bookmarkEnd w:id="247"/>
      <w:bookmarkEnd w:id="248"/>
      <w:bookmarkEnd w:id="249"/>
    </w:p>
    <w:p>
      <w:pPr>
        <w:pStyle w:val="Subsection"/>
        <w:rPr>
          <w:snapToGrid w:val="0"/>
        </w:rPr>
      </w:pPr>
      <w:r>
        <w:rPr>
          <w:snapToGrid w:val="0"/>
        </w:rPr>
        <w:tab/>
      </w:r>
      <w:r>
        <w:rPr>
          <w:snapToGrid w:val="0"/>
        </w:rPr>
        <w:tab/>
        <w:t>Records required to be kept under these regulations shall not be destroyed, until after a period of 3 years from the date of their being made.</w:t>
      </w:r>
    </w:p>
    <w:p>
      <w:pPr>
        <w:pStyle w:val="Heading5"/>
        <w:rPr>
          <w:snapToGrid w:val="0"/>
        </w:rPr>
      </w:pPr>
      <w:bookmarkStart w:id="250" w:name="_Toc459092145"/>
      <w:bookmarkStart w:id="251" w:name="_Toc518711473"/>
      <w:bookmarkStart w:id="252" w:name="_Toc170716964"/>
      <w:r>
        <w:rPr>
          <w:rStyle w:val="CharSectno"/>
        </w:rPr>
        <w:t>65</w:t>
      </w:r>
      <w:r>
        <w:rPr>
          <w:snapToGrid w:val="0"/>
        </w:rPr>
        <w:t>.</w:t>
      </w:r>
      <w:r>
        <w:rPr>
          <w:snapToGrid w:val="0"/>
        </w:rPr>
        <w:tab/>
        <w:t>Penalty</w:t>
      </w:r>
      <w:bookmarkEnd w:id="250"/>
      <w:bookmarkEnd w:id="251"/>
      <w:bookmarkEnd w:id="252"/>
    </w:p>
    <w:p>
      <w:pPr>
        <w:pStyle w:val="Subsection"/>
        <w:rPr>
          <w:snapToGrid w:val="0"/>
        </w:rPr>
      </w:pPr>
      <w:r>
        <w:rPr>
          <w:snapToGrid w:val="0"/>
        </w:rPr>
        <w:tab/>
      </w:r>
      <w:r>
        <w:rPr>
          <w:snapToGrid w:val="0"/>
        </w:rPr>
        <w:tab/>
        <w:t>Every person who by act or omission commits an offence against these regulations shall be liable to a penalty of $100.</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253" w:name="_Toc170184935"/>
      <w:bookmarkStart w:id="254" w:name="_Toc170716965"/>
      <w:r>
        <w:rPr>
          <w:rStyle w:val="CharSchNo"/>
        </w:rPr>
        <w:t>First Schedule</w:t>
      </w:r>
      <w:bookmarkEnd w:id="253"/>
      <w:bookmarkEnd w:id="254"/>
    </w:p>
    <w:p>
      <w:pPr>
        <w:pStyle w:val="yMiscellaneousHeading"/>
        <w:rPr>
          <w:b/>
          <w:snapToGrid w:val="0"/>
        </w:rPr>
      </w:pPr>
      <w:r>
        <w:rPr>
          <w:b/>
          <w:snapToGrid w:val="0"/>
        </w:rPr>
        <w:t>Forms</w:t>
      </w:r>
    </w:p>
    <w:p>
      <w:pPr>
        <w:pStyle w:val="yMiscellaneousHeading"/>
        <w:rPr>
          <w:b/>
          <w:snapToGrid w:val="0"/>
        </w:rPr>
      </w:pPr>
      <w:r>
        <w:rPr>
          <w:b/>
          <w:snapToGrid w:val="0"/>
        </w:rPr>
        <w:t>Form 1</w:t>
      </w:r>
    </w:p>
    <w:p>
      <w:pPr>
        <w:pStyle w:val="yMiscellaneousHeading"/>
        <w:spacing w:before="60"/>
        <w:rPr>
          <w:i/>
          <w:snapToGrid w:val="0"/>
        </w:rPr>
      </w:pPr>
      <w:r>
        <w:rPr>
          <w:i/>
          <w:snapToGrid w:val="0"/>
        </w:rPr>
        <w:t>Artificial Breeding of Stock Act 1965</w:t>
      </w:r>
    </w:p>
    <w:p>
      <w:pPr>
        <w:pStyle w:val="yMiscellaneousHeading"/>
        <w:spacing w:before="0"/>
        <w:rPr>
          <w:i/>
          <w:snapToGrid w:val="0"/>
        </w:rPr>
      </w:pPr>
      <w:r>
        <w:rPr>
          <w:i/>
          <w:snapToGrid w:val="0"/>
        </w:rPr>
        <w:t>Artificial Breeding (Cattle) Regulations 1978</w:t>
      </w:r>
    </w:p>
    <w:p>
      <w:pPr>
        <w:pStyle w:val="yMiscellaneousHeading"/>
        <w:rPr>
          <w:snapToGrid w:val="0"/>
        </w:rPr>
      </w:pPr>
      <w:r>
        <w:rPr>
          <w:snapToGrid w:val="0"/>
        </w:rPr>
        <w:t>APPLICATION FOR A LICENCE OR</w:t>
      </w:r>
    </w:p>
    <w:p>
      <w:pPr>
        <w:pStyle w:val="yMiscellaneousHeading"/>
        <w:spacing w:before="0" w:after="120"/>
        <w:rPr>
          <w:snapToGrid w:val="0"/>
        </w:rPr>
      </w:pPr>
      <w:r>
        <w:rPr>
          <w:snapToGrid w:val="0"/>
        </w:rPr>
        <w:t>RENEWAL OF LICENCE</w:t>
      </w:r>
    </w:p>
    <w:p>
      <w:pPr>
        <w:pStyle w:val="yMiscellaneousBody"/>
        <w:spacing w:before="0"/>
        <w:rPr>
          <w:snapToGrid w:val="0"/>
        </w:rPr>
      </w:pPr>
      <w:r>
        <w:rPr>
          <w:snapToGrid w:val="0"/>
        </w:rPr>
        <w:t>MINISTER FOR AGRICULTURE</w:t>
      </w:r>
      <w:r>
        <w:rPr>
          <w:snapToGrid w:val="0"/>
          <w:vertAlign w:val="superscript"/>
        </w:rPr>
        <w:t xml:space="preserve"> 2</w:t>
      </w:r>
      <w:r>
        <w:rPr>
          <w:snapToGrid w:val="0"/>
        </w:rPr>
        <w:t>,</w:t>
      </w:r>
    </w:p>
    <w:p>
      <w:pPr>
        <w:pStyle w:val="yMiscellaneousBody"/>
        <w:spacing w:before="0"/>
        <w:rPr>
          <w:snapToGrid w:val="0"/>
        </w:rPr>
      </w:pPr>
      <w:r>
        <w:rPr>
          <w:snapToGrid w:val="0"/>
        </w:rPr>
        <w:t>DEPARTMENT OF AGRICULTURE</w:t>
      </w:r>
      <w:r>
        <w:rPr>
          <w:snapToGrid w:val="0"/>
          <w:vertAlign w:val="superscript"/>
        </w:rPr>
        <w:t xml:space="preserve"> 3</w:t>
      </w:r>
      <w:r>
        <w:rPr>
          <w:snapToGrid w:val="0"/>
        </w:rPr>
        <w:t>,</w:t>
      </w:r>
    </w:p>
    <w:p>
      <w:pPr>
        <w:pStyle w:val="yMiscellaneousBody"/>
        <w:spacing w:before="0"/>
        <w:rPr>
          <w:snapToGrid w:val="0"/>
        </w:rPr>
      </w:pPr>
      <w:r>
        <w:rPr>
          <w:snapToGrid w:val="0"/>
        </w:rPr>
        <w:t>SOUTH PERTH.</w:t>
      </w:r>
    </w:p>
    <w:p>
      <w:pPr>
        <w:pStyle w:val="yMiscellaneousBody"/>
        <w:rPr>
          <w:snapToGrid w:val="0"/>
        </w:rPr>
      </w:pPr>
      <w:r>
        <w:rPr>
          <w:snapToGrid w:val="0"/>
        </w:rPr>
        <w:t>I/We………………………………………………………………………………</w:t>
      </w:r>
    </w:p>
    <w:p>
      <w:pPr>
        <w:pStyle w:val="yMiscellaneousBody"/>
        <w:spacing w:before="0"/>
        <w:rPr>
          <w:snapToGrid w:val="0"/>
        </w:rPr>
      </w:pPr>
      <w:r>
        <w:rPr>
          <w:snapToGrid w:val="0"/>
        </w:rPr>
        <w:t>of ………………………………………………………………………………....</w:t>
      </w:r>
    </w:p>
    <w:p>
      <w:pPr>
        <w:pStyle w:val="yMiscellaneousBody"/>
        <w:tabs>
          <w:tab w:val="left" w:pos="2268"/>
          <w:tab w:val="left" w:pos="2552"/>
        </w:tabs>
        <w:ind w:left="2552" w:hanging="2552"/>
        <w:rPr>
          <w:snapToGrid w:val="0"/>
        </w:rPr>
      </w:pPr>
      <w:r>
        <w:rPr>
          <w:snapToGrid w:val="0"/>
        </w:rPr>
        <w:t>hereby apply for — </w:t>
      </w:r>
      <w:r>
        <w:rPr>
          <w:snapToGrid w:val="0"/>
        </w:rPr>
        <w:tab/>
        <w:t>*</w:t>
      </w:r>
      <w:r>
        <w:rPr>
          <w:snapToGrid w:val="0"/>
        </w:rPr>
        <w:tab/>
        <w:t>a licence to use the premises for</w:t>
      </w:r>
    </w:p>
    <w:p>
      <w:pPr>
        <w:pStyle w:val="yMiscellaneousBody"/>
        <w:tabs>
          <w:tab w:val="left" w:pos="2268"/>
          <w:tab w:val="left" w:pos="2552"/>
        </w:tabs>
        <w:spacing w:before="0"/>
        <w:ind w:left="2552" w:hanging="2552"/>
        <w:rPr>
          <w:snapToGrid w:val="0"/>
        </w:rPr>
      </w:pPr>
      <w:r>
        <w:rPr>
          <w:snapToGrid w:val="0"/>
        </w:rPr>
        <w:tab/>
        <w:t>*</w:t>
      </w:r>
      <w:r>
        <w:rPr>
          <w:snapToGrid w:val="0"/>
        </w:rPr>
        <w:tab/>
        <w:t>the renewal of my/our licence to use the premises described hereunder for the</w:t>
      </w:r>
    </w:p>
    <w:p>
      <w:pPr>
        <w:pStyle w:val="yMiscellaneousBody"/>
        <w:tabs>
          <w:tab w:val="left" w:pos="567"/>
          <w:tab w:val="left" w:pos="851"/>
        </w:tabs>
        <w:spacing w:before="0"/>
        <w:ind w:left="851" w:hanging="851"/>
        <w:rPr>
          <w:snapToGrid w:val="0"/>
        </w:rPr>
      </w:pPr>
      <w:r>
        <w:rPr>
          <w:snapToGrid w:val="0"/>
        </w:rPr>
        <w:tab/>
        <w:t>*</w:t>
      </w:r>
      <w:r>
        <w:rPr>
          <w:snapToGrid w:val="0"/>
        </w:rPr>
        <w:tab/>
        <w:t>collection and processing of semen from cattle for general sale or use with respect to the collection, dilution, examination, chilling, freezing, storing, distribution, sale and use of semen,</w:t>
      </w:r>
    </w:p>
    <w:p>
      <w:pPr>
        <w:pStyle w:val="yMiscellaneousBody"/>
        <w:tabs>
          <w:tab w:val="left" w:pos="567"/>
          <w:tab w:val="left" w:pos="851"/>
        </w:tabs>
        <w:spacing w:before="0"/>
        <w:ind w:left="851" w:hanging="851"/>
        <w:rPr>
          <w:snapToGrid w:val="0"/>
        </w:rPr>
      </w:pPr>
      <w:r>
        <w:rPr>
          <w:snapToGrid w:val="0"/>
        </w:rPr>
        <w:tab/>
        <w:t>*</w:t>
      </w:r>
      <w:r>
        <w:rPr>
          <w:snapToGrid w:val="0"/>
        </w:rPr>
        <w:tab/>
        <w:t>storage and sale of semen from cattle,</w:t>
      </w:r>
    </w:p>
    <w:p>
      <w:pPr>
        <w:pStyle w:val="yMiscellaneousBody"/>
        <w:tabs>
          <w:tab w:val="left" w:pos="567"/>
          <w:tab w:val="left" w:pos="851"/>
        </w:tabs>
        <w:spacing w:before="0"/>
        <w:ind w:left="851" w:hanging="851"/>
        <w:rPr>
          <w:snapToGrid w:val="0"/>
        </w:rPr>
      </w:pPr>
      <w:r>
        <w:rPr>
          <w:snapToGrid w:val="0"/>
        </w:rPr>
        <w:tab/>
        <w:t>*</w:t>
      </w:r>
      <w:r>
        <w:rPr>
          <w:snapToGrid w:val="0"/>
        </w:rPr>
        <w:tab/>
        <w:t>transplantation of ova from cattle and any processes connected with production, handling, fertilization and storage of ova for sale or use.</w:t>
      </w:r>
    </w:p>
    <w:p>
      <w:pPr>
        <w:pStyle w:val="yMiscellaneousBody"/>
        <w:rPr>
          <w:snapToGrid w:val="0"/>
        </w:rPr>
      </w:pPr>
      <w:r>
        <w:rPr>
          <w:snapToGrid w:val="0"/>
        </w:rPr>
        <w:t>Fee ……………………………………attached.</w:t>
      </w:r>
    </w:p>
    <w:p>
      <w:pPr>
        <w:pStyle w:val="yMiscellaneousBody"/>
        <w:rPr>
          <w:snapToGrid w:val="0"/>
        </w:rPr>
      </w:pPr>
      <w:r>
        <w:rPr>
          <w:snapToGrid w:val="0"/>
        </w:rPr>
        <w:t>Address of premises………………………………………………………………</w:t>
      </w:r>
    </w:p>
    <w:p>
      <w:pPr>
        <w:pStyle w:val="yMiscellaneousBody"/>
        <w:rPr>
          <w:snapToGrid w:val="0"/>
        </w:rPr>
      </w:pPr>
      <w:r>
        <w:rPr>
          <w:snapToGrid w:val="0"/>
        </w:rPr>
        <w:t>Description of premises…………....……………………………………………..</w:t>
      </w:r>
    </w:p>
    <w:p>
      <w:pPr>
        <w:pStyle w:val="yMiscellaneousBody"/>
        <w:rPr>
          <w:snapToGrid w:val="0"/>
        </w:rPr>
      </w:pPr>
      <w:r>
        <w:rPr>
          <w:snapToGrid w:val="0"/>
        </w:rPr>
        <w:t>Dated this ……………………….. day of ……………………….. 19 …………</w:t>
      </w:r>
    </w:p>
    <w:p>
      <w:pPr>
        <w:pStyle w:val="yMiscellaneousBody"/>
        <w:jc w:val="right"/>
        <w:rPr>
          <w:snapToGrid w:val="0"/>
        </w:rPr>
      </w:pPr>
      <w:r>
        <w:rPr>
          <w:snapToGrid w:val="0"/>
        </w:rPr>
        <w:t>…………………………………………………….</w:t>
      </w:r>
    </w:p>
    <w:p>
      <w:pPr>
        <w:pStyle w:val="yMiscellaneousBody"/>
        <w:spacing w:before="0"/>
        <w:jc w:val="right"/>
        <w:rPr>
          <w:snapToGrid w:val="0"/>
        </w:rPr>
      </w:pPr>
      <w:r>
        <w:rPr>
          <w:snapToGrid w:val="0"/>
        </w:rPr>
        <w:t xml:space="preserve">(Signature of Applicant(s)) </w:t>
      </w:r>
    </w:p>
    <w:p>
      <w:pPr>
        <w:pStyle w:val="yTable"/>
        <w:jc w:val="center"/>
        <w:rPr>
          <w:snapToGrid w:val="0"/>
        </w:rPr>
      </w:pPr>
      <w:r>
        <w:rPr>
          <w:snapToGrid w:val="0"/>
        </w:rPr>
        <w:t>* Strike out whichever is not applicable.</w:t>
      </w:r>
    </w:p>
    <w:p>
      <w:pPr>
        <w:pStyle w:val="yMiscellaneousHeading"/>
        <w:pageBreakBefore/>
        <w:spacing w:before="0"/>
        <w:rPr>
          <w:b/>
          <w:snapToGrid w:val="0"/>
        </w:rPr>
      </w:pPr>
      <w:r>
        <w:rPr>
          <w:b/>
          <w:snapToGrid w:val="0"/>
        </w:rPr>
        <w:t>Form 2</w:t>
      </w:r>
    </w:p>
    <w:p>
      <w:pPr>
        <w:pStyle w:val="yMiscellaneousHeading"/>
        <w:rPr>
          <w:snapToGrid w:val="0"/>
        </w:rPr>
      </w:pPr>
      <w:r>
        <w:rPr>
          <w:snapToGrid w:val="0"/>
        </w:rPr>
        <w:t>WESTERN AUSTRALIA</w:t>
      </w:r>
    </w:p>
    <w:p>
      <w:pPr>
        <w:pStyle w:val="yMiscellaneousHeading"/>
        <w:rPr>
          <w:i/>
          <w:snapToGrid w:val="0"/>
        </w:rPr>
      </w:pPr>
      <w:r>
        <w:rPr>
          <w:i/>
          <w:snapToGrid w:val="0"/>
        </w:rPr>
        <w:t>Artificial Breeding of Stock Act 1965</w:t>
      </w:r>
    </w:p>
    <w:p>
      <w:pPr>
        <w:pStyle w:val="yMiscellaneousHeading"/>
        <w:spacing w:before="0"/>
        <w:rPr>
          <w:i/>
          <w:snapToGrid w:val="0"/>
        </w:rPr>
      </w:pPr>
      <w:r>
        <w:rPr>
          <w:i/>
          <w:snapToGrid w:val="0"/>
        </w:rPr>
        <w:t>Artificial Breeding (Cattle) Regulations 1978</w:t>
      </w:r>
    </w:p>
    <w:p>
      <w:pPr>
        <w:pStyle w:val="yMiscellaneousHeading"/>
        <w:spacing w:before="120" w:after="120"/>
        <w:rPr>
          <w:snapToGrid w:val="0"/>
        </w:rPr>
      </w:pPr>
      <w:r>
        <w:rPr>
          <w:snapToGrid w:val="0"/>
        </w:rPr>
        <w:t>LICENCE</w:t>
      </w:r>
    </w:p>
    <w:p>
      <w:pPr>
        <w:pStyle w:val="yMiscellaneousBody"/>
        <w:spacing w:before="0"/>
        <w:rPr>
          <w:snapToGrid w:val="0"/>
        </w:rPr>
      </w:pPr>
      <w:r>
        <w:rPr>
          <w:snapToGrid w:val="0"/>
        </w:rPr>
        <w:t>MINISTER FOR AGRICULTURE</w:t>
      </w:r>
      <w:r>
        <w:rPr>
          <w:snapToGrid w:val="0"/>
          <w:vertAlign w:val="superscript"/>
        </w:rPr>
        <w:t xml:space="preserve"> 2</w:t>
      </w:r>
      <w:r>
        <w:rPr>
          <w:snapToGrid w:val="0"/>
        </w:rPr>
        <w:t>,</w:t>
      </w:r>
    </w:p>
    <w:p>
      <w:pPr>
        <w:pStyle w:val="yMiscellaneousBody"/>
        <w:spacing w:before="0"/>
        <w:rPr>
          <w:snapToGrid w:val="0"/>
        </w:rPr>
      </w:pPr>
      <w:r>
        <w:rPr>
          <w:snapToGrid w:val="0"/>
        </w:rPr>
        <w:t>DEPARTMENT OF AGRICULTURE</w:t>
      </w:r>
      <w:r>
        <w:rPr>
          <w:snapToGrid w:val="0"/>
          <w:vertAlign w:val="superscript"/>
        </w:rPr>
        <w:t xml:space="preserve"> 3</w:t>
      </w:r>
      <w:r>
        <w:rPr>
          <w:snapToGrid w:val="0"/>
        </w:rPr>
        <w:t>,</w:t>
      </w:r>
    </w:p>
    <w:p>
      <w:pPr>
        <w:pStyle w:val="yMiscellaneousBody"/>
        <w:spacing w:before="0"/>
        <w:rPr>
          <w:snapToGrid w:val="0"/>
        </w:rPr>
      </w:pPr>
      <w:r>
        <w:rPr>
          <w:snapToGrid w:val="0"/>
        </w:rPr>
        <w:t>SOUTH PERTH.</w:t>
      </w:r>
    </w:p>
    <w:p>
      <w:pPr>
        <w:pStyle w:val="yMiscellaneousBody"/>
        <w:rPr>
          <w:snapToGrid w:val="0"/>
        </w:rPr>
      </w:pPr>
      <w:r>
        <w:rPr>
          <w:snapToGrid w:val="0"/>
        </w:rPr>
        <w:t>. ……………………………………… of ………………………………………</w:t>
      </w:r>
    </w:p>
    <w:p>
      <w:pPr>
        <w:pStyle w:val="yMiscellaneousBody"/>
        <w:tabs>
          <w:tab w:val="left" w:pos="709"/>
          <w:tab w:val="left" w:pos="4820"/>
        </w:tabs>
        <w:spacing w:before="0"/>
        <w:rPr>
          <w:snapToGrid w:val="0"/>
        </w:rPr>
      </w:pPr>
      <w:r>
        <w:rPr>
          <w:snapToGrid w:val="0"/>
        </w:rPr>
        <w:tab/>
        <w:t>(Name of Licensee(s))</w:t>
      </w:r>
      <w:r>
        <w:rPr>
          <w:snapToGrid w:val="0"/>
        </w:rPr>
        <w:tab/>
        <w:t>(Address)</w:t>
      </w:r>
    </w:p>
    <w:p>
      <w:pPr>
        <w:pStyle w:val="yMiscellaneousBody"/>
        <w:rPr>
          <w:snapToGrid w:val="0"/>
        </w:rPr>
      </w:pPr>
      <w:r>
        <w:rPr>
          <w:snapToGrid w:val="0"/>
        </w:rPr>
        <w:t>* is/are hereby licensed to use the premises described hereunder for the — </w:t>
      </w:r>
    </w:p>
    <w:p>
      <w:pPr>
        <w:pStyle w:val="yMiscellaneousBody"/>
        <w:tabs>
          <w:tab w:val="left" w:pos="567"/>
          <w:tab w:val="left" w:pos="851"/>
        </w:tabs>
        <w:spacing w:before="120"/>
        <w:ind w:left="851" w:hanging="851"/>
        <w:rPr>
          <w:snapToGrid w:val="0"/>
        </w:rPr>
      </w:pPr>
      <w:r>
        <w:rPr>
          <w:snapToGrid w:val="0"/>
        </w:rPr>
        <w:tab/>
        <w:t>*</w:t>
      </w:r>
      <w:r>
        <w:rPr>
          <w:snapToGrid w:val="0"/>
        </w:rPr>
        <w:tab/>
        <w:t>collection and processing of semen from cattle for general sale or use with respect to the processes of collecting, diluting, examining, chilling, freezing, storing, distribution, sale and use of semen,</w:t>
      </w:r>
    </w:p>
    <w:p>
      <w:pPr>
        <w:pStyle w:val="yMiscellaneousBody"/>
        <w:tabs>
          <w:tab w:val="left" w:pos="567"/>
          <w:tab w:val="left" w:pos="851"/>
        </w:tabs>
        <w:spacing w:before="0"/>
        <w:ind w:left="851" w:hanging="851"/>
        <w:rPr>
          <w:snapToGrid w:val="0"/>
        </w:rPr>
      </w:pPr>
      <w:r>
        <w:rPr>
          <w:snapToGrid w:val="0"/>
        </w:rPr>
        <w:tab/>
        <w:t>*</w:t>
      </w:r>
      <w:r>
        <w:rPr>
          <w:snapToGrid w:val="0"/>
        </w:rPr>
        <w:tab/>
        <w:t>storage and sale of semen from cattle,</w:t>
      </w:r>
    </w:p>
    <w:p>
      <w:pPr>
        <w:pStyle w:val="yMiscellaneousBody"/>
        <w:tabs>
          <w:tab w:val="left" w:pos="567"/>
          <w:tab w:val="left" w:pos="851"/>
        </w:tabs>
        <w:spacing w:before="0"/>
        <w:ind w:left="851" w:hanging="851"/>
        <w:rPr>
          <w:snapToGrid w:val="0"/>
        </w:rPr>
      </w:pPr>
      <w:r>
        <w:rPr>
          <w:snapToGrid w:val="0"/>
        </w:rPr>
        <w:tab/>
        <w:t>*</w:t>
      </w:r>
      <w:r>
        <w:rPr>
          <w:snapToGrid w:val="0"/>
        </w:rPr>
        <w:tab/>
        <w:t>transplantation of ova from cattle and any processes connected with production, handling, fertilization and storage of ova for sale or use.</w:t>
      </w:r>
    </w:p>
    <w:p>
      <w:pPr>
        <w:pStyle w:val="yMiscellaneousBody"/>
        <w:rPr>
          <w:snapToGrid w:val="0"/>
        </w:rPr>
      </w:pPr>
      <w:r>
        <w:rPr>
          <w:snapToGrid w:val="0"/>
        </w:rPr>
        <w:t>Address of premises………………………………………………………………</w:t>
      </w:r>
    </w:p>
    <w:p>
      <w:pPr>
        <w:pStyle w:val="yMiscellaneousBody"/>
        <w:rPr>
          <w:snapToGrid w:val="0"/>
        </w:rPr>
      </w:pPr>
      <w:r>
        <w:rPr>
          <w:snapToGrid w:val="0"/>
        </w:rPr>
        <w:t>Description of premises…………………………………………………………</w:t>
      </w:r>
    </w:p>
    <w:p>
      <w:pPr>
        <w:pStyle w:val="yMiscellaneousBody"/>
        <w:rPr>
          <w:snapToGrid w:val="0"/>
        </w:rPr>
      </w:pPr>
      <w:r>
        <w:rPr>
          <w:snapToGrid w:val="0"/>
        </w:rPr>
        <w:t>This licence remains in force until ……………….……………………..19 .......</w:t>
      </w:r>
    </w:p>
    <w:p>
      <w:pPr>
        <w:pStyle w:val="yMiscellaneousBody"/>
        <w:spacing w:before="0"/>
        <w:rPr>
          <w:snapToGrid w:val="0"/>
        </w:rPr>
      </w:pPr>
      <w:r>
        <w:rPr>
          <w:snapToGrid w:val="0"/>
        </w:rPr>
        <w:t xml:space="preserve">and is issued subject to the conditions prescribed by the </w:t>
      </w:r>
      <w:r>
        <w:rPr>
          <w:i/>
          <w:snapToGrid w:val="0"/>
        </w:rPr>
        <w:t>Artificial Breeding of Stock Act 1965</w:t>
      </w:r>
      <w:r>
        <w:rPr>
          <w:snapToGrid w:val="0"/>
        </w:rPr>
        <w:t xml:space="preserve"> as amended, and regulations made thereunder, and to the following conditions: — </w:t>
      </w:r>
    </w:p>
    <w:p>
      <w:pPr>
        <w:pStyle w:val="yMiscellaneousBody"/>
        <w:jc w:val="center"/>
        <w:rPr>
          <w:snapToGrid w:val="0"/>
        </w:rPr>
      </w:pPr>
      <w:r>
        <w:rPr>
          <w:snapToGrid w:val="0"/>
        </w:rPr>
        <w:t>(Insert here any special conditions.)</w:t>
      </w:r>
    </w:p>
    <w:p>
      <w:pPr>
        <w:pStyle w:val="yMiscellaneousBody"/>
        <w:rPr>
          <w:snapToGrid w:val="0"/>
        </w:rPr>
      </w:pPr>
      <w:r>
        <w:rPr>
          <w:snapToGrid w:val="0"/>
        </w:rPr>
        <w:t>Issued this ……………………………… day of ………………………19 ……</w:t>
      </w:r>
    </w:p>
    <w:p>
      <w:pPr>
        <w:pStyle w:val="yMiscellaneousBody"/>
        <w:jc w:val="right"/>
        <w:rPr>
          <w:snapToGrid w:val="0"/>
        </w:rPr>
      </w:pPr>
      <w:r>
        <w:rPr>
          <w:snapToGrid w:val="0"/>
        </w:rPr>
        <w:t>………………………………………</w:t>
      </w:r>
    </w:p>
    <w:p>
      <w:pPr>
        <w:pStyle w:val="yMiscellaneousBody"/>
        <w:spacing w:before="0"/>
        <w:jc w:val="right"/>
        <w:rPr>
          <w:snapToGrid w:val="0"/>
        </w:rPr>
      </w:pPr>
      <w:r>
        <w:rPr>
          <w:snapToGrid w:val="0"/>
        </w:rPr>
        <w:t>Minister for Agriculture</w:t>
      </w:r>
      <w:r>
        <w:rPr>
          <w:snapToGrid w:val="0"/>
          <w:vertAlign w:val="superscript"/>
        </w:rPr>
        <w:t xml:space="preserve"> 2</w:t>
      </w:r>
      <w:r>
        <w:rPr>
          <w:snapToGrid w:val="0"/>
        </w:rPr>
        <w:t>.</w:t>
      </w:r>
    </w:p>
    <w:p>
      <w:pPr>
        <w:pStyle w:val="yMiscellaneousBody"/>
        <w:jc w:val="center"/>
        <w:rPr>
          <w:snapToGrid w:val="0"/>
        </w:rPr>
      </w:pPr>
      <w:r>
        <w:rPr>
          <w:snapToGrid w:val="0"/>
        </w:rPr>
        <w:t>* Strike out whichever is not applicable.</w:t>
      </w:r>
    </w:p>
    <w:p>
      <w:pPr>
        <w:pStyle w:val="yMiscellaneousHeading"/>
        <w:pageBreakBefore/>
        <w:spacing w:before="0"/>
        <w:rPr>
          <w:b/>
          <w:snapToGrid w:val="0"/>
        </w:rPr>
      </w:pPr>
      <w:r>
        <w:rPr>
          <w:b/>
          <w:snapToGrid w:val="0"/>
        </w:rPr>
        <w:t>Form 3</w:t>
      </w:r>
    </w:p>
    <w:p>
      <w:pPr>
        <w:pStyle w:val="yMiscellaneousHeading"/>
        <w:rPr>
          <w:i/>
          <w:snapToGrid w:val="0"/>
        </w:rPr>
      </w:pPr>
      <w:r>
        <w:rPr>
          <w:i/>
          <w:snapToGrid w:val="0"/>
        </w:rPr>
        <w:t>Artificial Breeding of Stock Act 1965</w:t>
      </w:r>
    </w:p>
    <w:p>
      <w:pPr>
        <w:pStyle w:val="yMiscellaneousHeading"/>
        <w:spacing w:before="0"/>
        <w:rPr>
          <w:i/>
          <w:snapToGrid w:val="0"/>
        </w:rPr>
      </w:pPr>
      <w:r>
        <w:rPr>
          <w:i/>
          <w:snapToGrid w:val="0"/>
        </w:rPr>
        <w:t>Artificial Breeding (Cattle) Regulations 1978</w:t>
      </w:r>
    </w:p>
    <w:p>
      <w:pPr>
        <w:pStyle w:val="yMiscellaneousHeading"/>
        <w:spacing w:before="120" w:after="120"/>
        <w:rPr>
          <w:snapToGrid w:val="0"/>
        </w:rPr>
      </w:pPr>
      <w:r>
        <w:rPr>
          <w:snapToGrid w:val="0"/>
        </w:rPr>
        <w:t>APPLICATION FOR TRANSFER OF LICENCE</w:t>
      </w:r>
    </w:p>
    <w:p>
      <w:pPr>
        <w:pStyle w:val="yMiscellaneousBody"/>
        <w:spacing w:before="0"/>
        <w:rPr>
          <w:snapToGrid w:val="0"/>
        </w:rPr>
      </w:pPr>
      <w:r>
        <w:rPr>
          <w:snapToGrid w:val="0"/>
        </w:rPr>
        <w:t>MINISTER FOR AGRICULTURE</w:t>
      </w:r>
      <w:r>
        <w:rPr>
          <w:snapToGrid w:val="0"/>
          <w:vertAlign w:val="superscript"/>
        </w:rPr>
        <w:t xml:space="preserve"> 2</w:t>
      </w:r>
      <w:r>
        <w:rPr>
          <w:snapToGrid w:val="0"/>
        </w:rPr>
        <w:t>,</w:t>
      </w:r>
    </w:p>
    <w:p>
      <w:pPr>
        <w:pStyle w:val="yMiscellaneousBody"/>
        <w:spacing w:before="0"/>
        <w:rPr>
          <w:snapToGrid w:val="0"/>
        </w:rPr>
      </w:pPr>
      <w:r>
        <w:rPr>
          <w:snapToGrid w:val="0"/>
        </w:rPr>
        <w:t>DEPARTMENT OF AGRICULTURE</w:t>
      </w:r>
      <w:r>
        <w:rPr>
          <w:snapToGrid w:val="0"/>
          <w:vertAlign w:val="superscript"/>
        </w:rPr>
        <w:t xml:space="preserve"> 3</w:t>
      </w:r>
      <w:r>
        <w:rPr>
          <w:snapToGrid w:val="0"/>
        </w:rPr>
        <w:t>,</w:t>
      </w:r>
    </w:p>
    <w:p>
      <w:pPr>
        <w:pStyle w:val="yMiscellaneousBody"/>
        <w:spacing w:before="0"/>
        <w:rPr>
          <w:snapToGrid w:val="0"/>
        </w:rPr>
      </w:pPr>
      <w:r>
        <w:rPr>
          <w:snapToGrid w:val="0"/>
        </w:rPr>
        <w:t>SOUTH PERTH.</w:t>
      </w:r>
    </w:p>
    <w:p>
      <w:pPr>
        <w:pStyle w:val="yMiscellaneousBody"/>
        <w:rPr>
          <w:snapToGrid w:val="0"/>
        </w:rPr>
      </w:pPr>
      <w:r>
        <w:rPr>
          <w:snapToGrid w:val="0"/>
        </w:rPr>
        <w:t>I/We………………………………………………………………………………</w:t>
      </w:r>
    </w:p>
    <w:p>
      <w:pPr>
        <w:pStyle w:val="yMiscellaneousBody"/>
        <w:spacing w:before="0"/>
        <w:rPr>
          <w:snapToGrid w:val="0"/>
        </w:rPr>
      </w:pPr>
      <w:r>
        <w:rPr>
          <w:snapToGrid w:val="0"/>
        </w:rPr>
        <w:t>of………………………………………………………………………………….</w:t>
      </w:r>
    </w:p>
    <w:p>
      <w:pPr>
        <w:pStyle w:val="yMiscellaneousBody"/>
        <w:spacing w:before="0"/>
        <w:rPr>
          <w:snapToGrid w:val="0"/>
        </w:rPr>
      </w:pPr>
      <w:r>
        <w:rPr>
          <w:snapToGrid w:val="0"/>
        </w:rPr>
        <w:t>being the holder(s) of a licence to use the premises described hereunder, hereby apply for the transfer of that licence to………………………………………….</w:t>
      </w:r>
    </w:p>
    <w:p>
      <w:pPr>
        <w:pStyle w:val="yMiscellaneousBody"/>
        <w:spacing w:before="0"/>
        <w:rPr>
          <w:snapToGrid w:val="0"/>
        </w:rPr>
      </w:pPr>
      <w:r>
        <w:rPr>
          <w:snapToGrid w:val="0"/>
        </w:rPr>
        <w:t>of …………………………………………………………………………………</w:t>
      </w:r>
    </w:p>
    <w:p>
      <w:pPr>
        <w:pStyle w:val="yMiscellaneousBody"/>
        <w:rPr>
          <w:snapToGrid w:val="0"/>
        </w:rPr>
      </w:pPr>
      <w:r>
        <w:rPr>
          <w:snapToGrid w:val="0"/>
        </w:rPr>
        <w:t>Address of premises ..…………………………………………………………...</w:t>
      </w:r>
    </w:p>
    <w:p>
      <w:pPr>
        <w:pStyle w:val="yMiscellaneousBody"/>
        <w:spacing w:before="0"/>
        <w:rPr>
          <w:snapToGrid w:val="0"/>
        </w:rPr>
      </w:pPr>
      <w:r>
        <w:rPr>
          <w:snapToGrid w:val="0"/>
        </w:rPr>
        <w:t>licensed for the — </w:t>
      </w:r>
    </w:p>
    <w:p>
      <w:pPr>
        <w:pStyle w:val="yMiscellaneousBody"/>
        <w:tabs>
          <w:tab w:val="left" w:pos="567"/>
          <w:tab w:val="left" w:pos="851"/>
        </w:tabs>
        <w:spacing w:before="120"/>
        <w:rPr>
          <w:snapToGrid w:val="0"/>
        </w:rPr>
      </w:pPr>
      <w:r>
        <w:rPr>
          <w:snapToGrid w:val="0"/>
        </w:rPr>
        <w:tab/>
        <w:t>*</w:t>
      </w:r>
      <w:r>
        <w:rPr>
          <w:snapToGrid w:val="0"/>
        </w:rPr>
        <w:tab/>
        <w:t>collection and processing of semen from cattle for general sale or use;</w:t>
      </w:r>
    </w:p>
    <w:p>
      <w:pPr>
        <w:pStyle w:val="yMiscellaneousBody"/>
        <w:tabs>
          <w:tab w:val="left" w:pos="567"/>
          <w:tab w:val="left" w:pos="851"/>
        </w:tabs>
        <w:spacing w:before="0"/>
        <w:rPr>
          <w:snapToGrid w:val="0"/>
        </w:rPr>
      </w:pPr>
      <w:r>
        <w:rPr>
          <w:snapToGrid w:val="0"/>
        </w:rPr>
        <w:tab/>
        <w:t>*</w:t>
      </w:r>
      <w:r>
        <w:rPr>
          <w:snapToGrid w:val="0"/>
        </w:rPr>
        <w:tab/>
        <w:t>storage and sale of semen;</w:t>
      </w:r>
    </w:p>
    <w:p>
      <w:pPr>
        <w:pStyle w:val="yMiscellaneousBody"/>
        <w:tabs>
          <w:tab w:val="left" w:pos="567"/>
          <w:tab w:val="left" w:pos="851"/>
        </w:tabs>
        <w:spacing w:before="0"/>
        <w:ind w:left="851" w:hanging="851"/>
        <w:rPr>
          <w:snapToGrid w:val="0"/>
        </w:rPr>
      </w:pPr>
      <w:r>
        <w:rPr>
          <w:snapToGrid w:val="0"/>
        </w:rPr>
        <w:tab/>
        <w:t>*</w:t>
      </w:r>
      <w:r>
        <w:rPr>
          <w:snapToGrid w:val="0"/>
        </w:rPr>
        <w:tab/>
        <w:t>transplantation of or from cattle and any processes connected with the production, handling, fertilization and storage of ova for sale or use.</w:t>
      </w:r>
    </w:p>
    <w:p>
      <w:pPr>
        <w:pStyle w:val="yMiscellaneousBody"/>
        <w:rPr>
          <w:snapToGrid w:val="0"/>
        </w:rPr>
      </w:pPr>
      <w:r>
        <w:rPr>
          <w:snapToGrid w:val="0"/>
        </w:rPr>
        <w:t>Date this ..………………… day of ..…………………………… 19 …………</w:t>
      </w:r>
    </w:p>
    <w:p>
      <w:pPr>
        <w:pStyle w:val="yMiscellaneousBody"/>
        <w:rPr>
          <w:snapToGrid w:val="0"/>
        </w:rPr>
      </w:pPr>
      <w:r>
        <w:rPr>
          <w:snapToGrid w:val="0"/>
        </w:rPr>
        <w:t>Fee ……………………… attached.</w:t>
      </w:r>
    </w:p>
    <w:p>
      <w:pPr>
        <w:pStyle w:val="yMiscellaneousBody"/>
        <w:jc w:val="right"/>
        <w:rPr>
          <w:snapToGrid w:val="0"/>
        </w:rPr>
      </w:pPr>
      <w:r>
        <w:rPr>
          <w:snapToGrid w:val="0"/>
        </w:rPr>
        <w:t>..……………………………………………</w:t>
      </w:r>
    </w:p>
    <w:p>
      <w:pPr>
        <w:pStyle w:val="yMiscellaneousBody"/>
        <w:spacing w:before="0"/>
        <w:jc w:val="right"/>
        <w:rPr>
          <w:snapToGrid w:val="0"/>
        </w:rPr>
      </w:pPr>
      <w:r>
        <w:rPr>
          <w:snapToGrid w:val="0"/>
        </w:rPr>
        <w:t>Signature of Applicant(s).</w:t>
      </w:r>
    </w:p>
    <w:p>
      <w:pPr>
        <w:pStyle w:val="yMiscellaneousBody"/>
        <w:jc w:val="right"/>
        <w:rPr>
          <w:snapToGrid w:val="0"/>
        </w:rPr>
      </w:pPr>
      <w:r>
        <w:rPr>
          <w:snapToGrid w:val="0"/>
        </w:rPr>
        <w:t>..……………………………………………</w:t>
      </w:r>
    </w:p>
    <w:p>
      <w:pPr>
        <w:pStyle w:val="yMiscellaneousBody"/>
        <w:spacing w:before="0"/>
        <w:jc w:val="right"/>
        <w:rPr>
          <w:snapToGrid w:val="0"/>
        </w:rPr>
      </w:pPr>
      <w:r>
        <w:rPr>
          <w:snapToGrid w:val="0"/>
        </w:rPr>
        <w:t>Signature of Transferee(s).</w:t>
      </w:r>
    </w:p>
    <w:p>
      <w:pPr>
        <w:pStyle w:val="yMiscellaneousBody"/>
        <w:jc w:val="center"/>
        <w:rPr>
          <w:snapToGrid w:val="0"/>
        </w:rPr>
      </w:pPr>
      <w:r>
        <w:rPr>
          <w:snapToGrid w:val="0"/>
        </w:rPr>
        <w:t>* Strike out whichever is not applicable.</w:t>
      </w:r>
    </w:p>
    <w:p>
      <w:pPr>
        <w:pStyle w:val="yMiscellaneousHeading"/>
        <w:pageBreakBefore/>
        <w:spacing w:before="0"/>
        <w:rPr>
          <w:b/>
          <w:snapToGrid w:val="0"/>
        </w:rPr>
      </w:pPr>
      <w:r>
        <w:rPr>
          <w:b/>
          <w:snapToGrid w:val="0"/>
        </w:rPr>
        <w:t>Form 4</w:t>
      </w:r>
    </w:p>
    <w:p>
      <w:pPr>
        <w:pStyle w:val="yMiscellaneousHeading"/>
        <w:rPr>
          <w:i/>
          <w:snapToGrid w:val="0"/>
        </w:rPr>
      </w:pPr>
      <w:r>
        <w:rPr>
          <w:i/>
          <w:snapToGrid w:val="0"/>
        </w:rPr>
        <w:t>Artificial Breeding of Stock Act 1965</w:t>
      </w:r>
    </w:p>
    <w:p>
      <w:pPr>
        <w:pStyle w:val="yMiscellaneousHeading"/>
        <w:spacing w:before="0"/>
        <w:rPr>
          <w:i/>
          <w:snapToGrid w:val="0"/>
        </w:rPr>
      </w:pPr>
      <w:r>
        <w:rPr>
          <w:i/>
          <w:snapToGrid w:val="0"/>
        </w:rPr>
        <w:t>Artificial Breeding (Cattle) Regulations 1978</w:t>
      </w:r>
    </w:p>
    <w:p>
      <w:pPr>
        <w:pStyle w:val="yMiscellaneousHeading"/>
        <w:spacing w:before="120" w:after="120"/>
        <w:rPr>
          <w:snapToGrid w:val="0"/>
        </w:rPr>
      </w:pPr>
      <w:r>
        <w:rPr>
          <w:snapToGrid w:val="0"/>
        </w:rPr>
        <w:t>APPLICATION FOR VARIATION OF A LICENCE</w:t>
      </w:r>
    </w:p>
    <w:p>
      <w:pPr>
        <w:pStyle w:val="yMiscellaneousBody"/>
        <w:spacing w:before="0"/>
        <w:rPr>
          <w:snapToGrid w:val="0"/>
        </w:rPr>
      </w:pPr>
      <w:r>
        <w:rPr>
          <w:snapToGrid w:val="0"/>
        </w:rPr>
        <w:t>MINISTER FOR AGRICULTURE</w:t>
      </w:r>
      <w:r>
        <w:rPr>
          <w:snapToGrid w:val="0"/>
          <w:vertAlign w:val="superscript"/>
        </w:rPr>
        <w:t xml:space="preserve"> 2</w:t>
      </w:r>
      <w:r>
        <w:rPr>
          <w:snapToGrid w:val="0"/>
        </w:rPr>
        <w:t>,</w:t>
      </w:r>
    </w:p>
    <w:p>
      <w:pPr>
        <w:pStyle w:val="yMiscellaneousBody"/>
        <w:spacing w:before="0"/>
        <w:rPr>
          <w:snapToGrid w:val="0"/>
        </w:rPr>
      </w:pPr>
      <w:r>
        <w:rPr>
          <w:snapToGrid w:val="0"/>
        </w:rPr>
        <w:t>DEPARTMENT OF AGRICULTURE</w:t>
      </w:r>
      <w:r>
        <w:rPr>
          <w:snapToGrid w:val="0"/>
          <w:vertAlign w:val="superscript"/>
        </w:rPr>
        <w:t xml:space="preserve"> 3</w:t>
      </w:r>
      <w:r>
        <w:rPr>
          <w:snapToGrid w:val="0"/>
        </w:rPr>
        <w:t>,</w:t>
      </w:r>
    </w:p>
    <w:p>
      <w:pPr>
        <w:pStyle w:val="yMiscellaneousBody"/>
        <w:spacing w:before="0"/>
        <w:rPr>
          <w:snapToGrid w:val="0"/>
        </w:rPr>
      </w:pPr>
      <w:r>
        <w:rPr>
          <w:snapToGrid w:val="0"/>
        </w:rPr>
        <w:t>SOUTH PERTH.</w:t>
      </w:r>
    </w:p>
    <w:p>
      <w:pPr>
        <w:pStyle w:val="yMiscellaneousBody"/>
        <w:rPr>
          <w:snapToGrid w:val="0"/>
        </w:rPr>
      </w:pPr>
      <w:r>
        <w:rPr>
          <w:snapToGrid w:val="0"/>
        </w:rPr>
        <w:t>I/We………………………………………………………………………….……</w:t>
      </w:r>
    </w:p>
    <w:p>
      <w:pPr>
        <w:pStyle w:val="yMiscellaneousBody"/>
        <w:spacing w:before="0"/>
        <w:rPr>
          <w:snapToGrid w:val="0"/>
        </w:rPr>
      </w:pPr>
      <w:r>
        <w:rPr>
          <w:snapToGrid w:val="0"/>
        </w:rPr>
        <w:t>of………………………………………………………………………………….</w:t>
      </w:r>
    </w:p>
    <w:p>
      <w:pPr>
        <w:pStyle w:val="yMiscellaneousBody"/>
        <w:spacing w:before="0"/>
        <w:rPr>
          <w:snapToGrid w:val="0"/>
        </w:rPr>
      </w:pPr>
      <w:r>
        <w:rPr>
          <w:snapToGrid w:val="0"/>
        </w:rPr>
        <w:t>being the holder(s) of a licence in respect of the premises at………………..…...</w:t>
      </w:r>
    </w:p>
    <w:p>
      <w:pPr>
        <w:pStyle w:val="yMiscellaneousBody"/>
        <w:spacing w:before="0"/>
        <w:rPr>
          <w:snapToGrid w:val="0"/>
        </w:rPr>
      </w:pPr>
      <w:r>
        <w:rPr>
          <w:snapToGrid w:val="0"/>
        </w:rPr>
        <w:t>...………………………………………………………………………………….</w:t>
      </w:r>
    </w:p>
    <w:p>
      <w:pPr>
        <w:pStyle w:val="yMiscellaneousBody"/>
        <w:rPr>
          <w:snapToGrid w:val="0"/>
        </w:rPr>
      </w:pPr>
      <w:r>
        <w:rPr>
          <w:snapToGrid w:val="0"/>
        </w:rPr>
        <w:t>for the purposes of…………………………………………………………...…...</w:t>
      </w:r>
    </w:p>
    <w:p>
      <w:pPr>
        <w:pStyle w:val="yMiscellaneousBody"/>
        <w:rPr>
          <w:snapToGrid w:val="0"/>
        </w:rPr>
      </w:pPr>
      <w:r>
        <w:rPr>
          <w:snapToGrid w:val="0"/>
        </w:rPr>
        <w:t>hereby apply for a variation of the licence so as to authorize the use of the premises for…………..…………………………………………………………..</w:t>
      </w:r>
    </w:p>
    <w:p>
      <w:pPr>
        <w:pStyle w:val="yMiscellaneousBody"/>
        <w:spacing w:before="0"/>
        <w:rPr>
          <w:snapToGrid w:val="0"/>
        </w:rPr>
      </w:pPr>
      <w:r>
        <w:rPr>
          <w:snapToGrid w:val="0"/>
        </w:rPr>
        <w:t>………………….………………………………………………………………...</w:t>
      </w:r>
    </w:p>
    <w:p>
      <w:pPr>
        <w:pStyle w:val="yMiscellaneousBody"/>
        <w:rPr>
          <w:snapToGrid w:val="0"/>
        </w:rPr>
      </w:pPr>
      <w:r>
        <w:rPr>
          <w:snapToGrid w:val="0"/>
        </w:rPr>
        <w:t>Fee…………………………………..attached.</w:t>
      </w:r>
    </w:p>
    <w:p>
      <w:pPr>
        <w:pStyle w:val="yMiscellaneousBody"/>
        <w:rPr>
          <w:snapToGrid w:val="0"/>
        </w:rPr>
      </w:pPr>
      <w:r>
        <w:rPr>
          <w:snapToGrid w:val="0"/>
        </w:rPr>
        <w:t>Dated this ……………………………day of …………………………, 19 ……</w:t>
      </w:r>
    </w:p>
    <w:p>
      <w:pPr>
        <w:pStyle w:val="yMiscellaneousBody"/>
        <w:jc w:val="right"/>
        <w:rPr>
          <w:snapToGrid w:val="0"/>
        </w:rPr>
      </w:pPr>
      <w:r>
        <w:rPr>
          <w:snapToGrid w:val="0"/>
        </w:rPr>
        <w:t>…………………………………………</w:t>
      </w:r>
    </w:p>
    <w:p>
      <w:pPr>
        <w:pStyle w:val="yMiscellaneousBody"/>
        <w:spacing w:before="0"/>
        <w:jc w:val="right"/>
        <w:rPr>
          <w:snapToGrid w:val="0"/>
        </w:rPr>
      </w:pPr>
      <w:r>
        <w:rPr>
          <w:snapToGrid w:val="0"/>
        </w:rPr>
        <w:t xml:space="preserve">Signature of licensee(s). </w:t>
      </w:r>
    </w:p>
    <w:p>
      <w:pPr>
        <w:pStyle w:val="yMiscellaneousHeading"/>
        <w:pageBreakBefore/>
        <w:spacing w:before="0"/>
        <w:rPr>
          <w:b/>
          <w:snapToGrid w:val="0"/>
        </w:rPr>
      </w:pPr>
      <w:r>
        <w:rPr>
          <w:b/>
          <w:snapToGrid w:val="0"/>
        </w:rPr>
        <w:t>Form 5</w:t>
      </w:r>
    </w:p>
    <w:p>
      <w:pPr>
        <w:pStyle w:val="yMiscellaneousHeading"/>
        <w:rPr>
          <w:i/>
          <w:snapToGrid w:val="0"/>
        </w:rPr>
      </w:pPr>
      <w:r>
        <w:rPr>
          <w:i/>
          <w:snapToGrid w:val="0"/>
        </w:rPr>
        <w:t>Artificial Breeding of Stock Act 1965</w:t>
      </w:r>
    </w:p>
    <w:p>
      <w:pPr>
        <w:pStyle w:val="yMiscellaneousHeading"/>
        <w:spacing w:before="0"/>
        <w:rPr>
          <w:i/>
          <w:snapToGrid w:val="0"/>
        </w:rPr>
      </w:pPr>
      <w:r>
        <w:rPr>
          <w:i/>
          <w:snapToGrid w:val="0"/>
        </w:rPr>
        <w:t>Artificial Breeding (Cattle) Regulations 1978</w:t>
      </w:r>
    </w:p>
    <w:p>
      <w:pPr>
        <w:pStyle w:val="yMiscellaneousHeading"/>
        <w:spacing w:before="120" w:after="120"/>
        <w:rPr>
          <w:snapToGrid w:val="0"/>
        </w:rPr>
      </w:pPr>
      <w:r>
        <w:rPr>
          <w:snapToGrid w:val="0"/>
        </w:rPr>
        <w:t>APPLICATION FOR CERTIFICATE OF COMPETENCY</w:t>
      </w:r>
    </w:p>
    <w:p>
      <w:pPr>
        <w:pStyle w:val="yMiscellaneousBody"/>
        <w:spacing w:before="0"/>
        <w:rPr>
          <w:snapToGrid w:val="0"/>
        </w:rPr>
      </w:pPr>
      <w:r>
        <w:rPr>
          <w:snapToGrid w:val="0"/>
        </w:rPr>
        <w:t>CHIEF VETERINARY SURGEON,</w:t>
      </w:r>
    </w:p>
    <w:p>
      <w:pPr>
        <w:pStyle w:val="yMiscellaneousBody"/>
        <w:spacing w:before="0"/>
        <w:rPr>
          <w:snapToGrid w:val="0"/>
        </w:rPr>
      </w:pPr>
      <w:r>
        <w:rPr>
          <w:snapToGrid w:val="0"/>
        </w:rPr>
        <w:t>DEPARTMENT OF AGRICULTURE</w:t>
      </w:r>
      <w:r>
        <w:rPr>
          <w:snapToGrid w:val="0"/>
          <w:vertAlign w:val="superscript"/>
        </w:rPr>
        <w:t xml:space="preserve"> 3</w:t>
      </w:r>
      <w:r>
        <w:rPr>
          <w:snapToGrid w:val="0"/>
        </w:rPr>
        <w:t>,</w:t>
      </w:r>
    </w:p>
    <w:p>
      <w:pPr>
        <w:pStyle w:val="yMiscellaneousBody"/>
        <w:spacing w:before="0"/>
        <w:rPr>
          <w:snapToGrid w:val="0"/>
        </w:rPr>
      </w:pPr>
      <w:r>
        <w:rPr>
          <w:snapToGrid w:val="0"/>
        </w:rPr>
        <w:t>SOUTH PERTH.</w:t>
      </w:r>
    </w:p>
    <w:p>
      <w:pPr>
        <w:pStyle w:val="yMiscellaneousBody"/>
        <w:rPr>
          <w:snapToGrid w:val="0"/>
        </w:rPr>
      </w:pPr>
      <w:r>
        <w:rPr>
          <w:snapToGrid w:val="0"/>
        </w:rPr>
        <w:t>I…………………………………………………………………………………</w:t>
      </w:r>
    </w:p>
    <w:p>
      <w:pPr>
        <w:pStyle w:val="yMiscellaneousBody"/>
        <w:spacing w:before="0"/>
        <w:rPr>
          <w:snapToGrid w:val="0"/>
        </w:rPr>
      </w:pPr>
      <w:r>
        <w:rPr>
          <w:snapToGrid w:val="0"/>
        </w:rPr>
        <w:t>of………………………………………………………………………………..</w:t>
      </w:r>
    </w:p>
    <w:p>
      <w:pPr>
        <w:pStyle w:val="yMiscellaneousBody"/>
        <w:spacing w:before="0"/>
        <w:rPr>
          <w:snapToGrid w:val="0"/>
        </w:rPr>
      </w:pPr>
      <w:r>
        <w:rPr>
          <w:snapToGrid w:val="0"/>
        </w:rPr>
        <w:t>hereby apply for — </w:t>
      </w:r>
    </w:p>
    <w:p>
      <w:pPr>
        <w:pStyle w:val="yMiscellaneousBody"/>
        <w:spacing w:before="0"/>
        <w:rPr>
          <w:snapToGrid w:val="0"/>
        </w:rPr>
      </w:pPr>
      <w:r>
        <w:rPr>
          <w:snapToGrid w:val="0"/>
        </w:rPr>
        <w:t>*  the issue to me of a certificate of competency as a…………………………..</w:t>
      </w:r>
    </w:p>
    <w:p>
      <w:pPr>
        <w:pStyle w:val="yMiscellaneousBody"/>
        <w:spacing w:before="0"/>
        <w:rPr>
          <w:snapToGrid w:val="0"/>
        </w:rPr>
      </w:pPr>
      <w:r>
        <w:rPr>
          <w:snapToGrid w:val="0"/>
        </w:rPr>
        <w:t>………………………………………………………………………………….</w:t>
      </w:r>
    </w:p>
    <w:p>
      <w:pPr>
        <w:pStyle w:val="yMiscellaneousBody"/>
        <w:spacing w:before="0"/>
        <w:rPr>
          <w:snapToGrid w:val="0"/>
        </w:rPr>
      </w:pPr>
      <w:r>
        <w:rPr>
          <w:snapToGrid w:val="0"/>
        </w:rPr>
        <w:t>My qualifications are …………………………………………………………..</w:t>
      </w:r>
    </w:p>
    <w:p>
      <w:pPr>
        <w:pStyle w:val="yMiscellaneousBody"/>
        <w:spacing w:before="0"/>
        <w:ind w:left="2013"/>
        <w:rPr>
          <w:snapToGrid w:val="0"/>
        </w:rPr>
      </w:pPr>
      <w:r>
        <w:rPr>
          <w:snapToGrid w:val="0"/>
        </w:rPr>
        <w:t>(Describe and attach evidence of qualifications, if any).</w:t>
      </w:r>
    </w:p>
    <w:p>
      <w:pPr>
        <w:pStyle w:val="yMiscellaneousBody"/>
        <w:rPr>
          <w:snapToGrid w:val="0"/>
        </w:rPr>
      </w:pPr>
      <w:r>
        <w:rPr>
          <w:snapToGrid w:val="0"/>
        </w:rPr>
        <w:t>I CERTIFY that the information given above is true and correct.</w:t>
      </w:r>
    </w:p>
    <w:p>
      <w:pPr>
        <w:pStyle w:val="yMiscellaneousBody"/>
        <w:rPr>
          <w:snapToGrid w:val="0"/>
        </w:rPr>
      </w:pPr>
      <w:r>
        <w:rPr>
          <w:snapToGrid w:val="0"/>
        </w:rPr>
        <w:t>Dated this ……………………………..day of ………………………19……..</w:t>
      </w:r>
    </w:p>
    <w:p>
      <w:pPr>
        <w:pStyle w:val="yMiscellaneousBody"/>
        <w:jc w:val="right"/>
        <w:rPr>
          <w:snapToGrid w:val="0"/>
        </w:rPr>
      </w:pPr>
      <w:r>
        <w:rPr>
          <w:snapToGrid w:val="0"/>
        </w:rPr>
        <w:t>……………………………………………….</w:t>
      </w:r>
    </w:p>
    <w:p>
      <w:pPr>
        <w:pStyle w:val="yMiscellaneousBody"/>
        <w:spacing w:before="0"/>
        <w:jc w:val="right"/>
        <w:rPr>
          <w:snapToGrid w:val="0"/>
        </w:rPr>
      </w:pPr>
      <w:r>
        <w:rPr>
          <w:snapToGrid w:val="0"/>
        </w:rPr>
        <w:t xml:space="preserve">Signature of Applicant. </w:t>
      </w:r>
    </w:p>
    <w:p>
      <w:pPr>
        <w:pStyle w:val="yMiscellaneousBody"/>
        <w:rPr>
          <w:snapToGrid w:val="0"/>
        </w:rPr>
      </w:pPr>
      <w:r>
        <w:rPr>
          <w:snapToGrid w:val="0"/>
        </w:rPr>
        <w:t>Fee ……………………………………………attached.</w:t>
      </w:r>
    </w:p>
    <w:p>
      <w:pPr>
        <w:pStyle w:val="yMiscellaneousBody"/>
        <w:tabs>
          <w:tab w:val="left" w:pos="567"/>
          <w:tab w:val="left" w:pos="851"/>
        </w:tabs>
        <w:rPr>
          <w:snapToGrid w:val="0"/>
        </w:rPr>
      </w:pPr>
      <w:r>
        <w:rPr>
          <w:snapToGrid w:val="0"/>
        </w:rPr>
        <w:tab/>
        <w:t>*</w:t>
      </w:r>
      <w:r>
        <w:rPr>
          <w:snapToGrid w:val="0"/>
        </w:rPr>
        <w:tab/>
        <w:t>Insert appropriate class — </w:t>
      </w:r>
    </w:p>
    <w:p>
      <w:pPr>
        <w:pStyle w:val="yMiscellaneousBody"/>
        <w:tabs>
          <w:tab w:val="left" w:pos="1134"/>
        </w:tabs>
        <w:spacing w:before="120"/>
        <w:rPr>
          <w:snapToGrid w:val="0"/>
        </w:rPr>
      </w:pPr>
      <w:r>
        <w:rPr>
          <w:snapToGrid w:val="0"/>
        </w:rPr>
        <w:tab/>
        <w:t>Herdsman-inseminator</w:t>
      </w:r>
    </w:p>
    <w:p>
      <w:pPr>
        <w:pStyle w:val="yMiscellaneousBody"/>
        <w:tabs>
          <w:tab w:val="left" w:pos="1134"/>
        </w:tabs>
        <w:spacing w:before="0"/>
        <w:rPr>
          <w:snapToGrid w:val="0"/>
        </w:rPr>
      </w:pPr>
      <w:r>
        <w:rPr>
          <w:snapToGrid w:val="0"/>
        </w:rPr>
        <w:tab/>
        <w:t>Authorized inseminator</w:t>
      </w:r>
    </w:p>
    <w:p>
      <w:pPr>
        <w:pStyle w:val="yMiscellaneousBody"/>
        <w:tabs>
          <w:tab w:val="left" w:pos="1134"/>
        </w:tabs>
        <w:spacing w:before="0"/>
        <w:rPr>
          <w:snapToGrid w:val="0"/>
        </w:rPr>
      </w:pPr>
      <w:r>
        <w:rPr>
          <w:snapToGrid w:val="0"/>
        </w:rPr>
        <w:tab/>
        <w:t>Custom collector of semen</w:t>
      </w:r>
    </w:p>
    <w:p>
      <w:pPr>
        <w:pStyle w:val="yMiscellaneousBody"/>
        <w:tabs>
          <w:tab w:val="left" w:pos="1134"/>
        </w:tabs>
        <w:spacing w:before="0"/>
        <w:rPr>
          <w:snapToGrid w:val="0"/>
        </w:rPr>
      </w:pPr>
      <w:r>
        <w:rPr>
          <w:snapToGrid w:val="0"/>
        </w:rPr>
        <w:tab/>
        <w:t>Other.</w:t>
      </w:r>
    </w:p>
    <w:p>
      <w:pPr>
        <w:pStyle w:val="yMiscellaneousHeading"/>
        <w:pageBreakBefore/>
        <w:spacing w:before="0"/>
        <w:rPr>
          <w:b/>
          <w:snapToGrid w:val="0"/>
        </w:rPr>
      </w:pPr>
      <w:r>
        <w:rPr>
          <w:b/>
          <w:snapToGrid w:val="0"/>
        </w:rPr>
        <w:t>Form 6</w:t>
      </w:r>
    </w:p>
    <w:p>
      <w:pPr>
        <w:pStyle w:val="yMiscellaneousHeading"/>
        <w:rPr>
          <w:snapToGrid w:val="0"/>
        </w:rPr>
      </w:pPr>
      <w:r>
        <w:rPr>
          <w:snapToGrid w:val="0"/>
        </w:rPr>
        <w:t>WESTERN AUSTRALIA</w:t>
      </w:r>
    </w:p>
    <w:p>
      <w:pPr>
        <w:pStyle w:val="yMiscellaneousHeading"/>
        <w:rPr>
          <w:i/>
          <w:snapToGrid w:val="0"/>
        </w:rPr>
      </w:pPr>
      <w:r>
        <w:rPr>
          <w:i/>
          <w:snapToGrid w:val="0"/>
        </w:rPr>
        <w:t>Artificial Breeding of Stock Act 1965</w:t>
      </w:r>
    </w:p>
    <w:p>
      <w:pPr>
        <w:pStyle w:val="yMiscellaneousHeading"/>
        <w:spacing w:before="0"/>
        <w:rPr>
          <w:i/>
          <w:snapToGrid w:val="0"/>
        </w:rPr>
      </w:pPr>
      <w:r>
        <w:rPr>
          <w:i/>
          <w:snapToGrid w:val="0"/>
        </w:rPr>
        <w:t>Artificial Breeding (Cattle) Regulations 1978</w:t>
      </w:r>
    </w:p>
    <w:p>
      <w:pPr>
        <w:pStyle w:val="yMiscellaneousBody"/>
        <w:tabs>
          <w:tab w:val="left" w:pos="3119"/>
        </w:tabs>
        <w:rPr>
          <w:snapToGrid w:val="0"/>
        </w:rPr>
      </w:pPr>
      <w:r>
        <w:rPr>
          <w:snapToGrid w:val="0"/>
        </w:rPr>
        <w:t>Certificate No…………………</w:t>
      </w:r>
      <w:r>
        <w:rPr>
          <w:snapToGrid w:val="0"/>
        </w:rPr>
        <w:tab/>
        <w:t>DEPARTMENT OF AGRICULTURE</w:t>
      </w:r>
      <w:r>
        <w:rPr>
          <w:snapToGrid w:val="0"/>
          <w:vertAlign w:val="superscript"/>
        </w:rPr>
        <w:t xml:space="preserve"> 3</w:t>
      </w:r>
    </w:p>
    <w:p>
      <w:pPr>
        <w:pStyle w:val="yMiscellaneousBody"/>
        <w:tabs>
          <w:tab w:val="left" w:pos="3119"/>
        </w:tabs>
        <w:spacing w:before="0"/>
        <w:rPr>
          <w:snapToGrid w:val="0"/>
        </w:rPr>
      </w:pPr>
      <w:r>
        <w:rPr>
          <w:snapToGrid w:val="0"/>
        </w:rPr>
        <w:tab/>
        <w:t>SOUTH PERTH</w:t>
      </w:r>
    </w:p>
    <w:p>
      <w:pPr>
        <w:pStyle w:val="yMiscellaneousBody"/>
        <w:jc w:val="center"/>
        <w:rPr>
          <w:snapToGrid w:val="0"/>
        </w:rPr>
      </w:pPr>
      <w:r>
        <w:rPr>
          <w:snapToGrid w:val="0"/>
        </w:rPr>
        <w:t>CERTIFICATE OF COMPETENCY</w:t>
      </w:r>
    </w:p>
    <w:p>
      <w:pPr>
        <w:pStyle w:val="yMiscellaneousBody"/>
        <w:rPr>
          <w:snapToGrid w:val="0"/>
        </w:rPr>
      </w:pPr>
      <w:r>
        <w:rPr>
          <w:snapToGrid w:val="0"/>
        </w:rPr>
        <w:t>I HEREBY CERTIFY THAT ................................................................................</w:t>
      </w:r>
    </w:p>
    <w:p>
      <w:pPr>
        <w:pStyle w:val="yMiscellaneousBody"/>
        <w:spacing w:before="0"/>
        <w:rPr>
          <w:snapToGrid w:val="0"/>
        </w:rPr>
      </w:pPr>
      <w:r>
        <w:rPr>
          <w:snapToGrid w:val="0"/>
        </w:rPr>
        <w:t>of ............................................................................................................................</w:t>
      </w:r>
    </w:p>
    <w:p>
      <w:pPr>
        <w:pStyle w:val="yMiscellaneousBody"/>
        <w:spacing w:before="0"/>
        <w:rPr>
          <w:snapToGrid w:val="0"/>
        </w:rPr>
      </w:pPr>
      <w:r>
        <w:rPr>
          <w:snapToGrid w:val="0"/>
        </w:rPr>
        <w:t>possesses the requisite knowledge and experience as a *.......................................</w:t>
      </w:r>
    </w:p>
    <w:p>
      <w:pPr>
        <w:pStyle w:val="yMiscellaneousBody"/>
        <w:spacing w:before="0"/>
        <w:rPr>
          <w:snapToGrid w:val="0"/>
        </w:rPr>
      </w:pPr>
      <w:r>
        <w:rPr>
          <w:snapToGrid w:val="0"/>
        </w:rPr>
        <w:t>for the purposes of section 10(1) of the Act, and is hereby authorized to</w:t>
      </w:r>
    </w:p>
    <w:p>
      <w:pPr>
        <w:pStyle w:val="yMiscellaneousBody"/>
        <w:spacing w:before="0"/>
        <w:rPr>
          <w:snapToGrid w:val="0"/>
        </w:rPr>
      </w:pPr>
      <w:r>
        <w:rPr>
          <w:snapToGrid w:val="0"/>
        </w:rPr>
        <w:t>................................................................................................................................</w:t>
      </w:r>
    </w:p>
    <w:p>
      <w:pPr>
        <w:pStyle w:val="yMiscellaneousBody"/>
        <w:spacing w:before="0"/>
        <w:rPr>
          <w:snapToGrid w:val="0"/>
        </w:rPr>
      </w:pPr>
      <w:r>
        <w:rPr>
          <w:snapToGrid w:val="0"/>
        </w:rPr>
        <w:t>Issued this ..................................... day of ......................................, 19 ................</w:t>
      </w:r>
    </w:p>
    <w:p>
      <w:pPr>
        <w:pStyle w:val="yMiscellaneousBody"/>
        <w:jc w:val="right"/>
        <w:rPr>
          <w:snapToGrid w:val="0"/>
        </w:rPr>
      </w:pPr>
      <w:r>
        <w:rPr>
          <w:snapToGrid w:val="0"/>
        </w:rPr>
        <w:t>....................................................................</w:t>
      </w:r>
    </w:p>
    <w:p>
      <w:pPr>
        <w:pStyle w:val="yMiscellaneousBody"/>
        <w:spacing w:before="0"/>
        <w:jc w:val="right"/>
        <w:rPr>
          <w:snapToGrid w:val="0"/>
        </w:rPr>
      </w:pPr>
      <w:r>
        <w:rPr>
          <w:snapToGrid w:val="0"/>
        </w:rPr>
        <w:t xml:space="preserve">Chief Veterinary Surgeon. </w:t>
      </w:r>
    </w:p>
    <w:p>
      <w:pPr>
        <w:pStyle w:val="yMiscellaneousBody"/>
        <w:tabs>
          <w:tab w:val="left" w:pos="567"/>
          <w:tab w:val="left" w:pos="851"/>
        </w:tabs>
        <w:rPr>
          <w:snapToGrid w:val="0"/>
        </w:rPr>
      </w:pPr>
      <w:r>
        <w:rPr>
          <w:snapToGrid w:val="0"/>
        </w:rPr>
        <w:tab/>
        <w:t>*</w:t>
      </w:r>
      <w:r>
        <w:rPr>
          <w:snapToGrid w:val="0"/>
        </w:rPr>
        <w:tab/>
        <w:t>insert appropriate class — </w:t>
      </w:r>
    </w:p>
    <w:p>
      <w:pPr>
        <w:pStyle w:val="yMiscellaneousBody"/>
        <w:tabs>
          <w:tab w:val="left" w:pos="1134"/>
        </w:tabs>
        <w:spacing w:before="120"/>
        <w:rPr>
          <w:snapToGrid w:val="0"/>
        </w:rPr>
      </w:pPr>
      <w:r>
        <w:rPr>
          <w:snapToGrid w:val="0"/>
        </w:rPr>
        <w:tab/>
        <w:t>Herdsman-inseminator</w:t>
      </w:r>
    </w:p>
    <w:p>
      <w:pPr>
        <w:pStyle w:val="yMiscellaneousBody"/>
        <w:tabs>
          <w:tab w:val="left" w:pos="1134"/>
        </w:tabs>
        <w:spacing w:before="0"/>
        <w:rPr>
          <w:snapToGrid w:val="0"/>
        </w:rPr>
      </w:pPr>
      <w:r>
        <w:rPr>
          <w:snapToGrid w:val="0"/>
        </w:rPr>
        <w:tab/>
        <w:t>Authorized inseminator</w:t>
      </w:r>
    </w:p>
    <w:p>
      <w:pPr>
        <w:pStyle w:val="yMiscellaneousBody"/>
        <w:tabs>
          <w:tab w:val="left" w:pos="1134"/>
        </w:tabs>
        <w:spacing w:before="0"/>
        <w:rPr>
          <w:snapToGrid w:val="0"/>
        </w:rPr>
      </w:pPr>
      <w:r>
        <w:rPr>
          <w:snapToGrid w:val="0"/>
        </w:rPr>
        <w:tab/>
        <w:t>Custom collector of semen</w:t>
      </w:r>
    </w:p>
    <w:p>
      <w:pPr>
        <w:pStyle w:val="yMiscellaneousBody"/>
        <w:tabs>
          <w:tab w:val="left" w:pos="1134"/>
        </w:tabs>
        <w:spacing w:before="0"/>
        <w:rPr>
          <w:snapToGrid w:val="0"/>
        </w:rPr>
      </w:pPr>
      <w:r>
        <w:rPr>
          <w:snapToGrid w:val="0"/>
        </w:rPr>
        <w:tab/>
        <w:t>Other.</w:t>
      </w:r>
    </w:p>
    <w:p>
      <w:pPr>
        <w:pStyle w:val="yMiscellaneousHeading"/>
        <w:pageBreakBefore/>
        <w:spacing w:before="0"/>
        <w:rPr>
          <w:b/>
          <w:snapToGrid w:val="0"/>
        </w:rPr>
      </w:pPr>
      <w:r>
        <w:rPr>
          <w:b/>
          <w:snapToGrid w:val="0"/>
        </w:rPr>
        <w:t>Form 7</w:t>
      </w:r>
    </w:p>
    <w:p>
      <w:pPr>
        <w:pStyle w:val="yMiscellaneousHeading"/>
        <w:rPr>
          <w:i/>
          <w:snapToGrid w:val="0"/>
        </w:rPr>
      </w:pPr>
      <w:r>
        <w:rPr>
          <w:i/>
          <w:snapToGrid w:val="0"/>
        </w:rPr>
        <w:t>Artificial Breeding of Stock Act 1965</w:t>
      </w:r>
    </w:p>
    <w:p>
      <w:pPr>
        <w:pStyle w:val="yMiscellaneousHeading"/>
        <w:spacing w:before="0"/>
        <w:rPr>
          <w:i/>
          <w:snapToGrid w:val="0"/>
        </w:rPr>
      </w:pPr>
      <w:r>
        <w:rPr>
          <w:i/>
          <w:snapToGrid w:val="0"/>
        </w:rPr>
        <w:t>Artificial Breeding (Cattle) Regulations 1978</w:t>
      </w:r>
    </w:p>
    <w:p>
      <w:pPr>
        <w:pStyle w:val="yMiscellaneousHeading"/>
        <w:spacing w:before="120" w:after="120"/>
        <w:rPr>
          <w:snapToGrid w:val="0"/>
        </w:rPr>
      </w:pPr>
      <w:r>
        <w:rPr>
          <w:snapToGrid w:val="0"/>
        </w:rPr>
        <w:t>Regulation 35</w:t>
      </w:r>
    </w:p>
    <w:p>
      <w:pPr>
        <w:pStyle w:val="yMiscellaneousBody"/>
        <w:spacing w:before="0"/>
        <w:rPr>
          <w:snapToGrid w:val="0"/>
        </w:rPr>
      </w:pPr>
      <w:r>
        <w:rPr>
          <w:snapToGrid w:val="0"/>
        </w:rPr>
        <w:t>CHIEF VETERINARY SURGEON,</w:t>
      </w:r>
    </w:p>
    <w:p>
      <w:pPr>
        <w:pStyle w:val="yMiscellaneousBody"/>
        <w:spacing w:before="0"/>
        <w:rPr>
          <w:snapToGrid w:val="0"/>
        </w:rPr>
      </w:pPr>
      <w:r>
        <w:rPr>
          <w:snapToGrid w:val="0"/>
        </w:rPr>
        <w:t>DEPARTMENT OF AGRICULTURE</w:t>
      </w:r>
      <w:r>
        <w:rPr>
          <w:snapToGrid w:val="0"/>
          <w:vertAlign w:val="superscript"/>
        </w:rPr>
        <w:t xml:space="preserve"> 3</w:t>
      </w:r>
      <w:r>
        <w:rPr>
          <w:snapToGrid w:val="0"/>
        </w:rPr>
        <w:t>,</w:t>
      </w:r>
    </w:p>
    <w:p>
      <w:pPr>
        <w:pStyle w:val="yMiscellaneousBody"/>
        <w:spacing w:before="0"/>
        <w:rPr>
          <w:snapToGrid w:val="0"/>
        </w:rPr>
      </w:pPr>
      <w:r>
        <w:rPr>
          <w:snapToGrid w:val="0"/>
        </w:rPr>
        <w:t>SOUTH PERTH.</w:t>
      </w:r>
    </w:p>
    <w:p>
      <w:pPr>
        <w:pStyle w:val="yMiscellaneousBody"/>
        <w:rPr>
          <w:snapToGrid w:val="0"/>
          <w:u w:val="single"/>
        </w:rPr>
      </w:pPr>
      <w:r>
        <w:rPr>
          <w:snapToGrid w:val="0"/>
          <w:u w:val="single"/>
        </w:rPr>
        <w:t>Half Yearly Record of Semen Receivals and Usage</w:t>
      </w:r>
    </w:p>
    <w:p>
      <w:pPr>
        <w:pStyle w:val="yMiscellaneousBody"/>
        <w:tabs>
          <w:tab w:val="left" w:pos="1985"/>
        </w:tabs>
        <w:rPr>
          <w:snapToGrid w:val="0"/>
        </w:rPr>
      </w:pPr>
      <w:r>
        <w:rPr>
          <w:snapToGrid w:val="0"/>
        </w:rPr>
        <w:t>Six months ended</w:t>
      </w:r>
      <w:r>
        <w:rPr>
          <w:snapToGrid w:val="0"/>
        </w:rPr>
        <w:tab/>
        <w:t>*30th June, 19 .............................</w:t>
      </w:r>
    </w:p>
    <w:p>
      <w:pPr>
        <w:pStyle w:val="yMiscellaneousBody"/>
        <w:tabs>
          <w:tab w:val="left" w:pos="1985"/>
        </w:tabs>
        <w:spacing w:before="0"/>
        <w:rPr>
          <w:snapToGrid w:val="0"/>
        </w:rPr>
      </w:pPr>
      <w:r>
        <w:rPr>
          <w:snapToGrid w:val="0"/>
        </w:rPr>
        <w:tab/>
        <w:t xml:space="preserve">  31st December, 19 ........................</w:t>
      </w:r>
    </w:p>
    <w:p>
      <w:pPr>
        <w:pStyle w:val="yMiscellaneousBody"/>
        <w:tabs>
          <w:tab w:val="left" w:pos="3969"/>
        </w:tabs>
        <w:rPr>
          <w:snapToGrid w:val="0"/>
        </w:rPr>
      </w:pPr>
      <w:r>
        <w:rPr>
          <w:snapToGrid w:val="0"/>
        </w:rPr>
        <w:t>Licensed Premises of</w:t>
      </w:r>
      <w:r>
        <w:rPr>
          <w:snapToGrid w:val="0"/>
        </w:rPr>
        <w:tab/>
        <w:t>at</w:t>
      </w:r>
    </w:p>
    <w:p>
      <w:pPr>
        <w:pStyle w:val="yMiscellaneousBody"/>
        <w:rPr>
          <w:snapToGrid w:val="0"/>
        </w:rPr>
      </w:pPr>
      <w:r>
        <w:rPr>
          <w:snapToGrid w:val="0"/>
        </w:rPr>
        <w:t>Stock on hand, beginning of period .......................................................................</w:t>
      </w:r>
    </w:p>
    <w:p>
      <w:pPr>
        <w:pStyle w:val="yMiscellaneousBody"/>
        <w:tabs>
          <w:tab w:val="left" w:pos="3969"/>
          <w:tab w:val="left" w:pos="5670"/>
        </w:tabs>
        <w:spacing w:before="0"/>
        <w:rPr>
          <w:snapToGrid w:val="0"/>
        </w:rPr>
      </w:pPr>
      <w:r>
        <w:rPr>
          <w:snapToGrid w:val="0"/>
        </w:rPr>
        <w:t>Receivals — (doses)</w:t>
      </w:r>
      <w:r>
        <w:rPr>
          <w:snapToGrid w:val="0"/>
        </w:rPr>
        <w:tab/>
        <w:t>Beef</w:t>
      </w:r>
      <w:r>
        <w:rPr>
          <w:snapToGrid w:val="0"/>
        </w:rPr>
        <w:tab/>
        <w:t>Dairy</w:t>
      </w:r>
    </w:p>
    <w:p>
      <w:pPr>
        <w:pStyle w:val="yMiscellaneousBody"/>
        <w:tabs>
          <w:tab w:val="left" w:pos="567"/>
        </w:tabs>
        <w:spacing w:before="0"/>
        <w:rPr>
          <w:snapToGrid w:val="0"/>
        </w:rPr>
      </w:pPr>
      <w:r>
        <w:rPr>
          <w:snapToGrid w:val="0"/>
        </w:rPr>
        <w:tab/>
        <w:t>Bulls at Australian centres</w:t>
      </w:r>
    </w:p>
    <w:p>
      <w:pPr>
        <w:pStyle w:val="yMiscellaneousBody"/>
        <w:tabs>
          <w:tab w:val="left" w:pos="567"/>
        </w:tabs>
        <w:spacing w:before="0"/>
        <w:rPr>
          <w:snapToGrid w:val="0"/>
        </w:rPr>
      </w:pPr>
      <w:r>
        <w:rPr>
          <w:snapToGrid w:val="0"/>
        </w:rPr>
        <w:tab/>
        <w:t>Bulls at U.K. centres</w:t>
      </w:r>
    </w:p>
    <w:p>
      <w:pPr>
        <w:pStyle w:val="yMiscellaneousBody"/>
        <w:tabs>
          <w:tab w:val="left" w:pos="567"/>
        </w:tabs>
        <w:spacing w:before="0"/>
        <w:rPr>
          <w:snapToGrid w:val="0"/>
        </w:rPr>
      </w:pPr>
      <w:r>
        <w:rPr>
          <w:snapToGrid w:val="0"/>
        </w:rPr>
        <w:tab/>
        <w:t>Bulls at N.Z. centres</w:t>
      </w:r>
    </w:p>
    <w:p>
      <w:pPr>
        <w:pStyle w:val="yMiscellaneousBody"/>
        <w:tabs>
          <w:tab w:val="left" w:pos="567"/>
        </w:tabs>
        <w:spacing w:before="0"/>
        <w:rPr>
          <w:snapToGrid w:val="0"/>
        </w:rPr>
      </w:pPr>
      <w:r>
        <w:rPr>
          <w:snapToGrid w:val="0"/>
        </w:rPr>
        <w:tab/>
        <w:t>Bulls at other centres</w:t>
      </w:r>
    </w:p>
    <w:p>
      <w:pPr>
        <w:pStyle w:val="yMiscellaneousBody"/>
        <w:tabs>
          <w:tab w:val="left" w:pos="567"/>
        </w:tabs>
        <w:spacing w:before="0"/>
        <w:rPr>
          <w:snapToGrid w:val="0"/>
        </w:rPr>
      </w:pPr>
      <w:r>
        <w:rPr>
          <w:snapToGrid w:val="0"/>
        </w:rPr>
        <w:tab/>
        <w:t>Custom collected</w:t>
      </w:r>
    </w:p>
    <w:p>
      <w:pPr>
        <w:pStyle w:val="yMiscellaneousBody"/>
        <w:rPr>
          <w:snapToGrid w:val="0"/>
        </w:rPr>
      </w:pPr>
      <w:r>
        <w:rPr>
          <w:snapToGrid w:val="0"/>
        </w:rPr>
        <w:t>Usage</w:t>
      </w:r>
    </w:p>
    <w:p>
      <w:pPr>
        <w:pStyle w:val="yMiscellaneousBody"/>
        <w:spacing w:before="0"/>
        <w:rPr>
          <w:snapToGrid w:val="0"/>
        </w:rPr>
      </w:pPr>
      <w:r>
        <w:rPr>
          <w:snapToGrid w:val="0"/>
        </w:rPr>
        <w:t>Distributed to</w:t>
      </w:r>
    </w:p>
    <w:p>
      <w:pPr>
        <w:pStyle w:val="yMiscellaneousBody"/>
        <w:tabs>
          <w:tab w:val="left" w:pos="567"/>
        </w:tabs>
        <w:spacing w:before="0"/>
        <w:rPr>
          <w:snapToGrid w:val="0"/>
        </w:rPr>
      </w:pPr>
      <w:r>
        <w:rPr>
          <w:snapToGrid w:val="0"/>
        </w:rPr>
        <w:tab/>
        <w:t>Licensed premises in W.A.</w:t>
      </w:r>
    </w:p>
    <w:p>
      <w:pPr>
        <w:pStyle w:val="yMiscellaneousBody"/>
        <w:tabs>
          <w:tab w:val="left" w:pos="567"/>
        </w:tabs>
        <w:spacing w:before="0"/>
        <w:rPr>
          <w:snapToGrid w:val="0"/>
        </w:rPr>
      </w:pPr>
      <w:r>
        <w:rPr>
          <w:snapToGrid w:val="0"/>
        </w:rPr>
        <w:tab/>
        <w:t>Licensed premises outside W.A.</w:t>
      </w:r>
    </w:p>
    <w:p>
      <w:pPr>
        <w:pStyle w:val="yMiscellaneousBody"/>
        <w:tabs>
          <w:tab w:val="left" w:pos="567"/>
        </w:tabs>
        <w:spacing w:before="0"/>
        <w:rPr>
          <w:snapToGrid w:val="0"/>
        </w:rPr>
      </w:pPr>
      <w:r>
        <w:rPr>
          <w:snapToGrid w:val="0"/>
        </w:rPr>
        <w:tab/>
        <w:t>Authorized inseminators</w:t>
      </w:r>
    </w:p>
    <w:p>
      <w:pPr>
        <w:pStyle w:val="yMiscellaneousBody"/>
        <w:tabs>
          <w:tab w:val="left" w:pos="567"/>
        </w:tabs>
        <w:spacing w:before="0"/>
        <w:rPr>
          <w:snapToGrid w:val="0"/>
        </w:rPr>
      </w:pPr>
      <w:r>
        <w:rPr>
          <w:snapToGrid w:val="0"/>
        </w:rPr>
        <w:tab/>
        <w:t>Herdsman-inseminators</w:t>
      </w:r>
    </w:p>
    <w:p>
      <w:pPr>
        <w:pStyle w:val="yMiscellaneousBody"/>
        <w:tabs>
          <w:tab w:val="left" w:pos="567"/>
        </w:tabs>
        <w:spacing w:before="0"/>
        <w:rPr>
          <w:snapToGrid w:val="0"/>
        </w:rPr>
      </w:pPr>
      <w:r>
        <w:rPr>
          <w:snapToGrid w:val="0"/>
        </w:rPr>
        <w:tab/>
        <w:t>Owner users</w:t>
      </w:r>
    </w:p>
    <w:p>
      <w:pPr>
        <w:pStyle w:val="yMiscellaneousBody"/>
        <w:spacing w:before="0"/>
        <w:rPr>
          <w:snapToGrid w:val="0"/>
        </w:rPr>
      </w:pPr>
      <w:r>
        <w:rPr>
          <w:snapToGrid w:val="0"/>
        </w:rPr>
        <w:t>Destroyed</w:t>
      </w:r>
    </w:p>
    <w:p>
      <w:pPr>
        <w:pStyle w:val="yMiscellaneousBody"/>
        <w:spacing w:before="0"/>
        <w:rPr>
          <w:snapToGrid w:val="0"/>
        </w:rPr>
      </w:pPr>
      <w:r>
        <w:rPr>
          <w:snapToGrid w:val="0"/>
        </w:rPr>
        <w:t>Used for other purposes</w:t>
      </w:r>
    </w:p>
    <w:p>
      <w:pPr>
        <w:pStyle w:val="yMiscellaneousBody"/>
        <w:spacing w:before="0"/>
        <w:rPr>
          <w:snapToGrid w:val="0"/>
        </w:rPr>
      </w:pPr>
      <w:r>
        <w:rPr>
          <w:snapToGrid w:val="0"/>
        </w:rPr>
        <w:t>Stock on hand at end of period ..............................................................................</w:t>
      </w:r>
    </w:p>
    <w:p>
      <w:pPr>
        <w:pStyle w:val="yMiscellaneousBody"/>
        <w:spacing w:before="120"/>
        <w:jc w:val="right"/>
        <w:rPr>
          <w:snapToGrid w:val="0"/>
        </w:rPr>
      </w:pPr>
      <w:r>
        <w:rPr>
          <w:snapToGrid w:val="0"/>
        </w:rPr>
        <w:t>Licensee .......................................................</w:t>
      </w:r>
    </w:p>
    <w:p>
      <w:pPr>
        <w:pStyle w:val="yMiscellaneousBody"/>
        <w:spacing w:before="0"/>
        <w:jc w:val="right"/>
        <w:rPr>
          <w:snapToGrid w:val="0"/>
        </w:rPr>
      </w:pPr>
      <w:r>
        <w:rPr>
          <w:snapToGrid w:val="0"/>
        </w:rPr>
        <w:t>Date ..............................................................</w:t>
      </w:r>
    </w:p>
    <w:p>
      <w:pPr>
        <w:pStyle w:val="yMiscellaneousHeading"/>
        <w:pageBreakBefore/>
        <w:spacing w:before="0"/>
        <w:rPr>
          <w:b/>
          <w:snapToGrid w:val="0"/>
        </w:rPr>
      </w:pPr>
      <w:r>
        <w:rPr>
          <w:b/>
          <w:snapToGrid w:val="0"/>
        </w:rPr>
        <w:t>Form 8</w:t>
      </w:r>
    </w:p>
    <w:p>
      <w:pPr>
        <w:pStyle w:val="yMiscellaneousHeading"/>
        <w:rPr>
          <w:i/>
          <w:snapToGrid w:val="0"/>
        </w:rPr>
      </w:pPr>
      <w:r>
        <w:rPr>
          <w:i/>
          <w:snapToGrid w:val="0"/>
        </w:rPr>
        <w:t>Artificial Breeding of Stock Act 1965</w:t>
      </w:r>
    </w:p>
    <w:p>
      <w:pPr>
        <w:pStyle w:val="yMiscellaneousHeading"/>
        <w:spacing w:before="0"/>
        <w:rPr>
          <w:i/>
          <w:snapToGrid w:val="0"/>
        </w:rPr>
      </w:pPr>
      <w:r>
        <w:rPr>
          <w:i/>
          <w:snapToGrid w:val="0"/>
        </w:rPr>
        <w:t>Artificial Breeding (Cattle) Regulations 1978</w:t>
      </w:r>
    </w:p>
    <w:p>
      <w:pPr>
        <w:pStyle w:val="yMiscellaneousHeading"/>
        <w:spacing w:before="120" w:after="120"/>
        <w:rPr>
          <w:snapToGrid w:val="0"/>
        </w:rPr>
      </w:pPr>
      <w:r>
        <w:rPr>
          <w:snapToGrid w:val="0"/>
        </w:rPr>
        <w:t>Regulation 45</w:t>
      </w:r>
    </w:p>
    <w:p>
      <w:pPr>
        <w:pStyle w:val="yMiscellaneousBody"/>
        <w:spacing w:before="0"/>
        <w:rPr>
          <w:snapToGrid w:val="0"/>
        </w:rPr>
      </w:pPr>
      <w:r>
        <w:rPr>
          <w:snapToGrid w:val="0"/>
        </w:rPr>
        <w:t>CHIEF VETERINARY SURGEON,</w:t>
      </w:r>
    </w:p>
    <w:p>
      <w:pPr>
        <w:pStyle w:val="yMiscellaneousBody"/>
        <w:spacing w:before="0"/>
        <w:rPr>
          <w:snapToGrid w:val="0"/>
        </w:rPr>
      </w:pPr>
      <w:r>
        <w:rPr>
          <w:snapToGrid w:val="0"/>
        </w:rPr>
        <w:t>DEPARTMENT OF AGRICULTURE</w:t>
      </w:r>
      <w:r>
        <w:rPr>
          <w:snapToGrid w:val="0"/>
          <w:vertAlign w:val="superscript"/>
        </w:rPr>
        <w:t xml:space="preserve"> 3</w:t>
      </w:r>
      <w:r>
        <w:rPr>
          <w:snapToGrid w:val="0"/>
        </w:rPr>
        <w:t>,</w:t>
      </w:r>
    </w:p>
    <w:p>
      <w:pPr>
        <w:pStyle w:val="yMiscellaneousBody"/>
        <w:spacing w:before="0"/>
        <w:rPr>
          <w:snapToGrid w:val="0"/>
        </w:rPr>
      </w:pPr>
      <w:r>
        <w:rPr>
          <w:snapToGrid w:val="0"/>
        </w:rPr>
        <w:t>SOUTH PERTH.</w:t>
      </w:r>
    </w:p>
    <w:p>
      <w:pPr>
        <w:pStyle w:val="yMiscellaneousBody"/>
        <w:jc w:val="center"/>
        <w:rPr>
          <w:snapToGrid w:val="0"/>
        </w:rPr>
      </w:pPr>
      <w:r>
        <w:rPr>
          <w:snapToGrid w:val="0"/>
        </w:rPr>
        <w:t>Inseminator Annual Return of Semen usage and Non</w:t>
      </w:r>
      <w:r>
        <w:rPr>
          <w:snapToGrid w:val="0"/>
        </w:rPr>
        <w:noBreakHyphen/>
        <w:t>Return Ratios</w:t>
      </w:r>
    </w:p>
    <w:p>
      <w:pPr>
        <w:pStyle w:val="yMiscellaneousBody"/>
        <w:spacing w:before="0"/>
        <w:jc w:val="center"/>
        <w:rPr>
          <w:snapToGrid w:val="0"/>
        </w:rPr>
      </w:pPr>
      <w:r>
        <w:rPr>
          <w:snapToGrid w:val="0"/>
        </w:rPr>
        <w:t>(60/90 day)</w:t>
      </w:r>
    </w:p>
    <w:p>
      <w:pPr>
        <w:pStyle w:val="yMiscellaneousBody"/>
        <w:jc w:val="center"/>
        <w:rPr>
          <w:snapToGrid w:val="0"/>
        </w:rPr>
      </w:pPr>
      <w:r>
        <w:rPr>
          <w:snapToGrid w:val="0"/>
        </w:rPr>
        <w:t>For year ending 31st December, 19 ...................</w:t>
      </w:r>
    </w:p>
    <w:p>
      <w:pPr>
        <w:pStyle w:val="yMiscellaneousBody"/>
        <w:spacing w:before="0"/>
        <w:jc w:val="center"/>
        <w:rPr>
          <w:snapToGrid w:val="0"/>
        </w:rPr>
      </w:pPr>
      <w:r>
        <w:rPr>
          <w:snapToGrid w:val="0"/>
        </w:rPr>
        <w:t>(to be submitted by 30th April following)</w:t>
      </w:r>
    </w:p>
    <w:p>
      <w:pPr>
        <w:pStyle w:val="yMiscellaneousBody"/>
        <w:rPr>
          <w:snapToGrid w:val="0"/>
        </w:rPr>
      </w:pPr>
      <w:r>
        <w:rPr>
          <w:snapToGrid w:val="0"/>
        </w:rPr>
        <w:t>Semen usage</w:t>
      </w:r>
    </w:p>
    <w:tbl>
      <w:tblPr>
        <w:tblW w:w="0" w:type="auto"/>
        <w:tblBorders>
          <w:bottom w:val="single" w:sz="4" w:space="0" w:color="auto"/>
        </w:tblBorders>
        <w:tblLayout w:type="fixed"/>
        <w:tblLook w:val="0000" w:firstRow="0" w:lastRow="0" w:firstColumn="0" w:lastColumn="0" w:noHBand="0" w:noVBand="0"/>
      </w:tblPr>
      <w:tblGrid>
        <w:gridCol w:w="2802"/>
        <w:gridCol w:w="1275"/>
        <w:gridCol w:w="993"/>
        <w:gridCol w:w="2234"/>
      </w:tblGrid>
      <w:tr>
        <w:trPr>
          <w:cantSplit/>
        </w:trPr>
        <w:tc>
          <w:tcPr>
            <w:tcW w:w="4077" w:type="dxa"/>
            <w:gridSpan w:val="2"/>
            <w:tcBorders>
              <w:right w:val="nil"/>
            </w:tcBorders>
          </w:tcPr>
          <w:p>
            <w:pPr>
              <w:pStyle w:val="yTable"/>
              <w:tabs>
                <w:tab w:val="left" w:pos="567"/>
              </w:tabs>
              <w:rPr>
                <w:snapToGrid w:val="0"/>
                <w:sz w:val="20"/>
              </w:rPr>
            </w:pPr>
            <w:r>
              <w:rPr>
                <w:snapToGrid w:val="0"/>
                <w:sz w:val="20"/>
              </w:rPr>
              <w:tab/>
              <w:t xml:space="preserve">Beef semen </w:t>
            </w:r>
          </w:p>
        </w:tc>
        <w:tc>
          <w:tcPr>
            <w:tcW w:w="3227" w:type="dxa"/>
            <w:gridSpan w:val="2"/>
            <w:tcBorders>
              <w:left w:val="single" w:sz="4" w:space="0" w:color="auto"/>
              <w:bottom w:val="nil"/>
              <w:right w:val="single" w:sz="4" w:space="0" w:color="auto"/>
            </w:tcBorders>
          </w:tcPr>
          <w:p>
            <w:pPr>
              <w:pStyle w:val="yTable"/>
              <w:jc w:val="center"/>
              <w:rPr>
                <w:snapToGrid w:val="0"/>
                <w:sz w:val="20"/>
              </w:rPr>
            </w:pPr>
            <w:r>
              <w:rPr>
                <w:snapToGrid w:val="0"/>
                <w:sz w:val="20"/>
              </w:rPr>
              <w:t>Doses</w:t>
            </w:r>
          </w:p>
        </w:tc>
      </w:tr>
      <w:tr>
        <w:trPr>
          <w:cantSplit/>
        </w:trPr>
        <w:tc>
          <w:tcPr>
            <w:tcW w:w="4077" w:type="dxa"/>
            <w:gridSpan w:val="2"/>
            <w:tcBorders>
              <w:right w:val="nil"/>
            </w:tcBorders>
          </w:tcPr>
          <w:p>
            <w:pPr>
              <w:pStyle w:val="yTable"/>
              <w:tabs>
                <w:tab w:val="left" w:pos="1134"/>
              </w:tabs>
              <w:spacing w:before="0"/>
              <w:ind w:left="1134" w:hanging="1134"/>
              <w:rPr>
                <w:snapToGrid w:val="0"/>
                <w:sz w:val="20"/>
              </w:rPr>
            </w:pPr>
            <w:r>
              <w:rPr>
                <w:snapToGrid w:val="0"/>
                <w:sz w:val="20"/>
              </w:rPr>
              <w:tab/>
              <w:t>Received</w:t>
            </w:r>
          </w:p>
        </w:tc>
        <w:tc>
          <w:tcPr>
            <w:tcW w:w="3227" w:type="dxa"/>
            <w:gridSpan w:val="2"/>
            <w:tcBorders>
              <w:left w:val="single" w:sz="4" w:space="0" w:color="auto"/>
              <w:bottom w:val="nil"/>
              <w:right w:val="single" w:sz="4" w:space="0" w:color="auto"/>
            </w:tcBorders>
          </w:tcPr>
          <w:p>
            <w:pPr>
              <w:pStyle w:val="yTable"/>
              <w:spacing w:before="0"/>
              <w:rPr>
                <w:snapToGrid w:val="0"/>
                <w:sz w:val="20"/>
              </w:rPr>
            </w:pPr>
          </w:p>
        </w:tc>
      </w:tr>
      <w:tr>
        <w:tc>
          <w:tcPr>
            <w:tcW w:w="4077" w:type="dxa"/>
            <w:gridSpan w:val="2"/>
            <w:tcBorders>
              <w:right w:val="nil"/>
            </w:tcBorders>
          </w:tcPr>
          <w:p>
            <w:pPr>
              <w:pStyle w:val="yTable"/>
              <w:tabs>
                <w:tab w:val="left" w:pos="1134"/>
              </w:tabs>
              <w:spacing w:before="0"/>
              <w:ind w:left="1134" w:hanging="1134"/>
              <w:rPr>
                <w:snapToGrid w:val="0"/>
                <w:sz w:val="20"/>
              </w:rPr>
            </w:pPr>
            <w:r>
              <w:rPr>
                <w:snapToGrid w:val="0"/>
                <w:sz w:val="20"/>
              </w:rPr>
              <w:tab/>
              <w:t>Used</w:t>
            </w:r>
          </w:p>
        </w:tc>
        <w:tc>
          <w:tcPr>
            <w:tcW w:w="3227" w:type="dxa"/>
            <w:gridSpan w:val="2"/>
            <w:tcBorders>
              <w:left w:val="single" w:sz="4" w:space="0" w:color="auto"/>
              <w:bottom w:val="nil"/>
              <w:right w:val="single" w:sz="4" w:space="0" w:color="auto"/>
            </w:tcBorders>
          </w:tcPr>
          <w:p>
            <w:pPr>
              <w:pStyle w:val="yTable"/>
              <w:spacing w:before="0"/>
              <w:rPr>
                <w:snapToGrid w:val="0"/>
                <w:sz w:val="20"/>
              </w:rPr>
            </w:pPr>
          </w:p>
        </w:tc>
      </w:tr>
      <w:tr>
        <w:tc>
          <w:tcPr>
            <w:tcW w:w="4077" w:type="dxa"/>
            <w:gridSpan w:val="2"/>
            <w:tcBorders>
              <w:right w:val="nil"/>
            </w:tcBorders>
          </w:tcPr>
          <w:p>
            <w:pPr>
              <w:pStyle w:val="yTable"/>
              <w:tabs>
                <w:tab w:val="left" w:pos="1134"/>
              </w:tabs>
              <w:spacing w:before="0"/>
              <w:ind w:left="1134" w:hanging="1134"/>
              <w:rPr>
                <w:snapToGrid w:val="0"/>
                <w:sz w:val="20"/>
              </w:rPr>
            </w:pPr>
            <w:r>
              <w:rPr>
                <w:snapToGrid w:val="0"/>
                <w:sz w:val="20"/>
              </w:rPr>
              <w:tab/>
              <w:t>1st inseminations</w:t>
            </w:r>
          </w:p>
        </w:tc>
        <w:tc>
          <w:tcPr>
            <w:tcW w:w="3227" w:type="dxa"/>
            <w:gridSpan w:val="2"/>
            <w:tcBorders>
              <w:left w:val="single" w:sz="4" w:space="0" w:color="auto"/>
              <w:bottom w:val="nil"/>
              <w:right w:val="single" w:sz="4" w:space="0" w:color="auto"/>
            </w:tcBorders>
          </w:tcPr>
          <w:p>
            <w:pPr>
              <w:pStyle w:val="yTable"/>
              <w:spacing w:before="0"/>
              <w:rPr>
                <w:snapToGrid w:val="0"/>
                <w:sz w:val="20"/>
              </w:rPr>
            </w:pPr>
          </w:p>
        </w:tc>
      </w:tr>
      <w:tr>
        <w:tc>
          <w:tcPr>
            <w:tcW w:w="4077" w:type="dxa"/>
            <w:gridSpan w:val="2"/>
            <w:tcBorders>
              <w:right w:val="nil"/>
            </w:tcBorders>
          </w:tcPr>
          <w:p>
            <w:pPr>
              <w:pStyle w:val="yTable"/>
              <w:tabs>
                <w:tab w:val="left" w:pos="1134"/>
              </w:tabs>
              <w:spacing w:before="0"/>
              <w:ind w:left="1134" w:hanging="1134"/>
              <w:rPr>
                <w:snapToGrid w:val="0"/>
                <w:sz w:val="20"/>
              </w:rPr>
            </w:pPr>
            <w:r>
              <w:rPr>
                <w:snapToGrid w:val="0"/>
                <w:sz w:val="20"/>
              </w:rPr>
              <w:tab/>
              <w:t>repeat inseminations</w:t>
            </w:r>
          </w:p>
        </w:tc>
        <w:tc>
          <w:tcPr>
            <w:tcW w:w="3227" w:type="dxa"/>
            <w:gridSpan w:val="2"/>
            <w:tcBorders>
              <w:left w:val="single" w:sz="4" w:space="0" w:color="auto"/>
              <w:bottom w:val="nil"/>
              <w:right w:val="single" w:sz="4" w:space="0" w:color="auto"/>
            </w:tcBorders>
          </w:tcPr>
          <w:p>
            <w:pPr>
              <w:pStyle w:val="yTable"/>
              <w:spacing w:before="0"/>
              <w:rPr>
                <w:snapToGrid w:val="0"/>
                <w:sz w:val="20"/>
              </w:rPr>
            </w:pPr>
          </w:p>
        </w:tc>
      </w:tr>
      <w:tr>
        <w:tc>
          <w:tcPr>
            <w:tcW w:w="4077" w:type="dxa"/>
            <w:gridSpan w:val="2"/>
            <w:tcBorders>
              <w:right w:val="nil"/>
            </w:tcBorders>
          </w:tcPr>
          <w:p>
            <w:pPr>
              <w:pStyle w:val="yTable"/>
              <w:tabs>
                <w:tab w:val="left" w:pos="1134"/>
              </w:tabs>
              <w:spacing w:before="0"/>
              <w:ind w:left="1134" w:hanging="1134"/>
              <w:rPr>
                <w:snapToGrid w:val="0"/>
                <w:sz w:val="20"/>
              </w:rPr>
            </w:pPr>
            <w:r>
              <w:rPr>
                <w:snapToGrid w:val="0"/>
                <w:sz w:val="20"/>
              </w:rPr>
              <w:tab/>
              <w:t>other purposes or destroyed</w:t>
            </w:r>
          </w:p>
        </w:tc>
        <w:tc>
          <w:tcPr>
            <w:tcW w:w="3227" w:type="dxa"/>
            <w:gridSpan w:val="2"/>
            <w:tcBorders>
              <w:left w:val="single" w:sz="4" w:space="0" w:color="auto"/>
              <w:bottom w:val="nil"/>
              <w:right w:val="single" w:sz="4" w:space="0" w:color="auto"/>
            </w:tcBorders>
          </w:tcPr>
          <w:p>
            <w:pPr>
              <w:pStyle w:val="yTable"/>
              <w:spacing w:before="0"/>
              <w:rPr>
                <w:snapToGrid w:val="0"/>
                <w:sz w:val="20"/>
              </w:rPr>
            </w:pPr>
          </w:p>
        </w:tc>
      </w:tr>
      <w:tr>
        <w:tc>
          <w:tcPr>
            <w:tcW w:w="4077" w:type="dxa"/>
            <w:gridSpan w:val="2"/>
            <w:tcBorders>
              <w:right w:val="nil"/>
            </w:tcBorders>
          </w:tcPr>
          <w:p>
            <w:pPr>
              <w:pStyle w:val="yTable"/>
              <w:tabs>
                <w:tab w:val="left" w:pos="1134"/>
              </w:tabs>
              <w:spacing w:before="0"/>
              <w:ind w:left="1134" w:hanging="1134"/>
              <w:rPr>
                <w:snapToGrid w:val="0"/>
                <w:sz w:val="20"/>
              </w:rPr>
            </w:pPr>
            <w:r>
              <w:rPr>
                <w:snapToGrid w:val="0"/>
                <w:sz w:val="20"/>
              </w:rPr>
              <w:tab/>
              <w:t>or returned to licensed premises</w:t>
            </w:r>
          </w:p>
        </w:tc>
        <w:tc>
          <w:tcPr>
            <w:tcW w:w="3227" w:type="dxa"/>
            <w:gridSpan w:val="2"/>
            <w:tcBorders>
              <w:left w:val="single" w:sz="4" w:space="0" w:color="auto"/>
              <w:bottom w:val="nil"/>
              <w:right w:val="single" w:sz="4" w:space="0" w:color="auto"/>
            </w:tcBorders>
          </w:tcPr>
          <w:p>
            <w:pPr>
              <w:pStyle w:val="yTable"/>
              <w:spacing w:before="0"/>
              <w:rPr>
                <w:snapToGrid w:val="0"/>
                <w:sz w:val="20"/>
              </w:rPr>
            </w:pPr>
          </w:p>
        </w:tc>
      </w:tr>
      <w:tr>
        <w:tc>
          <w:tcPr>
            <w:tcW w:w="4077" w:type="dxa"/>
            <w:gridSpan w:val="2"/>
            <w:tcBorders>
              <w:right w:val="nil"/>
            </w:tcBorders>
          </w:tcPr>
          <w:p>
            <w:pPr>
              <w:pStyle w:val="yTable"/>
              <w:tabs>
                <w:tab w:val="left" w:pos="567"/>
              </w:tabs>
              <w:rPr>
                <w:snapToGrid w:val="0"/>
                <w:sz w:val="20"/>
              </w:rPr>
            </w:pPr>
            <w:r>
              <w:rPr>
                <w:snapToGrid w:val="0"/>
                <w:sz w:val="20"/>
              </w:rPr>
              <w:tab/>
              <w:t>Dairy semen</w:t>
            </w:r>
          </w:p>
        </w:tc>
        <w:tc>
          <w:tcPr>
            <w:tcW w:w="3227" w:type="dxa"/>
            <w:gridSpan w:val="2"/>
            <w:tcBorders>
              <w:left w:val="single" w:sz="4" w:space="0" w:color="auto"/>
              <w:bottom w:val="nil"/>
              <w:right w:val="single" w:sz="4" w:space="0" w:color="auto"/>
            </w:tcBorders>
          </w:tcPr>
          <w:p>
            <w:pPr>
              <w:pStyle w:val="yTable"/>
              <w:rPr>
                <w:snapToGrid w:val="0"/>
                <w:sz w:val="20"/>
              </w:rPr>
            </w:pPr>
          </w:p>
        </w:tc>
      </w:tr>
      <w:tr>
        <w:trPr>
          <w:cantSplit/>
        </w:trPr>
        <w:tc>
          <w:tcPr>
            <w:tcW w:w="4077" w:type="dxa"/>
            <w:gridSpan w:val="2"/>
            <w:tcBorders>
              <w:right w:val="nil"/>
            </w:tcBorders>
          </w:tcPr>
          <w:p>
            <w:pPr>
              <w:pStyle w:val="yTable"/>
              <w:tabs>
                <w:tab w:val="left" w:pos="1134"/>
              </w:tabs>
              <w:spacing w:before="0"/>
              <w:ind w:left="1134" w:hanging="1134"/>
              <w:rPr>
                <w:snapToGrid w:val="0"/>
                <w:sz w:val="20"/>
              </w:rPr>
            </w:pPr>
            <w:r>
              <w:rPr>
                <w:snapToGrid w:val="0"/>
                <w:sz w:val="20"/>
              </w:rPr>
              <w:tab/>
              <w:t>Received</w:t>
            </w:r>
          </w:p>
        </w:tc>
        <w:tc>
          <w:tcPr>
            <w:tcW w:w="3227" w:type="dxa"/>
            <w:gridSpan w:val="2"/>
            <w:tcBorders>
              <w:left w:val="single" w:sz="4" w:space="0" w:color="auto"/>
              <w:bottom w:val="nil"/>
              <w:right w:val="single" w:sz="4" w:space="0" w:color="auto"/>
            </w:tcBorders>
          </w:tcPr>
          <w:p>
            <w:pPr>
              <w:pStyle w:val="yTable"/>
              <w:spacing w:before="0"/>
              <w:rPr>
                <w:snapToGrid w:val="0"/>
                <w:sz w:val="20"/>
              </w:rPr>
            </w:pPr>
          </w:p>
        </w:tc>
      </w:tr>
      <w:tr>
        <w:trPr>
          <w:cantSplit/>
        </w:trPr>
        <w:tc>
          <w:tcPr>
            <w:tcW w:w="4077" w:type="dxa"/>
            <w:gridSpan w:val="2"/>
            <w:tcBorders>
              <w:right w:val="nil"/>
            </w:tcBorders>
          </w:tcPr>
          <w:p>
            <w:pPr>
              <w:pStyle w:val="yTable"/>
              <w:tabs>
                <w:tab w:val="left" w:pos="1134"/>
              </w:tabs>
              <w:spacing w:before="0"/>
              <w:ind w:left="1134" w:hanging="1134"/>
              <w:rPr>
                <w:snapToGrid w:val="0"/>
                <w:sz w:val="20"/>
              </w:rPr>
            </w:pPr>
            <w:r>
              <w:rPr>
                <w:snapToGrid w:val="0"/>
                <w:sz w:val="20"/>
              </w:rPr>
              <w:tab/>
              <w:t>Used</w:t>
            </w:r>
          </w:p>
        </w:tc>
        <w:tc>
          <w:tcPr>
            <w:tcW w:w="3227" w:type="dxa"/>
            <w:gridSpan w:val="2"/>
            <w:tcBorders>
              <w:left w:val="single" w:sz="4" w:space="0" w:color="auto"/>
              <w:bottom w:val="nil"/>
              <w:right w:val="single" w:sz="4" w:space="0" w:color="auto"/>
            </w:tcBorders>
          </w:tcPr>
          <w:p>
            <w:pPr>
              <w:pStyle w:val="yTable"/>
              <w:spacing w:before="0"/>
              <w:rPr>
                <w:snapToGrid w:val="0"/>
                <w:sz w:val="20"/>
              </w:rPr>
            </w:pPr>
          </w:p>
        </w:tc>
      </w:tr>
      <w:tr>
        <w:trPr>
          <w:cantSplit/>
        </w:trPr>
        <w:tc>
          <w:tcPr>
            <w:tcW w:w="4077" w:type="dxa"/>
            <w:gridSpan w:val="2"/>
            <w:tcBorders>
              <w:right w:val="nil"/>
            </w:tcBorders>
          </w:tcPr>
          <w:p>
            <w:pPr>
              <w:pStyle w:val="yTable"/>
              <w:tabs>
                <w:tab w:val="left" w:pos="1134"/>
              </w:tabs>
              <w:spacing w:before="0"/>
              <w:ind w:left="1134" w:hanging="1134"/>
              <w:rPr>
                <w:snapToGrid w:val="0"/>
                <w:sz w:val="20"/>
              </w:rPr>
            </w:pPr>
            <w:r>
              <w:rPr>
                <w:snapToGrid w:val="0"/>
                <w:sz w:val="20"/>
              </w:rPr>
              <w:tab/>
              <w:t>1st inseminations</w:t>
            </w:r>
          </w:p>
        </w:tc>
        <w:tc>
          <w:tcPr>
            <w:tcW w:w="3227" w:type="dxa"/>
            <w:gridSpan w:val="2"/>
            <w:tcBorders>
              <w:left w:val="single" w:sz="4" w:space="0" w:color="auto"/>
              <w:bottom w:val="nil"/>
              <w:right w:val="single" w:sz="4" w:space="0" w:color="auto"/>
            </w:tcBorders>
          </w:tcPr>
          <w:p>
            <w:pPr>
              <w:pStyle w:val="yTable"/>
              <w:spacing w:before="0"/>
              <w:rPr>
                <w:snapToGrid w:val="0"/>
                <w:sz w:val="20"/>
              </w:rPr>
            </w:pPr>
          </w:p>
        </w:tc>
      </w:tr>
      <w:tr>
        <w:tc>
          <w:tcPr>
            <w:tcW w:w="4077" w:type="dxa"/>
            <w:gridSpan w:val="2"/>
            <w:tcBorders>
              <w:right w:val="nil"/>
            </w:tcBorders>
          </w:tcPr>
          <w:p>
            <w:pPr>
              <w:pStyle w:val="yTable"/>
              <w:tabs>
                <w:tab w:val="left" w:pos="1134"/>
              </w:tabs>
              <w:spacing w:before="0"/>
              <w:ind w:left="1134" w:hanging="1134"/>
              <w:rPr>
                <w:snapToGrid w:val="0"/>
                <w:sz w:val="20"/>
              </w:rPr>
            </w:pPr>
            <w:r>
              <w:rPr>
                <w:snapToGrid w:val="0"/>
                <w:sz w:val="20"/>
              </w:rPr>
              <w:tab/>
              <w:t>repeat inseminations</w:t>
            </w:r>
          </w:p>
        </w:tc>
        <w:tc>
          <w:tcPr>
            <w:tcW w:w="3227" w:type="dxa"/>
            <w:gridSpan w:val="2"/>
            <w:tcBorders>
              <w:left w:val="single" w:sz="4" w:space="0" w:color="auto"/>
              <w:bottom w:val="nil"/>
              <w:right w:val="single" w:sz="4" w:space="0" w:color="auto"/>
            </w:tcBorders>
          </w:tcPr>
          <w:p>
            <w:pPr>
              <w:pStyle w:val="yTable"/>
              <w:spacing w:before="0"/>
              <w:rPr>
                <w:snapToGrid w:val="0"/>
                <w:sz w:val="20"/>
              </w:rPr>
            </w:pPr>
          </w:p>
        </w:tc>
      </w:tr>
      <w:tr>
        <w:tc>
          <w:tcPr>
            <w:tcW w:w="4077" w:type="dxa"/>
            <w:gridSpan w:val="2"/>
            <w:tcBorders>
              <w:right w:val="nil"/>
            </w:tcBorders>
          </w:tcPr>
          <w:p>
            <w:pPr>
              <w:pStyle w:val="yTable"/>
              <w:tabs>
                <w:tab w:val="left" w:pos="1134"/>
              </w:tabs>
              <w:spacing w:before="0"/>
              <w:ind w:left="1134" w:hanging="1134"/>
              <w:rPr>
                <w:snapToGrid w:val="0"/>
                <w:sz w:val="20"/>
              </w:rPr>
            </w:pPr>
            <w:r>
              <w:rPr>
                <w:snapToGrid w:val="0"/>
                <w:sz w:val="20"/>
              </w:rPr>
              <w:tab/>
              <w:t>other purposes, destroyed</w:t>
            </w:r>
          </w:p>
        </w:tc>
        <w:tc>
          <w:tcPr>
            <w:tcW w:w="3227" w:type="dxa"/>
            <w:gridSpan w:val="2"/>
            <w:tcBorders>
              <w:left w:val="single" w:sz="4" w:space="0" w:color="auto"/>
              <w:bottom w:val="nil"/>
              <w:right w:val="single" w:sz="4" w:space="0" w:color="auto"/>
            </w:tcBorders>
          </w:tcPr>
          <w:p>
            <w:pPr>
              <w:pStyle w:val="yTable"/>
              <w:spacing w:before="0"/>
              <w:rPr>
                <w:snapToGrid w:val="0"/>
                <w:sz w:val="20"/>
              </w:rPr>
            </w:pPr>
          </w:p>
        </w:tc>
      </w:tr>
      <w:tr>
        <w:tc>
          <w:tcPr>
            <w:tcW w:w="4077" w:type="dxa"/>
            <w:gridSpan w:val="2"/>
            <w:tcBorders>
              <w:right w:val="nil"/>
            </w:tcBorders>
          </w:tcPr>
          <w:p>
            <w:pPr>
              <w:pStyle w:val="yTable"/>
              <w:tabs>
                <w:tab w:val="left" w:pos="1134"/>
              </w:tabs>
              <w:spacing w:before="0"/>
              <w:ind w:left="1134" w:hanging="1134"/>
              <w:rPr>
                <w:snapToGrid w:val="0"/>
                <w:sz w:val="20"/>
              </w:rPr>
            </w:pPr>
            <w:r>
              <w:rPr>
                <w:snapToGrid w:val="0"/>
                <w:sz w:val="20"/>
              </w:rPr>
              <w:tab/>
              <w:t>or returned to licensed premises</w:t>
            </w:r>
          </w:p>
        </w:tc>
        <w:tc>
          <w:tcPr>
            <w:tcW w:w="3227" w:type="dxa"/>
            <w:gridSpan w:val="2"/>
            <w:tcBorders>
              <w:left w:val="single" w:sz="4" w:space="0" w:color="auto"/>
              <w:bottom w:val="nil"/>
              <w:right w:val="single" w:sz="4" w:space="0" w:color="auto"/>
            </w:tcBorders>
          </w:tcPr>
          <w:p>
            <w:pPr>
              <w:pStyle w:val="yTable"/>
              <w:spacing w:before="0"/>
              <w:rPr>
                <w:snapToGrid w:val="0"/>
                <w:sz w:val="20"/>
              </w:rPr>
            </w:pPr>
          </w:p>
        </w:tc>
      </w:tr>
      <w:tr>
        <w:trPr>
          <w:cantSplit/>
        </w:trPr>
        <w:tc>
          <w:tcPr>
            <w:tcW w:w="2802" w:type="dxa"/>
          </w:tcPr>
          <w:p>
            <w:pPr>
              <w:pStyle w:val="yTable"/>
              <w:spacing w:before="0"/>
              <w:rPr>
                <w:snapToGrid w:val="0"/>
                <w:sz w:val="20"/>
              </w:rPr>
            </w:pPr>
            <w:r>
              <w:rPr>
                <w:snapToGrid w:val="0"/>
                <w:sz w:val="20"/>
              </w:rPr>
              <w:t>Non</w:t>
            </w:r>
            <w:r>
              <w:rPr>
                <w:snapToGrid w:val="0"/>
                <w:sz w:val="20"/>
              </w:rPr>
              <w:noBreakHyphen/>
              <w:t>return ratio (60/90 day)</w:t>
            </w:r>
          </w:p>
        </w:tc>
        <w:tc>
          <w:tcPr>
            <w:tcW w:w="2268" w:type="dxa"/>
            <w:gridSpan w:val="2"/>
            <w:tcBorders>
              <w:bottom w:val="nil"/>
            </w:tcBorders>
          </w:tcPr>
          <w:p>
            <w:pPr>
              <w:pStyle w:val="yTable"/>
              <w:spacing w:before="0"/>
              <w:rPr>
                <w:snapToGrid w:val="0"/>
                <w:sz w:val="20"/>
              </w:rPr>
            </w:pPr>
          </w:p>
        </w:tc>
        <w:tc>
          <w:tcPr>
            <w:tcW w:w="2234" w:type="dxa"/>
          </w:tcPr>
          <w:p>
            <w:pPr>
              <w:pStyle w:val="yTable"/>
              <w:spacing w:before="0"/>
              <w:rPr>
                <w:snapToGrid w:val="0"/>
                <w:sz w:val="20"/>
              </w:rPr>
            </w:pPr>
          </w:p>
        </w:tc>
      </w:tr>
      <w:tr>
        <w:trPr>
          <w:cantSplit/>
        </w:trPr>
        <w:tc>
          <w:tcPr>
            <w:tcW w:w="2802" w:type="dxa"/>
          </w:tcPr>
          <w:p>
            <w:pPr>
              <w:pStyle w:val="yTable"/>
              <w:tabs>
                <w:tab w:val="left" w:pos="567"/>
              </w:tabs>
              <w:spacing w:before="0"/>
              <w:rPr>
                <w:snapToGrid w:val="0"/>
                <w:sz w:val="20"/>
              </w:rPr>
            </w:pPr>
            <w:r>
              <w:rPr>
                <w:snapToGrid w:val="0"/>
                <w:sz w:val="20"/>
              </w:rPr>
              <w:tab/>
            </w:r>
            <w:r>
              <w:rPr>
                <w:snapToGrid w:val="0"/>
                <w:sz w:val="20"/>
                <w:u w:val="single"/>
              </w:rPr>
              <w:t>Beef</w:t>
            </w:r>
            <w:r>
              <w:rPr>
                <w:snapToGrid w:val="0"/>
                <w:sz w:val="20"/>
              </w:rPr>
              <w:t xml:space="preserve"> semen</w:t>
            </w:r>
          </w:p>
        </w:tc>
        <w:tc>
          <w:tcPr>
            <w:tcW w:w="2268" w:type="dxa"/>
            <w:gridSpan w:val="2"/>
            <w:tcBorders>
              <w:bottom w:val="nil"/>
            </w:tcBorders>
          </w:tcPr>
          <w:p>
            <w:pPr>
              <w:pStyle w:val="yTable"/>
              <w:spacing w:before="0"/>
              <w:rPr>
                <w:snapToGrid w:val="0"/>
                <w:sz w:val="20"/>
              </w:rPr>
            </w:pPr>
          </w:p>
        </w:tc>
        <w:tc>
          <w:tcPr>
            <w:tcW w:w="2234" w:type="dxa"/>
          </w:tcPr>
          <w:p>
            <w:pPr>
              <w:pStyle w:val="yTable"/>
              <w:spacing w:before="0"/>
              <w:rPr>
                <w:snapToGrid w:val="0"/>
                <w:sz w:val="20"/>
              </w:rPr>
            </w:pPr>
          </w:p>
        </w:tc>
      </w:tr>
      <w:tr>
        <w:trPr>
          <w:cantSplit/>
        </w:trPr>
        <w:tc>
          <w:tcPr>
            <w:tcW w:w="2802" w:type="dxa"/>
          </w:tcPr>
          <w:p>
            <w:pPr>
              <w:pStyle w:val="yTable"/>
              <w:tabs>
                <w:tab w:val="left" w:pos="567"/>
              </w:tabs>
              <w:spacing w:before="0"/>
              <w:rPr>
                <w:snapToGrid w:val="0"/>
                <w:sz w:val="20"/>
              </w:rPr>
            </w:pPr>
            <w:r>
              <w:rPr>
                <w:snapToGrid w:val="0"/>
                <w:sz w:val="20"/>
              </w:rPr>
              <w:tab/>
            </w:r>
            <w:r>
              <w:rPr>
                <w:snapToGrid w:val="0"/>
                <w:sz w:val="20"/>
                <w:u w:val="single"/>
              </w:rPr>
              <w:t>Dairy</w:t>
            </w:r>
            <w:r>
              <w:rPr>
                <w:snapToGrid w:val="0"/>
                <w:sz w:val="20"/>
              </w:rPr>
              <w:t xml:space="preserve"> semen</w:t>
            </w:r>
          </w:p>
        </w:tc>
        <w:tc>
          <w:tcPr>
            <w:tcW w:w="2268" w:type="dxa"/>
            <w:gridSpan w:val="2"/>
            <w:tcBorders>
              <w:top w:val="single" w:sz="4" w:space="0" w:color="auto"/>
              <w:bottom w:val="single" w:sz="4" w:space="0" w:color="auto"/>
            </w:tcBorders>
          </w:tcPr>
          <w:p>
            <w:pPr>
              <w:pStyle w:val="yTable"/>
              <w:spacing w:before="0"/>
              <w:rPr>
                <w:snapToGrid w:val="0"/>
                <w:sz w:val="20"/>
              </w:rPr>
            </w:pPr>
          </w:p>
        </w:tc>
        <w:tc>
          <w:tcPr>
            <w:tcW w:w="2234" w:type="dxa"/>
          </w:tcPr>
          <w:p>
            <w:pPr>
              <w:pStyle w:val="yTable"/>
              <w:spacing w:before="0"/>
              <w:rPr>
                <w:snapToGrid w:val="0"/>
                <w:sz w:val="20"/>
              </w:rPr>
            </w:pPr>
          </w:p>
        </w:tc>
      </w:tr>
      <w:tr>
        <w:trPr>
          <w:cantSplit/>
        </w:trPr>
        <w:tc>
          <w:tcPr>
            <w:tcW w:w="2802" w:type="dxa"/>
          </w:tcPr>
          <w:p>
            <w:pPr>
              <w:pStyle w:val="yTable"/>
              <w:spacing w:before="0"/>
              <w:rPr>
                <w:snapToGrid w:val="0"/>
                <w:sz w:val="20"/>
              </w:rPr>
            </w:pPr>
            <w:r>
              <w:rPr>
                <w:snapToGrid w:val="0"/>
                <w:sz w:val="20"/>
              </w:rPr>
              <w:t>Cattle inseminated</w:t>
            </w:r>
          </w:p>
        </w:tc>
        <w:tc>
          <w:tcPr>
            <w:tcW w:w="2268" w:type="dxa"/>
            <w:gridSpan w:val="2"/>
            <w:tcBorders>
              <w:top w:val="nil"/>
            </w:tcBorders>
          </w:tcPr>
          <w:p>
            <w:pPr>
              <w:pStyle w:val="yTable"/>
              <w:spacing w:before="0"/>
              <w:rPr>
                <w:snapToGrid w:val="0"/>
                <w:sz w:val="20"/>
              </w:rPr>
            </w:pPr>
          </w:p>
        </w:tc>
        <w:tc>
          <w:tcPr>
            <w:tcW w:w="2234" w:type="dxa"/>
          </w:tcPr>
          <w:p>
            <w:pPr>
              <w:pStyle w:val="yTable"/>
              <w:spacing w:before="0"/>
              <w:rPr>
                <w:snapToGrid w:val="0"/>
                <w:sz w:val="20"/>
              </w:rPr>
            </w:pPr>
          </w:p>
        </w:tc>
      </w:tr>
      <w:tr>
        <w:trPr>
          <w:cantSplit/>
        </w:trPr>
        <w:tc>
          <w:tcPr>
            <w:tcW w:w="2802" w:type="dxa"/>
          </w:tcPr>
          <w:p>
            <w:pPr>
              <w:pStyle w:val="yTable"/>
              <w:tabs>
                <w:tab w:val="left" w:pos="567"/>
              </w:tabs>
              <w:spacing w:before="0"/>
              <w:rPr>
                <w:snapToGrid w:val="0"/>
                <w:sz w:val="20"/>
              </w:rPr>
            </w:pPr>
            <w:r>
              <w:rPr>
                <w:snapToGrid w:val="0"/>
                <w:sz w:val="20"/>
              </w:rPr>
              <w:tab/>
              <w:t>Beef</w:t>
            </w:r>
          </w:p>
        </w:tc>
        <w:tc>
          <w:tcPr>
            <w:tcW w:w="2268" w:type="dxa"/>
            <w:gridSpan w:val="2"/>
            <w:tcBorders>
              <w:bottom w:val="nil"/>
            </w:tcBorders>
          </w:tcPr>
          <w:p>
            <w:pPr>
              <w:pStyle w:val="yTable"/>
              <w:spacing w:before="0"/>
              <w:rPr>
                <w:snapToGrid w:val="0"/>
                <w:sz w:val="20"/>
              </w:rPr>
            </w:pPr>
          </w:p>
        </w:tc>
        <w:tc>
          <w:tcPr>
            <w:tcW w:w="2234" w:type="dxa"/>
          </w:tcPr>
          <w:p>
            <w:pPr>
              <w:pStyle w:val="yTable"/>
              <w:spacing w:before="0"/>
              <w:rPr>
                <w:snapToGrid w:val="0"/>
                <w:sz w:val="20"/>
              </w:rPr>
            </w:pPr>
          </w:p>
        </w:tc>
      </w:tr>
      <w:tr>
        <w:trPr>
          <w:cantSplit/>
        </w:trPr>
        <w:tc>
          <w:tcPr>
            <w:tcW w:w="2802" w:type="dxa"/>
            <w:tcBorders>
              <w:bottom w:val="nil"/>
            </w:tcBorders>
          </w:tcPr>
          <w:p>
            <w:pPr>
              <w:pStyle w:val="yTable"/>
              <w:tabs>
                <w:tab w:val="left" w:pos="567"/>
              </w:tabs>
              <w:spacing w:before="0"/>
              <w:rPr>
                <w:snapToGrid w:val="0"/>
                <w:sz w:val="20"/>
              </w:rPr>
            </w:pPr>
            <w:r>
              <w:rPr>
                <w:snapToGrid w:val="0"/>
                <w:sz w:val="20"/>
              </w:rPr>
              <w:tab/>
              <w:t>Dairy</w:t>
            </w:r>
          </w:p>
        </w:tc>
        <w:tc>
          <w:tcPr>
            <w:tcW w:w="2268" w:type="dxa"/>
            <w:gridSpan w:val="2"/>
            <w:tcBorders>
              <w:top w:val="single" w:sz="4" w:space="0" w:color="auto"/>
              <w:bottom w:val="single" w:sz="4" w:space="0" w:color="auto"/>
            </w:tcBorders>
          </w:tcPr>
          <w:p>
            <w:pPr>
              <w:pStyle w:val="yTable"/>
              <w:spacing w:before="0"/>
              <w:rPr>
                <w:snapToGrid w:val="0"/>
                <w:sz w:val="20"/>
              </w:rPr>
            </w:pPr>
          </w:p>
        </w:tc>
        <w:tc>
          <w:tcPr>
            <w:tcW w:w="2234" w:type="dxa"/>
            <w:tcBorders>
              <w:bottom w:val="nil"/>
            </w:tcBorders>
          </w:tcPr>
          <w:p>
            <w:pPr>
              <w:pStyle w:val="yTable"/>
              <w:spacing w:before="0"/>
              <w:rPr>
                <w:snapToGrid w:val="0"/>
                <w:sz w:val="20"/>
              </w:rPr>
            </w:pPr>
          </w:p>
        </w:tc>
      </w:tr>
      <w:tr>
        <w:tc>
          <w:tcPr>
            <w:tcW w:w="7304" w:type="dxa"/>
            <w:gridSpan w:val="4"/>
            <w:tcBorders>
              <w:bottom w:val="nil"/>
            </w:tcBorders>
          </w:tcPr>
          <w:p>
            <w:pPr>
              <w:pStyle w:val="yTable"/>
              <w:spacing w:before="120"/>
              <w:ind w:left="3402"/>
              <w:rPr>
                <w:snapToGrid w:val="0"/>
                <w:sz w:val="20"/>
              </w:rPr>
            </w:pPr>
            <w:r>
              <w:rPr>
                <w:snapToGrid w:val="0"/>
                <w:sz w:val="20"/>
              </w:rPr>
              <w:t>Authorized/Herdsman Inseminator</w:t>
            </w:r>
          </w:p>
        </w:tc>
      </w:tr>
    </w:tbl>
    <w:p>
      <w:pPr>
        <w:pStyle w:val="yMiscellaneousHeading"/>
        <w:pageBreakBefore/>
        <w:spacing w:before="0"/>
        <w:rPr>
          <w:b/>
          <w:snapToGrid w:val="0"/>
        </w:rPr>
      </w:pPr>
      <w:r>
        <w:rPr>
          <w:b/>
          <w:snapToGrid w:val="0"/>
        </w:rPr>
        <w:t>Form 9</w:t>
      </w:r>
    </w:p>
    <w:p>
      <w:pPr>
        <w:pStyle w:val="yMiscellaneousHeading"/>
        <w:rPr>
          <w:i/>
          <w:snapToGrid w:val="0"/>
        </w:rPr>
      </w:pPr>
      <w:r>
        <w:rPr>
          <w:i/>
          <w:snapToGrid w:val="0"/>
        </w:rPr>
        <w:t>Artificial Breeding of Stock Act 1965</w:t>
      </w:r>
    </w:p>
    <w:p>
      <w:pPr>
        <w:pStyle w:val="yMiscellaneousHeading"/>
        <w:spacing w:before="0"/>
        <w:rPr>
          <w:i/>
          <w:snapToGrid w:val="0"/>
        </w:rPr>
      </w:pPr>
      <w:r>
        <w:rPr>
          <w:i/>
          <w:snapToGrid w:val="0"/>
        </w:rPr>
        <w:t>Artificial Breeding (Cattle) Regulations 1978</w:t>
      </w:r>
    </w:p>
    <w:p>
      <w:pPr>
        <w:pStyle w:val="yMiscellaneousHeading"/>
        <w:spacing w:before="120" w:after="120"/>
        <w:rPr>
          <w:snapToGrid w:val="0"/>
        </w:rPr>
      </w:pPr>
      <w:r>
        <w:rPr>
          <w:snapToGrid w:val="0"/>
        </w:rPr>
        <w:t>Notification of Custom Collection</w:t>
      </w:r>
    </w:p>
    <w:p>
      <w:pPr>
        <w:pStyle w:val="yMiscellaneousHeading"/>
        <w:spacing w:before="0" w:after="120"/>
        <w:rPr>
          <w:snapToGrid w:val="0"/>
        </w:rPr>
      </w:pPr>
      <w:r>
        <w:rPr>
          <w:snapToGrid w:val="0"/>
        </w:rPr>
        <w:t>Regulation 58</w:t>
      </w:r>
    </w:p>
    <w:p>
      <w:pPr>
        <w:pStyle w:val="yMiscellaneousBody"/>
        <w:spacing w:before="0"/>
        <w:rPr>
          <w:snapToGrid w:val="0"/>
        </w:rPr>
      </w:pPr>
      <w:r>
        <w:rPr>
          <w:snapToGrid w:val="0"/>
        </w:rPr>
        <w:t>CHIEF VETERINARY SURGEON,</w:t>
      </w:r>
    </w:p>
    <w:p>
      <w:pPr>
        <w:pStyle w:val="yMiscellaneousBody"/>
        <w:spacing w:before="0"/>
        <w:rPr>
          <w:snapToGrid w:val="0"/>
        </w:rPr>
      </w:pPr>
      <w:r>
        <w:rPr>
          <w:snapToGrid w:val="0"/>
        </w:rPr>
        <w:t>DEPARTMENT OF AGRICULTURE</w:t>
      </w:r>
      <w:r>
        <w:rPr>
          <w:snapToGrid w:val="0"/>
          <w:vertAlign w:val="superscript"/>
        </w:rPr>
        <w:t xml:space="preserve"> 3</w:t>
      </w:r>
      <w:r>
        <w:rPr>
          <w:snapToGrid w:val="0"/>
        </w:rPr>
        <w:t>,</w:t>
      </w:r>
    </w:p>
    <w:p>
      <w:pPr>
        <w:pStyle w:val="yMiscellaneousBody"/>
        <w:spacing w:before="0"/>
        <w:rPr>
          <w:snapToGrid w:val="0"/>
        </w:rPr>
      </w:pPr>
      <w:r>
        <w:rPr>
          <w:snapToGrid w:val="0"/>
        </w:rPr>
        <w:t>SOUTH PERTH.</w:t>
      </w:r>
    </w:p>
    <w:p>
      <w:pPr>
        <w:pStyle w:val="yMiscellaneousBody"/>
        <w:tabs>
          <w:tab w:val="left" w:pos="1418"/>
        </w:tabs>
        <w:rPr>
          <w:snapToGrid w:val="0"/>
        </w:rPr>
      </w:pPr>
      <w:r>
        <w:rPr>
          <w:snapToGrid w:val="0"/>
        </w:rPr>
        <w:t xml:space="preserve">Collector: </w:t>
      </w:r>
      <w:r>
        <w:rPr>
          <w:snapToGrid w:val="0"/>
        </w:rPr>
        <w:tab/>
        <w:t>Name…………………………………………..………………</w:t>
      </w:r>
    </w:p>
    <w:p>
      <w:pPr>
        <w:pStyle w:val="yMiscellaneousBody"/>
        <w:tabs>
          <w:tab w:val="left" w:pos="1418"/>
        </w:tabs>
        <w:spacing w:before="0"/>
        <w:rPr>
          <w:snapToGrid w:val="0"/>
        </w:rPr>
      </w:pPr>
      <w:r>
        <w:rPr>
          <w:snapToGrid w:val="0"/>
        </w:rPr>
        <w:tab/>
        <w:t>Address ……………………………………..………………...</w:t>
      </w:r>
    </w:p>
    <w:p>
      <w:pPr>
        <w:pStyle w:val="yMiscellaneousBody"/>
        <w:tabs>
          <w:tab w:val="left" w:pos="1418"/>
        </w:tabs>
        <w:spacing w:before="0"/>
        <w:rPr>
          <w:snapToGrid w:val="0"/>
        </w:rPr>
      </w:pPr>
      <w:r>
        <w:rPr>
          <w:snapToGrid w:val="0"/>
        </w:rPr>
        <w:tab/>
        <w:t>………………………………………….....…………………..</w:t>
      </w:r>
    </w:p>
    <w:p>
      <w:pPr>
        <w:pStyle w:val="yMiscellaneousBody"/>
        <w:tabs>
          <w:tab w:val="left" w:pos="1418"/>
        </w:tabs>
        <w:spacing w:before="0"/>
        <w:rPr>
          <w:snapToGrid w:val="0"/>
        </w:rPr>
      </w:pPr>
      <w:r>
        <w:rPr>
          <w:snapToGrid w:val="0"/>
        </w:rPr>
        <w:t xml:space="preserve">Owner of Bull </w:t>
      </w:r>
      <w:r>
        <w:rPr>
          <w:snapToGrid w:val="0"/>
        </w:rPr>
        <w:tab/>
        <w:t>.………………………………………………………………..</w:t>
      </w:r>
    </w:p>
    <w:p>
      <w:pPr>
        <w:pStyle w:val="yMiscellaneousBody"/>
        <w:tabs>
          <w:tab w:val="left" w:pos="1418"/>
        </w:tabs>
        <w:spacing w:before="0"/>
        <w:rPr>
          <w:snapToGrid w:val="0"/>
        </w:rPr>
      </w:pPr>
      <w:r>
        <w:rPr>
          <w:snapToGrid w:val="0"/>
        </w:rPr>
        <w:t>Address</w:t>
      </w:r>
      <w:r>
        <w:rPr>
          <w:snapToGrid w:val="0"/>
        </w:rPr>
        <w:tab/>
        <w:t>.………………………………………………………………..</w:t>
      </w:r>
    </w:p>
    <w:p>
      <w:pPr>
        <w:pStyle w:val="yMiscellaneousBody"/>
        <w:rPr>
          <w:snapToGrid w:val="0"/>
        </w:rPr>
      </w:pPr>
      <w:r>
        <w:rPr>
          <w:snapToGrid w:val="0"/>
        </w:rPr>
        <w:t>Bull</w:t>
      </w:r>
    </w:p>
    <w:p>
      <w:pPr>
        <w:pStyle w:val="yMiscellaneousBody"/>
        <w:tabs>
          <w:tab w:val="left" w:pos="567"/>
          <w:tab w:val="left" w:pos="2268"/>
        </w:tabs>
        <w:spacing w:before="0"/>
        <w:rPr>
          <w:snapToGrid w:val="0"/>
        </w:rPr>
      </w:pPr>
      <w:r>
        <w:rPr>
          <w:snapToGrid w:val="0"/>
        </w:rPr>
        <w:tab/>
        <w:t>Name</w:t>
      </w:r>
    </w:p>
    <w:p>
      <w:pPr>
        <w:pStyle w:val="yMiscellaneousBody"/>
        <w:tabs>
          <w:tab w:val="left" w:pos="567"/>
          <w:tab w:val="left" w:pos="2268"/>
        </w:tabs>
        <w:spacing w:before="0"/>
        <w:rPr>
          <w:snapToGrid w:val="0"/>
        </w:rPr>
      </w:pPr>
      <w:r>
        <w:rPr>
          <w:snapToGrid w:val="0"/>
        </w:rPr>
        <w:tab/>
        <w:t>Identification — </w:t>
      </w:r>
      <w:r>
        <w:rPr>
          <w:snapToGrid w:val="0"/>
        </w:rPr>
        <w:tab/>
        <w:t>Breed</w:t>
      </w:r>
    </w:p>
    <w:p>
      <w:pPr>
        <w:pStyle w:val="yMiscellaneousBody"/>
        <w:tabs>
          <w:tab w:val="left" w:pos="567"/>
          <w:tab w:val="left" w:pos="2268"/>
        </w:tabs>
        <w:spacing w:before="0"/>
        <w:rPr>
          <w:snapToGrid w:val="0"/>
        </w:rPr>
      </w:pPr>
      <w:r>
        <w:rPr>
          <w:snapToGrid w:val="0"/>
        </w:rPr>
        <w:tab/>
      </w:r>
      <w:r>
        <w:rPr>
          <w:snapToGrid w:val="0"/>
        </w:rPr>
        <w:tab/>
        <w:t>Tattoo</w:t>
      </w:r>
    </w:p>
    <w:p>
      <w:pPr>
        <w:pStyle w:val="yMiscellaneousBody"/>
        <w:rPr>
          <w:snapToGrid w:val="0"/>
        </w:rPr>
      </w:pPr>
      <w:r>
        <w:rPr>
          <w:snapToGrid w:val="0"/>
        </w:rPr>
        <w:t>Semen identification</w:t>
      </w:r>
    </w:p>
    <w:p>
      <w:pPr>
        <w:pStyle w:val="yMiscellaneousBody"/>
        <w:tabs>
          <w:tab w:val="left" w:pos="567"/>
        </w:tabs>
        <w:spacing w:before="0"/>
        <w:rPr>
          <w:snapToGrid w:val="0"/>
        </w:rPr>
      </w:pPr>
      <w:r>
        <w:rPr>
          <w:snapToGrid w:val="0"/>
        </w:rPr>
        <w:tab/>
        <w:t>Name</w:t>
      </w:r>
    </w:p>
    <w:p>
      <w:pPr>
        <w:pStyle w:val="yMiscellaneousBody"/>
        <w:tabs>
          <w:tab w:val="left" w:pos="567"/>
        </w:tabs>
        <w:spacing w:before="0"/>
        <w:rPr>
          <w:snapToGrid w:val="0"/>
        </w:rPr>
      </w:pPr>
      <w:r>
        <w:rPr>
          <w:snapToGrid w:val="0"/>
        </w:rPr>
        <w:tab/>
        <w:t>Batch</w:t>
      </w:r>
    </w:p>
    <w:p>
      <w:pPr>
        <w:pStyle w:val="yMiscellaneousBody"/>
        <w:tabs>
          <w:tab w:val="left" w:pos="567"/>
        </w:tabs>
        <w:spacing w:before="0"/>
        <w:rPr>
          <w:snapToGrid w:val="0"/>
        </w:rPr>
      </w:pPr>
      <w:r>
        <w:rPr>
          <w:snapToGrid w:val="0"/>
        </w:rPr>
        <w:tab/>
        <w:t>Date</w:t>
      </w:r>
    </w:p>
    <w:p>
      <w:pPr>
        <w:pStyle w:val="yMiscellaneousBody"/>
        <w:tabs>
          <w:tab w:val="left" w:pos="567"/>
        </w:tabs>
        <w:spacing w:before="0"/>
        <w:rPr>
          <w:snapToGrid w:val="0"/>
        </w:rPr>
      </w:pPr>
      <w:r>
        <w:rPr>
          <w:snapToGrid w:val="0"/>
        </w:rPr>
        <w:tab/>
        <w:t>No. Doses</w:t>
      </w:r>
    </w:p>
    <w:p>
      <w:pPr>
        <w:pStyle w:val="yMiscellaneousBody"/>
        <w:tabs>
          <w:tab w:val="left" w:pos="567"/>
        </w:tabs>
        <w:spacing w:before="0"/>
        <w:rPr>
          <w:snapToGrid w:val="0"/>
        </w:rPr>
      </w:pPr>
      <w:r>
        <w:rPr>
          <w:snapToGrid w:val="0"/>
        </w:rPr>
        <w:tab/>
        <w:t>Where stored</w:t>
      </w:r>
    </w:p>
    <w:p>
      <w:pPr>
        <w:pStyle w:val="yMiscellaneousBody"/>
        <w:rPr>
          <w:snapToGrid w:val="0"/>
        </w:rPr>
      </w:pPr>
      <w:r>
        <w:rPr>
          <w:snapToGrid w:val="0"/>
        </w:rPr>
        <w:t>Certified semen collected, processed and stored as indicated.</w:t>
      </w:r>
    </w:p>
    <w:p>
      <w:pPr>
        <w:pStyle w:val="yMiscellaneousBody"/>
        <w:spacing w:before="240"/>
        <w:jc w:val="right"/>
        <w:rPr>
          <w:snapToGrid w:val="0"/>
        </w:rPr>
      </w:pPr>
      <w:r>
        <w:rPr>
          <w:snapToGrid w:val="0"/>
        </w:rPr>
        <w:t>……………………………………………</w:t>
      </w:r>
    </w:p>
    <w:p>
      <w:pPr>
        <w:pStyle w:val="yMiscellaneousBody"/>
        <w:tabs>
          <w:tab w:val="left" w:pos="4962"/>
        </w:tabs>
        <w:spacing w:before="0"/>
        <w:rPr>
          <w:snapToGrid w:val="0"/>
        </w:rPr>
      </w:pPr>
      <w:r>
        <w:rPr>
          <w:snapToGrid w:val="0"/>
        </w:rPr>
        <w:tab/>
        <w:t>Collector</w:t>
      </w:r>
    </w:p>
    <w:p>
      <w:pPr>
        <w:pStyle w:val="yMiscellaneousHeading"/>
        <w:keepNext w:val="0"/>
        <w:pageBreakBefore/>
        <w:spacing w:before="0"/>
        <w:rPr>
          <w:b/>
          <w:snapToGrid w:val="0"/>
        </w:rPr>
      </w:pPr>
      <w:r>
        <w:rPr>
          <w:b/>
          <w:snapToGrid w:val="0"/>
        </w:rPr>
        <w:t>Form 10</w:t>
      </w:r>
    </w:p>
    <w:p>
      <w:pPr>
        <w:pStyle w:val="yMiscellaneousHeading"/>
        <w:keepNext w:val="0"/>
        <w:rPr>
          <w:snapToGrid w:val="0"/>
        </w:rPr>
      </w:pPr>
      <w:r>
        <w:rPr>
          <w:snapToGrid w:val="0"/>
        </w:rPr>
        <w:t>WESTERN AUSTRALIA</w:t>
      </w:r>
    </w:p>
    <w:p>
      <w:pPr>
        <w:pStyle w:val="yMiscellaneousHeading"/>
        <w:keepNext w:val="0"/>
        <w:rPr>
          <w:i/>
          <w:snapToGrid w:val="0"/>
        </w:rPr>
      </w:pPr>
      <w:r>
        <w:rPr>
          <w:i/>
          <w:snapToGrid w:val="0"/>
        </w:rPr>
        <w:t>Artificial Breeding of Stock Act 1965</w:t>
      </w:r>
    </w:p>
    <w:p>
      <w:pPr>
        <w:pStyle w:val="yMiscellaneousHeading"/>
        <w:keepNext w:val="0"/>
        <w:spacing w:before="0"/>
        <w:rPr>
          <w:i/>
          <w:snapToGrid w:val="0"/>
        </w:rPr>
      </w:pPr>
      <w:r>
        <w:rPr>
          <w:i/>
          <w:snapToGrid w:val="0"/>
        </w:rPr>
        <w:t>Artificial Breeding (Cattle) Regulations 1978</w:t>
      </w:r>
    </w:p>
    <w:p>
      <w:pPr>
        <w:pStyle w:val="yMiscellaneousHeading"/>
        <w:keepNext w:val="0"/>
        <w:spacing w:before="120" w:after="120"/>
        <w:rPr>
          <w:snapToGrid w:val="0"/>
        </w:rPr>
      </w:pPr>
      <w:r>
        <w:rPr>
          <w:snapToGrid w:val="0"/>
        </w:rPr>
        <w:t>PERMIT TO ENTER ANIMAL SEMEN</w:t>
      </w:r>
    </w:p>
    <w:p>
      <w:pPr>
        <w:pStyle w:val="yMiscellaneousBody"/>
        <w:rPr>
          <w:snapToGrid w:val="0"/>
        </w:rPr>
      </w:pPr>
      <w:r>
        <w:rPr>
          <w:snapToGrid w:val="0"/>
        </w:rPr>
        <w:t>To the Owner/Agent/Person</w:t>
      </w:r>
      <w:r>
        <w:rPr>
          <w:snapToGrid w:val="0"/>
        </w:rPr>
        <w:noBreakHyphen/>
        <w:t>in</w:t>
      </w:r>
      <w:r>
        <w:rPr>
          <w:snapToGrid w:val="0"/>
        </w:rPr>
        <w:noBreakHyphen/>
        <w:t>Charge………………………………………....</w:t>
      </w:r>
    </w:p>
    <w:p>
      <w:pPr>
        <w:pStyle w:val="yMiscellaneousBody"/>
        <w:spacing w:before="0"/>
        <w:rPr>
          <w:snapToGrid w:val="0"/>
        </w:rPr>
      </w:pPr>
      <w:r>
        <w:rPr>
          <w:snapToGrid w:val="0"/>
        </w:rPr>
        <w:t>The animal semen described below, which arrived at ……………………….....</w:t>
      </w:r>
    </w:p>
    <w:p>
      <w:pPr>
        <w:pStyle w:val="yMiscellaneousBody"/>
        <w:spacing w:before="0" w:after="120"/>
        <w:rPr>
          <w:snapToGrid w:val="0"/>
        </w:rPr>
      </w:pPr>
      <w:r>
        <w:rPr>
          <w:snapToGrid w:val="0"/>
        </w:rPr>
        <w:t>on the ................................................ 19 ...................... has been inspected and is permitted to enter W.A.</w:t>
      </w:r>
    </w:p>
    <w:tbl>
      <w:tblPr>
        <w:tblW w:w="0" w:type="auto"/>
        <w:tblLayout w:type="fixed"/>
        <w:tblLook w:val="0000" w:firstRow="0" w:lastRow="0" w:firstColumn="0" w:lastColumn="0" w:noHBand="0" w:noVBand="0"/>
      </w:tblPr>
      <w:tblGrid>
        <w:gridCol w:w="1826"/>
        <w:gridCol w:w="1826"/>
        <w:gridCol w:w="1826"/>
        <w:gridCol w:w="1826"/>
      </w:tblGrid>
      <w:tr>
        <w:tc>
          <w:tcPr>
            <w:tcW w:w="1826" w:type="dxa"/>
            <w:tcBorders>
              <w:top w:val="single" w:sz="4" w:space="0" w:color="auto"/>
              <w:bottom w:val="single" w:sz="4" w:space="0" w:color="auto"/>
              <w:right w:val="single" w:sz="4" w:space="0" w:color="auto"/>
            </w:tcBorders>
          </w:tcPr>
          <w:p>
            <w:pPr>
              <w:pStyle w:val="yTable"/>
              <w:jc w:val="center"/>
              <w:rPr>
                <w:snapToGrid w:val="0"/>
              </w:rPr>
            </w:pPr>
            <w:r>
              <w:rPr>
                <w:snapToGrid w:val="0"/>
              </w:rPr>
              <w:t>Number of doses</w:t>
            </w:r>
          </w:p>
        </w:tc>
        <w:tc>
          <w:tcPr>
            <w:tcW w:w="1826" w:type="dxa"/>
            <w:tcBorders>
              <w:top w:val="single" w:sz="4" w:space="0" w:color="auto"/>
              <w:left w:val="single" w:sz="4" w:space="0" w:color="auto"/>
              <w:bottom w:val="single" w:sz="4" w:space="0" w:color="auto"/>
              <w:right w:val="single" w:sz="4" w:space="0" w:color="auto"/>
            </w:tcBorders>
          </w:tcPr>
          <w:p>
            <w:pPr>
              <w:pStyle w:val="yTable"/>
              <w:jc w:val="center"/>
              <w:rPr>
                <w:snapToGrid w:val="0"/>
              </w:rPr>
            </w:pPr>
            <w:r>
              <w:rPr>
                <w:snapToGrid w:val="0"/>
              </w:rPr>
              <w:t>Identification</w:t>
            </w:r>
          </w:p>
        </w:tc>
        <w:tc>
          <w:tcPr>
            <w:tcW w:w="1826" w:type="dxa"/>
            <w:tcBorders>
              <w:top w:val="single" w:sz="4" w:space="0" w:color="auto"/>
              <w:left w:val="single" w:sz="4" w:space="0" w:color="auto"/>
              <w:bottom w:val="single" w:sz="4" w:space="0" w:color="auto"/>
              <w:right w:val="single" w:sz="4" w:space="0" w:color="auto"/>
            </w:tcBorders>
          </w:tcPr>
          <w:p>
            <w:pPr>
              <w:pStyle w:val="yTable"/>
              <w:jc w:val="center"/>
              <w:rPr>
                <w:snapToGrid w:val="0"/>
              </w:rPr>
            </w:pPr>
            <w:r>
              <w:rPr>
                <w:snapToGrid w:val="0"/>
              </w:rPr>
              <w:t>Name and address of consignor</w:t>
            </w:r>
          </w:p>
        </w:tc>
        <w:tc>
          <w:tcPr>
            <w:tcW w:w="1826" w:type="dxa"/>
            <w:tcBorders>
              <w:top w:val="single" w:sz="4" w:space="0" w:color="auto"/>
              <w:left w:val="single" w:sz="4" w:space="0" w:color="auto"/>
              <w:bottom w:val="single" w:sz="4" w:space="0" w:color="auto"/>
            </w:tcBorders>
          </w:tcPr>
          <w:p>
            <w:pPr>
              <w:pStyle w:val="yTable"/>
              <w:jc w:val="center"/>
              <w:rPr>
                <w:snapToGrid w:val="0"/>
              </w:rPr>
            </w:pPr>
            <w:r>
              <w:rPr>
                <w:snapToGrid w:val="0"/>
              </w:rPr>
              <w:t>Name and address of consignee</w:t>
            </w:r>
          </w:p>
        </w:tc>
      </w:tr>
      <w:tr>
        <w:tc>
          <w:tcPr>
            <w:tcW w:w="1826" w:type="dxa"/>
            <w:tcBorders>
              <w:top w:val="single" w:sz="4" w:space="0" w:color="auto"/>
              <w:bottom w:val="single" w:sz="4" w:space="0" w:color="auto"/>
              <w:right w:val="single" w:sz="4" w:space="0" w:color="auto"/>
            </w:tcBorders>
          </w:tcPr>
          <w:p>
            <w:pPr>
              <w:pStyle w:val="yTable"/>
              <w:keepLines/>
              <w:rPr>
                <w:snapToGrid w:val="0"/>
              </w:rPr>
            </w:pPr>
          </w:p>
          <w:p>
            <w:pPr>
              <w:pStyle w:val="yTable"/>
              <w:keepLines/>
              <w:rPr>
                <w:snapToGrid w:val="0"/>
              </w:rPr>
            </w:pPr>
          </w:p>
          <w:p>
            <w:pPr>
              <w:pStyle w:val="yTable"/>
              <w:keepLines/>
              <w:rPr>
                <w:snapToGrid w:val="0"/>
              </w:rPr>
            </w:pPr>
          </w:p>
          <w:p>
            <w:pPr>
              <w:pStyle w:val="yTable"/>
              <w:keepLines/>
              <w:rPr>
                <w:snapToGrid w:val="0"/>
              </w:rPr>
            </w:pPr>
          </w:p>
          <w:p>
            <w:pPr>
              <w:pStyle w:val="yTable"/>
              <w:keepLines/>
              <w:rPr>
                <w:snapToGrid w:val="0"/>
              </w:rPr>
            </w:pPr>
          </w:p>
        </w:tc>
        <w:tc>
          <w:tcPr>
            <w:tcW w:w="1826" w:type="dxa"/>
            <w:tcBorders>
              <w:top w:val="single" w:sz="4" w:space="0" w:color="auto"/>
              <w:left w:val="single" w:sz="4" w:space="0" w:color="auto"/>
              <w:bottom w:val="single" w:sz="4" w:space="0" w:color="auto"/>
              <w:right w:val="single" w:sz="4" w:space="0" w:color="auto"/>
            </w:tcBorders>
          </w:tcPr>
          <w:p>
            <w:pPr>
              <w:pStyle w:val="yTable"/>
              <w:keepLines/>
              <w:rPr>
                <w:snapToGrid w:val="0"/>
              </w:rPr>
            </w:pPr>
          </w:p>
        </w:tc>
        <w:tc>
          <w:tcPr>
            <w:tcW w:w="1826" w:type="dxa"/>
            <w:tcBorders>
              <w:top w:val="single" w:sz="4" w:space="0" w:color="auto"/>
              <w:left w:val="single" w:sz="4" w:space="0" w:color="auto"/>
              <w:bottom w:val="single" w:sz="4" w:space="0" w:color="auto"/>
              <w:right w:val="single" w:sz="4" w:space="0" w:color="auto"/>
            </w:tcBorders>
          </w:tcPr>
          <w:p>
            <w:pPr>
              <w:pStyle w:val="yTable"/>
              <w:keepLines/>
              <w:rPr>
                <w:snapToGrid w:val="0"/>
              </w:rPr>
            </w:pPr>
          </w:p>
        </w:tc>
        <w:tc>
          <w:tcPr>
            <w:tcW w:w="1826" w:type="dxa"/>
            <w:tcBorders>
              <w:top w:val="single" w:sz="4" w:space="0" w:color="auto"/>
              <w:left w:val="single" w:sz="4" w:space="0" w:color="auto"/>
              <w:bottom w:val="single" w:sz="4" w:space="0" w:color="auto"/>
            </w:tcBorders>
          </w:tcPr>
          <w:p>
            <w:pPr>
              <w:pStyle w:val="yTable"/>
              <w:keepLines/>
              <w:rPr>
                <w:snapToGrid w:val="0"/>
              </w:rPr>
            </w:pPr>
          </w:p>
        </w:tc>
      </w:tr>
    </w:tbl>
    <w:p>
      <w:pPr>
        <w:pStyle w:val="yMiscellaneousBody"/>
        <w:jc w:val="right"/>
        <w:rPr>
          <w:snapToGrid w:val="0"/>
        </w:rPr>
      </w:pPr>
      <w:r>
        <w:rPr>
          <w:snapToGrid w:val="0"/>
        </w:rPr>
        <w:t>Inspector………………………………………</w:t>
      </w:r>
    </w:p>
    <w:p>
      <w:pPr>
        <w:pStyle w:val="yMiscellaneousBody"/>
        <w:jc w:val="right"/>
        <w:rPr>
          <w:snapToGrid w:val="0"/>
        </w:rPr>
      </w:pPr>
      <w:r>
        <w:rPr>
          <w:snapToGrid w:val="0"/>
        </w:rPr>
        <w:t>Date………………………………………..</w:t>
      </w:r>
    </w:p>
    <w:p>
      <w:pPr>
        <w:pStyle w:val="yMiscellaneousHeading"/>
        <w:pageBreakBefore/>
        <w:spacing w:before="0"/>
        <w:rPr>
          <w:b/>
        </w:rPr>
      </w:pPr>
      <w:r>
        <w:rPr>
          <w:b/>
        </w:rPr>
        <w:t>Form 11</w:t>
      </w:r>
    </w:p>
    <w:p>
      <w:pPr>
        <w:pStyle w:val="yMiscellaneousHeading"/>
      </w:pPr>
      <w:r>
        <w:t>WESTERN AUSTRALIA</w:t>
      </w:r>
    </w:p>
    <w:p>
      <w:pPr>
        <w:pStyle w:val="yMiscellaneousHeading"/>
        <w:spacing w:before="80"/>
      </w:pPr>
      <w:r>
        <w:rPr>
          <w:i/>
        </w:rPr>
        <w:t>Artificial Breeding of Stock Act 1965</w:t>
      </w:r>
    </w:p>
    <w:p>
      <w:pPr>
        <w:pStyle w:val="yMiscellaneousHeading"/>
        <w:spacing w:before="0"/>
      </w:pPr>
      <w:r>
        <w:rPr>
          <w:i/>
        </w:rPr>
        <w:t>Artificial Breeding (Cattle) Regulations 1978</w:t>
      </w:r>
    </w:p>
    <w:p>
      <w:pPr>
        <w:pStyle w:val="yMiscellaneousHeading"/>
        <w:spacing w:before="80" w:after="80"/>
      </w:pPr>
      <w:r>
        <w:t>Regulation 19</w:t>
      </w:r>
    </w:p>
    <w:p>
      <w:pPr>
        <w:pStyle w:val="yMiscellaneousHeading"/>
        <w:spacing w:before="0"/>
      </w:pPr>
      <w:r>
        <w:t>DECLARATION OF STOCK HEALTH WITHIN A LICENSED</w:t>
      </w:r>
    </w:p>
    <w:p>
      <w:pPr>
        <w:pStyle w:val="yMiscellaneousHeading"/>
        <w:spacing w:before="0" w:after="80"/>
      </w:pPr>
      <w:r>
        <w:t>SEMEN PRODUCTION CENTRE</w:t>
      </w:r>
    </w:p>
    <w:p>
      <w:pPr>
        <w:pStyle w:val="yMiscellaneousBody"/>
        <w:spacing w:before="0"/>
        <w:jc w:val="right"/>
      </w:pPr>
      <w:r>
        <w:t>Date …………………………………….</w:t>
      </w:r>
    </w:p>
    <w:p>
      <w:pPr>
        <w:pStyle w:val="yMiscellaneousBody"/>
        <w:spacing w:before="120"/>
      </w:pPr>
      <w:r>
        <w:t>CHIEF VETERINARY SURGEON,</w:t>
      </w:r>
    </w:p>
    <w:p>
      <w:pPr>
        <w:pStyle w:val="yMiscellaneousBody"/>
        <w:spacing w:before="0"/>
      </w:pPr>
      <w:r>
        <w:t>DEPARTMENT OF AGRICULTURE</w:t>
      </w:r>
      <w:r>
        <w:rPr>
          <w:vertAlign w:val="superscript"/>
        </w:rPr>
        <w:t xml:space="preserve"> 3</w:t>
      </w:r>
      <w:r>
        <w:t>,</w:t>
      </w:r>
    </w:p>
    <w:p>
      <w:pPr>
        <w:pStyle w:val="yMiscellaneousBody"/>
        <w:spacing w:before="0"/>
      </w:pPr>
      <w:r>
        <w:t>SOUTH PERTH.</w:t>
      </w:r>
    </w:p>
    <w:p>
      <w:pPr>
        <w:pStyle w:val="yMiscellaneousBody"/>
        <w:rPr>
          <w:sz w:val="20"/>
        </w:rPr>
      </w:pPr>
      <w:r>
        <w:rPr>
          <w:sz w:val="20"/>
        </w:rPr>
        <w:t>I, .............………………………………………………….., Veterinary Supervisor to the</w:t>
      </w:r>
    </w:p>
    <w:p>
      <w:pPr>
        <w:pStyle w:val="yMiscellaneousBody"/>
        <w:spacing w:before="0"/>
        <w:rPr>
          <w:sz w:val="20"/>
        </w:rPr>
      </w:pPr>
      <w:r>
        <w:rPr>
          <w:sz w:val="20"/>
        </w:rPr>
        <w:t>…………................………………………………….. Semen Production Centre, certify:</w:t>
      </w:r>
    </w:p>
    <w:p>
      <w:pPr>
        <w:pStyle w:val="yMiscellaneousBody"/>
        <w:tabs>
          <w:tab w:val="left" w:pos="567"/>
          <w:tab w:val="left" w:pos="1134"/>
        </w:tabs>
        <w:spacing w:before="0"/>
        <w:ind w:left="1134" w:hanging="1134"/>
        <w:rPr>
          <w:sz w:val="20"/>
        </w:rPr>
      </w:pPr>
      <w:r>
        <w:rPr>
          <w:sz w:val="20"/>
        </w:rPr>
        <w:tab/>
        <w:t>(a)</w:t>
      </w:r>
      <w:r>
        <w:rPr>
          <w:sz w:val="20"/>
        </w:rPr>
        <w:tab/>
        <w:t>That I have, within the preceding 14 days, examined all stock within the Centre and found them to be free from evidence of infectious and contagious disease.</w:t>
      </w:r>
    </w:p>
    <w:p>
      <w:pPr>
        <w:pStyle w:val="yMiscellaneousBody"/>
        <w:tabs>
          <w:tab w:val="left" w:pos="567"/>
          <w:tab w:val="left" w:pos="1134"/>
        </w:tabs>
        <w:spacing w:before="0" w:after="80"/>
        <w:ind w:left="1134" w:hanging="1134"/>
        <w:rPr>
          <w:sz w:val="20"/>
        </w:rPr>
      </w:pPr>
      <w:r>
        <w:rPr>
          <w:sz w:val="20"/>
        </w:rPr>
        <w:tab/>
        <w:t>(b)</w:t>
      </w:r>
      <w:r>
        <w:rPr>
          <w:sz w:val="20"/>
        </w:rPr>
        <w:tab/>
        <w:t>That during the past 12 months no evidence of hereditary disease has been observed in the breeding sires at the Centre nor in stock bred therefrom, with the following exceptions:</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437"/>
        <w:gridCol w:w="2437"/>
        <w:gridCol w:w="2437"/>
      </w:tblGrid>
      <w:tr>
        <w:tc>
          <w:tcPr>
            <w:tcW w:w="2437" w:type="dxa"/>
          </w:tcPr>
          <w:p>
            <w:pPr>
              <w:pStyle w:val="yTable"/>
              <w:tabs>
                <w:tab w:val="left" w:pos="567"/>
                <w:tab w:val="left" w:pos="1134"/>
              </w:tabs>
              <w:jc w:val="center"/>
              <w:rPr>
                <w:sz w:val="20"/>
              </w:rPr>
            </w:pPr>
            <w:r>
              <w:rPr>
                <w:sz w:val="20"/>
              </w:rPr>
              <w:t>Sire</w:t>
            </w:r>
          </w:p>
        </w:tc>
        <w:tc>
          <w:tcPr>
            <w:tcW w:w="2437" w:type="dxa"/>
          </w:tcPr>
          <w:p>
            <w:pPr>
              <w:pStyle w:val="yTable"/>
              <w:tabs>
                <w:tab w:val="left" w:pos="567"/>
                <w:tab w:val="left" w:pos="1134"/>
              </w:tabs>
              <w:jc w:val="center"/>
              <w:rPr>
                <w:sz w:val="20"/>
              </w:rPr>
            </w:pPr>
            <w:r>
              <w:rPr>
                <w:sz w:val="20"/>
              </w:rPr>
              <w:t>Disease Observed</w:t>
            </w:r>
          </w:p>
        </w:tc>
        <w:tc>
          <w:tcPr>
            <w:tcW w:w="2437" w:type="dxa"/>
          </w:tcPr>
          <w:p>
            <w:pPr>
              <w:pStyle w:val="yTable"/>
              <w:tabs>
                <w:tab w:val="left" w:pos="567"/>
                <w:tab w:val="left" w:pos="1134"/>
              </w:tabs>
              <w:jc w:val="center"/>
              <w:rPr>
                <w:sz w:val="20"/>
              </w:rPr>
            </w:pPr>
            <w:r>
              <w:rPr>
                <w:sz w:val="20"/>
              </w:rPr>
              <w:t>No. of progeny affected</w:t>
            </w:r>
          </w:p>
        </w:tc>
      </w:tr>
      <w:tr>
        <w:tc>
          <w:tcPr>
            <w:tcW w:w="2437" w:type="dxa"/>
          </w:tcPr>
          <w:p>
            <w:pPr>
              <w:pStyle w:val="yTable"/>
              <w:tabs>
                <w:tab w:val="left" w:pos="567"/>
                <w:tab w:val="left" w:pos="1134"/>
              </w:tabs>
              <w:rPr>
                <w:sz w:val="20"/>
              </w:rPr>
            </w:pPr>
          </w:p>
          <w:p>
            <w:pPr>
              <w:pStyle w:val="yTable"/>
              <w:tabs>
                <w:tab w:val="left" w:pos="567"/>
                <w:tab w:val="left" w:pos="1134"/>
              </w:tabs>
              <w:rPr>
                <w:sz w:val="20"/>
              </w:rPr>
            </w:pPr>
          </w:p>
        </w:tc>
        <w:tc>
          <w:tcPr>
            <w:tcW w:w="2437" w:type="dxa"/>
          </w:tcPr>
          <w:p>
            <w:pPr>
              <w:pStyle w:val="yTable"/>
              <w:tabs>
                <w:tab w:val="left" w:pos="567"/>
                <w:tab w:val="left" w:pos="1134"/>
              </w:tabs>
              <w:rPr>
                <w:sz w:val="20"/>
              </w:rPr>
            </w:pPr>
          </w:p>
        </w:tc>
        <w:tc>
          <w:tcPr>
            <w:tcW w:w="2437" w:type="dxa"/>
          </w:tcPr>
          <w:p>
            <w:pPr>
              <w:pStyle w:val="yTable"/>
              <w:tabs>
                <w:tab w:val="left" w:pos="567"/>
                <w:tab w:val="left" w:pos="1134"/>
              </w:tabs>
              <w:rPr>
                <w:sz w:val="20"/>
              </w:rPr>
            </w:pPr>
          </w:p>
        </w:tc>
      </w:tr>
    </w:tbl>
    <w:p>
      <w:pPr>
        <w:pStyle w:val="yMiscellaneousBody"/>
        <w:tabs>
          <w:tab w:val="left" w:pos="567"/>
          <w:tab w:val="left" w:pos="1134"/>
        </w:tabs>
        <w:spacing w:before="0"/>
        <w:ind w:left="1134" w:hanging="1134"/>
        <w:rPr>
          <w:sz w:val="20"/>
        </w:rPr>
      </w:pPr>
      <w:r>
        <w:rPr>
          <w:sz w:val="20"/>
        </w:rPr>
        <w:tab/>
        <w:t>(c)</w:t>
      </w:r>
      <w:r>
        <w:rPr>
          <w:sz w:val="20"/>
        </w:rPr>
        <w:tab/>
        <w:t>That during the 12 months to 31 December ............................ no animals have been introduced to the licensed premises except in accordance with the requirements of regulations 8</w:t>
      </w:r>
      <w:r>
        <w:rPr>
          <w:sz w:val="20"/>
        </w:rPr>
        <w:noBreakHyphen/>
        <w:t>16.</w:t>
      </w:r>
    </w:p>
    <w:p>
      <w:pPr>
        <w:pStyle w:val="yMiscellaneousBody"/>
        <w:tabs>
          <w:tab w:val="left" w:pos="567"/>
          <w:tab w:val="left" w:pos="1134"/>
        </w:tabs>
        <w:spacing w:before="0" w:after="80"/>
        <w:ind w:left="1134" w:hanging="1134"/>
        <w:rPr>
          <w:sz w:val="20"/>
        </w:rPr>
      </w:pPr>
      <w:r>
        <w:rPr>
          <w:sz w:val="20"/>
        </w:rPr>
        <w:tab/>
        <w:t>(d)</w:t>
      </w:r>
      <w:r>
        <w:rPr>
          <w:sz w:val="20"/>
        </w:rPr>
        <w:tab/>
        <w:t>That all animals within the licensed premises have been re</w:t>
      </w:r>
      <w:r>
        <w:rPr>
          <w:sz w:val="20"/>
        </w:rPr>
        <w:noBreakHyphen/>
        <w:t>tested with negative results, or treated where appropriate, in accordance with the requirements of regulation 17; excepting the following animals for the reasons stated:</w:t>
      </w:r>
    </w:p>
    <w:tbl>
      <w:tblPr>
        <w:tblW w:w="0" w:type="auto"/>
        <w:tblLayout w:type="fixed"/>
        <w:tblLook w:val="0000" w:firstRow="0" w:lastRow="0" w:firstColumn="0" w:lastColumn="0" w:noHBand="0" w:noVBand="0"/>
      </w:tblPr>
      <w:tblGrid>
        <w:gridCol w:w="2434"/>
        <w:gridCol w:w="2435"/>
        <w:gridCol w:w="2435"/>
      </w:tblGrid>
      <w:tr>
        <w:trPr>
          <w:cantSplit/>
        </w:trPr>
        <w:tc>
          <w:tcPr>
            <w:tcW w:w="2434" w:type="dxa"/>
            <w:tcBorders>
              <w:top w:val="single" w:sz="4" w:space="0" w:color="auto"/>
              <w:bottom w:val="single" w:sz="4" w:space="0" w:color="auto"/>
              <w:right w:val="single" w:sz="4" w:space="0" w:color="auto"/>
            </w:tcBorders>
          </w:tcPr>
          <w:p>
            <w:pPr>
              <w:pStyle w:val="yTable"/>
              <w:tabs>
                <w:tab w:val="left" w:pos="567"/>
                <w:tab w:val="left" w:pos="1134"/>
              </w:tabs>
              <w:ind w:left="1134" w:hanging="1134"/>
              <w:jc w:val="center"/>
              <w:rPr>
                <w:snapToGrid w:val="0"/>
                <w:sz w:val="20"/>
              </w:rPr>
            </w:pPr>
            <w:r>
              <w:rPr>
                <w:snapToGrid w:val="0"/>
                <w:sz w:val="20"/>
              </w:rPr>
              <w:t>Animal</w:t>
            </w:r>
          </w:p>
        </w:tc>
        <w:tc>
          <w:tcPr>
            <w:tcW w:w="2435" w:type="dxa"/>
            <w:tcBorders>
              <w:top w:val="single" w:sz="4" w:space="0" w:color="auto"/>
              <w:left w:val="single" w:sz="4" w:space="0" w:color="auto"/>
              <w:bottom w:val="single" w:sz="4" w:space="0" w:color="auto"/>
              <w:right w:val="single" w:sz="4" w:space="0" w:color="auto"/>
            </w:tcBorders>
          </w:tcPr>
          <w:p>
            <w:pPr>
              <w:pStyle w:val="yTable"/>
              <w:tabs>
                <w:tab w:val="left" w:pos="567"/>
                <w:tab w:val="left" w:pos="1134"/>
              </w:tabs>
              <w:ind w:left="1134" w:hanging="1134"/>
              <w:jc w:val="center"/>
              <w:rPr>
                <w:snapToGrid w:val="0"/>
                <w:sz w:val="20"/>
              </w:rPr>
            </w:pPr>
            <w:r>
              <w:rPr>
                <w:snapToGrid w:val="0"/>
                <w:sz w:val="20"/>
              </w:rPr>
              <w:t>Test Required</w:t>
            </w:r>
          </w:p>
        </w:tc>
        <w:tc>
          <w:tcPr>
            <w:tcW w:w="2435" w:type="dxa"/>
            <w:tcBorders>
              <w:top w:val="single" w:sz="4" w:space="0" w:color="auto"/>
              <w:left w:val="single" w:sz="4" w:space="0" w:color="auto"/>
              <w:bottom w:val="single" w:sz="4" w:space="0" w:color="auto"/>
            </w:tcBorders>
          </w:tcPr>
          <w:p>
            <w:pPr>
              <w:pStyle w:val="yTable"/>
              <w:tabs>
                <w:tab w:val="left" w:pos="567"/>
                <w:tab w:val="left" w:pos="1134"/>
              </w:tabs>
              <w:ind w:left="1134" w:hanging="1134"/>
              <w:jc w:val="center"/>
              <w:rPr>
                <w:snapToGrid w:val="0"/>
                <w:sz w:val="20"/>
              </w:rPr>
            </w:pPr>
            <w:r>
              <w:rPr>
                <w:snapToGrid w:val="0"/>
                <w:sz w:val="20"/>
              </w:rPr>
              <w:t>Reason for delay</w:t>
            </w:r>
          </w:p>
        </w:tc>
      </w:tr>
      <w:tr>
        <w:trPr>
          <w:cantSplit/>
        </w:trPr>
        <w:tc>
          <w:tcPr>
            <w:tcW w:w="2434" w:type="dxa"/>
            <w:tcBorders>
              <w:top w:val="single" w:sz="4" w:space="0" w:color="auto"/>
              <w:bottom w:val="single" w:sz="4" w:space="0" w:color="auto"/>
              <w:right w:val="single" w:sz="4" w:space="0" w:color="auto"/>
            </w:tcBorders>
          </w:tcPr>
          <w:p>
            <w:pPr>
              <w:pStyle w:val="yTable"/>
              <w:tabs>
                <w:tab w:val="left" w:pos="567"/>
                <w:tab w:val="left" w:pos="1134"/>
              </w:tabs>
              <w:ind w:left="1134" w:hanging="1134"/>
              <w:jc w:val="center"/>
              <w:rPr>
                <w:snapToGrid w:val="0"/>
                <w:sz w:val="20"/>
              </w:rPr>
            </w:pPr>
          </w:p>
          <w:p>
            <w:pPr>
              <w:pStyle w:val="yTable"/>
              <w:tabs>
                <w:tab w:val="left" w:pos="567"/>
                <w:tab w:val="left" w:pos="1134"/>
              </w:tabs>
              <w:ind w:left="1134" w:hanging="1134"/>
              <w:jc w:val="center"/>
              <w:rPr>
                <w:snapToGrid w:val="0"/>
                <w:sz w:val="20"/>
              </w:rPr>
            </w:pPr>
          </w:p>
        </w:tc>
        <w:tc>
          <w:tcPr>
            <w:tcW w:w="2435" w:type="dxa"/>
            <w:tcBorders>
              <w:top w:val="single" w:sz="4" w:space="0" w:color="auto"/>
              <w:left w:val="single" w:sz="4" w:space="0" w:color="auto"/>
              <w:bottom w:val="single" w:sz="4" w:space="0" w:color="auto"/>
              <w:right w:val="single" w:sz="4" w:space="0" w:color="auto"/>
            </w:tcBorders>
          </w:tcPr>
          <w:p>
            <w:pPr>
              <w:pStyle w:val="yTable"/>
              <w:tabs>
                <w:tab w:val="left" w:pos="567"/>
                <w:tab w:val="left" w:pos="1134"/>
              </w:tabs>
              <w:ind w:left="1134" w:hanging="1134"/>
              <w:jc w:val="center"/>
              <w:rPr>
                <w:snapToGrid w:val="0"/>
                <w:sz w:val="20"/>
              </w:rPr>
            </w:pPr>
          </w:p>
        </w:tc>
        <w:tc>
          <w:tcPr>
            <w:tcW w:w="2435" w:type="dxa"/>
            <w:tcBorders>
              <w:top w:val="single" w:sz="4" w:space="0" w:color="auto"/>
              <w:left w:val="single" w:sz="4" w:space="0" w:color="auto"/>
              <w:bottom w:val="single" w:sz="4" w:space="0" w:color="auto"/>
            </w:tcBorders>
          </w:tcPr>
          <w:p>
            <w:pPr>
              <w:pStyle w:val="yTable"/>
              <w:tabs>
                <w:tab w:val="left" w:pos="567"/>
                <w:tab w:val="left" w:pos="1134"/>
              </w:tabs>
              <w:ind w:left="1134" w:hanging="1134"/>
              <w:jc w:val="center"/>
              <w:rPr>
                <w:snapToGrid w:val="0"/>
                <w:sz w:val="20"/>
              </w:rPr>
            </w:pPr>
          </w:p>
        </w:tc>
      </w:tr>
    </w:tbl>
    <w:p>
      <w:pPr>
        <w:pStyle w:val="yTable"/>
        <w:tabs>
          <w:tab w:val="left" w:pos="567"/>
          <w:tab w:val="left" w:pos="1134"/>
        </w:tabs>
        <w:spacing w:before="80"/>
        <w:ind w:left="1134" w:hanging="1134"/>
        <w:jc w:val="right"/>
        <w:rPr>
          <w:snapToGrid w:val="0"/>
          <w:sz w:val="20"/>
        </w:rPr>
      </w:pPr>
      <w:r>
        <w:rPr>
          <w:snapToGrid w:val="0"/>
          <w:sz w:val="20"/>
        </w:rPr>
        <w:t>(Signed) ………………………………………………..</w:t>
      </w:r>
    </w:p>
    <w:p>
      <w:pPr>
        <w:pStyle w:val="yTable"/>
        <w:tabs>
          <w:tab w:val="left" w:pos="567"/>
          <w:tab w:val="left" w:pos="1134"/>
        </w:tabs>
        <w:spacing w:before="0"/>
        <w:ind w:left="1134" w:hanging="1134"/>
        <w:jc w:val="right"/>
        <w:rPr>
          <w:snapToGrid w:val="0"/>
          <w:sz w:val="20"/>
        </w:rPr>
      </w:pPr>
      <w:r>
        <w:rPr>
          <w:snapToGrid w:val="0"/>
          <w:sz w:val="20"/>
        </w:rPr>
        <w:t>VETERINARY SUPERVISOR.</w:t>
      </w:r>
    </w:p>
    <w:p>
      <w:pPr>
        <w:pStyle w:val="yTable"/>
        <w:tabs>
          <w:tab w:val="left" w:pos="567"/>
          <w:tab w:val="left" w:pos="1134"/>
        </w:tabs>
        <w:spacing w:before="0"/>
        <w:ind w:left="1134" w:hanging="1134"/>
        <w:jc w:val="right"/>
        <w:rPr>
          <w:snapToGrid w:val="0"/>
          <w:sz w:val="20"/>
        </w:rPr>
      </w:pPr>
      <w:r>
        <w:rPr>
          <w:snapToGrid w:val="0"/>
          <w:sz w:val="20"/>
        </w:rPr>
        <w:t>(Signed) ………………………………………………..</w:t>
      </w:r>
    </w:p>
    <w:p>
      <w:pPr>
        <w:pStyle w:val="yTable"/>
        <w:tabs>
          <w:tab w:val="left" w:pos="567"/>
          <w:tab w:val="left" w:pos="1134"/>
        </w:tabs>
        <w:spacing w:before="0"/>
        <w:ind w:left="1134" w:hanging="1134"/>
        <w:jc w:val="right"/>
        <w:rPr>
          <w:snapToGrid w:val="0"/>
          <w:sz w:val="20"/>
        </w:rPr>
      </w:pPr>
      <w:r>
        <w:rPr>
          <w:snapToGrid w:val="0"/>
          <w:sz w:val="20"/>
        </w:rPr>
        <w:t>LICENSEE.</w:t>
      </w:r>
    </w:p>
    <w:p>
      <w:pPr>
        <w:pStyle w:val="yScheduleHeading"/>
      </w:pPr>
      <w:bookmarkStart w:id="255" w:name="_Toc170184936"/>
      <w:bookmarkStart w:id="256" w:name="_Toc170716966"/>
      <w:r>
        <w:rPr>
          <w:rStyle w:val="CharSchNo"/>
        </w:rPr>
        <w:t>Second Schedule</w:t>
      </w:r>
      <w:bookmarkEnd w:id="255"/>
      <w:bookmarkEnd w:id="256"/>
    </w:p>
    <w:p>
      <w:pPr>
        <w:pStyle w:val="yShoulderClause"/>
        <w:rPr>
          <w:snapToGrid w:val="0"/>
        </w:rPr>
      </w:pPr>
      <w:r>
        <w:rPr>
          <w:snapToGrid w:val="0"/>
        </w:rPr>
        <w:t>[Reg. 10(1)]</w:t>
      </w:r>
    </w:p>
    <w:p>
      <w:pPr>
        <w:pStyle w:val="yMiscellaneousHeading"/>
        <w:jc w:val="left"/>
        <w:rPr>
          <w:b/>
          <w:bCs/>
        </w:rPr>
      </w:pPr>
      <w:r>
        <w:rPr>
          <w:b/>
          <w:bCs/>
        </w:rPr>
        <w:t>Category 1.</w:t>
      </w:r>
    </w:p>
    <w:p>
      <w:pPr>
        <w:pStyle w:val="ySubsection"/>
      </w:pPr>
      <w:r>
        <w:tab/>
      </w:r>
      <w:r>
        <w:tab/>
        <w:t>Conditions in which the evidence for inheritance is conclusive.</w:t>
      </w:r>
    </w:p>
    <w:p>
      <w:pPr>
        <w:pStyle w:val="yIndenta"/>
      </w:pPr>
      <w:r>
        <w:tab/>
      </w:r>
      <w:r>
        <w:tab/>
        <w:t>Abnormalities of mesonephric duct development</w:t>
      </w:r>
    </w:p>
    <w:p>
      <w:pPr>
        <w:pStyle w:val="yIndenta"/>
      </w:pPr>
      <w:r>
        <w:tab/>
      </w:r>
      <w:r>
        <w:tab/>
        <w:t>Abnormalities of paramesonephric duct development (in female progeny)</w:t>
      </w:r>
    </w:p>
    <w:p>
      <w:pPr>
        <w:pStyle w:val="yIndenta"/>
      </w:pPr>
      <w:r>
        <w:tab/>
      </w:r>
      <w:r>
        <w:tab/>
        <w:t>Abortion due to lethal mutation</w:t>
      </w:r>
    </w:p>
    <w:p>
      <w:pPr>
        <w:pStyle w:val="yIndenta"/>
      </w:pPr>
      <w:r>
        <w:tab/>
      </w:r>
      <w:r>
        <w:tab/>
        <w:t>Acantholysis, familial</w:t>
      </w:r>
    </w:p>
    <w:p>
      <w:pPr>
        <w:pStyle w:val="yIndenta"/>
      </w:pPr>
      <w:r>
        <w:tab/>
      </w:r>
      <w:r>
        <w:tab/>
        <w:t>Anchondroplasia and dwarfism of all types</w:t>
      </w:r>
    </w:p>
    <w:p>
      <w:pPr>
        <w:pStyle w:val="yIndenta"/>
      </w:pPr>
      <w:r>
        <w:tab/>
      </w:r>
      <w:r>
        <w:tab/>
        <w:t>Agnathia</w:t>
      </w:r>
    </w:p>
    <w:p>
      <w:pPr>
        <w:pStyle w:val="yIndenta"/>
      </w:pPr>
      <w:r>
        <w:tab/>
      </w:r>
      <w:r>
        <w:tab/>
        <w:t>Albinism</w:t>
      </w:r>
    </w:p>
    <w:p>
      <w:pPr>
        <w:pStyle w:val="yIndenta"/>
      </w:pPr>
      <w:r>
        <w:tab/>
      </w:r>
      <w:r>
        <w:tab/>
        <w:t>Alopecia</w:t>
      </w:r>
    </w:p>
    <w:p>
      <w:pPr>
        <w:pStyle w:val="yIndenta"/>
      </w:pPr>
      <w:r>
        <w:tab/>
      </w:r>
      <w:r>
        <w:tab/>
        <w:t>Ankylosis</w:t>
      </w:r>
    </w:p>
    <w:p>
      <w:pPr>
        <w:pStyle w:val="yIndenta"/>
      </w:pPr>
      <w:r>
        <w:tab/>
      </w:r>
      <w:r>
        <w:tab/>
        <w:t>Arthrogryposis and cleft palate</w:t>
      </w:r>
    </w:p>
    <w:p>
      <w:pPr>
        <w:pStyle w:val="yIndenta"/>
      </w:pPr>
      <w:r>
        <w:tab/>
      </w:r>
      <w:r>
        <w:tab/>
        <w:t>Ataxia, neonatal with leucodysplasia</w:t>
      </w:r>
    </w:p>
    <w:p>
      <w:pPr>
        <w:pStyle w:val="yIndenta"/>
      </w:pPr>
      <w:r>
        <w:tab/>
      </w:r>
      <w:r>
        <w:tab/>
        <w:t>Brain oedema, congenital</w:t>
      </w:r>
    </w:p>
    <w:p>
      <w:pPr>
        <w:pStyle w:val="yIndenta"/>
      </w:pPr>
      <w:r>
        <w:tab/>
      </w:r>
      <w:r>
        <w:tab/>
        <w:t>Bulldog Calf</w:t>
      </w:r>
    </w:p>
    <w:p>
      <w:pPr>
        <w:pStyle w:val="yIndenta"/>
      </w:pPr>
      <w:r>
        <w:tab/>
      </w:r>
      <w:r>
        <w:tab/>
        <w:t>Cataract</w:t>
      </w:r>
    </w:p>
    <w:p>
      <w:pPr>
        <w:pStyle w:val="yIndenta"/>
      </w:pPr>
      <w:r>
        <w:tab/>
      </w:r>
      <w:r>
        <w:tab/>
        <w:t>Cerebellar hypoplasia</w:t>
      </w:r>
    </w:p>
    <w:p>
      <w:pPr>
        <w:pStyle w:val="yIndenta"/>
      </w:pPr>
      <w:r>
        <w:tab/>
      </w:r>
      <w:r>
        <w:tab/>
        <w:t>Cerebral hernia</w:t>
      </w:r>
    </w:p>
    <w:p>
      <w:pPr>
        <w:pStyle w:val="yIndenta"/>
      </w:pPr>
      <w:r>
        <w:tab/>
      </w:r>
      <w:r>
        <w:tab/>
        <w:t>Chromosomal translocation and other chromosomal abnormalities</w:t>
      </w:r>
    </w:p>
    <w:p>
      <w:pPr>
        <w:pStyle w:val="yIndenta"/>
      </w:pPr>
      <w:r>
        <w:tab/>
      </w:r>
      <w:r>
        <w:tab/>
        <w:t>Cleft palate and hair lip</w:t>
      </w:r>
    </w:p>
    <w:p>
      <w:pPr>
        <w:pStyle w:val="yIndenta"/>
      </w:pPr>
      <w:r>
        <w:tab/>
      </w:r>
      <w:r>
        <w:tab/>
        <w:t>Coloboma</w:t>
      </w:r>
    </w:p>
    <w:p>
      <w:pPr>
        <w:pStyle w:val="yIndenta"/>
      </w:pPr>
      <w:r>
        <w:tab/>
      </w:r>
      <w:r>
        <w:tab/>
        <w:t>Convulsions and ataxia, familial</w:t>
      </w:r>
    </w:p>
    <w:p>
      <w:pPr>
        <w:pStyle w:val="yIndenta"/>
      </w:pPr>
      <w:r>
        <w:tab/>
      </w:r>
      <w:r>
        <w:tab/>
        <w:t>Cryptorchidism</w:t>
      </w:r>
    </w:p>
    <w:p>
      <w:pPr>
        <w:pStyle w:val="yIndenta"/>
      </w:pPr>
      <w:r>
        <w:tab/>
      </w:r>
      <w:r>
        <w:tab/>
        <w:t>Cystic ovaries (in female progeny)</w:t>
      </w:r>
    </w:p>
    <w:p>
      <w:pPr>
        <w:pStyle w:val="yIndenta"/>
      </w:pPr>
      <w:r>
        <w:tab/>
      </w:r>
      <w:r>
        <w:tab/>
        <w:t>Dermal aplasia</w:t>
      </w:r>
    </w:p>
    <w:p>
      <w:pPr>
        <w:pStyle w:val="yIndenta"/>
      </w:pPr>
      <w:r>
        <w:tab/>
      </w:r>
      <w:r>
        <w:tab/>
        <w:t>Dropsy, congenital</w:t>
      </w:r>
    </w:p>
    <w:p>
      <w:pPr>
        <w:pStyle w:val="yIndenta"/>
      </w:pPr>
      <w:r>
        <w:tab/>
      </w:r>
      <w:r>
        <w:tab/>
        <w:t>Dystocia, high incidence in female progeny</w:t>
      </w:r>
    </w:p>
    <w:p>
      <w:pPr>
        <w:pStyle w:val="yIndenta"/>
      </w:pPr>
      <w:r>
        <w:tab/>
      </w:r>
      <w:r>
        <w:tab/>
        <w:t>Ectromelia</w:t>
      </w:r>
    </w:p>
    <w:p>
      <w:pPr>
        <w:pStyle w:val="yIndenta"/>
      </w:pPr>
      <w:r>
        <w:tab/>
      </w:r>
      <w:r>
        <w:tab/>
        <w:t>Epilepsy</w:t>
      </w:r>
    </w:p>
    <w:p>
      <w:pPr>
        <w:pStyle w:val="yIndenta"/>
      </w:pPr>
      <w:r>
        <w:tab/>
      </w:r>
      <w:r>
        <w:tab/>
        <w:t>Epitheliogenesis imperfecta</w:t>
      </w:r>
    </w:p>
    <w:p>
      <w:pPr>
        <w:pStyle w:val="yIndenta"/>
      </w:pPr>
      <w:r>
        <w:tab/>
      </w:r>
      <w:r>
        <w:tab/>
        <w:t>Exophthalmos with strabismus</w:t>
      </w:r>
    </w:p>
    <w:p>
      <w:pPr>
        <w:pStyle w:val="yIndenta"/>
      </w:pPr>
      <w:r>
        <w:tab/>
      </w:r>
      <w:r>
        <w:tab/>
        <w:t>Gestation, prolonged</w:t>
      </w:r>
    </w:p>
    <w:p>
      <w:pPr>
        <w:pStyle w:val="yIndenta"/>
      </w:pPr>
      <w:r>
        <w:tab/>
      </w:r>
      <w:r>
        <w:tab/>
        <w:t>Hermaphroditism</w:t>
      </w:r>
    </w:p>
    <w:p>
      <w:pPr>
        <w:pStyle w:val="yIndenta"/>
      </w:pPr>
      <w:r>
        <w:tab/>
      </w:r>
      <w:r>
        <w:tab/>
        <w:t>Hip dysplasia and degenerative arthropathy</w:t>
      </w:r>
    </w:p>
    <w:p>
      <w:pPr>
        <w:pStyle w:val="yIndenta"/>
      </w:pPr>
      <w:r>
        <w:tab/>
      </w:r>
      <w:r>
        <w:tab/>
        <w:t>Hydrocephalus</w:t>
      </w:r>
    </w:p>
    <w:p>
      <w:pPr>
        <w:pStyle w:val="yIndenta"/>
      </w:pPr>
      <w:r>
        <w:tab/>
      </w:r>
      <w:r>
        <w:tab/>
        <w:t>Hypotrichosis</w:t>
      </w:r>
    </w:p>
    <w:p>
      <w:pPr>
        <w:pStyle w:val="yIndenta"/>
      </w:pPr>
      <w:r>
        <w:tab/>
      </w:r>
      <w:r>
        <w:tab/>
        <w:t>Ichthyosis</w:t>
      </w:r>
    </w:p>
    <w:p>
      <w:pPr>
        <w:pStyle w:val="yIndenta"/>
      </w:pPr>
      <w:r>
        <w:tab/>
      </w:r>
      <w:r>
        <w:tab/>
        <w:t>Inability to serve, specific defects</w:t>
      </w:r>
    </w:p>
    <w:p>
      <w:pPr>
        <w:pStyle w:val="yIndenta"/>
      </w:pPr>
      <w:r>
        <w:tab/>
      </w:r>
      <w:r>
        <w:tab/>
        <w:t>Inguinal hernia</w:t>
      </w:r>
    </w:p>
    <w:p>
      <w:pPr>
        <w:pStyle w:val="yIndenta"/>
      </w:pPr>
      <w:r>
        <w:tab/>
      </w:r>
      <w:r>
        <w:tab/>
        <w:t>Libido, primary lack of or reduced</w:t>
      </w:r>
    </w:p>
    <w:p>
      <w:pPr>
        <w:pStyle w:val="yIndenta"/>
      </w:pPr>
      <w:r>
        <w:tab/>
      </w:r>
      <w:r>
        <w:tab/>
        <w:t>Lymphatic obstruction</w:t>
      </w:r>
    </w:p>
    <w:p>
      <w:pPr>
        <w:pStyle w:val="yIndenta"/>
      </w:pPr>
      <w:r>
        <w:tab/>
      </w:r>
      <w:r>
        <w:tab/>
        <w:t>Mannosidosis (pseudolipidosis)</w:t>
      </w:r>
    </w:p>
    <w:p>
      <w:pPr>
        <w:pStyle w:val="yIndenta"/>
      </w:pPr>
      <w:r>
        <w:tab/>
      </w:r>
      <w:r>
        <w:tab/>
        <w:t>Microencephaly</w:t>
      </w:r>
    </w:p>
    <w:p>
      <w:pPr>
        <w:pStyle w:val="yIndenta"/>
      </w:pPr>
      <w:r>
        <w:tab/>
      </w:r>
      <w:r>
        <w:tab/>
        <w:t>Muscular hypertrophy, double muscling</w:t>
      </w:r>
    </w:p>
    <w:p>
      <w:pPr>
        <w:pStyle w:val="yIndenta"/>
      </w:pPr>
      <w:r>
        <w:tab/>
      </w:r>
      <w:r>
        <w:tab/>
        <w:t>Ocular defects, multiple</w:t>
      </w:r>
    </w:p>
    <w:p>
      <w:pPr>
        <w:pStyle w:val="yIndenta"/>
      </w:pPr>
      <w:r>
        <w:tab/>
      </w:r>
      <w:r>
        <w:tab/>
        <w:t>Osteopetrosis</w:t>
      </w:r>
    </w:p>
    <w:p>
      <w:pPr>
        <w:pStyle w:val="yIndenta"/>
      </w:pPr>
      <w:r>
        <w:tab/>
      </w:r>
      <w:r>
        <w:tab/>
        <w:t>Ovarian hypoplasia (in female progeny)</w:t>
      </w:r>
    </w:p>
    <w:p>
      <w:pPr>
        <w:pStyle w:val="yIndenta"/>
      </w:pPr>
      <w:r>
        <w:tab/>
      </w:r>
      <w:r>
        <w:tab/>
        <w:t>Paresis</w:t>
      </w:r>
    </w:p>
    <w:p>
      <w:pPr>
        <w:pStyle w:val="yIndenta"/>
      </w:pPr>
      <w:r>
        <w:tab/>
      </w:r>
      <w:r>
        <w:tab/>
        <w:t>Penis, short</w:t>
      </w:r>
    </w:p>
    <w:p>
      <w:pPr>
        <w:pStyle w:val="yIndenta"/>
      </w:pPr>
      <w:r>
        <w:tab/>
      </w:r>
      <w:r>
        <w:tab/>
        <w:t>Periodic Spasticity</w:t>
      </w:r>
    </w:p>
    <w:p>
      <w:pPr>
        <w:pStyle w:val="yIndenta"/>
      </w:pPr>
      <w:r>
        <w:tab/>
      </w:r>
      <w:r>
        <w:tab/>
        <w:t>Polydactylism</w:t>
      </w:r>
    </w:p>
    <w:p>
      <w:pPr>
        <w:pStyle w:val="yIndenta"/>
      </w:pPr>
      <w:r>
        <w:tab/>
      </w:r>
      <w:r>
        <w:tab/>
        <w:t>Porphyria</w:t>
      </w:r>
    </w:p>
    <w:p>
      <w:pPr>
        <w:pStyle w:val="yIndenta"/>
      </w:pPr>
      <w:r>
        <w:tab/>
      </w:r>
      <w:r>
        <w:tab/>
        <w:t>Posterior paralysis</w:t>
      </w:r>
    </w:p>
    <w:p>
      <w:pPr>
        <w:pStyle w:val="yIndenta"/>
      </w:pPr>
      <w:r>
        <w:tab/>
      </w:r>
      <w:r>
        <w:tab/>
        <w:t>Probatocephalie (Sheeps Head)</w:t>
      </w:r>
    </w:p>
    <w:p>
      <w:pPr>
        <w:pStyle w:val="yIndenta"/>
      </w:pPr>
      <w:r>
        <w:tab/>
      </w:r>
      <w:r>
        <w:tab/>
        <w:t>Prognathism</w:t>
      </w:r>
    </w:p>
    <w:p>
      <w:pPr>
        <w:pStyle w:val="yIndenta"/>
      </w:pPr>
      <w:r>
        <w:tab/>
      </w:r>
      <w:r>
        <w:tab/>
        <w:t>Spasms, congenital</w:t>
      </w:r>
    </w:p>
    <w:p>
      <w:pPr>
        <w:pStyle w:val="yIndenta"/>
      </w:pPr>
      <w:r>
        <w:tab/>
      </w:r>
      <w:r>
        <w:tab/>
        <w:t>Sperm, specific morphological defects</w:t>
      </w:r>
    </w:p>
    <w:p>
      <w:pPr>
        <w:pStyle w:val="yIndenta"/>
      </w:pPr>
      <w:r>
        <w:tab/>
      </w:r>
      <w:r>
        <w:tab/>
        <w:t>Spermiostasis</w:t>
      </w:r>
    </w:p>
    <w:p>
      <w:pPr>
        <w:pStyle w:val="yIndenta"/>
      </w:pPr>
      <w:r>
        <w:tab/>
      </w:r>
      <w:r>
        <w:tab/>
        <w:t>Spondylarthrosis, deforming</w:t>
      </w:r>
    </w:p>
    <w:p>
      <w:pPr>
        <w:pStyle w:val="yIndenta"/>
      </w:pPr>
      <w:r>
        <w:tab/>
      </w:r>
      <w:r>
        <w:tab/>
        <w:t>Syndactylism</w:t>
      </w:r>
    </w:p>
    <w:p>
      <w:pPr>
        <w:pStyle w:val="yIndenta"/>
      </w:pPr>
      <w:r>
        <w:tab/>
      </w:r>
      <w:r>
        <w:tab/>
        <w:t>Tail defects</w:t>
      </w:r>
    </w:p>
    <w:p>
      <w:pPr>
        <w:pStyle w:val="yIndenta"/>
      </w:pPr>
      <w:r>
        <w:tab/>
      </w:r>
      <w:r>
        <w:tab/>
        <w:t>Tendon contracture, multiple</w:t>
      </w:r>
    </w:p>
    <w:p>
      <w:pPr>
        <w:pStyle w:val="yIndenta"/>
      </w:pPr>
      <w:r>
        <w:tab/>
      </w:r>
      <w:r>
        <w:tab/>
        <w:t>Umbilical hernia</w:t>
      </w:r>
    </w:p>
    <w:p>
      <w:pPr>
        <w:pStyle w:val="yMiscellaneousHeading"/>
        <w:jc w:val="left"/>
        <w:rPr>
          <w:b/>
          <w:bCs/>
        </w:rPr>
      </w:pPr>
      <w:r>
        <w:rPr>
          <w:b/>
          <w:bCs/>
        </w:rPr>
        <w:t>Category 2.</w:t>
      </w:r>
    </w:p>
    <w:p>
      <w:pPr>
        <w:pStyle w:val="ySubsection"/>
      </w:pPr>
      <w:r>
        <w:tab/>
      </w:r>
      <w:r>
        <w:tab/>
        <w:t>Conditions in which the evidence for inheritance is not conclusive:</w:t>
      </w:r>
    </w:p>
    <w:p>
      <w:pPr>
        <w:pStyle w:val="yIndenta"/>
      </w:pPr>
      <w:r>
        <w:tab/>
      </w:r>
      <w:r>
        <w:tab/>
        <w:t>Pendulous prepuce and preputial prolapse</w:t>
      </w:r>
    </w:p>
    <w:p>
      <w:pPr>
        <w:pStyle w:val="yIndenta"/>
      </w:pPr>
      <w:r>
        <w:tab/>
      </w:r>
      <w:r>
        <w:tab/>
        <w:t>Penile deviations</w:t>
      </w:r>
    </w:p>
    <w:p>
      <w:pPr>
        <w:pStyle w:val="yIndenta"/>
      </w:pPr>
      <w:r>
        <w:tab/>
      </w:r>
      <w:r>
        <w:tab/>
        <w:t>Persistent frenulum of penis</w:t>
      </w:r>
    </w:p>
    <w:p>
      <w:pPr>
        <w:pStyle w:val="yIndenta"/>
      </w:pPr>
      <w:r>
        <w:tab/>
      </w:r>
      <w:r>
        <w:tab/>
        <w:t>Spondylitis and other forms of degenerative arthropathy</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257" w:name="_Toc170184937"/>
      <w:bookmarkStart w:id="258" w:name="_Toc170716967"/>
      <w:r>
        <w:t>Notes</w:t>
      </w:r>
      <w:bookmarkEnd w:id="257"/>
      <w:bookmarkEnd w:id="258"/>
    </w:p>
    <w:p>
      <w:pPr>
        <w:pStyle w:val="nSubsection"/>
      </w:pPr>
      <w:r>
        <w:rPr>
          <w:vertAlign w:val="superscript"/>
        </w:rPr>
        <w:t>1</w:t>
      </w:r>
      <w:r>
        <w:tab/>
        <w:t xml:space="preserve">This is a compilation of the </w:t>
      </w:r>
      <w:r>
        <w:rPr>
          <w:i/>
        </w:rPr>
        <w:t>Artificial Breeding (Cattle) Regulations 1978</w:t>
      </w:r>
      <w:r>
        <w:t xml:space="preserve"> and includes the amendments</w:t>
      </w:r>
      <w:r>
        <w:rPr>
          <w:snapToGrid w:val="0"/>
        </w:rPr>
        <w:t xml:space="preserve"> </w:t>
      </w:r>
      <w:ins w:id="259" w:author="Master Repository Process" w:date="2021-07-31T07:53:00Z">
        <w:r>
          <w:rPr>
            <w:snapToGrid w:val="0"/>
          </w:rPr>
          <w:t xml:space="preserve">made by the other written laws </w:t>
        </w:r>
      </w:ins>
      <w:r>
        <w:rPr>
          <w:snapToGrid w:val="0"/>
        </w:rPr>
        <w:t>referred to in the following</w:t>
      </w:r>
      <w:del w:id="260" w:author="Master Repository Process" w:date="2021-07-31T07:53:00Z">
        <w:r>
          <w:delText> </w:delText>
        </w:r>
      </w:del>
      <w:ins w:id="261" w:author="Master Repository Process" w:date="2021-07-31T07:53:00Z">
        <w:r>
          <w:rPr>
            <w:snapToGrid w:val="0"/>
          </w:rPr>
          <w:t xml:space="preserve"> </w:t>
        </w:r>
      </w:ins>
      <w:r>
        <w:rPr>
          <w:snapToGrid w:val="0"/>
        </w:rPr>
        <w:t>table</w:t>
      </w:r>
      <w:r>
        <w:t>.</w:t>
      </w:r>
    </w:p>
    <w:p>
      <w:pPr>
        <w:pStyle w:val="nHeading3"/>
      </w:pPr>
      <w:bookmarkStart w:id="262" w:name="_Toc170716968"/>
      <w:r>
        <w:t>Compilation table</w:t>
      </w:r>
      <w:bookmarkEnd w:id="26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1191"/>
        <w:gridCol w:w="1502"/>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c>
          <w:tcPr>
            <w:tcW w:w="1502" w:type="dxa"/>
            <w:tcBorders>
              <w:top w:val="single" w:sz="12" w:space="0" w:color="auto"/>
              <w:bottom w:val="single" w:sz="12" w:space="0" w:color="auto"/>
            </w:tcBorders>
            <w:cellDel w:id="263" w:author="Master Repository Process" w:date="2021-07-31T07:53:00Z"/>
          </w:tcPr>
          <w:p>
            <w:pPr>
              <w:pStyle w:val="nTable"/>
              <w:spacing w:before="60" w:after="60"/>
              <w:rPr>
                <w:b/>
                <w:sz w:val="19"/>
              </w:rPr>
            </w:pPr>
            <w:del w:id="264" w:author="Master Repository Process" w:date="2021-07-31T07:53:00Z">
              <w:r>
                <w:rPr>
                  <w:b/>
                  <w:sz w:val="19"/>
                </w:rPr>
                <w:delText>Miscellaneous</w:delText>
              </w:r>
            </w:del>
          </w:p>
        </w:tc>
      </w:tr>
      <w:tr>
        <w:trPr>
          <w:cantSplit/>
        </w:trPr>
        <w:tc>
          <w:tcPr>
            <w:tcW w:w="3118" w:type="dxa"/>
          </w:tcPr>
          <w:p>
            <w:pPr>
              <w:pStyle w:val="nTable"/>
              <w:spacing w:after="40"/>
              <w:ind w:right="113"/>
              <w:rPr>
                <w:sz w:val="19"/>
              </w:rPr>
            </w:pPr>
            <w:r>
              <w:rPr>
                <w:i/>
                <w:sz w:val="19"/>
              </w:rPr>
              <w:t>Artificial Breeding (Cattle) Regulations 1978</w:t>
            </w:r>
          </w:p>
        </w:tc>
        <w:tc>
          <w:tcPr>
            <w:tcW w:w="1276" w:type="dxa"/>
          </w:tcPr>
          <w:p>
            <w:pPr>
              <w:pStyle w:val="nTable"/>
              <w:spacing w:after="40"/>
              <w:rPr>
                <w:sz w:val="19"/>
              </w:rPr>
            </w:pPr>
            <w:r>
              <w:rPr>
                <w:sz w:val="19"/>
              </w:rPr>
              <w:t>26 January 1979 pp.240</w:t>
            </w:r>
            <w:r>
              <w:rPr>
                <w:sz w:val="19"/>
              </w:rPr>
              <w:noBreakHyphen/>
              <w:t>58</w:t>
            </w:r>
          </w:p>
        </w:tc>
        <w:tc>
          <w:tcPr>
            <w:tcW w:w="2693" w:type="dxa"/>
          </w:tcPr>
          <w:p>
            <w:pPr>
              <w:pStyle w:val="nTable"/>
              <w:spacing w:after="40"/>
              <w:rPr>
                <w:sz w:val="19"/>
              </w:rPr>
            </w:pPr>
            <w:r>
              <w:rPr>
                <w:sz w:val="19"/>
              </w:rPr>
              <w:t>26 January 1979</w:t>
            </w:r>
          </w:p>
        </w:tc>
        <w:tc>
          <w:tcPr>
            <w:tcW w:w="1502" w:type="dxa"/>
            <w:cellDel w:id="265" w:author="Master Repository Process" w:date="2021-07-31T07:53:00Z"/>
          </w:tcPr>
          <w:p>
            <w:pPr>
              <w:pStyle w:val="nTable"/>
              <w:spacing w:before="120"/>
              <w:rPr>
                <w:sz w:val="19"/>
              </w:rPr>
            </w:pPr>
          </w:p>
        </w:tc>
      </w:tr>
      <w:tr>
        <w:trPr>
          <w:cantSplit/>
        </w:trPr>
        <w:tc>
          <w:tcPr>
            <w:tcW w:w="3118" w:type="dxa"/>
          </w:tcPr>
          <w:p>
            <w:pPr>
              <w:pStyle w:val="nTable"/>
              <w:spacing w:after="40"/>
              <w:ind w:right="113"/>
              <w:rPr>
                <w:i/>
                <w:sz w:val="19"/>
              </w:rPr>
            </w:pPr>
          </w:p>
        </w:tc>
        <w:tc>
          <w:tcPr>
            <w:tcW w:w="1276" w:type="dxa"/>
          </w:tcPr>
          <w:p>
            <w:pPr>
              <w:pStyle w:val="nTable"/>
              <w:spacing w:after="40"/>
              <w:rPr>
                <w:sz w:val="19"/>
              </w:rPr>
            </w:pPr>
            <w:r>
              <w:rPr>
                <w:sz w:val="19"/>
              </w:rPr>
              <w:t>24 August 1979 p.2581</w:t>
            </w:r>
          </w:p>
        </w:tc>
        <w:tc>
          <w:tcPr>
            <w:tcW w:w="2693" w:type="dxa"/>
          </w:tcPr>
          <w:p>
            <w:pPr>
              <w:pStyle w:val="nTable"/>
              <w:spacing w:after="40"/>
              <w:rPr>
                <w:sz w:val="19"/>
              </w:rPr>
            </w:pPr>
            <w:r>
              <w:rPr>
                <w:sz w:val="19"/>
              </w:rPr>
              <w:t>24 August 1979</w:t>
            </w:r>
          </w:p>
        </w:tc>
        <w:tc>
          <w:tcPr>
            <w:tcW w:w="1502" w:type="dxa"/>
            <w:cellDel w:id="266" w:author="Master Repository Process" w:date="2021-07-31T07:53:00Z"/>
          </w:tcPr>
          <w:p>
            <w:pPr>
              <w:pStyle w:val="nTable"/>
              <w:spacing w:before="120"/>
              <w:rPr>
                <w:sz w:val="19"/>
              </w:rPr>
            </w:pPr>
          </w:p>
        </w:tc>
      </w:tr>
      <w:tr>
        <w:trPr>
          <w:cantSplit/>
        </w:trPr>
        <w:tc>
          <w:tcPr>
            <w:tcW w:w="3118" w:type="dxa"/>
          </w:tcPr>
          <w:p>
            <w:pPr>
              <w:pStyle w:val="nTable"/>
              <w:spacing w:after="40"/>
              <w:ind w:right="113"/>
              <w:rPr>
                <w:sz w:val="19"/>
              </w:rPr>
            </w:pPr>
          </w:p>
        </w:tc>
        <w:tc>
          <w:tcPr>
            <w:tcW w:w="1276" w:type="dxa"/>
          </w:tcPr>
          <w:p>
            <w:pPr>
              <w:pStyle w:val="nTable"/>
              <w:spacing w:after="40"/>
              <w:rPr>
                <w:sz w:val="19"/>
              </w:rPr>
            </w:pPr>
            <w:r>
              <w:rPr>
                <w:sz w:val="19"/>
              </w:rPr>
              <w:t xml:space="preserve">18 July 1980 </w:t>
            </w:r>
            <w:r>
              <w:rPr>
                <w:sz w:val="19"/>
              </w:rPr>
              <w:br/>
              <w:t>p.2436</w:t>
            </w:r>
          </w:p>
        </w:tc>
        <w:tc>
          <w:tcPr>
            <w:tcW w:w="2693" w:type="dxa"/>
          </w:tcPr>
          <w:p>
            <w:pPr>
              <w:pStyle w:val="nTable"/>
              <w:spacing w:after="40"/>
              <w:rPr>
                <w:sz w:val="19"/>
              </w:rPr>
            </w:pPr>
            <w:r>
              <w:rPr>
                <w:sz w:val="19"/>
              </w:rPr>
              <w:t>18 July 1980</w:t>
            </w:r>
          </w:p>
        </w:tc>
        <w:tc>
          <w:tcPr>
            <w:tcW w:w="1502" w:type="dxa"/>
            <w:cellDel w:id="267" w:author="Master Repository Process" w:date="2021-07-31T07:53:00Z"/>
          </w:tcPr>
          <w:p>
            <w:pPr>
              <w:pStyle w:val="nTable"/>
              <w:spacing w:before="120"/>
              <w:rPr>
                <w:sz w:val="19"/>
              </w:rPr>
            </w:pPr>
          </w:p>
        </w:tc>
      </w:tr>
      <w:tr>
        <w:trPr>
          <w:cantSplit/>
        </w:trPr>
        <w:tc>
          <w:tcPr>
            <w:tcW w:w="3118" w:type="dxa"/>
          </w:tcPr>
          <w:p>
            <w:pPr>
              <w:pStyle w:val="nTable"/>
              <w:spacing w:after="40"/>
              <w:ind w:right="113"/>
              <w:rPr>
                <w:i/>
                <w:sz w:val="19"/>
              </w:rPr>
            </w:pPr>
            <w:r>
              <w:rPr>
                <w:i/>
                <w:sz w:val="19"/>
              </w:rPr>
              <w:t>Artificial Breeding (Cattle) Amendment Regulations 1981</w:t>
            </w:r>
          </w:p>
        </w:tc>
        <w:tc>
          <w:tcPr>
            <w:tcW w:w="1276" w:type="dxa"/>
          </w:tcPr>
          <w:p>
            <w:pPr>
              <w:pStyle w:val="nTable"/>
              <w:spacing w:after="40"/>
              <w:rPr>
                <w:sz w:val="19"/>
              </w:rPr>
            </w:pPr>
            <w:r>
              <w:rPr>
                <w:sz w:val="19"/>
              </w:rPr>
              <w:t>28 August 1981 p.3591</w:t>
            </w:r>
          </w:p>
        </w:tc>
        <w:tc>
          <w:tcPr>
            <w:tcW w:w="2693" w:type="dxa"/>
          </w:tcPr>
          <w:p>
            <w:pPr>
              <w:pStyle w:val="nTable"/>
              <w:spacing w:after="40"/>
              <w:rPr>
                <w:sz w:val="19"/>
              </w:rPr>
            </w:pPr>
            <w:r>
              <w:rPr>
                <w:sz w:val="19"/>
              </w:rPr>
              <w:t>1 September 1981</w:t>
            </w:r>
            <w:r>
              <w:rPr>
                <w:sz w:val="19"/>
              </w:rPr>
              <w:br/>
              <w:t>(see regulation 2)</w:t>
            </w:r>
          </w:p>
        </w:tc>
        <w:tc>
          <w:tcPr>
            <w:tcW w:w="1502" w:type="dxa"/>
            <w:cellDel w:id="268" w:author="Master Repository Process" w:date="2021-07-31T07:53:00Z"/>
          </w:tcPr>
          <w:p>
            <w:pPr>
              <w:pStyle w:val="nTable"/>
              <w:spacing w:before="120"/>
              <w:rPr>
                <w:sz w:val="19"/>
              </w:rPr>
            </w:pPr>
          </w:p>
        </w:tc>
      </w:tr>
      <w:tr>
        <w:trPr>
          <w:cantSplit/>
        </w:trPr>
        <w:tc>
          <w:tcPr>
            <w:tcW w:w="3118" w:type="dxa"/>
          </w:tcPr>
          <w:p>
            <w:pPr>
              <w:pStyle w:val="nTable"/>
              <w:spacing w:after="40"/>
              <w:ind w:right="113"/>
              <w:rPr>
                <w:sz w:val="19"/>
              </w:rPr>
            </w:pPr>
            <w:r>
              <w:rPr>
                <w:i/>
                <w:sz w:val="19"/>
              </w:rPr>
              <w:t>Artificial Breeding (Cattle) Amendment Regulations 1983</w:t>
            </w:r>
          </w:p>
        </w:tc>
        <w:tc>
          <w:tcPr>
            <w:tcW w:w="1276" w:type="dxa"/>
          </w:tcPr>
          <w:p>
            <w:pPr>
              <w:pStyle w:val="nTable"/>
              <w:spacing w:after="40"/>
              <w:rPr>
                <w:sz w:val="19"/>
              </w:rPr>
            </w:pPr>
            <w:r>
              <w:rPr>
                <w:sz w:val="19"/>
              </w:rPr>
              <w:t>12 August 1983 p.2956</w:t>
            </w:r>
          </w:p>
        </w:tc>
        <w:tc>
          <w:tcPr>
            <w:tcW w:w="2693" w:type="dxa"/>
          </w:tcPr>
          <w:p>
            <w:pPr>
              <w:pStyle w:val="nTable"/>
              <w:spacing w:after="40"/>
              <w:rPr>
                <w:sz w:val="19"/>
              </w:rPr>
            </w:pPr>
            <w:r>
              <w:rPr>
                <w:sz w:val="19"/>
              </w:rPr>
              <w:t>1 September 1983</w:t>
            </w:r>
            <w:r>
              <w:rPr>
                <w:sz w:val="19"/>
              </w:rPr>
              <w:br/>
              <w:t>(see regulation 2)</w:t>
            </w:r>
          </w:p>
        </w:tc>
        <w:tc>
          <w:tcPr>
            <w:tcW w:w="1502" w:type="dxa"/>
            <w:cellDel w:id="269" w:author="Master Repository Process" w:date="2021-07-31T07:53:00Z"/>
          </w:tcPr>
          <w:p>
            <w:pPr>
              <w:pStyle w:val="nTable"/>
              <w:spacing w:before="120"/>
              <w:rPr>
                <w:sz w:val="19"/>
              </w:rPr>
            </w:pPr>
          </w:p>
        </w:tc>
      </w:tr>
      <w:tr>
        <w:trPr>
          <w:cantSplit/>
        </w:trPr>
        <w:tc>
          <w:tcPr>
            <w:tcW w:w="3118" w:type="dxa"/>
          </w:tcPr>
          <w:p>
            <w:pPr>
              <w:pStyle w:val="nTable"/>
              <w:spacing w:after="40"/>
              <w:ind w:right="113"/>
              <w:rPr>
                <w:sz w:val="19"/>
              </w:rPr>
            </w:pPr>
            <w:r>
              <w:rPr>
                <w:i/>
                <w:sz w:val="19"/>
              </w:rPr>
              <w:t>Artificial Breeding (Cattle) Amendment Regulations 1985</w:t>
            </w:r>
          </w:p>
        </w:tc>
        <w:tc>
          <w:tcPr>
            <w:tcW w:w="1276" w:type="dxa"/>
          </w:tcPr>
          <w:p>
            <w:pPr>
              <w:pStyle w:val="nTable"/>
              <w:spacing w:after="40"/>
              <w:rPr>
                <w:sz w:val="19"/>
              </w:rPr>
            </w:pPr>
            <w:r>
              <w:rPr>
                <w:sz w:val="19"/>
              </w:rPr>
              <w:t xml:space="preserve">3 May 1985 </w:t>
            </w:r>
            <w:r>
              <w:rPr>
                <w:sz w:val="19"/>
              </w:rPr>
              <w:br/>
              <w:t>p.1590</w:t>
            </w:r>
          </w:p>
        </w:tc>
        <w:tc>
          <w:tcPr>
            <w:tcW w:w="2693" w:type="dxa"/>
          </w:tcPr>
          <w:p>
            <w:pPr>
              <w:pStyle w:val="nTable"/>
              <w:spacing w:after="40"/>
              <w:rPr>
                <w:sz w:val="19"/>
              </w:rPr>
            </w:pPr>
            <w:r>
              <w:rPr>
                <w:sz w:val="19"/>
              </w:rPr>
              <w:t>1 July 1985</w:t>
            </w:r>
            <w:r>
              <w:rPr>
                <w:sz w:val="19"/>
              </w:rPr>
              <w:br/>
              <w:t>(see regulation 2)</w:t>
            </w:r>
          </w:p>
        </w:tc>
        <w:tc>
          <w:tcPr>
            <w:tcW w:w="1502" w:type="dxa"/>
            <w:cellDel w:id="270" w:author="Master Repository Process" w:date="2021-07-31T07:53:00Z"/>
          </w:tcPr>
          <w:p>
            <w:pPr>
              <w:pStyle w:val="nTable"/>
              <w:spacing w:before="120"/>
              <w:rPr>
                <w:sz w:val="19"/>
              </w:rPr>
            </w:pPr>
          </w:p>
        </w:tc>
      </w:tr>
      <w:tr>
        <w:trPr>
          <w:cantSplit/>
        </w:trPr>
        <w:tc>
          <w:tcPr>
            <w:tcW w:w="3118" w:type="dxa"/>
          </w:tcPr>
          <w:p>
            <w:pPr>
              <w:pStyle w:val="nTable"/>
              <w:spacing w:after="40"/>
              <w:ind w:right="113"/>
              <w:rPr>
                <w:sz w:val="19"/>
              </w:rPr>
            </w:pPr>
            <w:r>
              <w:rPr>
                <w:i/>
                <w:sz w:val="19"/>
              </w:rPr>
              <w:t>Artificial Breeding of Stock (Fees) Amendment Regulations 1986</w:t>
            </w:r>
            <w:r>
              <w:rPr>
                <w:sz w:val="19"/>
              </w:rPr>
              <w:t>,</w:t>
            </w:r>
            <w:r>
              <w:rPr>
                <w:sz w:val="19"/>
              </w:rPr>
              <w:br/>
              <w:t>Part V</w:t>
            </w:r>
          </w:p>
        </w:tc>
        <w:tc>
          <w:tcPr>
            <w:tcW w:w="1276" w:type="dxa"/>
          </w:tcPr>
          <w:p>
            <w:pPr>
              <w:pStyle w:val="nTable"/>
              <w:spacing w:after="40"/>
              <w:rPr>
                <w:sz w:val="19"/>
              </w:rPr>
            </w:pPr>
            <w:r>
              <w:rPr>
                <w:sz w:val="19"/>
              </w:rPr>
              <w:t xml:space="preserve">27 June 1986 </w:t>
            </w:r>
            <w:r>
              <w:rPr>
                <w:sz w:val="19"/>
              </w:rPr>
              <w:br/>
              <w:t>p.2221</w:t>
            </w:r>
          </w:p>
        </w:tc>
        <w:tc>
          <w:tcPr>
            <w:tcW w:w="2693" w:type="dxa"/>
          </w:tcPr>
          <w:p>
            <w:pPr>
              <w:pStyle w:val="nTable"/>
              <w:spacing w:after="40"/>
              <w:rPr>
                <w:sz w:val="19"/>
              </w:rPr>
            </w:pPr>
            <w:r>
              <w:rPr>
                <w:sz w:val="19"/>
              </w:rPr>
              <w:t>1 July 1986</w:t>
            </w:r>
            <w:r>
              <w:rPr>
                <w:sz w:val="19"/>
              </w:rPr>
              <w:br/>
              <w:t>(see regulation 2)</w:t>
            </w:r>
          </w:p>
        </w:tc>
        <w:tc>
          <w:tcPr>
            <w:tcW w:w="1502" w:type="dxa"/>
            <w:cellDel w:id="271" w:author="Master Repository Process" w:date="2021-07-31T07:53:00Z"/>
          </w:tcPr>
          <w:p>
            <w:pPr>
              <w:pStyle w:val="nTable"/>
              <w:spacing w:before="120"/>
              <w:rPr>
                <w:sz w:val="19"/>
              </w:rPr>
            </w:pPr>
          </w:p>
        </w:tc>
      </w:tr>
      <w:tr>
        <w:trPr>
          <w:cantSplit/>
        </w:trPr>
        <w:tc>
          <w:tcPr>
            <w:tcW w:w="3118" w:type="dxa"/>
          </w:tcPr>
          <w:p>
            <w:pPr>
              <w:pStyle w:val="nTable"/>
              <w:spacing w:after="40"/>
              <w:ind w:right="113"/>
              <w:rPr>
                <w:sz w:val="19"/>
              </w:rPr>
            </w:pPr>
            <w:r>
              <w:rPr>
                <w:i/>
                <w:sz w:val="19"/>
              </w:rPr>
              <w:t>Artificial Breeding of Stock Amendment Regulations 1987</w:t>
            </w:r>
            <w:r>
              <w:rPr>
                <w:sz w:val="19"/>
              </w:rPr>
              <w:t>,</w:t>
            </w:r>
            <w:r>
              <w:rPr>
                <w:sz w:val="19"/>
              </w:rPr>
              <w:br/>
              <w:t>Part II</w:t>
            </w:r>
          </w:p>
        </w:tc>
        <w:tc>
          <w:tcPr>
            <w:tcW w:w="1276" w:type="dxa"/>
          </w:tcPr>
          <w:p>
            <w:pPr>
              <w:pStyle w:val="nTable"/>
              <w:spacing w:after="40"/>
              <w:rPr>
                <w:sz w:val="19"/>
              </w:rPr>
            </w:pPr>
            <w:r>
              <w:rPr>
                <w:sz w:val="19"/>
              </w:rPr>
              <w:t>16 October 1987 p.3925</w:t>
            </w:r>
          </w:p>
        </w:tc>
        <w:tc>
          <w:tcPr>
            <w:tcW w:w="2693" w:type="dxa"/>
          </w:tcPr>
          <w:p>
            <w:pPr>
              <w:pStyle w:val="nTable"/>
              <w:spacing w:after="40"/>
              <w:rPr>
                <w:sz w:val="19"/>
              </w:rPr>
            </w:pPr>
            <w:r>
              <w:rPr>
                <w:sz w:val="19"/>
              </w:rPr>
              <w:t>16 October 1987</w:t>
            </w:r>
          </w:p>
        </w:tc>
        <w:tc>
          <w:tcPr>
            <w:tcW w:w="1502" w:type="dxa"/>
            <w:cellDel w:id="272" w:author="Master Repository Process" w:date="2021-07-31T07:53:00Z"/>
          </w:tcPr>
          <w:p>
            <w:pPr>
              <w:pStyle w:val="nTable"/>
              <w:spacing w:before="120"/>
              <w:rPr>
                <w:sz w:val="19"/>
              </w:rPr>
            </w:pPr>
          </w:p>
        </w:tc>
      </w:tr>
      <w:tr>
        <w:trPr>
          <w:cantSplit/>
        </w:trPr>
        <w:tc>
          <w:tcPr>
            <w:tcW w:w="3118" w:type="dxa"/>
          </w:tcPr>
          <w:p>
            <w:pPr>
              <w:pStyle w:val="nTable"/>
              <w:spacing w:after="40"/>
              <w:ind w:right="113"/>
              <w:rPr>
                <w:sz w:val="19"/>
              </w:rPr>
            </w:pPr>
            <w:r>
              <w:rPr>
                <w:i/>
                <w:sz w:val="19"/>
              </w:rPr>
              <w:t>Artificial Breeding of Stock (Fees) Amendment Regulations 1987</w:t>
            </w:r>
            <w:r>
              <w:rPr>
                <w:sz w:val="19"/>
              </w:rPr>
              <w:t>,</w:t>
            </w:r>
            <w:r>
              <w:rPr>
                <w:sz w:val="19"/>
              </w:rPr>
              <w:br/>
              <w:t>Part V</w:t>
            </w:r>
          </w:p>
        </w:tc>
        <w:tc>
          <w:tcPr>
            <w:tcW w:w="1276" w:type="dxa"/>
          </w:tcPr>
          <w:p>
            <w:pPr>
              <w:pStyle w:val="nTable"/>
              <w:spacing w:after="40"/>
              <w:rPr>
                <w:sz w:val="19"/>
              </w:rPr>
            </w:pPr>
            <w:r>
              <w:rPr>
                <w:sz w:val="19"/>
              </w:rPr>
              <w:t>30 October 1987 p.4050</w:t>
            </w:r>
          </w:p>
        </w:tc>
        <w:tc>
          <w:tcPr>
            <w:tcW w:w="2693" w:type="dxa"/>
          </w:tcPr>
          <w:p>
            <w:pPr>
              <w:pStyle w:val="nTable"/>
              <w:spacing w:after="40"/>
              <w:rPr>
                <w:sz w:val="19"/>
              </w:rPr>
            </w:pPr>
            <w:r>
              <w:rPr>
                <w:sz w:val="19"/>
              </w:rPr>
              <w:t>1 November 1987</w:t>
            </w:r>
            <w:r>
              <w:rPr>
                <w:sz w:val="19"/>
              </w:rPr>
              <w:br/>
              <w:t>(see regulation 2)</w:t>
            </w:r>
          </w:p>
        </w:tc>
        <w:tc>
          <w:tcPr>
            <w:tcW w:w="1502" w:type="dxa"/>
            <w:cellDel w:id="273" w:author="Master Repository Process" w:date="2021-07-31T07:53:00Z"/>
          </w:tcPr>
          <w:p>
            <w:pPr>
              <w:pStyle w:val="nTable"/>
              <w:spacing w:before="120"/>
              <w:rPr>
                <w:sz w:val="19"/>
              </w:rPr>
            </w:pPr>
          </w:p>
        </w:tc>
      </w:tr>
      <w:tr>
        <w:trPr>
          <w:cantSplit/>
        </w:trPr>
        <w:tc>
          <w:tcPr>
            <w:tcW w:w="3118" w:type="dxa"/>
          </w:tcPr>
          <w:p>
            <w:pPr>
              <w:pStyle w:val="nTable"/>
              <w:spacing w:after="40"/>
              <w:ind w:right="113"/>
              <w:rPr>
                <w:sz w:val="19"/>
              </w:rPr>
            </w:pPr>
            <w:r>
              <w:rPr>
                <w:i/>
                <w:sz w:val="19"/>
              </w:rPr>
              <w:t>Artificial Breeding of Stock (Fees) Amendment Regulations 1988</w:t>
            </w:r>
            <w:r>
              <w:rPr>
                <w:sz w:val="19"/>
              </w:rPr>
              <w:t>,</w:t>
            </w:r>
            <w:r>
              <w:rPr>
                <w:sz w:val="19"/>
              </w:rPr>
              <w:br/>
              <w:t>Part V</w:t>
            </w:r>
          </w:p>
        </w:tc>
        <w:tc>
          <w:tcPr>
            <w:tcW w:w="1276" w:type="dxa"/>
          </w:tcPr>
          <w:p>
            <w:pPr>
              <w:pStyle w:val="nTable"/>
              <w:spacing w:after="40"/>
              <w:rPr>
                <w:sz w:val="19"/>
              </w:rPr>
            </w:pPr>
            <w:r>
              <w:rPr>
                <w:sz w:val="19"/>
              </w:rPr>
              <w:t>14 October 1988 p.4205</w:t>
            </w:r>
          </w:p>
        </w:tc>
        <w:tc>
          <w:tcPr>
            <w:tcW w:w="2693" w:type="dxa"/>
          </w:tcPr>
          <w:p>
            <w:pPr>
              <w:pStyle w:val="nTable"/>
              <w:spacing w:after="40"/>
              <w:rPr>
                <w:sz w:val="19"/>
              </w:rPr>
            </w:pPr>
            <w:r>
              <w:rPr>
                <w:sz w:val="19"/>
              </w:rPr>
              <w:t>14 October 1988</w:t>
            </w:r>
          </w:p>
        </w:tc>
        <w:tc>
          <w:tcPr>
            <w:tcW w:w="1502" w:type="dxa"/>
            <w:cellDel w:id="274" w:author="Master Repository Process" w:date="2021-07-31T07:53:00Z"/>
          </w:tcPr>
          <w:p>
            <w:pPr>
              <w:pStyle w:val="nTable"/>
              <w:spacing w:before="120"/>
              <w:rPr>
                <w:sz w:val="19"/>
              </w:rPr>
            </w:pPr>
          </w:p>
        </w:tc>
      </w:tr>
      <w:tr>
        <w:trPr>
          <w:cantSplit/>
        </w:trPr>
        <w:tc>
          <w:tcPr>
            <w:tcW w:w="3118" w:type="dxa"/>
          </w:tcPr>
          <w:p>
            <w:pPr>
              <w:pStyle w:val="nTable"/>
              <w:spacing w:after="40"/>
              <w:ind w:right="113"/>
              <w:rPr>
                <w:sz w:val="19"/>
              </w:rPr>
            </w:pPr>
            <w:r>
              <w:rPr>
                <w:i/>
                <w:sz w:val="19"/>
              </w:rPr>
              <w:t>Artificial Breeding of Stock Amendment Regulations 1990</w:t>
            </w:r>
            <w:r>
              <w:rPr>
                <w:sz w:val="19"/>
              </w:rPr>
              <w:t>,</w:t>
            </w:r>
            <w:r>
              <w:rPr>
                <w:sz w:val="19"/>
              </w:rPr>
              <w:br/>
              <w:t>Part 2</w:t>
            </w:r>
          </w:p>
        </w:tc>
        <w:tc>
          <w:tcPr>
            <w:tcW w:w="1276" w:type="dxa"/>
          </w:tcPr>
          <w:p>
            <w:pPr>
              <w:pStyle w:val="nTable"/>
              <w:spacing w:after="40"/>
              <w:rPr>
                <w:sz w:val="19"/>
              </w:rPr>
            </w:pPr>
            <w:r>
              <w:rPr>
                <w:sz w:val="19"/>
              </w:rPr>
              <w:t>17 August 1990 pp.4067-8</w:t>
            </w:r>
          </w:p>
        </w:tc>
        <w:tc>
          <w:tcPr>
            <w:tcW w:w="2693" w:type="dxa"/>
          </w:tcPr>
          <w:p>
            <w:pPr>
              <w:pStyle w:val="nTable"/>
              <w:spacing w:after="40"/>
              <w:rPr>
                <w:sz w:val="19"/>
              </w:rPr>
            </w:pPr>
            <w:r>
              <w:rPr>
                <w:sz w:val="19"/>
              </w:rPr>
              <w:t>17 August 1990</w:t>
            </w:r>
          </w:p>
        </w:tc>
        <w:tc>
          <w:tcPr>
            <w:tcW w:w="1502" w:type="dxa"/>
            <w:cellDel w:id="275" w:author="Master Repository Process" w:date="2021-07-31T07:53:00Z"/>
          </w:tcPr>
          <w:p>
            <w:pPr>
              <w:pStyle w:val="nTable"/>
              <w:spacing w:before="120"/>
              <w:rPr>
                <w:sz w:val="19"/>
              </w:rPr>
            </w:pPr>
          </w:p>
        </w:tc>
      </w:tr>
      <w:tr>
        <w:trPr>
          <w:cantSplit/>
        </w:trPr>
        <w:tc>
          <w:tcPr>
            <w:tcW w:w="3118" w:type="dxa"/>
          </w:tcPr>
          <w:p>
            <w:pPr>
              <w:pStyle w:val="nTable"/>
              <w:spacing w:after="40"/>
              <w:ind w:right="113"/>
              <w:rPr>
                <w:sz w:val="19"/>
              </w:rPr>
            </w:pPr>
            <w:r>
              <w:rPr>
                <w:i/>
                <w:sz w:val="19"/>
              </w:rPr>
              <w:t>Artificial Breeding of Stock Amendment Regulations 1991</w:t>
            </w:r>
            <w:r>
              <w:rPr>
                <w:sz w:val="19"/>
              </w:rPr>
              <w:t>,</w:t>
            </w:r>
            <w:r>
              <w:rPr>
                <w:sz w:val="19"/>
              </w:rPr>
              <w:br/>
              <w:t>Part 2</w:t>
            </w:r>
          </w:p>
        </w:tc>
        <w:tc>
          <w:tcPr>
            <w:tcW w:w="1276" w:type="dxa"/>
          </w:tcPr>
          <w:p>
            <w:pPr>
              <w:pStyle w:val="nTable"/>
              <w:spacing w:after="40"/>
              <w:rPr>
                <w:sz w:val="19"/>
              </w:rPr>
            </w:pPr>
            <w:r>
              <w:rPr>
                <w:sz w:val="19"/>
              </w:rPr>
              <w:t>18 October 1991 p.5310</w:t>
            </w:r>
          </w:p>
        </w:tc>
        <w:tc>
          <w:tcPr>
            <w:tcW w:w="2693" w:type="dxa"/>
          </w:tcPr>
          <w:p>
            <w:pPr>
              <w:pStyle w:val="nTable"/>
              <w:spacing w:after="40"/>
              <w:rPr>
                <w:sz w:val="19"/>
              </w:rPr>
            </w:pPr>
            <w:r>
              <w:rPr>
                <w:sz w:val="19"/>
              </w:rPr>
              <w:t>18 October 1991</w:t>
            </w:r>
          </w:p>
        </w:tc>
        <w:tc>
          <w:tcPr>
            <w:tcW w:w="1502" w:type="dxa"/>
            <w:cellDel w:id="276" w:author="Master Repository Process" w:date="2021-07-31T07:53:00Z"/>
          </w:tcPr>
          <w:p>
            <w:pPr>
              <w:pStyle w:val="nTable"/>
              <w:spacing w:before="120"/>
              <w:rPr>
                <w:sz w:val="19"/>
              </w:rPr>
            </w:pPr>
          </w:p>
        </w:tc>
      </w:tr>
      <w:tr>
        <w:trPr>
          <w:cantSplit/>
        </w:trPr>
        <w:tc>
          <w:tcPr>
            <w:tcW w:w="3118" w:type="dxa"/>
          </w:tcPr>
          <w:p>
            <w:pPr>
              <w:pStyle w:val="nTable"/>
              <w:spacing w:after="40"/>
              <w:ind w:right="113"/>
              <w:rPr>
                <w:sz w:val="19"/>
              </w:rPr>
            </w:pPr>
            <w:r>
              <w:rPr>
                <w:i/>
                <w:sz w:val="19"/>
              </w:rPr>
              <w:t>Artificial Breeding of Stock Amendment Regulations 1992,</w:t>
            </w:r>
            <w:r>
              <w:rPr>
                <w:i/>
                <w:sz w:val="19"/>
              </w:rPr>
              <w:br/>
            </w:r>
            <w:r>
              <w:rPr>
                <w:sz w:val="19"/>
              </w:rPr>
              <w:t>Part 2</w:t>
            </w:r>
          </w:p>
        </w:tc>
        <w:tc>
          <w:tcPr>
            <w:tcW w:w="1276" w:type="dxa"/>
          </w:tcPr>
          <w:p>
            <w:pPr>
              <w:pStyle w:val="nTable"/>
              <w:spacing w:after="40"/>
              <w:rPr>
                <w:sz w:val="19"/>
              </w:rPr>
            </w:pPr>
            <w:r>
              <w:rPr>
                <w:sz w:val="19"/>
              </w:rPr>
              <w:t xml:space="preserve">24 July 1992 </w:t>
            </w:r>
            <w:r>
              <w:rPr>
                <w:sz w:val="19"/>
              </w:rPr>
              <w:br/>
              <w:t>p.3602</w:t>
            </w:r>
          </w:p>
        </w:tc>
        <w:tc>
          <w:tcPr>
            <w:tcW w:w="2693" w:type="dxa"/>
          </w:tcPr>
          <w:p>
            <w:pPr>
              <w:pStyle w:val="nTable"/>
              <w:spacing w:after="40"/>
              <w:rPr>
                <w:sz w:val="19"/>
              </w:rPr>
            </w:pPr>
            <w:r>
              <w:rPr>
                <w:sz w:val="19"/>
              </w:rPr>
              <w:t>24 July 1992</w:t>
            </w:r>
          </w:p>
        </w:tc>
        <w:tc>
          <w:tcPr>
            <w:tcW w:w="1502" w:type="dxa"/>
            <w:cellDel w:id="277" w:author="Master Repository Process" w:date="2021-07-31T07:53:00Z"/>
          </w:tcPr>
          <w:p>
            <w:pPr>
              <w:pStyle w:val="nTable"/>
              <w:spacing w:before="120"/>
              <w:rPr>
                <w:sz w:val="19"/>
              </w:rPr>
            </w:pPr>
          </w:p>
        </w:tc>
      </w:tr>
      <w:tr>
        <w:trPr>
          <w:cantSplit/>
        </w:trPr>
        <w:tc>
          <w:tcPr>
            <w:tcW w:w="3118" w:type="dxa"/>
          </w:tcPr>
          <w:p>
            <w:pPr>
              <w:pStyle w:val="nTable"/>
              <w:keepNext/>
              <w:spacing w:after="40"/>
              <w:ind w:right="113"/>
              <w:rPr>
                <w:sz w:val="19"/>
              </w:rPr>
            </w:pPr>
            <w:r>
              <w:rPr>
                <w:i/>
                <w:sz w:val="19"/>
              </w:rPr>
              <w:t>Artificial Breeding of Stock Amendment Regulations 1993,</w:t>
            </w:r>
            <w:r>
              <w:rPr>
                <w:i/>
                <w:sz w:val="19"/>
              </w:rPr>
              <w:br/>
            </w:r>
            <w:r>
              <w:rPr>
                <w:sz w:val="19"/>
              </w:rPr>
              <w:t>Part 2</w:t>
            </w:r>
          </w:p>
        </w:tc>
        <w:tc>
          <w:tcPr>
            <w:tcW w:w="1276" w:type="dxa"/>
          </w:tcPr>
          <w:p>
            <w:pPr>
              <w:pStyle w:val="nTable"/>
              <w:keepNext/>
              <w:spacing w:after="40"/>
              <w:rPr>
                <w:sz w:val="19"/>
              </w:rPr>
            </w:pPr>
            <w:r>
              <w:rPr>
                <w:sz w:val="19"/>
              </w:rPr>
              <w:t>17 September 1993 pp.5042-3</w:t>
            </w:r>
          </w:p>
        </w:tc>
        <w:tc>
          <w:tcPr>
            <w:tcW w:w="2693" w:type="dxa"/>
          </w:tcPr>
          <w:p>
            <w:pPr>
              <w:pStyle w:val="nTable"/>
              <w:keepNext/>
              <w:spacing w:after="40"/>
              <w:rPr>
                <w:sz w:val="19"/>
              </w:rPr>
            </w:pPr>
            <w:r>
              <w:rPr>
                <w:sz w:val="19"/>
              </w:rPr>
              <w:t>17 September 1993</w:t>
            </w:r>
          </w:p>
        </w:tc>
        <w:tc>
          <w:tcPr>
            <w:tcW w:w="1502" w:type="dxa"/>
            <w:cellDel w:id="278" w:author="Master Repository Process" w:date="2021-07-31T07:53:00Z"/>
          </w:tcPr>
          <w:p>
            <w:pPr>
              <w:pStyle w:val="nTable"/>
              <w:keepNext/>
              <w:spacing w:before="120"/>
              <w:rPr>
                <w:sz w:val="19"/>
              </w:rPr>
            </w:pPr>
          </w:p>
        </w:tc>
      </w:tr>
      <w:tr>
        <w:trPr>
          <w:cantSplit/>
        </w:trPr>
        <w:tc>
          <w:tcPr>
            <w:tcW w:w="3118" w:type="dxa"/>
          </w:tcPr>
          <w:p>
            <w:pPr>
              <w:pStyle w:val="nTable"/>
              <w:keepNext/>
              <w:keepLines/>
              <w:spacing w:after="40"/>
              <w:ind w:right="113"/>
              <w:rPr>
                <w:sz w:val="19"/>
              </w:rPr>
            </w:pPr>
            <w:r>
              <w:rPr>
                <w:i/>
                <w:sz w:val="19"/>
              </w:rPr>
              <w:t>Artificial Breeding of Stock Amendment Regulations 1994,</w:t>
            </w:r>
            <w:r>
              <w:rPr>
                <w:i/>
                <w:sz w:val="19"/>
              </w:rPr>
              <w:br/>
            </w:r>
            <w:r>
              <w:rPr>
                <w:sz w:val="19"/>
              </w:rPr>
              <w:t>Part 2</w:t>
            </w:r>
          </w:p>
        </w:tc>
        <w:tc>
          <w:tcPr>
            <w:tcW w:w="1276" w:type="dxa"/>
          </w:tcPr>
          <w:p>
            <w:pPr>
              <w:pStyle w:val="nTable"/>
              <w:keepNext/>
              <w:keepLines/>
              <w:spacing w:after="40"/>
              <w:rPr>
                <w:sz w:val="19"/>
              </w:rPr>
            </w:pPr>
            <w:r>
              <w:rPr>
                <w:sz w:val="19"/>
              </w:rPr>
              <w:t>24 June 19</w:t>
            </w:r>
            <w:bookmarkStart w:id="279" w:name="UpToHere"/>
            <w:bookmarkEnd w:id="279"/>
            <w:r>
              <w:rPr>
                <w:sz w:val="19"/>
              </w:rPr>
              <w:t>94 pp.2831-2</w:t>
            </w:r>
          </w:p>
        </w:tc>
        <w:tc>
          <w:tcPr>
            <w:tcW w:w="2693" w:type="dxa"/>
          </w:tcPr>
          <w:p>
            <w:pPr>
              <w:pStyle w:val="nTable"/>
              <w:keepNext/>
              <w:keepLines/>
              <w:spacing w:after="40"/>
              <w:rPr>
                <w:sz w:val="19"/>
              </w:rPr>
            </w:pPr>
            <w:r>
              <w:rPr>
                <w:sz w:val="19"/>
              </w:rPr>
              <w:t>1 July 1994</w:t>
            </w:r>
            <w:r>
              <w:rPr>
                <w:sz w:val="19"/>
              </w:rPr>
              <w:br/>
              <w:t>(see regulation 2)</w:t>
            </w:r>
          </w:p>
        </w:tc>
        <w:tc>
          <w:tcPr>
            <w:tcW w:w="1502" w:type="dxa"/>
            <w:cellDel w:id="280" w:author="Master Repository Process" w:date="2021-07-31T07:53:00Z"/>
          </w:tcPr>
          <w:p>
            <w:pPr>
              <w:pStyle w:val="nTable"/>
              <w:keepNext/>
              <w:keepLines/>
              <w:spacing w:before="120"/>
              <w:rPr>
                <w:sz w:val="19"/>
              </w:rPr>
            </w:pPr>
          </w:p>
        </w:tc>
      </w:tr>
      <w:tr>
        <w:trPr>
          <w:cantSplit/>
        </w:trPr>
        <w:tc>
          <w:tcPr>
            <w:tcW w:w="3118" w:type="dxa"/>
          </w:tcPr>
          <w:p>
            <w:pPr>
              <w:pStyle w:val="nTable"/>
              <w:spacing w:after="40"/>
              <w:ind w:right="113"/>
              <w:rPr>
                <w:sz w:val="19"/>
              </w:rPr>
            </w:pPr>
            <w:r>
              <w:rPr>
                <w:i/>
                <w:sz w:val="19"/>
              </w:rPr>
              <w:t>Artificial Breeding of Stock Amendment Regulations 1995,</w:t>
            </w:r>
            <w:r>
              <w:rPr>
                <w:i/>
                <w:sz w:val="19"/>
              </w:rPr>
              <w:br/>
            </w:r>
            <w:r>
              <w:rPr>
                <w:sz w:val="19"/>
              </w:rPr>
              <w:t>Part 2</w:t>
            </w:r>
          </w:p>
        </w:tc>
        <w:tc>
          <w:tcPr>
            <w:tcW w:w="1276" w:type="dxa"/>
          </w:tcPr>
          <w:p>
            <w:pPr>
              <w:pStyle w:val="nTable"/>
              <w:spacing w:after="40"/>
              <w:rPr>
                <w:sz w:val="19"/>
              </w:rPr>
            </w:pPr>
            <w:r>
              <w:rPr>
                <w:sz w:val="19"/>
              </w:rPr>
              <w:t xml:space="preserve">21 July 1995 </w:t>
            </w:r>
            <w:r>
              <w:rPr>
                <w:sz w:val="19"/>
              </w:rPr>
              <w:br/>
              <w:t>p.3060</w:t>
            </w:r>
          </w:p>
        </w:tc>
        <w:tc>
          <w:tcPr>
            <w:tcW w:w="2693" w:type="dxa"/>
          </w:tcPr>
          <w:p>
            <w:pPr>
              <w:pStyle w:val="nTable"/>
              <w:spacing w:after="40"/>
              <w:rPr>
                <w:sz w:val="19"/>
              </w:rPr>
            </w:pPr>
            <w:r>
              <w:rPr>
                <w:sz w:val="19"/>
              </w:rPr>
              <w:t>21 July 1995</w:t>
            </w:r>
          </w:p>
        </w:tc>
        <w:tc>
          <w:tcPr>
            <w:tcW w:w="1502" w:type="dxa"/>
            <w:cellDel w:id="281" w:author="Master Repository Process" w:date="2021-07-31T07:53:00Z"/>
          </w:tcPr>
          <w:p>
            <w:pPr>
              <w:pStyle w:val="nTable"/>
              <w:spacing w:before="120"/>
              <w:rPr>
                <w:sz w:val="19"/>
              </w:rPr>
            </w:pPr>
          </w:p>
        </w:tc>
      </w:tr>
      <w:tr>
        <w:trPr>
          <w:cantSplit/>
        </w:trPr>
        <w:tc>
          <w:tcPr>
            <w:tcW w:w="3118" w:type="dxa"/>
          </w:tcPr>
          <w:p>
            <w:pPr>
              <w:pStyle w:val="nTable"/>
              <w:spacing w:after="40"/>
              <w:ind w:right="113"/>
              <w:rPr>
                <w:sz w:val="19"/>
              </w:rPr>
            </w:pPr>
            <w:r>
              <w:rPr>
                <w:i/>
                <w:sz w:val="19"/>
              </w:rPr>
              <w:t>Artificial Breeding of Stock Amendment Regulations 1996</w:t>
            </w:r>
            <w:r>
              <w:rPr>
                <w:sz w:val="19"/>
              </w:rPr>
              <w:t>,</w:t>
            </w:r>
            <w:r>
              <w:rPr>
                <w:sz w:val="19"/>
              </w:rPr>
              <w:br/>
              <w:t>Part 2</w:t>
            </w:r>
          </w:p>
        </w:tc>
        <w:tc>
          <w:tcPr>
            <w:tcW w:w="1276" w:type="dxa"/>
          </w:tcPr>
          <w:p>
            <w:pPr>
              <w:pStyle w:val="nTable"/>
              <w:spacing w:after="40"/>
              <w:rPr>
                <w:sz w:val="19"/>
              </w:rPr>
            </w:pPr>
            <w:r>
              <w:rPr>
                <w:sz w:val="19"/>
              </w:rPr>
              <w:t>3 September 1996 pp.4370</w:t>
            </w:r>
            <w:r>
              <w:rPr>
                <w:sz w:val="19"/>
              </w:rPr>
              <w:noBreakHyphen/>
              <w:t>1</w:t>
            </w:r>
          </w:p>
        </w:tc>
        <w:tc>
          <w:tcPr>
            <w:tcW w:w="2693" w:type="dxa"/>
          </w:tcPr>
          <w:p>
            <w:pPr>
              <w:pStyle w:val="nTable"/>
              <w:spacing w:after="40"/>
              <w:rPr>
                <w:sz w:val="19"/>
              </w:rPr>
            </w:pPr>
            <w:r>
              <w:rPr>
                <w:sz w:val="19"/>
              </w:rPr>
              <w:t>4 September 1996 (see regulation 2)</w:t>
            </w:r>
          </w:p>
        </w:tc>
        <w:tc>
          <w:tcPr>
            <w:tcW w:w="1502" w:type="dxa"/>
            <w:cellDel w:id="282" w:author="Master Repository Process" w:date="2021-07-31T07:53:00Z"/>
          </w:tcPr>
          <w:p>
            <w:pPr>
              <w:pStyle w:val="nTable"/>
              <w:spacing w:before="120"/>
              <w:rPr>
                <w:sz w:val="19"/>
              </w:rPr>
            </w:pPr>
          </w:p>
        </w:tc>
      </w:tr>
      <w:tr>
        <w:trPr>
          <w:cantSplit/>
        </w:trPr>
        <w:tc>
          <w:tcPr>
            <w:tcW w:w="3118" w:type="dxa"/>
          </w:tcPr>
          <w:p>
            <w:pPr>
              <w:pStyle w:val="nTable"/>
              <w:spacing w:after="40"/>
              <w:ind w:right="113"/>
              <w:rPr>
                <w:sz w:val="19"/>
              </w:rPr>
            </w:pPr>
            <w:r>
              <w:rPr>
                <w:i/>
                <w:sz w:val="19"/>
              </w:rPr>
              <w:t>Artificial Breeding of Stock Amendment Regulations 1997</w:t>
            </w:r>
            <w:r>
              <w:rPr>
                <w:sz w:val="19"/>
              </w:rPr>
              <w:t>,</w:t>
            </w:r>
            <w:r>
              <w:rPr>
                <w:sz w:val="19"/>
              </w:rPr>
              <w:br/>
              <w:t>Part 2</w:t>
            </w:r>
          </w:p>
        </w:tc>
        <w:tc>
          <w:tcPr>
            <w:tcW w:w="1276" w:type="dxa"/>
          </w:tcPr>
          <w:p>
            <w:pPr>
              <w:pStyle w:val="nTable"/>
              <w:spacing w:after="40"/>
              <w:rPr>
                <w:sz w:val="19"/>
              </w:rPr>
            </w:pPr>
            <w:r>
              <w:rPr>
                <w:sz w:val="19"/>
              </w:rPr>
              <w:t>19 August 1997 p.4715</w:t>
            </w:r>
          </w:p>
        </w:tc>
        <w:tc>
          <w:tcPr>
            <w:tcW w:w="2693" w:type="dxa"/>
          </w:tcPr>
          <w:p>
            <w:pPr>
              <w:pStyle w:val="nTable"/>
              <w:spacing w:after="40"/>
              <w:rPr>
                <w:sz w:val="19"/>
              </w:rPr>
            </w:pPr>
            <w:r>
              <w:rPr>
                <w:sz w:val="19"/>
              </w:rPr>
              <w:t>19 August 1997</w:t>
            </w:r>
          </w:p>
        </w:tc>
        <w:tc>
          <w:tcPr>
            <w:tcW w:w="1502" w:type="dxa"/>
            <w:cellDel w:id="283" w:author="Master Repository Process" w:date="2021-07-31T07:53:00Z"/>
          </w:tcPr>
          <w:p>
            <w:pPr>
              <w:pStyle w:val="nTable"/>
              <w:spacing w:before="120"/>
              <w:rPr>
                <w:sz w:val="19"/>
              </w:rPr>
            </w:pPr>
          </w:p>
        </w:tc>
      </w:tr>
      <w:tr>
        <w:trPr>
          <w:cantSplit/>
        </w:trPr>
        <w:tc>
          <w:tcPr>
            <w:tcW w:w="3118" w:type="dxa"/>
          </w:tcPr>
          <w:p>
            <w:pPr>
              <w:pStyle w:val="nTable"/>
              <w:spacing w:after="40"/>
              <w:ind w:right="113"/>
              <w:rPr>
                <w:i/>
                <w:sz w:val="19"/>
              </w:rPr>
            </w:pPr>
            <w:r>
              <w:rPr>
                <w:i/>
                <w:sz w:val="19"/>
              </w:rPr>
              <w:t>Artificial Breeding of Stock Amendment Regulations 1998</w:t>
            </w:r>
            <w:r>
              <w:rPr>
                <w:sz w:val="19"/>
              </w:rPr>
              <w:t>,</w:t>
            </w:r>
            <w:r>
              <w:rPr>
                <w:i/>
                <w:sz w:val="19"/>
              </w:rPr>
              <w:br/>
            </w:r>
            <w:r>
              <w:rPr>
                <w:sz w:val="19"/>
              </w:rPr>
              <w:t>Part 2</w:t>
            </w:r>
          </w:p>
        </w:tc>
        <w:tc>
          <w:tcPr>
            <w:tcW w:w="1276" w:type="dxa"/>
          </w:tcPr>
          <w:p>
            <w:pPr>
              <w:pStyle w:val="nTable"/>
              <w:spacing w:after="40"/>
              <w:rPr>
                <w:sz w:val="19"/>
              </w:rPr>
            </w:pPr>
            <w:r>
              <w:rPr>
                <w:sz w:val="19"/>
              </w:rPr>
              <w:t xml:space="preserve">23 June 1998 </w:t>
            </w:r>
            <w:r>
              <w:rPr>
                <w:sz w:val="19"/>
              </w:rPr>
              <w:br/>
              <w:t>p.3316</w:t>
            </w:r>
          </w:p>
        </w:tc>
        <w:tc>
          <w:tcPr>
            <w:tcW w:w="2693" w:type="dxa"/>
          </w:tcPr>
          <w:p>
            <w:pPr>
              <w:pStyle w:val="nTable"/>
              <w:spacing w:after="40"/>
              <w:rPr>
                <w:sz w:val="19"/>
              </w:rPr>
            </w:pPr>
            <w:r>
              <w:rPr>
                <w:sz w:val="19"/>
              </w:rPr>
              <w:t>23 June 1998</w:t>
            </w:r>
          </w:p>
        </w:tc>
        <w:tc>
          <w:tcPr>
            <w:tcW w:w="1502" w:type="dxa"/>
            <w:cellDel w:id="284" w:author="Master Repository Process" w:date="2021-07-31T07:53:00Z"/>
          </w:tcPr>
          <w:p>
            <w:pPr>
              <w:pStyle w:val="nTable"/>
              <w:spacing w:before="120"/>
              <w:rPr>
                <w:sz w:val="19"/>
              </w:rPr>
            </w:pPr>
          </w:p>
        </w:tc>
      </w:tr>
      <w:tr>
        <w:trPr>
          <w:cantSplit/>
        </w:trPr>
        <w:tc>
          <w:tcPr>
            <w:tcW w:w="3118" w:type="dxa"/>
          </w:tcPr>
          <w:p>
            <w:pPr>
              <w:pStyle w:val="nTable"/>
              <w:spacing w:after="40"/>
              <w:ind w:right="113"/>
              <w:rPr>
                <w:sz w:val="19"/>
              </w:rPr>
            </w:pPr>
            <w:r>
              <w:rPr>
                <w:i/>
                <w:sz w:val="19"/>
              </w:rPr>
              <w:t>Artificial Breeding of Stock Amendment Regulations 2000</w:t>
            </w:r>
            <w:r>
              <w:rPr>
                <w:sz w:val="19"/>
              </w:rPr>
              <w:t>,</w:t>
            </w:r>
          </w:p>
          <w:p>
            <w:pPr>
              <w:pStyle w:val="nTable"/>
              <w:spacing w:after="40"/>
              <w:ind w:right="113"/>
              <w:rPr>
                <w:sz w:val="19"/>
              </w:rPr>
            </w:pPr>
            <w:r>
              <w:rPr>
                <w:sz w:val="19"/>
              </w:rPr>
              <w:t>Part 2</w:t>
            </w:r>
          </w:p>
        </w:tc>
        <w:tc>
          <w:tcPr>
            <w:tcW w:w="1276" w:type="dxa"/>
          </w:tcPr>
          <w:p>
            <w:pPr>
              <w:pStyle w:val="nTable"/>
              <w:spacing w:after="40"/>
              <w:rPr>
                <w:sz w:val="19"/>
              </w:rPr>
            </w:pPr>
            <w:r>
              <w:rPr>
                <w:sz w:val="19"/>
              </w:rPr>
              <w:t>20 June 2000</w:t>
            </w:r>
          </w:p>
          <w:p>
            <w:pPr>
              <w:pStyle w:val="nTable"/>
              <w:spacing w:after="40"/>
              <w:rPr>
                <w:sz w:val="19"/>
              </w:rPr>
            </w:pPr>
            <w:r>
              <w:rPr>
                <w:sz w:val="19"/>
              </w:rPr>
              <w:t>p.3008</w:t>
            </w:r>
          </w:p>
        </w:tc>
        <w:tc>
          <w:tcPr>
            <w:tcW w:w="2693" w:type="dxa"/>
          </w:tcPr>
          <w:p>
            <w:pPr>
              <w:pStyle w:val="nTable"/>
              <w:spacing w:after="40"/>
              <w:rPr>
                <w:sz w:val="19"/>
              </w:rPr>
            </w:pPr>
            <w:r>
              <w:rPr>
                <w:sz w:val="19"/>
              </w:rPr>
              <w:t>1 July 2000 (see regulation 2)</w:t>
            </w:r>
          </w:p>
        </w:tc>
        <w:tc>
          <w:tcPr>
            <w:tcW w:w="1502" w:type="dxa"/>
            <w:cellDel w:id="285" w:author="Master Repository Process" w:date="2021-07-31T07:53:00Z"/>
          </w:tcPr>
          <w:p>
            <w:pPr>
              <w:pStyle w:val="nTable"/>
              <w:spacing w:before="120"/>
              <w:rPr>
                <w:sz w:val="19"/>
              </w:rPr>
            </w:pPr>
          </w:p>
        </w:tc>
      </w:tr>
      <w:tr>
        <w:trPr>
          <w:cantSplit/>
        </w:trPr>
        <w:tc>
          <w:tcPr>
            <w:tcW w:w="3118" w:type="dxa"/>
          </w:tcPr>
          <w:p>
            <w:pPr>
              <w:pStyle w:val="nTable"/>
              <w:spacing w:after="40"/>
              <w:ind w:right="113"/>
              <w:rPr>
                <w:i/>
                <w:sz w:val="19"/>
              </w:rPr>
            </w:pPr>
            <w:r>
              <w:rPr>
                <w:i/>
                <w:sz w:val="19"/>
              </w:rPr>
              <w:t>Artificial Breeding of Stock Amendment Regulations 2001, Pt. 2</w:t>
            </w:r>
          </w:p>
        </w:tc>
        <w:tc>
          <w:tcPr>
            <w:tcW w:w="1276" w:type="dxa"/>
          </w:tcPr>
          <w:p>
            <w:pPr>
              <w:pStyle w:val="nTable"/>
              <w:spacing w:after="40"/>
              <w:rPr>
                <w:sz w:val="19"/>
              </w:rPr>
            </w:pPr>
            <w:r>
              <w:rPr>
                <w:sz w:val="19"/>
              </w:rPr>
              <w:t>5 Jun 2001</w:t>
            </w:r>
            <w:r>
              <w:rPr>
                <w:sz w:val="19"/>
              </w:rPr>
              <w:br/>
              <w:t>p. 2844</w:t>
            </w:r>
          </w:p>
        </w:tc>
        <w:tc>
          <w:tcPr>
            <w:tcW w:w="2693" w:type="dxa"/>
          </w:tcPr>
          <w:p>
            <w:pPr>
              <w:pStyle w:val="nTable"/>
              <w:spacing w:after="40"/>
              <w:rPr>
                <w:sz w:val="19"/>
              </w:rPr>
            </w:pPr>
            <w:r>
              <w:rPr>
                <w:sz w:val="19"/>
              </w:rPr>
              <w:t>1 Jul 2001 (see r. 2)</w:t>
            </w:r>
          </w:p>
        </w:tc>
        <w:tc>
          <w:tcPr>
            <w:tcW w:w="1502" w:type="dxa"/>
            <w:tcBorders>
              <w:bottom w:val="single" w:sz="4" w:space="0" w:color="auto"/>
            </w:tcBorders>
            <w:cellDel w:id="286" w:author="Master Repository Process" w:date="2021-07-31T07:53:00Z"/>
          </w:tcPr>
          <w:p>
            <w:pPr>
              <w:pStyle w:val="nTable"/>
              <w:spacing w:before="120"/>
              <w:rPr>
                <w:sz w:val="19"/>
              </w:rPr>
            </w:pPr>
          </w:p>
        </w:tc>
      </w:tr>
      <w:tr>
        <w:trPr>
          <w:cantSplit/>
          <w:ins w:id="287" w:author="Master Repository Process" w:date="2021-07-31T07:53:00Z"/>
        </w:trPr>
        <w:tc>
          <w:tcPr>
            <w:tcW w:w="3118" w:type="dxa"/>
            <w:tcBorders>
              <w:bottom w:val="single" w:sz="8" w:space="0" w:color="auto"/>
            </w:tcBorders>
          </w:tcPr>
          <w:p>
            <w:pPr>
              <w:pStyle w:val="nTable"/>
              <w:spacing w:after="40"/>
              <w:ind w:right="113"/>
              <w:rPr>
                <w:ins w:id="288" w:author="Master Repository Process" w:date="2021-07-31T07:53:00Z"/>
                <w:i/>
                <w:sz w:val="19"/>
              </w:rPr>
            </w:pPr>
            <w:ins w:id="289" w:author="Master Repository Process" w:date="2021-07-31T07:53:00Z">
              <w:r>
                <w:rPr>
                  <w:i/>
                  <w:sz w:val="19"/>
                </w:rPr>
                <w:t>Artificial Breeding (Cattle) Amendment Regulations 2007</w:t>
              </w:r>
            </w:ins>
          </w:p>
        </w:tc>
        <w:tc>
          <w:tcPr>
            <w:tcW w:w="1276" w:type="dxa"/>
            <w:tcBorders>
              <w:bottom w:val="single" w:sz="8" w:space="0" w:color="auto"/>
            </w:tcBorders>
          </w:tcPr>
          <w:p>
            <w:pPr>
              <w:pStyle w:val="nTable"/>
              <w:spacing w:after="40"/>
              <w:rPr>
                <w:ins w:id="290" w:author="Master Repository Process" w:date="2021-07-31T07:53:00Z"/>
                <w:sz w:val="19"/>
              </w:rPr>
            </w:pPr>
            <w:ins w:id="291" w:author="Master Repository Process" w:date="2021-07-31T07:53:00Z">
              <w:r>
                <w:rPr>
                  <w:sz w:val="19"/>
                </w:rPr>
                <w:t>15 Jun 2007 p. 2753-4</w:t>
              </w:r>
            </w:ins>
          </w:p>
        </w:tc>
        <w:tc>
          <w:tcPr>
            <w:tcW w:w="2693" w:type="dxa"/>
            <w:gridSpan w:val="2"/>
            <w:tcBorders>
              <w:bottom w:val="single" w:sz="8" w:space="0" w:color="auto"/>
            </w:tcBorders>
          </w:tcPr>
          <w:p>
            <w:pPr>
              <w:pStyle w:val="nTable"/>
              <w:rPr>
                <w:ins w:id="292" w:author="Master Repository Process" w:date="2021-07-31T07:53:00Z"/>
                <w:sz w:val="19"/>
              </w:rPr>
            </w:pPr>
            <w:ins w:id="293" w:author="Master Repository Process" w:date="2021-07-31T07:53:00Z">
              <w:r>
                <w:rPr>
                  <w:sz w:val="19"/>
                </w:rPr>
                <w:t>r. 1 and 2: 15 Jun 2007 (see r. 2(a));</w:t>
              </w:r>
            </w:ins>
          </w:p>
          <w:p>
            <w:pPr>
              <w:pStyle w:val="nTable"/>
              <w:spacing w:after="40"/>
              <w:rPr>
                <w:ins w:id="294" w:author="Master Repository Process" w:date="2021-07-31T07:53:00Z"/>
                <w:sz w:val="19"/>
              </w:rPr>
            </w:pPr>
            <w:ins w:id="295" w:author="Master Repository Process" w:date="2021-07-31T07:53:00Z">
              <w:r>
                <w:rPr>
                  <w:sz w:val="19"/>
                </w:rPr>
                <w:t>Regulations other than r. 1 and 2: 1 Jul 2007 (see r. 2(b))</w:t>
              </w:r>
            </w:ins>
          </w:p>
        </w:tc>
      </w:tr>
    </w:tbl>
    <w:p>
      <w:pPr>
        <w:pStyle w:val="nSubsection"/>
      </w:pPr>
      <w:r>
        <w:rPr>
          <w:vertAlign w:val="superscript"/>
        </w:rPr>
        <w:t>2</w:t>
      </w:r>
      <w:r>
        <w:tab/>
        <w:t xml:space="preserve">The designation of Ministers may be altered by the Governor under the </w:t>
      </w:r>
      <w:r>
        <w:rPr>
          <w:i/>
        </w:rPr>
        <w:t>Alterations of Statutory Designations Act 1974</w:t>
      </w:r>
      <w:r>
        <w:t>. As at the date of this reprint the former Minister for Agriculture is known as the Minister for Primary Industries.</w:t>
      </w:r>
    </w:p>
    <w:p>
      <w:pPr>
        <w:pStyle w:val="nSubsection"/>
      </w:pPr>
      <w:r>
        <w:rPr>
          <w:vertAlign w:val="superscript"/>
        </w:rPr>
        <w:t>3</w:t>
      </w:r>
      <w:r>
        <w:tab/>
        <w:t xml:space="preserve">Under the </w:t>
      </w:r>
      <w:r>
        <w:rPr>
          <w:i/>
        </w:rPr>
        <w:t>Alteration of Statutory Designations Order 1996,</w:t>
      </w:r>
      <w:r>
        <w:t xml:space="preserve"> references in any law to the “Department of Agriculture” shall be read and construed as references to “Agriculture Western Australia”.</w:t>
      </w: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Artificial Breeding (Cattle) Regulations 1978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Artificial Breeding (Cattle) Regulations 1978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Artificial Breeding (Cattle) Regulations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Artificial Breeding (Cattle) Regulations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Artificial Breeding (Cattle) Regulations 1978</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3A</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Artificial Breeding (Cattle) Regulations 1978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875"/>
      <w:gridCol w:w="5388"/>
    </w:tblGrid>
    <w:tr>
      <w:trPr>
        <w:cantSplit/>
      </w:trPr>
      <w:tc>
        <w:tcPr>
          <w:tcW w:w="7258" w:type="dxa"/>
          <w:gridSpan w:val="2"/>
        </w:tcPr>
        <w:p>
          <w:pPr>
            <w:pStyle w:val="HeaderActNameLeft"/>
          </w:pPr>
          <w:fldSimple w:instr=" Styleref &quot;Name of Act/Reg&quot; ">
            <w:r>
              <w:rPr>
                <w:noProof/>
              </w:rPr>
              <w:t>Artificial Breeding (Cattle) Regulations 1978</w:t>
            </w:r>
          </w:fldSimple>
        </w:p>
      </w:tc>
    </w:tr>
    <w:tr>
      <w:tc>
        <w:tcPr>
          <w:tcW w:w="1875" w:type="dxa"/>
        </w:tcPr>
        <w:p>
          <w:pPr>
            <w:pStyle w:val="HeaderNumberLeft"/>
          </w:pPr>
        </w:p>
      </w:tc>
      <w:tc>
        <w:tcPr>
          <w:tcW w:w="5388" w:type="dxa"/>
        </w:tcPr>
        <w:p>
          <w:pPr>
            <w:pStyle w:val="HeaderTextLeft"/>
          </w:pPr>
        </w:p>
      </w:tc>
    </w:tr>
    <w:tr>
      <w:tc>
        <w:tcPr>
          <w:tcW w:w="1875" w:type="dxa"/>
        </w:tcPr>
        <w:p>
          <w:pPr>
            <w:pStyle w:val="HeaderNumberLeft"/>
          </w:pPr>
        </w:p>
      </w:tc>
      <w:tc>
        <w:tcPr>
          <w:tcW w:w="5388" w:type="dxa"/>
        </w:tcPr>
        <w:p>
          <w:pPr>
            <w:pStyle w:val="HeaderTextLeft"/>
          </w:pPr>
        </w:p>
      </w:tc>
    </w:tr>
    <w:tr>
      <w:trPr>
        <w:cantSplit/>
      </w:trPr>
      <w:tc>
        <w:tcPr>
          <w:tcW w:w="1875" w:type="dxa"/>
        </w:tcPr>
        <w:p>
          <w:pPr>
            <w:pStyle w:val="HeaderSectionRight"/>
            <w:ind w:right="17"/>
            <w:jc w:val="left"/>
          </w:pPr>
          <w:r>
            <w:fldChar w:fldCharType="begin"/>
          </w:r>
          <w:r>
            <w:instrText xml:space="preserve"> STYLEREF CharSchNo \* MERGEFORMAT </w:instrText>
          </w:r>
          <w:r>
            <w:fldChar w:fldCharType="end"/>
          </w:r>
        </w:p>
      </w:tc>
      <w:tc>
        <w:tcPr>
          <w:tcW w:w="538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285"/>
      <w:gridCol w:w="1978"/>
    </w:tblGrid>
    <w:tr>
      <w:trPr>
        <w:cantSplit/>
      </w:trPr>
      <w:tc>
        <w:tcPr>
          <w:tcW w:w="7258" w:type="dxa"/>
          <w:gridSpan w:val="2"/>
        </w:tcPr>
        <w:p>
          <w:pPr>
            <w:pStyle w:val="HeaderActNameRight"/>
            <w:ind w:right="17"/>
          </w:pPr>
          <w:fldSimple w:instr=" Styleref &quot;Name of Act/Reg&quot; ">
            <w:r>
              <w:rPr>
                <w:noProof/>
              </w:rPr>
              <w:t>Artificial Breeding (Cattle) Regulations 1978</w:t>
            </w:r>
          </w:fldSimple>
        </w:p>
      </w:tc>
    </w:tr>
    <w:tr>
      <w:tc>
        <w:tcPr>
          <w:tcW w:w="5285" w:type="dxa"/>
        </w:tcPr>
        <w:p>
          <w:pPr>
            <w:pStyle w:val="HeaderTextRight"/>
          </w:pPr>
        </w:p>
      </w:tc>
      <w:tc>
        <w:tcPr>
          <w:tcW w:w="1978" w:type="dxa"/>
        </w:tcPr>
        <w:p>
          <w:pPr>
            <w:pStyle w:val="HeaderNumberRight"/>
            <w:ind w:right="17"/>
          </w:pPr>
        </w:p>
      </w:tc>
    </w:tr>
    <w:tr>
      <w:tc>
        <w:tcPr>
          <w:tcW w:w="5285" w:type="dxa"/>
        </w:tcPr>
        <w:p>
          <w:pPr>
            <w:pStyle w:val="HeaderTextRight"/>
          </w:pPr>
        </w:p>
      </w:tc>
      <w:tc>
        <w:tcPr>
          <w:tcW w:w="1978" w:type="dxa"/>
        </w:tcPr>
        <w:p>
          <w:pPr>
            <w:pStyle w:val="HeaderNumberRight"/>
            <w:ind w:right="17"/>
          </w:pPr>
        </w:p>
      </w:tc>
    </w:tr>
    <w:tr>
      <w:trPr>
        <w:cantSplit/>
      </w:trPr>
      <w:tc>
        <w:tcPr>
          <w:tcW w:w="5285" w:type="dxa"/>
        </w:tcPr>
        <w:p>
          <w:pPr>
            <w:pStyle w:val="HeaderSectionRight"/>
            <w:ind w:right="17"/>
          </w:pPr>
          <w:r>
            <w:fldChar w:fldCharType="begin"/>
          </w:r>
          <w:r>
            <w:instrText xml:space="preserve"> STYLEREF CharSchText \* MERGEFORMAT </w:instrText>
          </w:r>
          <w:r>
            <w:fldChar w:fldCharType="end"/>
          </w:r>
        </w:p>
      </w:tc>
      <w:tc>
        <w:tcPr>
          <w:tcW w:w="1973"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1185C9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6FA934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84178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2AEB72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CB0E34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FC4DC8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4C21F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4D0D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F26F8A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446DD9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FE2C61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EAD81114"/>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4150543"/>
    <w:docVar w:name="WAFER_20151204150543" w:val="RemoveTrackChanges"/>
    <w:docVar w:name="WAFER_20151204150543_GUID" w:val="91cb6449-8fe9-4e67-9178-b15156128da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63A411A-7562-491B-A477-A83DB2A60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8381</Words>
  <Characters>45680</Characters>
  <Application>Microsoft Office Word</Application>
  <DocSecurity>0</DocSecurity>
  <Lines>1575</Lines>
  <Paragraphs>948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Artificial Breeding (Cattle) Regulations 1978 01-b0-06 - 01-c0-02</dc:title>
  <dc:subject/>
  <dc:creator/>
  <cp:keywords/>
  <dc:description/>
  <cp:lastModifiedBy>Master Repository Process</cp:lastModifiedBy>
  <cp:revision>2</cp:revision>
  <cp:lastPrinted>2000-03-13T03:54:00Z</cp:lastPrinted>
  <dcterms:created xsi:type="dcterms:W3CDTF">2021-07-30T23:53:00Z</dcterms:created>
  <dcterms:modified xsi:type="dcterms:W3CDTF">2021-07-30T23:53:00Z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January 1979 pp.240-258</vt:lpwstr>
  </property>
  <property fmtid="{D5CDD505-2E9C-101B-9397-08002B2CF9AE}" pid="3" name="CommencementDate">
    <vt:lpwstr>20070701</vt:lpwstr>
  </property>
  <property fmtid="{D5CDD505-2E9C-101B-9397-08002B2CF9AE}" pid="4" name="DocumentType">
    <vt:lpwstr>Reg</vt:lpwstr>
  </property>
  <property fmtid="{D5CDD505-2E9C-101B-9397-08002B2CF9AE}" pid="5" name="OwlsUID">
    <vt:i4>4282</vt:i4>
  </property>
  <property fmtid="{D5CDD505-2E9C-101B-9397-08002B2CF9AE}" pid="6" name="FromSuffix">
    <vt:lpwstr>01-b0-06</vt:lpwstr>
  </property>
  <property fmtid="{D5CDD505-2E9C-101B-9397-08002B2CF9AE}" pid="7" name="FromAsAtDate">
    <vt:lpwstr>01 Jul 2001</vt:lpwstr>
  </property>
  <property fmtid="{D5CDD505-2E9C-101B-9397-08002B2CF9AE}" pid="8" name="ToSuffix">
    <vt:lpwstr>01-c0-02</vt:lpwstr>
  </property>
  <property fmtid="{D5CDD505-2E9C-101B-9397-08002B2CF9AE}" pid="9" name="ToAsAtDate">
    <vt:lpwstr>01 Jul 2007</vt:lpwstr>
  </property>
</Properties>
</file>