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(Local Government Planning Fees)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2007</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vertAlign w:val="superscript"/>
        </w:rPr>
      </w:pPr>
      <w:r>
        <w:rPr>
          <w:snapToGrid w:val="0"/>
        </w:rPr>
        <w:t>Planning and Development Act 2005 </w:t>
      </w:r>
      <w:r>
        <w:rPr>
          <w:snapToGrid w:val="0"/>
          <w:vertAlign w:val="superscript"/>
        </w:rPr>
        <w:t>2</w:t>
      </w:r>
    </w:p>
    <w:p>
      <w:pPr>
        <w:pStyle w:val="NameofActReg"/>
      </w:pPr>
      <w:r>
        <w:t>Planning and Development (Local Government Planning Fees) Regulations 2000</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01877479"/>
      <w:bookmarkStart w:id="7" w:name="_Toc170802063"/>
      <w:bookmarkStart w:id="8" w:name="_Toc168988957"/>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iCs/>
        </w:rPr>
        <w:t>Planning and Development</w:t>
      </w:r>
      <w:r>
        <w:rPr>
          <w:i/>
        </w:rPr>
        <w:t xml:space="preserve"> (Local Government Planning Fees) Regulations 2000</w:t>
      </w:r>
      <w:r>
        <w:rPr>
          <w:iCs/>
        </w:rPr>
        <w:t xml:space="preserve"> </w:t>
      </w:r>
      <w:r>
        <w:rPr>
          <w:iCs/>
          <w:vertAlign w:val="superscript"/>
        </w:rPr>
        <w:t>1</w:t>
      </w:r>
      <w:r>
        <w:rPr>
          <w:i/>
        </w:rPr>
        <w:t>.</w:t>
      </w:r>
    </w:p>
    <w:p>
      <w:pPr>
        <w:pStyle w:val="Footnotesection"/>
      </w:pPr>
      <w:r>
        <w:tab/>
        <w:t>[Regulation 1 amended in Gazette 8 Jun 2007 p. 2632.]</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01877480"/>
      <w:bookmarkStart w:id="18" w:name="_Toc170802064"/>
      <w:bookmarkStart w:id="19" w:name="_Toc16898895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 xml:space="preserve">These regulations come into operation on the day on which the </w:t>
      </w:r>
      <w:r>
        <w:rPr>
          <w:i/>
          <w:spacing w:val="-2"/>
        </w:rPr>
        <w:t>Planning Legislation Amendment Act 1999</w:t>
      </w:r>
      <w:r>
        <w:rPr>
          <w:spacing w:val="-2"/>
        </w:rPr>
        <w:t xml:space="preserve"> comes into operation</w:t>
      </w:r>
      <w:r>
        <w:t>.</w:t>
      </w:r>
    </w:p>
    <w:p>
      <w:pPr>
        <w:pStyle w:val="Heading5"/>
      </w:pPr>
      <w:bookmarkStart w:id="20" w:name="_Toc501877481"/>
      <w:bookmarkStart w:id="21" w:name="_Toc170802065"/>
      <w:bookmarkStart w:id="22" w:name="_Toc168988959"/>
      <w:r>
        <w:rPr>
          <w:rStyle w:val="CharSectno"/>
        </w:rPr>
        <w:t>3</w:t>
      </w:r>
      <w:r>
        <w:t>.</w:t>
      </w:r>
      <w:r>
        <w:tab/>
        <w:t>Interpretation</w:t>
      </w:r>
      <w:bookmarkEnd w:id="20"/>
      <w:bookmarkEnd w:id="21"/>
      <w:bookmarkEnd w:id="22"/>
    </w:p>
    <w:p>
      <w:pPr>
        <w:pStyle w:val="Subsection"/>
      </w:pPr>
      <w:r>
        <w:tab/>
      </w:r>
      <w:r>
        <w:tab/>
        <w:t xml:space="preserve">In these regulations — </w:t>
      </w:r>
    </w:p>
    <w:p>
      <w:pPr>
        <w:pStyle w:val="Defstart"/>
      </w:pPr>
      <w:r>
        <w:tab/>
      </w:r>
      <w:del w:id="23" w:author="Master Repository Process" w:date="2021-09-11T16:15:00Z">
        <w:r>
          <w:rPr>
            <w:b/>
          </w:rPr>
          <w:delText>“</w:delText>
        </w:r>
      </w:del>
      <w:r>
        <w:rPr>
          <w:rStyle w:val="CharDefText"/>
        </w:rPr>
        <w:t>applicant</w:t>
      </w:r>
      <w:del w:id="24" w:author="Master Repository Process" w:date="2021-09-11T16:15:00Z">
        <w:r>
          <w:rPr>
            <w:b/>
          </w:rPr>
          <w:delText>”</w:delText>
        </w:r>
      </w:del>
      <w:r>
        <w:t xml:space="preserve"> includes a person making a request;</w:t>
      </w:r>
    </w:p>
    <w:p>
      <w:pPr>
        <w:pStyle w:val="Defstart"/>
      </w:pPr>
      <w:r>
        <w:tab/>
      </w:r>
      <w:del w:id="25" w:author="Master Repository Process" w:date="2021-09-11T16:15:00Z">
        <w:r>
          <w:rPr>
            <w:b/>
          </w:rPr>
          <w:delText>“</w:delText>
        </w:r>
      </w:del>
      <w:r>
        <w:rPr>
          <w:rStyle w:val="CharDefText"/>
        </w:rPr>
        <w:t>fee</w:t>
      </w:r>
      <w:del w:id="26" w:author="Master Repository Process" w:date="2021-09-11T16:15:00Z">
        <w:r>
          <w:rPr>
            <w:b/>
          </w:rPr>
          <w:delText>”</w:delText>
        </w:r>
      </w:del>
      <w:r>
        <w:t xml:space="preserve"> includes charge;</w:t>
      </w:r>
    </w:p>
    <w:p>
      <w:pPr>
        <w:pStyle w:val="Defstart"/>
      </w:pPr>
      <w:r>
        <w:tab/>
      </w:r>
      <w:del w:id="27" w:author="Master Repository Process" w:date="2021-09-11T16:15:00Z">
        <w:r>
          <w:rPr>
            <w:b/>
          </w:rPr>
          <w:delText>“</w:delText>
        </w:r>
      </w:del>
      <w:r>
        <w:rPr>
          <w:rStyle w:val="CharDefText"/>
        </w:rPr>
        <w:t>issue</w:t>
      </w:r>
      <w:del w:id="28" w:author="Master Repository Process" w:date="2021-09-11T16:15:00Z">
        <w:r>
          <w:rPr>
            <w:b/>
          </w:rPr>
          <w:delText>”</w:delText>
        </w:r>
      </w:del>
      <w:r>
        <w:t xml:space="preserve"> includes grant or give;</w:t>
      </w:r>
    </w:p>
    <w:p>
      <w:pPr>
        <w:pStyle w:val="Defstart"/>
      </w:pPr>
      <w:r>
        <w:tab/>
      </w:r>
      <w:del w:id="29" w:author="Master Repository Process" w:date="2021-09-11T16:15:00Z">
        <w:r>
          <w:rPr>
            <w:b/>
          </w:rPr>
          <w:delText>“</w:delText>
        </w:r>
      </w:del>
      <w:r>
        <w:rPr>
          <w:rStyle w:val="CharDefText"/>
        </w:rPr>
        <w:t>Panel</w:t>
      </w:r>
      <w:del w:id="30" w:author="Master Repository Process" w:date="2021-09-11T16:15:00Z">
        <w:r>
          <w:rPr>
            <w:b/>
          </w:rPr>
          <w:delText>”</w:delText>
        </w:r>
      </w:del>
      <w:r>
        <w:t xml:space="preserve"> means a Fees Arbitration Panel appointed under regulation 11;</w:t>
      </w:r>
    </w:p>
    <w:p>
      <w:pPr>
        <w:pStyle w:val="Defstart"/>
      </w:pPr>
      <w:r>
        <w:tab/>
      </w:r>
      <w:del w:id="31" w:author="Master Repository Process" w:date="2021-09-11T16:15:00Z">
        <w:r>
          <w:rPr>
            <w:b/>
          </w:rPr>
          <w:delText>“</w:delText>
        </w:r>
      </w:del>
      <w:r>
        <w:rPr>
          <w:rStyle w:val="CharDefText"/>
        </w:rPr>
        <w:t>structure plan</w:t>
      </w:r>
      <w:del w:id="32" w:author="Master Repository Process" w:date="2021-09-11T16:15:00Z">
        <w:r>
          <w:rPr>
            <w:b/>
          </w:rPr>
          <w:delText>”</w:delText>
        </w:r>
      </w:del>
      <w:r>
        <w:t xml:space="preserve"> means a plan, however described in a local planning scheme, for the coordination of subdivision and development.</w:t>
      </w:r>
    </w:p>
    <w:p>
      <w:pPr>
        <w:pStyle w:val="Footnotesection"/>
      </w:pPr>
      <w:bookmarkStart w:id="33" w:name="endcomma"/>
      <w:bookmarkStart w:id="34" w:name="_Toc501877482"/>
      <w:bookmarkEnd w:id="33"/>
      <w:r>
        <w:tab/>
        <w:t>[Regulation 3 amended in Gazette 8 Jun 2007 p. 2632.]</w:t>
      </w:r>
    </w:p>
    <w:p>
      <w:pPr>
        <w:pStyle w:val="Heading5"/>
      </w:pPr>
      <w:bookmarkStart w:id="35" w:name="_Toc170802066"/>
      <w:bookmarkStart w:id="36" w:name="_Toc168988960"/>
      <w:r>
        <w:rPr>
          <w:rStyle w:val="CharSectno"/>
        </w:rPr>
        <w:t>4</w:t>
      </w:r>
      <w:r>
        <w:t>.</w:t>
      </w:r>
      <w:r>
        <w:tab/>
        <w:t>Services for which fees may be imposed</w:t>
      </w:r>
      <w:bookmarkEnd w:id="34"/>
      <w:bookmarkEnd w:id="35"/>
      <w:bookmarkEnd w:id="36"/>
    </w:p>
    <w:p>
      <w:pPr>
        <w:pStyle w:val="Subsection"/>
      </w:pPr>
      <w:r>
        <w:tab/>
        <w:t>(1)</w:t>
      </w:r>
      <w:r>
        <w:tab/>
        <w:t xml:space="preserve">A local government may impose a fee in respect of the following services provided by the local government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Indenta"/>
      </w:pPr>
      <w:r>
        <w:tab/>
        <w:t>(h)</w:t>
      </w:r>
      <w:r>
        <w:tab/>
        <w:t>services provided by the local government pursuant to a request for a local planning scheme amendment;</w:t>
      </w:r>
    </w:p>
    <w:p>
      <w:pPr>
        <w:pStyle w:val="Indenta"/>
      </w:pPr>
      <w:r>
        <w:tab/>
        <w:t>(i)</w:t>
      </w:r>
      <w:r>
        <w:tab/>
        <w:t>services provided by the local government pursuant to a request for adoption of a structure plan provided by the applicant.</w:t>
      </w:r>
    </w:p>
    <w:p>
      <w:pPr>
        <w:pStyle w:val="Subsection"/>
      </w:pPr>
      <w:r>
        <w:tab/>
        <w:t>(2)</w:t>
      </w:r>
      <w:r>
        <w:tab/>
        <w:t>No fee is payable for or in relation to services provided pursuant to a request for a local planning scheme amendment where the sole purpose of the amendment requested is to render a local planning scheme prepared or adopted by the local government consistent with the Metropolitan Region Scheme or a region planning scheme.</w:t>
      </w:r>
    </w:p>
    <w:p>
      <w:pPr>
        <w:pStyle w:val="Footnotesection"/>
      </w:pPr>
      <w:bookmarkStart w:id="37" w:name="_Toc501877483"/>
      <w:r>
        <w:tab/>
        <w:t>[Regulation 4 amended in Gazette 8 Jun 2007 p. 2632 and 2635.]</w:t>
      </w:r>
    </w:p>
    <w:p>
      <w:pPr>
        <w:pStyle w:val="Heading5"/>
        <w:keepLines w:val="0"/>
      </w:pPr>
      <w:bookmarkStart w:id="38" w:name="_Toc170802067"/>
      <w:bookmarkStart w:id="39" w:name="_Toc168988961"/>
      <w:r>
        <w:rPr>
          <w:rStyle w:val="CharSectno"/>
        </w:rPr>
        <w:t>5</w:t>
      </w:r>
      <w:r>
        <w:t>.</w:t>
      </w:r>
      <w:r>
        <w:tab/>
        <w:t>Maximum fees for services in relation to certain planning matters</w:t>
      </w:r>
      <w:bookmarkEnd w:id="37"/>
      <w:bookmarkEnd w:id="38"/>
      <w:bookmarkEnd w:id="39"/>
    </w:p>
    <w:p>
      <w:pPr>
        <w:pStyle w:val="Subsection"/>
        <w:keepNext/>
      </w:pPr>
      <w:r>
        <w:tab/>
        <w:t>(1)</w:t>
      </w:r>
      <w:r>
        <w:tab/>
        <w:t xml:space="preserve">Subject to regulation 16, the fees set out in Schedule 1 Part 1 are the maximum fees that may be imposed by a local government for or in relation to the following services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of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Subsection"/>
      </w:pPr>
      <w:r>
        <w:tab/>
        <w:t>(2)</w:t>
      </w:r>
      <w:r>
        <w:tab/>
        <w:t>A fee referred to in subregulation (1) is to be paid by an applicant when the application or request is made.</w:t>
      </w:r>
    </w:p>
    <w:p>
      <w:pPr>
        <w:pStyle w:val="Heading5"/>
      </w:pPr>
      <w:bookmarkStart w:id="40" w:name="_Toc501877484"/>
      <w:bookmarkStart w:id="41" w:name="_Toc170802068"/>
      <w:bookmarkStart w:id="42" w:name="_Toc168988962"/>
      <w:r>
        <w:rPr>
          <w:rStyle w:val="CharSectno"/>
        </w:rPr>
        <w:t>6</w:t>
      </w:r>
      <w:r>
        <w:t>.</w:t>
      </w:r>
      <w:r>
        <w:tab/>
        <w:t>Maximum fees for services in relation to scheme amendments and structure plans</w:t>
      </w:r>
      <w:bookmarkEnd w:id="40"/>
      <w:bookmarkEnd w:id="41"/>
      <w:bookmarkEnd w:id="42"/>
    </w:p>
    <w:p>
      <w:pPr>
        <w:pStyle w:val="Subsection"/>
      </w:pPr>
      <w:r>
        <w:tab/>
        <w:t>(1)</w:t>
      </w:r>
      <w:r>
        <w:tab/>
        <w:t>Subject to regulation 16, the fees set out in Schedule 1 Part 2 are the maximum fees that may be imposed by a local government for or in relation to services provided by the local government pursuant to a request for a local planning scheme amendment.</w:t>
      </w:r>
    </w:p>
    <w:p>
      <w:pPr>
        <w:pStyle w:val="Subsection"/>
      </w:pPr>
      <w:r>
        <w:tab/>
        <w:t>(2)</w:t>
      </w:r>
      <w:r>
        <w:tab/>
        <w:t>Subject to regulation 16, the fees set out in Schedule 1 Part 3 are the maximum fees that may be imposed by a local government for or in relation to services provided by the local government pursuant to a request for adoption of a structure plan provided by the applicant.</w:t>
      </w:r>
    </w:p>
    <w:p>
      <w:pPr>
        <w:pStyle w:val="Subsection"/>
      </w:pPr>
      <w:r>
        <w:tab/>
        <w:t>(3)</w:t>
      </w:r>
      <w:r>
        <w:tab/>
        <w:t>A fee referred to in subregulation (1) or (2) is to be calculated by the local government and included in a bill to be paid by the applicant when the request is made.</w:t>
      </w:r>
    </w:p>
    <w:p>
      <w:pPr>
        <w:pStyle w:val="Subsection"/>
      </w:pPr>
      <w:r>
        <w:tab/>
        <w:t>(4)</w:t>
      </w:r>
      <w:r>
        <w:tab/>
        <w:t xml:space="preserve">If the local government decides — </w:t>
      </w:r>
    </w:p>
    <w:p>
      <w:pPr>
        <w:pStyle w:val="Indenta"/>
      </w:pPr>
      <w:r>
        <w:tab/>
        <w:t>(a)</w:t>
      </w:r>
      <w:r>
        <w:tab/>
        <w:t>not to initiate the local planning scheme amendment or the adoption of a structure plan; or</w:t>
      </w:r>
    </w:p>
    <w:p>
      <w:pPr>
        <w:pStyle w:val="Indenta"/>
      </w:pPr>
      <w:r>
        <w:tab/>
        <w:t>(b)</w:t>
      </w:r>
      <w:r>
        <w:tab/>
        <w:t>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are to be refunded to the applicant.</w:t>
      </w:r>
    </w:p>
    <w:p>
      <w:pPr>
        <w:pStyle w:val="Footnotesection"/>
      </w:pPr>
      <w:bookmarkStart w:id="43" w:name="_Toc501877485"/>
      <w:r>
        <w:tab/>
        <w:t>[Regulation 6 amended in Gazette 8 Jun 2007 p.  2635.]</w:t>
      </w:r>
    </w:p>
    <w:p>
      <w:pPr>
        <w:pStyle w:val="Heading5"/>
      </w:pPr>
      <w:bookmarkStart w:id="44" w:name="_Toc170802069"/>
      <w:bookmarkStart w:id="45" w:name="_Toc168988963"/>
      <w:r>
        <w:rPr>
          <w:rStyle w:val="CharSectno"/>
        </w:rPr>
        <w:t>7</w:t>
      </w:r>
      <w:r>
        <w:t>.</w:t>
      </w:r>
      <w:r>
        <w:tab/>
        <w:t>How fees may be reduced</w:t>
      </w:r>
      <w:bookmarkEnd w:id="43"/>
      <w:bookmarkEnd w:id="44"/>
      <w:bookmarkEnd w:id="45"/>
    </w:p>
    <w:p>
      <w:pPr>
        <w:pStyle w:val="Subsection"/>
      </w:pPr>
      <w:r>
        <w:tab/>
        <w:t>(1)</w:t>
      </w:r>
      <w:r>
        <w:tab/>
        <w:t>A local government may, in respect of a service prescribed under Schedule 1 Part 1, impose a fee that is less than the maximum fee prescribed in respect of that service.</w:t>
      </w:r>
    </w:p>
    <w:p>
      <w:pPr>
        <w:pStyle w:val="Subsection"/>
      </w:pPr>
      <w:r>
        <w:tab/>
        <w:t>(2)</w:t>
      </w:r>
      <w:r>
        <w:tab/>
        <w:t xml:space="preserve">A local government may impose a fee that is less than the maximum fee prescribed in respect of the services provided by the local government pursuant to a request for a local planning scheme amendment or adoption of a structure plan by — </w:t>
      </w:r>
    </w:p>
    <w:p>
      <w:pPr>
        <w:pStyle w:val="Indenta"/>
      </w:pPr>
      <w:r>
        <w:tab/>
        <w:t>(a)</w:t>
      </w:r>
      <w:r>
        <w:tab/>
        <w:t>reducing the relevant hourly rate specified under Schedule 1 Part 2 or Schedule 1 Part 3; or</w:t>
      </w:r>
    </w:p>
    <w:p>
      <w:pPr>
        <w:pStyle w:val="Indenta"/>
      </w:pPr>
      <w:r>
        <w:tab/>
        <w:t>(b)</w:t>
      </w:r>
      <w:r>
        <w:tab/>
        <w:t>reducing the total fee calculated under Schedule 1 Part 2 or Schedule 1 Part 3.</w:t>
      </w:r>
    </w:p>
    <w:p>
      <w:pPr>
        <w:pStyle w:val="Footnotesection"/>
      </w:pPr>
      <w:bookmarkStart w:id="46" w:name="_Toc501877486"/>
      <w:r>
        <w:tab/>
        <w:t>[Regulation 7 amended in Gazette 8 Jun 2007 p.  2635.]</w:t>
      </w:r>
    </w:p>
    <w:p>
      <w:pPr>
        <w:pStyle w:val="Heading5"/>
      </w:pPr>
      <w:bookmarkStart w:id="47" w:name="_Toc170802070"/>
      <w:bookmarkStart w:id="48" w:name="_Toc168988964"/>
      <w:r>
        <w:rPr>
          <w:rStyle w:val="CharSectno"/>
        </w:rPr>
        <w:t>8</w:t>
      </w:r>
      <w:r>
        <w:t>.</w:t>
      </w:r>
      <w:r>
        <w:tab/>
        <w:t>Costs and expenses</w:t>
      </w:r>
      <w:bookmarkEnd w:id="46"/>
      <w:bookmarkEnd w:id="47"/>
      <w:bookmarkEnd w:id="48"/>
    </w:p>
    <w:p>
      <w:pPr>
        <w:pStyle w:val="Subsection"/>
      </w:pPr>
      <w:r>
        <w:tab/>
        <w:t>(1)</w:t>
      </w:r>
      <w:r>
        <w:tab/>
        <w:t xml:space="preserve">The following costs and expenses, if incurred by a local government in providing a service referred to in regulation 5(1)(a) to (d) or regulation 6,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that is required in relation to the application, for example, environmental assessment;</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w:t>
      </w:r>
    </w:p>
    <w:p>
      <w:pPr>
        <w:pStyle w:val="Indenta"/>
      </w:pPr>
      <w:r>
        <w:tab/>
        <w:t>(e)</w:t>
      </w:r>
      <w:r>
        <w:tab/>
        <w:t>costs and expenses of specialist advice required in relation to the application, for example, advice in relation to heritage matters.</w:t>
      </w:r>
    </w:p>
    <w:p>
      <w:pPr>
        <w:pStyle w:val="Subsection"/>
      </w:pPr>
      <w:r>
        <w:tab/>
        <w:t>(2)</w:t>
      </w:r>
      <w:r>
        <w:tab/>
        <w:t xml:space="preserve">A local government may, by a bill given to the applicant — </w:t>
      </w:r>
    </w:p>
    <w:p>
      <w:pPr>
        <w:pStyle w:val="Indenta"/>
      </w:pPr>
      <w:r>
        <w:tab/>
        <w:t>(a)</w:t>
      </w:r>
      <w:r>
        <w:tab/>
        <w:t>require an applicant to pay estimated costs and expenses that may be incurred by the local government before the costs and expenses are actually incurred; or</w:t>
      </w:r>
    </w:p>
    <w:p>
      <w:pPr>
        <w:pStyle w:val="Indenta"/>
      </w:pPr>
      <w:r>
        <w:tab/>
        <w:t>(b)</w:t>
      </w:r>
      <w:r>
        <w:tab/>
        <w:t>require the applicant to pay the actual costs and expenses after the costs and expenses are incurred.</w:t>
      </w:r>
    </w:p>
    <w:p>
      <w:pPr>
        <w:pStyle w:val="Subsection"/>
      </w:pPr>
      <w:r>
        <w:tab/>
        <w:t>(3)</w:t>
      </w:r>
      <w:r>
        <w:tab/>
        <w:t>Any moneys paid in advance by an applicant to a local government for estimated costs or expenses referred to in subregulation (1) that are not incurred by the local government are to be refunded to the applicant on the completion of the service.</w:t>
      </w:r>
    </w:p>
    <w:p>
      <w:pPr>
        <w:pStyle w:val="Footnotesection"/>
      </w:pPr>
      <w:bookmarkStart w:id="49" w:name="_Toc501877487"/>
      <w:r>
        <w:tab/>
        <w:t>[Regulation 8 amended in Gazette 8 Jun 2007 p. 2633.]</w:t>
      </w:r>
    </w:p>
    <w:p>
      <w:pPr>
        <w:pStyle w:val="Heading5"/>
      </w:pPr>
      <w:bookmarkStart w:id="50" w:name="_Toc170802071"/>
      <w:bookmarkStart w:id="51" w:name="_Toc168988965"/>
      <w:r>
        <w:rPr>
          <w:rStyle w:val="CharSectno"/>
        </w:rPr>
        <w:t>9</w:t>
      </w:r>
      <w:r>
        <w:t>.</w:t>
      </w:r>
      <w:r>
        <w:tab/>
        <w:t>Itemised account to be provided on request</w:t>
      </w:r>
      <w:bookmarkEnd w:id="49"/>
      <w:bookmarkEnd w:id="50"/>
      <w:bookmarkEnd w:id="51"/>
    </w:p>
    <w:p>
      <w:pPr>
        <w:pStyle w:val="Subsection"/>
      </w:pPr>
      <w:r>
        <w:tab/>
      </w:r>
      <w:r>
        <w:tab/>
        <w:t xml:space="preserve">If an applicant so requests, a local government is to give to the applicant an itemised account of — </w:t>
      </w:r>
    </w:p>
    <w:p>
      <w:pPr>
        <w:pStyle w:val="Indenta"/>
      </w:pPr>
      <w:r>
        <w:tab/>
        <w:t>(a)</w:t>
      </w:r>
      <w:r>
        <w:tab/>
        <w:t>any bill that has been given to the applicant by the local government for services referred to in regulation 6; or</w:t>
      </w:r>
    </w:p>
    <w:p>
      <w:pPr>
        <w:pStyle w:val="Indenta"/>
      </w:pPr>
      <w:r>
        <w:tab/>
        <w:t>(b)</w:t>
      </w:r>
      <w:r>
        <w:tab/>
        <w:t>any bill that has been given to the applicant by the local government for costs and expenses referred to in regulation 8.</w:t>
      </w:r>
    </w:p>
    <w:p>
      <w:pPr>
        <w:pStyle w:val="Heading5"/>
      </w:pPr>
      <w:bookmarkStart w:id="52" w:name="_Toc501877488"/>
      <w:bookmarkStart w:id="53" w:name="_Toc170802072"/>
      <w:bookmarkStart w:id="54" w:name="_Toc168988966"/>
      <w:r>
        <w:rPr>
          <w:rStyle w:val="CharSectno"/>
        </w:rPr>
        <w:t>10</w:t>
      </w:r>
      <w:r>
        <w:t>.</w:t>
      </w:r>
      <w:r>
        <w:tab/>
        <w:t>Dispute as to amount payable</w:t>
      </w:r>
      <w:bookmarkEnd w:id="52"/>
      <w:bookmarkEnd w:id="53"/>
      <w:bookmarkEnd w:id="54"/>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Fees Arbitration Panel for its decision which is final.</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Footnotesection"/>
      </w:pPr>
      <w:bookmarkStart w:id="55" w:name="_Toc501877489"/>
      <w:r>
        <w:tab/>
        <w:t>[Regulation 10 amended in Gazette 8 Jun 2007 p. 2635.]</w:t>
      </w:r>
    </w:p>
    <w:p>
      <w:pPr>
        <w:pStyle w:val="Heading5"/>
      </w:pPr>
      <w:bookmarkStart w:id="56" w:name="_Toc170802073"/>
      <w:bookmarkStart w:id="57" w:name="_Toc168988967"/>
      <w:r>
        <w:rPr>
          <w:rStyle w:val="CharSectno"/>
        </w:rPr>
        <w:t>11</w:t>
      </w:r>
      <w:r>
        <w:t>.</w:t>
      </w:r>
      <w:r>
        <w:tab/>
        <w:t>Fees Arbitration Panel</w:t>
      </w:r>
      <w:bookmarkEnd w:id="55"/>
      <w:bookmarkEnd w:id="56"/>
      <w:bookmarkEnd w:id="57"/>
    </w:p>
    <w:p>
      <w:pPr>
        <w:pStyle w:val="Subsection"/>
      </w:pPr>
      <w:r>
        <w:tab/>
        <w:t>(1)</w:t>
      </w:r>
      <w:r>
        <w:tab/>
        <w:t xml:space="preserve">A Fees Arbitration Panel is to consist of the following members appointed by the Minister —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is to request the Housing Industry Association, the Urban Development Institute of Australia, the Property Council of Australia, the Building Designers Association and the Real Estate Institute of Western Australia to each nominate a person for appointment.</w:t>
      </w:r>
    </w:p>
    <w:p>
      <w:pPr>
        <w:pStyle w:val="Subsection"/>
      </w:pPr>
      <w:r>
        <w:tab/>
        <w:t>(3)</w:t>
      </w:r>
      <w:r>
        <w:tab/>
        <w:t>The Minister is to appoint one of the members as chairperson of the Panel.</w:t>
      </w:r>
    </w:p>
    <w:p>
      <w:pPr>
        <w:pStyle w:val="Subsection"/>
      </w:pPr>
      <w:r>
        <w:tab/>
        <w:t>(4)</w:t>
      </w:r>
      <w:r>
        <w:tab/>
        <w:t>The function of a Panel is to determine a dispute referred to it under regulation 10.</w:t>
      </w:r>
    </w:p>
    <w:p>
      <w:pPr>
        <w:pStyle w:val="Footnotesection"/>
      </w:pPr>
      <w:bookmarkStart w:id="58" w:name="_Toc501877490"/>
      <w:r>
        <w:tab/>
        <w:t>[Regulation 11 amended in Gazette 8 Jun 2007 p. 2633.]</w:t>
      </w:r>
    </w:p>
    <w:p>
      <w:pPr>
        <w:pStyle w:val="Heading5"/>
      </w:pPr>
      <w:bookmarkStart w:id="59" w:name="_Toc170802074"/>
      <w:bookmarkStart w:id="60" w:name="_Toc168988968"/>
      <w:r>
        <w:rPr>
          <w:rStyle w:val="CharSectno"/>
        </w:rPr>
        <w:t>12</w:t>
      </w:r>
      <w:r>
        <w:t>.</w:t>
      </w:r>
      <w:r>
        <w:tab/>
        <w:t>Panel meetings</w:t>
      </w:r>
      <w:bookmarkEnd w:id="58"/>
      <w:bookmarkEnd w:id="59"/>
      <w:bookmarkEnd w:id="60"/>
    </w:p>
    <w:p>
      <w:pPr>
        <w:pStyle w:val="Subsection"/>
      </w:pPr>
      <w:r>
        <w:tab/>
        <w:t>(1)</w:t>
      </w:r>
      <w:r>
        <w:tab/>
        <w:t>The Panel may hold a meeting to decide a dispute referred to the Panel.</w:t>
      </w:r>
    </w:p>
    <w:p>
      <w:pPr>
        <w:pStyle w:val="Subsection"/>
      </w:pPr>
      <w:r>
        <w:tab/>
        <w:t>(2)</w:t>
      </w:r>
      <w:r>
        <w:tab/>
        <w:t>The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61" w:name="_Toc501877491"/>
      <w:bookmarkStart w:id="62" w:name="_Toc170802075"/>
      <w:bookmarkStart w:id="63" w:name="_Toc168988969"/>
      <w:r>
        <w:rPr>
          <w:rStyle w:val="CharSectno"/>
        </w:rPr>
        <w:t>13</w:t>
      </w:r>
      <w:r>
        <w:t>.</w:t>
      </w:r>
      <w:r>
        <w:tab/>
        <w:t>Decisions of the Panel</w:t>
      </w:r>
      <w:bookmarkEnd w:id="61"/>
      <w:bookmarkEnd w:id="62"/>
      <w:bookmarkEnd w:id="63"/>
    </w:p>
    <w:p>
      <w:pPr>
        <w:pStyle w:val="Subsection"/>
      </w:pPr>
      <w:r>
        <w:tab/>
        <w:t>(1)</w:t>
      </w:r>
      <w:r>
        <w:tab/>
        <w:t>A Panel member, including the chairperson, has a single vote on a determination to be made by the Panel and, in the case of an equality of votes, the chairperson also has a casting vote.</w:t>
      </w:r>
    </w:p>
    <w:p>
      <w:pPr>
        <w:pStyle w:val="Subsection"/>
      </w:pPr>
      <w:r>
        <w:tab/>
        <w:t>(2)</w:t>
      </w:r>
      <w:r>
        <w:tab/>
        <w:t>A matter that is to be determined by the Panel must be decided by a majority of votes.</w:t>
      </w:r>
    </w:p>
    <w:p>
      <w:pPr>
        <w:pStyle w:val="Subsection"/>
      </w:pPr>
      <w:r>
        <w:tab/>
        <w:t>(3)</w:t>
      </w:r>
      <w:r>
        <w:tab/>
        <w:t>A determination is a valid determination of the Panel, even though it is not made at a meeting of the Panel, if each member of the Panel agrees in writing to the proposed determination.</w:t>
      </w:r>
    </w:p>
    <w:p>
      <w:pPr>
        <w:pStyle w:val="Heading5"/>
      </w:pPr>
      <w:bookmarkStart w:id="64" w:name="_Toc501877492"/>
      <w:bookmarkStart w:id="65" w:name="_Toc170802076"/>
      <w:bookmarkStart w:id="66" w:name="_Toc168988970"/>
      <w:r>
        <w:rPr>
          <w:rStyle w:val="CharSectno"/>
        </w:rPr>
        <w:t>14</w:t>
      </w:r>
      <w:r>
        <w:t>.</w:t>
      </w:r>
      <w:r>
        <w:tab/>
        <w:t>Local government may waive or refund fee</w:t>
      </w:r>
      <w:bookmarkEnd w:id="64"/>
      <w:bookmarkEnd w:id="65"/>
      <w:bookmarkEnd w:id="66"/>
    </w:p>
    <w:p>
      <w:pPr>
        <w:pStyle w:val="Subsection"/>
      </w:pPr>
      <w:r>
        <w:tab/>
      </w:r>
      <w:r>
        <w:tab/>
        <w:t>A local government may waive or refund, in whole or in part, payment of a fee for a planning service.</w:t>
      </w:r>
    </w:p>
    <w:p>
      <w:pPr>
        <w:pStyle w:val="Heading5"/>
      </w:pPr>
      <w:bookmarkStart w:id="67" w:name="_Toc501877493"/>
      <w:bookmarkStart w:id="68" w:name="_Toc170802077"/>
      <w:bookmarkStart w:id="69" w:name="_Toc168988971"/>
      <w:r>
        <w:rPr>
          <w:rStyle w:val="CharSectno"/>
        </w:rPr>
        <w:t>15</w:t>
      </w:r>
      <w:r>
        <w:t>.</w:t>
      </w:r>
      <w:r>
        <w:tab/>
        <w:t>Performance standards</w:t>
      </w:r>
      <w:bookmarkEnd w:id="67"/>
      <w:bookmarkEnd w:id="68"/>
      <w:bookmarkEnd w:id="69"/>
    </w:p>
    <w:p>
      <w:pPr>
        <w:pStyle w:val="Subsection"/>
      </w:pPr>
      <w:r>
        <w:tab/>
      </w:r>
      <w:r>
        <w:tab/>
        <w:t>Not later than 3 years after the coming into operation of these regulations, each local government is to introduce or adopt performance standards to be met by the local government in relation to the imposition of fees for planning services.</w:t>
      </w:r>
    </w:p>
    <w:p>
      <w:pPr>
        <w:pStyle w:val="Heading5"/>
      </w:pPr>
      <w:bookmarkStart w:id="70" w:name="_Toc501877494"/>
      <w:bookmarkStart w:id="71" w:name="_Toc170802078"/>
      <w:bookmarkStart w:id="72" w:name="_Toc168988972"/>
      <w:r>
        <w:rPr>
          <w:rStyle w:val="CharSectno"/>
        </w:rPr>
        <w:t>16</w:t>
      </w:r>
      <w:r>
        <w:t>.</w:t>
      </w:r>
      <w:r>
        <w:tab/>
        <w:t>Exemption</w:t>
      </w:r>
      <w:bookmarkEnd w:id="70"/>
      <w:bookmarkEnd w:id="71"/>
      <w:bookmarkEnd w:id="72"/>
    </w:p>
    <w:p>
      <w:pPr>
        <w:pStyle w:val="Subsection"/>
      </w:pPr>
      <w:r>
        <w:tab/>
        <w:t>(1)</w:t>
      </w:r>
      <w:r>
        <w:tab/>
        <w:t>The Minister may by notice in writing exempt a local government from the requirement to impose fees in accordance with regulations 5 and 6.</w:t>
      </w:r>
    </w:p>
    <w:p>
      <w:pPr>
        <w:pStyle w:val="Subsection"/>
      </w:pPr>
      <w:r>
        <w:tab/>
        <w:t>(2)</w:t>
      </w:r>
      <w:r>
        <w:tab/>
        <w:t>The notice may be given subject to such conditions as the Minister thinks fit.</w:t>
      </w:r>
    </w:p>
    <w:p>
      <w:pPr>
        <w:pStyle w:val="Subsection"/>
      </w:pPr>
      <w:r>
        <w:tab/>
        <w:t>(3)</w:t>
      </w:r>
      <w:r>
        <w:tab/>
        <w:t>Regulations 5, 6, 7, 8, 9, 10, 14 and 15 do not apply to a local government while a notice given to the local government under subregulation (1) is in force.</w:t>
      </w:r>
    </w:p>
    <w:p>
      <w:pPr>
        <w:pStyle w:val="Subsection"/>
      </w:pPr>
      <w:r>
        <w:tab/>
        <w:t>(4)</w:t>
      </w:r>
      <w:r>
        <w:tab/>
        <w:t>The Minister may by notice in writing revoke or amend a notice given under subregulation (1).</w:t>
      </w:r>
    </w:p>
    <w:p>
      <w:pPr>
        <w:pStyle w:val="Heading5"/>
      </w:pPr>
      <w:bookmarkStart w:id="73" w:name="_Toc501877495"/>
      <w:bookmarkStart w:id="74" w:name="_Toc170802079"/>
      <w:bookmarkStart w:id="75" w:name="_Toc168988973"/>
      <w:r>
        <w:rPr>
          <w:rStyle w:val="CharSectno"/>
        </w:rPr>
        <w:t>17</w:t>
      </w:r>
      <w:r>
        <w:t>.</w:t>
      </w:r>
      <w:r>
        <w:tab/>
        <w:t>Review of regulations</w:t>
      </w:r>
      <w:bookmarkEnd w:id="73"/>
      <w:bookmarkEnd w:id="74"/>
      <w:bookmarkEnd w:id="75"/>
    </w:p>
    <w:p>
      <w:pPr>
        <w:pStyle w:val="Subsection"/>
      </w:pPr>
      <w:r>
        <w:tab/>
        <w:t>(1)</w:t>
      </w:r>
      <w:r>
        <w:tab/>
        <w:t>Not later than 12 months after the coming into operation of these regulations the Minister is to appoint a person or persons to report to the Minister on the operation and effectiveness of the regulations.</w:t>
      </w:r>
    </w:p>
    <w:p>
      <w:pPr>
        <w:pStyle w:val="Subsection"/>
      </w:pPr>
      <w:r>
        <w:tab/>
        <w:t>(2)</w:t>
      </w:r>
      <w:r>
        <w:tab/>
        <w:t>The report is to be made after reasonable endeavours have been made to obtain the views of the public and local governments on the operation and effectiveness of the regulations.</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keepNext w:val="0"/>
      </w:pPr>
      <w:bookmarkStart w:id="76" w:name="_Toc132432306"/>
      <w:bookmarkStart w:id="77" w:name="_Toc132432360"/>
      <w:bookmarkStart w:id="78" w:name="_Toc168988882"/>
      <w:bookmarkStart w:id="79" w:name="_Toc168988913"/>
      <w:bookmarkStart w:id="80" w:name="_Toc168988974"/>
      <w:bookmarkStart w:id="81" w:name="_Toc170620656"/>
      <w:bookmarkStart w:id="82" w:name="_Toc170802080"/>
      <w:r>
        <w:rPr>
          <w:rStyle w:val="CharSchNo"/>
        </w:rPr>
        <w:t>Schedule 1</w:t>
      </w:r>
      <w:r>
        <w:t xml:space="preserve"> —</w:t>
      </w:r>
      <w:bookmarkStart w:id="83" w:name="AutoSch"/>
      <w:bookmarkEnd w:id="83"/>
      <w:r>
        <w:t xml:space="preserve"> </w:t>
      </w:r>
      <w:r>
        <w:rPr>
          <w:rStyle w:val="CharSchText"/>
        </w:rPr>
        <w:t>Fees for planning services</w:t>
      </w:r>
      <w:bookmarkEnd w:id="76"/>
      <w:bookmarkEnd w:id="77"/>
      <w:bookmarkEnd w:id="78"/>
      <w:bookmarkEnd w:id="79"/>
      <w:bookmarkEnd w:id="80"/>
      <w:bookmarkEnd w:id="81"/>
      <w:bookmarkEnd w:id="82"/>
    </w:p>
    <w:p>
      <w:pPr>
        <w:pStyle w:val="yShoulderClause"/>
      </w:pPr>
      <w:r>
        <w:t>[r. 5(1)]</w:t>
      </w:r>
    </w:p>
    <w:p>
      <w:pPr>
        <w:pStyle w:val="yHeading2"/>
        <w:keepNext w:val="0"/>
        <w:spacing w:after="240"/>
      </w:pPr>
      <w:bookmarkStart w:id="84" w:name="_Toc132432307"/>
      <w:bookmarkStart w:id="85" w:name="_Toc132432361"/>
      <w:bookmarkStart w:id="86" w:name="_Toc168988883"/>
      <w:bookmarkStart w:id="87" w:name="_Toc168988914"/>
      <w:bookmarkStart w:id="88" w:name="_Toc168988975"/>
      <w:bookmarkStart w:id="89" w:name="_Toc170620657"/>
      <w:bookmarkStart w:id="90" w:name="_Toc170802081"/>
      <w:r>
        <w:rPr>
          <w:rStyle w:val="CharSDivNo"/>
        </w:rPr>
        <w:t>Part 1</w:t>
      </w:r>
      <w:r>
        <w:t xml:space="preserve"> — </w:t>
      </w:r>
      <w:r>
        <w:rPr>
          <w:rStyle w:val="CharSDivText"/>
        </w:rPr>
        <w:t>Maximum fixed fees</w:t>
      </w:r>
      <w:bookmarkEnd w:id="84"/>
      <w:bookmarkEnd w:id="85"/>
      <w:bookmarkEnd w:id="86"/>
      <w:bookmarkEnd w:id="87"/>
      <w:bookmarkEnd w:id="88"/>
      <w:bookmarkEnd w:id="89"/>
      <w:bookmarkEnd w:id="90"/>
    </w:p>
    <w:tbl>
      <w:tblPr>
        <w:tblW w:w="7348" w:type="dxa"/>
        <w:tblInd w:w="-34" w:type="dxa"/>
        <w:tblLayout w:type="fixed"/>
        <w:tblLook w:val="0000" w:firstRow="0" w:lastRow="0" w:firstColumn="0" w:lastColumn="0" w:noHBand="0" w:noVBand="0"/>
      </w:tblPr>
      <w:tblGrid>
        <w:gridCol w:w="709"/>
        <w:gridCol w:w="3969"/>
        <w:gridCol w:w="2670"/>
      </w:tblGrid>
      <w:tr>
        <w:tc>
          <w:tcPr>
            <w:tcW w:w="709" w:type="dxa"/>
          </w:tcPr>
          <w:p>
            <w:pPr>
              <w:pStyle w:val="yTable"/>
              <w:rPr>
                <w:b/>
              </w:rPr>
            </w:pPr>
            <w:r>
              <w:rPr>
                <w:b/>
              </w:rPr>
              <w:t>Item</w:t>
            </w:r>
          </w:p>
        </w:tc>
        <w:tc>
          <w:tcPr>
            <w:tcW w:w="3969" w:type="dxa"/>
          </w:tcPr>
          <w:p>
            <w:pPr>
              <w:pStyle w:val="yTable"/>
              <w:rPr>
                <w:b/>
              </w:rPr>
            </w:pPr>
            <w:r>
              <w:rPr>
                <w:b/>
              </w:rPr>
              <w:t>Description of planning service</w:t>
            </w:r>
          </w:p>
        </w:tc>
        <w:tc>
          <w:tcPr>
            <w:tcW w:w="2670" w:type="dxa"/>
          </w:tcPr>
          <w:p>
            <w:pPr>
              <w:pStyle w:val="yTable"/>
              <w:rPr>
                <w:b/>
              </w:rPr>
            </w:pPr>
            <w:r>
              <w:rPr>
                <w:b/>
              </w:rPr>
              <w:t>Maximum fee</w:t>
            </w:r>
          </w:p>
        </w:tc>
      </w:tr>
      <w:tr>
        <w:tc>
          <w:tcPr>
            <w:tcW w:w="709" w:type="dxa"/>
          </w:tcPr>
          <w:p>
            <w:pPr>
              <w:pStyle w:val="yTable"/>
            </w:pPr>
            <w:r>
              <w:t>1</w:t>
            </w:r>
          </w:p>
        </w:tc>
        <w:tc>
          <w:tcPr>
            <w:tcW w:w="3969" w:type="dxa"/>
          </w:tcPr>
          <w:p>
            <w:pPr>
              <w:pStyle w:val="yTable"/>
              <w:tabs>
                <w:tab w:val="left" w:pos="600"/>
              </w:tabs>
            </w:pPr>
            <w:r>
              <w:t>Determination of development application (other than for an extractive industry) where the estimated cost of the development is —</w:t>
            </w:r>
          </w:p>
        </w:tc>
        <w:tc>
          <w:tcPr>
            <w:tcW w:w="2670" w:type="dxa"/>
          </w:tcPr>
          <w:p>
            <w:pPr>
              <w:pStyle w:val="yTable"/>
            </w:pPr>
          </w:p>
        </w:tc>
      </w:tr>
      <w:tr>
        <w:tc>
          <w:tcPr>
            <w:tcW w:w="709" w:type="dxa"/>
          </w:tcPr>
          <w:p>
            <w:pPr>
              <w:pStyle w:val="yTable"/>
              <w:spacing w:before="0"/>
            </w:pPr>
          </w:p>
        </w:tc>
        <w:tc>
          <w:tcPr>
            <w:tcW w:w="3969" w:type="dxa"/>
          </w:tcPr>
          <w:p>
            <w:pPr>
              <w:pStyle w:val="yTable"/>
              <w:tabs>
                <w:tab w:val="left" w:pos="600"/>
              </w:tabs>
              <w:spacing w:before="0"/>
              <w:ind w:left="600" w:hanging="425"/>
            </w:pPr>
            <w:r>
              <w:t>(a)</w:t>
            </w:r>
            <w:r>
              <w:tab/>
              <w:t>not more than $50 000</w:t>
            </w:r>
          </w:p>
        </w:tc>
        <w:tc>
          <w:tcPr>
            <w:tcW w:w="2670" w:type="dxa"/>
          </w:tcPr>
          <w:p>
            <w:pPr>
              <w:pStyle w:val="yTable"/>
              <w:spacing w:before="0"/>
            </w:pPr>
            <w:r>
              <w:t>$</w:t>
            </w:r>
            <w:del w:id="91" w:author="Master Repository Process" w:date="2021-09-11T16:15:00Z">
              <w:r>
                <w:delText>117</w:delText>
              </w:r>
            </w:del>
            <w:ins w:id="92" w:author="Master Repository Process" w:date="2021-09-11T16:15:00Z">
              <w:r>
                <w:t>123</w:t>
              </w:r>
            </w:ins>
          </w:p>
        </w:tc>
      </w:tr>
      <w:tr>
        <w:tc>
          <w:tcPr>
            <w:tcW w:w="709" w:type="dxa"/>
          </w:tcPr>
          <w:p>
            <w:pPr>
              <w:pStyle w:val="yTable"/>
            </w:pPr>
          </w:p>
        </w:tc>
        <w:tc>
          <w:tcPr>
            <w:tcW w:w="3969" w:type="dxa"/>
          </w:tcPr>
          <w:p>
            <w:pPr>
              <w:pStyle w:val="yTable"/>
              <w:tabs>
                <w:tab w:val="left" w:pos="600"/>
              </w:tabs>
              <w:ind w:left="600" w:hanging="425"/>
            </w:pPr>
            <w:r>
              <w:t>(b)</w:t>
            </w:r>
            <w:r>
              <w:tab/>
              <w:t>more than $50 000 but not more than $500 000</w:t>
            </w:r>
          </w:p>
        </w:tc>
        <w:tc>
          <w:tcPr>
            <w:tcW w:w="2670" w:type="dxa"/>
          </w:tcPr>
          <w:p>
            <w:pPr>
              <w:pStyle w:val="yTable"/>
            </w:pPr>
            <w:r>
              <w:t>0.23% of the estimated cost of development</w:t>
            </w:r>
          </w:p>
        </w:tc>
      </w:tr>
      <w:tr>
        <w:tc>
          <w:tcPr>
            <w:tcW w:w="709" w:type="dxa"/>
          </w:tcPr>
          <w:p>
            <w:pPr>
              <w:pStyle w:val="yTable"/>
              <w:keepNext/>
              <w:keepLines/>
            </w:pPr>
          </w:p>
        </w:tc>
        <w:tc>
          <w:tcPr>
            <w:tcW w:w="3969" w:type="dxa"/>
          </w:tcPr>
          <w:p>
            <w:pPr>
              <w:pStyle w:val="yTable"/>
              <w:keepNext/>
              <w:keepLines/>
              <w:tabs>
                <w:tab w:val="left" w:pos="600"/>
              </w:tabs>
              <w:ind w:left="600" w:hanging="425"/>
            </w:pPr>
            <w:r>
              <w:t>(c)</w:t>
            </w:r>
            <w:r>
              <w:tab/>
              <w:t>more than $500 000 but not more than $2.5 million</w:t>
            </w:r>
          </w:p>
        </w:tc>
        <w:tc>
          <w:tcPr>
            <w:tcW w:w="2670" w:type="dxa"/>
          </w:tcPr>
          <w:p>
            <w:pPr>
              <w:pStyle w:val="yTable"/>
              <w:keepNext/>
              <w:keepLines/>
            </w:pPr>
            <w:r>
              <w:t>$1 </w:t>
            </w:r>
            <w:del w:id="93" w:author="Master Repository Process" w:date="2021-09-11T16:15:00Z">
              <w:r>
                <w:delText>351</w:delText>
              </w:r>
            </w:del>
            <w:ins w:id="94" w:author="Master Repository Process" w:date="2021-09-11T16:15:00Z">
              <w:r>
                <w:t>415</w:t>
              </w:r>
            </w:ins>
            <w:r>
              <w:t xml:space="preserve"> + 0.18% for every $1 in excess of $500 000</w:t>
            </w:r>
          </w:p>
        </w:tc>
      </w:tr>
      <w:tr>
        <w:tc>
          <w:tcPr>
            <w:tcW w:w="709" w:type="dxa"/>
          </w:tcPr>
          <w:p>
            <w:pPr>
              <w:pStyle w:val="yTable"/>
            </w:pPr>
          </w:p>
        </w:tc>
        <w:tc>
          <w:tcPr>
            <w:tcW w:w="3969" w:type="dxa"/>
          </w:tcPr>
          <w:p>
            <w:pPr>
              <w:pStyle w:val="yTable"/>
              <w:tabs>
                <w:tab w:val="left" w:pos="600"/>
              </w:tabs>
              <w:ind w:left="600" w:hanging="425"/>
            </w:pPr>
            <w:r>
              <w:t>(d)</w:t>
            </w:r>
            <w:r>
              <w:tab/>
              <w:t>more than $2.5 million but not more than $5 million</w:t>
            </w:r>
          </w:p>
        </w:tc>
        <w:tc>
          <w:tcPr>
            <w:tcW w:w="2670" w:type="dxa"/>
          </w:tcPr>
          <w:p>
            <w:pPr>
              <w:pStyle w:val="yTable"/>
            </w:pPr>
            <w:r>
              <w:t>$5 </w:t>
            </w:r>
            <w:del w:id="95" w:author="Master Repository Process" w:date="2021-09-11T16:15:00Z">
              <w:r>
                <w:delText>578</w:delText>
              </w:r>
            </w:del>
            <w:ins w:id="96" w:author="Master Repository Process" w:date="2021-09-11T16:15:00Z">
              <w:r>
                <w:t>846</w:t>
              </w:r>
            </w:ins>
            <w:r>
              <w:t xml:space="preserve"> + 0.15% for every $1 in excess of $2.5 million</w:t>
            </w:r>
          </w:p>
        </w:tc>
      </w:tr>
      <w:tr>
        <w:tc>
          <w:tcPr>
            <w:tcW w:w="709" w:type="dxa"/>
          </w:tcPr>
          <w:p>
            <w:pPr>
              <w:pStyle w:val="yTable"/>
            </w:pPr>
          </w:p>
        </w:tc>
        <w:tc>
          <w:tcPr>
            <w:tcW w:w="3969" w:type="dxa"/>
          </w:tcPr>
          <w:p>
            <w:pPr>
              <w:pStyle w:val="yTable"/>
              <w:tabs>
                <w:tab w:val="left" w:pos="600"/>
              </w:tabs>
              <w:ind w:left="600" w:hanging="425"/>
            </w:pPr>
            <w:r>
              <w:t>(e)</w:t>
            </w:r>
            <w:r>
              <w:tab/>
              <w:t>more than $5 million but not more than $21.5 million</w:t>
            </w:r>
          </w:p>
        </w:tc>
        <w:tc>
          <w:tcPr>
            <w:tcW w:w="2670" w:type="dxa"/>
          </w:tcPr>
          <w:p>
            <w:pPr>
              <w:pStyle w:val="yTable"/>
            </w:pPr>
            <w:r>
              <w:t>$</w:t>
            </w:r>
            <w:del w:id="97" w:author="Master Repository Process" w:date="2021-09-11T16:15:00Z">
              <w:r>
                <w:delText>9 982</w:delText>
              </w:r>
            </w:del>
            <w:ins w:id="98" w:author="Master Repository Process" w:date="2021-09-11T16:15:00Z">
              <w:r>
                <w:t>10 462</w:t>
              </w:r>
            </w:ins>
            <w:r>
              <w:t xml:space="preserve"> + 0.1% for every $1 in excess of $5 million</w:t>
            </w:r>
          </w:p>
        </w:tc>
      </w:tr>
      <w:tr>
        <w:tc>
          <w:tcPr>
            <w:tcW w:w="709" w:type="dxa"/>
          </w:tcPr>
          <w:p>
            <w:pPr>
              <w:pStyle w:val="yTable"/>
            </w:pPr>
          </w:p>
        </w:tc>
        <w:tc>
          <w:tcPr>
            <w:tcW w:w="3969" w:type="dxa"/>
          </w:tcPr>
          <w:p>
            <w:pPr>
              <w:pStyle w:val="yTable"/>
              <w:tabs>
                <w:tab w:val="left" w:pos="600"/>
              </w:tabs>
              <w:ind w:left="600" w:hanging="425"/>
            </w:pPr>
            <w:r>
              <w:t>(f)</w:t>
            </w:r>
            <w:r>
              <w:tab/>
              <w:t>more than $21.5 million</w:t>
            </w:r>
          </w:p>
        </w:tc>
        <w:tc>
          <w:tcPr>
            <w:tcW w:w="2670" w:type="dxa"/>
          </w:tcPr>
          <w:p>
            <w:pPr>
              <w:pStyle w:val="yTable"/>
            </w:pPr>
            <w:r>
              <w:t>$</w:t>
            </w:r>
            <w:del w:id="99" w:author="Master Repository Process" w:date="2021-09-11T16:15:00Z">
              <w:r>
                <w:delText>29 360</w:delText>
              </w:r>
            </w:del>
            <w:ins w:id="100" w:author="Master Repository Process" w:date="2021-09-11T16:15:00Z">
              <w:r>
                <w:t>30 769</w:t>
              </w:r>
            </w:ins>
          </w:p>
        </w:tc>
      </w:tr>
      <w:tr>
        <w:tc>
          <w:tcPr>
            <w:tcW w:w="709" w:type="dxa"/>
          </w:tcPr>
          <w:p>
            <w:pPr>
              <w:pStyle w:val="yTable"/>
            </w:pPr>
          </w:p>
        </w:tc>
        <w:tc>
          <w:tcPr>
            <w:tcW w:w="3969" w:type="dxa"/>
          </w:tcPr>
          <w:p>
            <w:pPr>
              <w:pStyle w:val="yTable"/>
              <w:tabs>
                <w:tab w:val="left" w:pos="600"/>
              </w:tabs>
              <w:ind w:left="600" w:hanging="425"/>
            </w:pPr>
          </w:p>
        </w:tc>
        <w:tc>
          <w:tcPr>
            <w:tcW w:w="2670" w:type="dxa"/>
          </w:tcPr>
          <w:p>
            <w:pPr>
              <w:pStyle w:val="yTable"/>
            </w:pPr>
            <w:r>
              <w:t>and, if the development has commenced or been carried out, an additional amount, by way of penalty, that is twice the amount of the maximum fee payable for determination of the application under paragraph (a), (b), (c), (d), (e) or (f)</w:t>
            </w:r>
          </w:p>
        </w:tc>
      </w:tr>
      <w:tr>
        <w:tc>
          <w:tcPr>
            <w:tcW w:w="709" w:type="dxa"/>
          </w:tcPr>
          <w:p>
            <w:pPr>
              <w:pStyle w:val="yTable"/>
            </w:pPr>
            <w:r>
              <w:t>2</w:t>
            </w:r>
          </w:p>
        </w:tc>
        <w:tc>
          <w:tcPr>
            <w:tcW w:w="3969" w:type="dxa"/>
          </w:tcPr>
          <w:p>
            <w:pPr>
              <w:pStyle w:val="yTable"/>
              <w:tabs>
                <w:tab w:val="left" w:pos="600"/>
              </w:tabs>
            </w:pPr>
            <w:r>
              <w:t>Determination of development application for an extractive industry</w:t>
            </w:r>
          </w:p>
        </w:tc>
        <w:tc>
          <w:tcPr>
            <w:tcW w:w="2670" w:type="dxa"/>
          </w:tcPr>
          <w:p>
            <w:pPr>
              <w:pStyle w:val="yTable"/>
            </w:pPr>
            <w:r>
              <w:t>$</w:t>
            </w:r>
            <w:del w:id="101" w:author="Master Repository Process" w:date="2021-09-11T16:15:00Z">
              <w:r>
                <w:delText>587</w:delText>
              </w:r>
            </w:del>
            <w:ins w:id="102" w:author="Master Repository Process" w:date="2021-09-11T16:15:00Z">
              <w:r>
                <w:t>615</w:t>
              </w:r>
            </w:ins>
            <w:r>
              <w:t xml:space="preserve"> and, if the development has commenced or been carried out, an additional amount of $1 </w:t>
            </w:r>
            <w:del w:id="103" w:author="Master Repository Process" w:date="2021-09-11T16:15:00Z">
              <w:r>
                <w:delText>174</w:delText>
              </w:r>
            </w:del>
            <w:ins w:id="104" w:author="Master Repository Process" w:date="2021-09-11T16:15:00Z">
              <w:r>
                <w:t>230</w:t>
              </w:r>
            </w:ins>
            <w:r>
              <w:t xml:space="preserve"> by way of penalty</w:t>
            </w:r>
          </w:p>
        </w:tc>
      </w:tr>
      <w:tr>
        <w:tc>
          <w:tcPr>
            <w:tcW w:w="709" w:type="dxa"/>
          </w:tcPr>
          <w:p>
            <w:pPr>
              <w:pStyle w:val="yTable"/>
            </w:pPr>
            <w:r>
              <w:t>3</w:t>
            </w:r>
          </w:p>
        </w:tc>
        <w:tc>
          <w:tcPr>
            <w:tcW w:w="3969" w:type="dxa"/>
          </w:tcPr>
          <w:p>
            <w:pPr>
              <w:pStyle w:val="yTable"/>
            </w:pPr>
            <w:r>
              <w:t xml:space="preserve">Provision of a subdivision clearance — </w:t>
            </w:r>
          </w:p>
        </w:tc>
        <w:tc>
          <w:tcPr>
            <w:tcW w:w="2670" w:type="dxa"/>
          </w:tcPr>
          <w:p>
            <w:pPr>
              <w:pStyle w:val="yTable"/>
            </w:pPr>
          </w:p>
        </w:tc>
      </w:tr>
      <w:tr>
        <w:tc>
          <w:tcPr>
            <w:tcW w:w="709" w:type="dxa"/>
          </w:tcPr>
          <w:p>
            <w:pPr>
              <w:pStyle w:val="yTable"/>
            </w:pPr>
          </w:p>
        </w:tc>
        <w:tc>
          <w:tcPr>
            <w:tcW w:w="3969" w:type="dxa"/>
          </w:tcPr>
          <w:p>
            <w:pPr>
              <w:pStyle w:val="yTable"/>
              <w:tabs>
                <w:tab w:val="left" w:pos="600"/>
              </w:tabs>
              <w:ind w:firstLine="175"/>
            </w:pPr>
            <w:r>
              <w:t>(a)</w:t>
            </w:r>
            <w:r>
              <w:tab/>
              <w:t>not more than 5 lots</w:t>
            </w:r>
          </w:p>
        </w:tc>
        <w:tc>
          <w:tcPr>
            <w:tcW w:w="2670" w:type="dxa"/>
          </w:tcPr>
          <w:p>
            <w:pPr>
              <w:pStyle w:val="yTable"/>
            </w:pPr>
            <w:r>
              <w:t>$</w:t>
            </w:r>
            <w:del w:id="105" w:author="Master Repository Process" w:date="2021-09-11T16:15:00Z">
              <w:r>
                <w:delText>59</w:delText>
              </w:r>
            </w:del>
            <w:ins w:id="106" w:author="Master Repository Process" w:date="2021-09-11T16:15:00Z">
              <w:r>
                <w:t>62</w:t>
              </w:r>
            </w:ins>
            <w:r>
              <w:t xml:space="preserve"> per lot</w:t>
            </w:r>
          </w:p>
        </w:tc>
      </w:tr>
      <w:tr>
        <w:tc>
          <w:tcPr>
            <w:tcW w:w="709" w:type="dxa"/>
          </w:tcPr>
          <w:p>
            <w:pPr>
              <w:pStyle w:val="yTable"/>
            </w:pPr>
          </w:p>
        </w:tc>
        <w:tc>
          <w:tcPr>
            <w:tcW w:w="3969" w:type="dxa"/>
          </w:tcPr>
          <w:p>
            <w:pPr>
              <w:pStyle w:val="yTable"/>
              <w:tabs>
                <w:tab w:val="left" w:pos="600"/>
              </w:tabs>
              <w:ind w:firstLine="175"/>
            </w:pPr>
            <w:r>
              <w:t>(b)</w:t>
            </w:r>
            <w:r>
              <w:tab/>
              <w:t xml:space="preserve">more than 5 lots but not </w:t>
            </w:r>
            <w:r>
              <w:tab/>
              <w:t xml:space="preserve">more than 195 lots </w:t>
            </w:r>
          </w:p>
        </w:tc>
        <w:tc>
          <w:tcPr>
            <w:tcW w:w="2670" w:type="dxa"/>
          </w:tcPr>
          <w:p>
            <w:pPr>
              <w:pStyle w:val="yTable"/>
            </w:pPr>
            <w:r>
              <w:t>$</w:t>
            </w:r>
            <w:del w:id="107" w:author="Master Repository Process" w:date="2021-09-11T16:15:00Z">
              <w:r>
                <w:delText>59</w:delText>
              </w:r>
            </w:del>
            <w:ins w:id="108" w:author="Master Repository Process" w:date="2021-09-11T16:15:00Z">
              <w:r>
                <w:t>62</w:t>
              </w:r>
            </w:ins>
            <w:r>
              <w:t xml:space="preserve"> per lot for the first 5 lots and then $</w:t>
            </w:r>
            <w:del w:id="109" w:author="Master Repository Process" w:date="2021-09-11T16:15:00Z">
              <w:r>
                <w:delText>29</w:delText>
              </w:r>
            </w:del>
            <w:ins w:id="110" w:author="Master Repository Process" w:date="2021-09-11T16:15:00Z">
              <w:r>
                <w:t>31</w:t>
              </w:r>
            </w:ins>
            <w:r>
              <w:t xml:space="preserve"> per lot</w:t>
            </w:r>
          </w:p>
        </w:tc>
      </w:tr>
      <w:tr>
        <w:tc>
          <w:tcPr>
            <w:tcW w:w="709" w:type="dxa"/>
          </w:tcPr>
          <w:p>
            <w:pPr>
              <w:pStyle w:val="yTable"/>
            </w:pPr>
          </w:p>
        </w:tc>
        <w:tc>
          <w:tcPr>
            <w:tcW w:w="3969" w:type="dxa"/>
          </w:tcPr>
          <w:p>
            <w:pPr>
              <w:pStyle w:val="yTable"/>
              <w:tabs>
                <w:tab w:val="left" w:pos="600"/>
              </w:tabs>
              <w:ind w:firstLine="175"/>
            </w:pPr>
            <w:r>
              <w:t>(c)</w:t>
            </w:r>
            <w:r>
              <w:tab/>
              <w:t>more than 195 lots</w:t>
            </w:r>
          </w:p>
        </w:tc>
        <w:tc>
          <w:tcPr>
            <w:tcW w:w="2670" w:type="dxa"/>
          </w:tcPr>
          <w:p>
            <w:pPr>
              <w:pStyle w:val="yTable"/>
            </w:pPr>
            <w:r>
              <w:t>$</w:t>
            </w:r>
            <w:del w:id="111" w:author="Master Repository Process" w:date="2021-09-11T16:15:00Z">
              <w:r>
                <w:delText>5 872</w:delText>
              </w:r>
            </w:del>
            <w:ins w:id="112" w:author="Master Repository Process" w:date="2021-09-11T16:15:00Z">
              <w:r>
                <w:t>6 154</w:t>
              </w:r>
            </w:ins>
          </w:p>
        </w:tc>
      </w:tr>
      <w:tr>
        <w:tc>
          <w:tcPr>
            <w:tcW w:w="709" w:type="dxa"/>
          </w:tcPr>
          <w:p>
            <w:pPr>
              <w:pStyle w:val="yTable"/>
            </w:pPr>
            <w:r>
              <w:t>4</w:t>
            </w:r>
          </w:p>
        </w:tc>
        <w:tc>
          <w:tcPr>
            <w:tcW w:w="3969" w:type="dxa"/>
          </w:tcPr>
          <w:p>
            <w:pPr>
              <w:pStyle w:val="yTable"/>
            </w:pPr>
            <w:r>
              <w:t>Application for approval of home occupation —</w:t>
            </w:r>
          </w:p>
        </w:tc>
        <w:tc>
          <w:tcPr>
            <w:tcW w:w="2670" w:type="dxa"/>
          </w:tcPr>
          <w:p>
            <w:pPr>
              <w:pStyle w:val="yTable"/>
            </w:pPr>
          </w:p>
        </w:tc>
      </w:tr>
      <w:tr>
        <w:tc>
          <w:tcPr>
            <w:tcW w:w="709" w:type="dxa"/>
          </w:tcPr>
          <w:p>
            <w:pPr>
              <w:pStyle w:val="yTable"/>
            </w:pPr>
          </w:p>
        </w:tc>
        <w:tc>
          <w:tcPr>
            <w:tcW w:w="3969" w:type="dxa"/>
          </w:tcPr>
          <w:p>
            <w:pPr>
              <w:pStyle w:val="yTable"/>
              <w:tabs>
                <w:tab w:val="left" w:pos="600"/>
              </w:tabs>
              <w:ind w:firstLine="175"/>
            </w:pPr>
            <w:r>
              <w:t>(a)</w:t>
            </w:r>
            <w:r>
              <w:tab/>
              <w:t>initial fee</w:t>
            </w:r>
          </w:p>
        </w:tc>
        <w:tc>
          <w:tcPr>
            <w:tcW w:w="2670" w:type="dxa"/>
          </w:tcPr>
          <w:p>
            <w:pPr>
              <w:pStyle w:val="yTable"/>
            </w:pPr>
            <w:r>
              <w:t>$</w:t>
            </w:r>
            <w:del w:id="113" w:author="Master Repository Process" w:date="2021-09-11T16:15:00Z">
              <w:r>
                <w:delText>176</w:delText>
              </w:r>
            </w:del>
            <w:ins w:id="114" w:author="Master Repository Process" w:date="2021-09-11T16:15:00Z">
              <w:r>
                <w:t>185</w:t>
              </w:r>
            </w:ins>
            <w:r>
              <w:t xml:space="preserve"> and, if the home occupation has commenced or been carried out, an additional amount of $</w:t>
            </w:r>
            <w:del w:id="115" w:author="Master Repository Process" w:date="2021-09-11T16:15:00Z">
              <w:r>
                <w:delText>352</w:delText>
              </w:r>
            </w:del>
            <w:ins w:id="116" w:author="Master Repository Process" w:date="2021-09-11T16:15:00Z">
              <w:r>
                <w:t>370</w:t>
              </w:r>
            </w:ins>
            <w:r>
              <w:t xml:space="preserve"> by way of penalty</w:t>
            </w:r>
          </w:p>
        </w:tc>
      </w:tr>
      <w:tr>
        <w:tc>
          <w:tcPr>
            <w:tcW w:w="709" w:type="dxa"/>
          </w:tcPr>
          <w:p>
            <w:pPr>
              <w:pStyle w:val="yTable"/>
            </w:pPr>
          </w:p>
        </w:tc>
        <w:tc>
          <w:tcPr>
            <w:tcW w:w="3969" w:type="dxa"/>
          </w:tcPr>
          <w:p>
            <w:pPr>
              <w:pStyle w:val="yTable"/>
              <w:tabs>
                <w:tab w:val="left" w:pos="600"/>
              </w:tabs>
              <w:ind w:firstLine="175"/>
            </w:pPr>
            <w:r>
              <w:t>(b)</w:t>
            </w:r>
            <w:r>
              <w:tab/>
              <w:t>renewal fee</w:t>
            </w:r>
          </w:p>
        </w:tc>
        <w:tc>
          <w:tcPr>
            <w:tcW w:w="2670" w:type="dxa"/>
          </w:tcPr>
          <w:p>
            <w:pPr>
              <w:pStyle w:val="yTable"/>
            </w:pPr>
            <w:r>
              <w:t>$</w:t>
            </w:r>
            <w:del w:id="117" w:author="Master Repository Process" w:date="2021-09-11T16:15:00Z">
              <w:r>
                <w:delText>59</w:delText>
              </w:r>
            </w:del>
            <w:ins w:id="118" w:author="Master Repository Process" w:date="2021-09-11T16:15:00Z">
              <w:r>
                <w:t>62</w:t>
              </w:r>
            </w:ins>
            <w:r>
              <w:t xml:space="preserve"> and, if the approval to be renewed has expired, an additional amount of $</w:t>
            </w:r>
            <w:del w:id="119" w:author="Master Repository Process" w:date="2021-09-11T16:15:00Z">
              <w:r>
                <w:delText>118</w:delText>
              </w:r>
            </w:del>
            <w:ins w:id="120" w:author="Master Repository Process" w:date="2021-09-11T16:15:00Z">
              <w:r>
                <w:t>124</w:t>
              </w:r>
            </w:ins>
            <w:r>
              <w:t xml:space="preserve"> by way of penalty</w:t>
            </w:r>
          </w:p>
        </w:tc>
      </w:tr>
      <w:tr>
        <w:tc>
          <w:tcPr>
            <w:tcW w:w="709" w:type="dxa"/>
          </w:tcPr>
          <w:p>
            <w:pPr>
              <w:pStyle w:val="yTable"/>
            </w:pPr>
            <w:r>
              <w:t>5</w:t>
            </w:r>
          </w:p>
        </w:tc>
        <w:tc>
          <w:tcPr>
            <w:tcW w:w="3969" w:type="dxa"/>
          </w:tcPr>
          <w:p>
            <w:pPr>
              <w:pStyle w:val="yTable"/>
            </w:pPr>
            <w:r>
              <w:t>Application for change of use or for alteration or extension or change of a non</w:t>
            </w:r>
            <w:r>
              <w:noBreakHyphen/>
              <w:t>conforming use to which item 1 does not apply</w:t>
            </w:r>
          </w:p>
        </w:tc>
        <w:tc>
          <w:tcPr>
            <w:tcW w:w="2670" w:type="dxa"/>
          </w:tcPr>
          <w:p>
            <w:pPr>
              <w:pStyle w:val="yTable"/>
            </w:pPr>
            <w:r>
              <w:t>$</w:t>
            </w:r>
            <w:del w:id="121" w:author="Master Repository Process" w:date="2021-09-11T16:15:00Z">
              <w:r>
                <w:delText>235</w:delText>
              </w:r>
            </w:del>
            <w:ins w:id="122" w:author="Master Repository Process" w:date="2021-09-11T16:15:00Z">
              <w:r>
                <w:t>246</w:t>
              </w:r>
            </w:ins>
            <w:r>
              <w:t xml:space="preserve"> and, if the change of use or the alteration or extension or change of the non</w:t>
            </w:r>
            <w:r>
              <w:noBreakHyphen/>
              <w:t>conforming use has commenced or been carried out, an additional amount of $</w:t>
            </w:r>
            <w:del w:id="123" w:author="Master Repository Process" w:date="2021-09-11T16:15:00Z">
              <w:r>
                <w:delText>470</w:delText>
              </w:r>
            </w:del>
            <w:ins w:id="124" w:author="Master Repository Process" w:date="2021-09-11T16:15:00Z">
              <w:r>
                <w:t>492</w:t>
              </w:r>
            </w:ins>
            <w:r>
              <w:t xml:space="preserve"> by way of penalty</w:t>
            </w:r>
          </w:p>
        </w:tc>
      </w:tr>
      <w:tr>
        <w:tc>
          <w:tcPr>
            <w:tcW w:w="709" w:type="dxa"/>
          </w:tcPr>
          <w:p>
            <w:pPr>
              <w:pStyle w:val="yTable"/>
            </w:pPr>
            <w:r>
              <w:t>6</w:t>
            </w:r>
          </w:p>
        </w:tc>
        <w:tc>
          <w:tcPr>
            <w:tcW w:w="3969" w:type="dxa"/>
          </w:tcPr>
          <w:p>
            <w:pPr>
              <w:pStyle w:val="yTable"/>
            </w:pPr>
            <w:r>
              <w:t>Issue of zoning certificate</w:t>
            </w:r>
          </w:p>
        </w:tc>
        <w:tc>
          <w:tcPr>
            <w:tcW w:w="2670" w:type="dxa"/>
          </w:tcPr>
          <w:p>
            <w:pPr>
              <w:pStyle w:val="yTable"/>
            </w:pPr>
            <w:r>
              <w:t>$</w:t>
            </w:r>
            <w:del w:id="125" w:author="Master Repository Process" w:date="2021-09-11T16:15:00Z">
              <w:r>
                <w:delText>59</w:delText>
              </w:r>
            </w:del>
            <w:ins w:id="126" w:author="Master Repository Process" w:date="2021-09-11T16:15:00Z">
              <w:r>
                <w:t>62</w:t>
              </w:r>
            </w:ins>
          </w:p>
        </w:tc>
      </w:tr>
      <w:tr>
        <w:tc>
          <w:tcPr>
            <w:tcW w:w="709" w:type="dxa"/>
          </w:tcPr>
          <w:p>
            <w:pPr>
              <w:pStyle w:val="yTable"/>
            </w:pPr>
            <w:r>
              <w:t>7</w:t>
            </w:r>
          </w:p>
        </w:tc>
        <w:tc>
          <w:tcPr>
            <w:tcW w:w="3969" w:type="dxa"/>
          </w:tcPr>
          <w:p>
            <w:pPr>
              <w:pStyle w:val="yTable"/>
            </w:pPr>
            <w:r>
              <w:t>Reply to a property settlement questionnaire</w:t>
            </w:r>
          </w:p>
        </w:tc>
        <w:tc>
          <w:tcPr>
            <w:tcW w:w="2670" w:type="dxa"/>
          </w:tcPr>
          <w:p>
            <w:pPr>
              <w:pStyle w:val="yTable"/>
            </w:pPr>
            <w:r>
              <w:br/>
              <w:t>$</w:t>
            </w:r>
            <w:del w:id="127" w:author="Master Repository Process" w:date="2021-09-11T16:15:00Z">
              <w:r>
                <w:delText>59</w:delText>
              </w:r>
            </w:del>
            <w:ins w:id="128" w:author="Master Repository Process" w:date="2021-09-11T16:15:00Z">
              <w:r>
                <w:t>62</w:t>
              </w:r>
            </w:ins>
          </w:p>
        </w:tc>
      </w:tr>
      <w:tr>
        <w:tc>
          <w:tcPr>
            <w:tcW w:w="709" w:type="dxa"/>
          </w:tcPr>
          <w:p>
            <w:pPr>
              <w:pStyle w:val="yTable"/>
            </w:pPr>
            <w:r>
              <w:t>8</w:t>
            </w:r>
          </w:p>
        </w:tc>
        <w:tc>
          <w:tcPr>
            <w:tcW w:w="3969" w:type="dxa"/>
          </w:tcPr>
          <w:p>
            <w:pPr>
              <w:pStyle w:val="yTable"/>
            </w:pPr>
            <w:r>
              <w:t>Issue of written planning advice</w:t>
            </w:r>
          </w:p>
        </w:tc>
        <w:tc>
          <w:tcPr>
            <w:tcW w:w="2670" w:type="dxa"/>
          </w:tcPr>
          <w:p>
            <w:pPr>
              <w:pStyle w:val="yTable"/>
            </w:pPr>
            <w:r>
              <w:t>$</w:t>
            </w:r>
            <w:del w:id="129" w:author="Master Repository Process" w:date="2021-09-11T16:15:00Z">
              <w:r>
                <w:delText>59</w:delText>
              </w:r>
            </w:del>
            <w:ins w:id="130" w:author="Master Repository Process" w:date="2021-09-11T16:15:00Z">
              <w:r>
                <w:t>62</w:t>
              </w:r>
            </w:ins>
          </w:p>
        </w:tc>
      </w:tr>
    </w:tbl>
    <w:p>
      <w:pPr>
        <w:pStyle w:val="yFootnotesection"/>
      </w:pPr>
      <w:r>
        <w:tab/>
        <w:t>[Part 1 amended in Gazette 8 Jun 2007 p. 2633-4</w:t>
      </w:r>
      <w:ins w:id="131" w:author="Master Repository Process" w:date="2021-09-11T16:15:00Z">
        <w:r>
          <w:t>; 22 Jun 2007 p. 2861</w:t>
        </w:r>
      </w:ins>
      <w:r>
        <w:t>.]</w:t>
      </w:r>
    </w:p>
    <w:p>
      <w:pPr>
        <w:pStyle w:val="yHeading2"/>
        <w:keepNext w:val="0"/>
        <w:pageBreakBefore/>
        <w:spacing w:after="240"/>
        <w:rPr>
          <w:rStyle w:val="CharPartText"/>
        </w:rPr>
      </w:pPr>
      <w:bookmarkStart w:id="132" w:name="_Toc132432308"/>
      <w:bookmarkStart w:id="133" w:name="_Toc132432362"/>
      <w:bookmarkStart w:id="134" w:name="_Toc168988884"/>
      <w:bookmarkStart w:id="135" w:name="_Toc168988915"/>
      <w:bookmarkStart w:id="136" w:name="_Toc168988976"/>
      <w:bookmarkStart w:id="137" w:name="_Toc170620658"/>
      <w:bookmarkStart w:id="138" w:name="_Toc170802082"/>
      <w:r>
        <w:rPr>
          <w:rStyle w:val="CharSDivNo"/>
        </w:rPr>
        <w:t>Part 2</w:t>
      </w:r>
      <w:r>
        <w:rPr>
          <w:rStyle w:val="CharDivNo"/>
        </w:rPr>
        <w:t xml:space="preserve"> </w:t>
      </w:r>
      <w:r>
        <w:t>—</w:t>
      </w:r>
      <w:r>
        <w:rPr>
          <w:rStyle w:val="CharDivText"/>
        </w:rPr>
        <w:t xml:space="preserve"> </w:t>
      </w:r>
      <w:r>
        <w:rPr>
          <w:rStyle w:val="CharSDivText"/>
        </w:rPr>
        <w:t>Maximum fees: scheme amendments</w:t>
      </w:r>
      <w:r>
        <w:t>*</w:t>
      </w:r>
      <w:bookmarkEnd w:id="132"/>
      <w:bookmarkEnd w:id="133"/>
      <w:bookmarkEnd w:id="134"/>
      <w:bookmarkEnd w:id="135"/>
      <w:bookmarkEnd w:id="136"/>
      <w:bookmarkEnd w:id="137"/>
      <w:bookmarkEnd w:id="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w:t>
            </w:r>
            <w:del w:id="139" w:author="Master Repository Process" w:date="2021-09-11T16:15:00Z">
              <w:r>
                <w:rPr>
                  <w:b/>
                  <w:sz w:val="18"/>
                </w:rPr>
                <w:delText>70</w:delText>
              </w:r>
            </w:del>
            <w:ins w:id="140" w:author="Master Repository Process" w:date="2021-09-11T16:15:00Z">
              <w:r>
                <w:rPr>
                  <w:b/>
                  <w:sz w:val="18"/>
                </w:rPr>
                <w:t>74</w:t>
              </w:r>
            </w:ins>
            <w:r>
              <w:rPr>
                <w:b/>
                <w:sz w:val="18"/>
              </w:rPr>
              <w:t>/hour)</w:t>
            </w:r>
          </w:p>
        </w:tc>
        <w:tc>
          <w:tcPr>
            <w:tcW w:w="1134" w:type="dxa"/>
          </w:tcPr>
          <w:p>
            <w:pPr>
              <w:pStyle w:val="yTable"/>
              <w:jc w:val="center"/>
              <w:rPr>
                <w:b/>
                <w:sz w:val="18"/>
              </w:rPr>
            </w:pPr>
            <w:r>
              <w:rPr>
                <w:b/>
                <w:sz w:val="18"/>
              </w:rPr>
              <w:t>Manager/ Senior Planner ($</w:t>
            </w:r>
            <w:del w:id="141" w:author="Master Repository Process" w:date="2021-09-11T16:15:00Z">
              <w:r>
                <w:rPr>
                  <w:b/>
                  <w:sz w:val="18"/>
                </w:rPr>
                <w:delText>53</w:delText>
              </w:r>
            </w:del>
            <w:ins w:id="142" w:author="Master Repository Process" w:date="2021-09-11T16:15:00Z">
              <w:r>
                <w:rPr>
                  <w:b/>
                  <w:sz w:val="18"/>
                </w:rPr>
                <w:t>55</w:t>
              </w:r>
            </w:ins>
            <w:r>
              <w:rPr>
                <w:b/>
                <w:sz w:val="18"/>
              </w:rPr>
              <w:t>/hour)</w:t>
            </w:r>
          </w:p>
        </w:tc>
        <w:tc>
          <w:tcPr>
            <w:tcW w:w="992" w:type="dxa"/>
          </w:tcPr>
          <w:p>
            <w:pPr>
              <w:pStyle w:val="yTable"/>
              <w:jc w:val="center"/>
              <w:rPr>
                <w:b/>
                <w:sz w:val="18"/>
              </w:rPr>
            </w:pPr>
            <w:r>
              <w:rPr>
                <w:b/>
                <w:sz w:val="18"/>
              </w:rPr>
              <w:t xml:space="preserve">Planning Officer </w:t>
            </w:r>
            <w:r>
              <w:rPr>
                <w:b/>
                <w:spacing w:val="-4"/>
                <w:sz w:val="18"/>
              </w:rPr>
              <w:t>($</w:t>
            </w:r>
            <w:del w:id="143" w:author="Master Repository Process" w:date="2021-09-11T16:15:00Z">
              <w:r>
                <w:rPr>
                  <w:b/>
                  <w:spacing w:val="-4"/>
                  <w:sz w:val="18"/>
                </w:rPr>
                <w:delText>29</w:delText>
              </w:r>
            </w:del>
            <w:ins w:id="144" w:author="Master Repository Process" w:date="2021-09-11T16:15:00Z">
              <w:r>
                <w:rPr>
                  <w:b/>
                  <w:spacing w:val="-4"/>
                  <w:sz w:val="18"/>
                </w:rPr>
                <w:t>31</w:t>
              </w:r>
            </w:ins>
            <w:r>
              <w:rPr>
                <w:b/>
                <w:spacing w:val="-4"/>
                <w:sz w:val="18"/>
              </w:rPr>
              <w:t>/hour)</w:t>
            </w:r>
          </w:p>
        </w:tc>
        <w:tc>
          <w:tcPr>
            <w:tcW w:w="1560" w:type="dxa"/>
          </w:tcPr>
          <w:p>
            <w:pPr>
              <w:pStyle w:val="yTable"/>
              <w:jc w:val="center"/>
              <w:rPr>
                <w:b/>
                <w:sz w:val="18"/>
              </w:rPr>
            </w:pPr>
            <w:r>
              <w:rPr>
                <w:b/>
                <w:sz w:val="18"/>
              </w:rPr>
              <w:t xml:space="preserve">Other staff e.g. environmental health officer </w:t>
            </w:r>
            <w:r>
              <w:rPr>
                <w:b/>
                <w:sz w:val="18"/>
              </w:rPr>
              <w:br/>
              <w:t>(2 @ $</w:t>
            </w:r>
            <w:del w:id="145" w:author="Master Repository Process" w:date="2021-09-11T16:15:00Z">
              <w:r>
                <w:rPr>
                  <w:b/>
                  <w:sz w:val="18"/>
                </w:rPr>
                <w:delText>29</w:delText>
              </w:r>
            </w:del>
            <w:ins w:id="146" w:author="Master Repository Process" w:date="2021-09-11T16:15:00Z">
              <w:r>
                <w:rPr>
                  <w:b/>
                  <w:sz w:val="18"/>
                </w:rPr>
                <w:t>31</w:t>
              </w:r>
            </w:ins>
            <w:r>
              <w:rPr>
                <w:b/>
                <w:sz w:val="18"/>
              </w:rPr>
              <w:t>/hour)</w:t>
            </w:r>
          </w:p>
        </w:tc>
        <w:tc>
          <w:tcPr>
            <w:tcW w:w="1134" w:type="dxa"/>
          </w:tcPr>
          <w:p>
            <w:pPr>
              <w:pStyle w:val="yTable"/>
              <w:jc w:val="center"/>
              <w:rPr>
                <w:b/>
                <w:sz w:val="18"/>
              </w:rPr>
            </w:pPr>
            <w:r>
              <w:rPr>
                <w:b/>
                <w:sz w:val="18"/>
              </w:rPr>
              <w:t xml:space="preserve">Secretary/ </w:t>
            </w:r>
            <w:r>
              <w:rPr>
                <w:b/>
                <w:spacing w:val="-16"/>
                <w:sz w:val="18"/>
              </w:rPr>
              <w:t>administrative</w:t>
            </w:r>
            <w:r>
              <w:rPr>
                <w:b/>
                <w:sz w:val="18"/>
              </w:rPr>
              <w:t xml:space="preserve"> clerk ($</w:t>
            </w:r>
            <w:del w:id="147" w:author="Master Repository Process" w:date="2021-09-11T16:15:00Z">
              <w:r>
                <w:rPr>
                  <w:b/>
                  <w:sz w:val="18"/>
                </w:rPr>
                <w:delText>23</w:delText>
              </w:r>
            </w:del>
            <w:ins w:id="148" w:author="Master Repository Process" w:date="2021-09-11T16:15:00Z">
              <w:r>
                <w:rPr>
                  <w:b/>
                  <w:sz w:val="18"/>
                </w:rPr>
                <w:t>25</w:t>
              </w:r>
            </w:ins>
            <w:r>
              <w:rPr>
                <w:b/>
                <w:sz w:val="18"/>
              </w:rPr>
              <w:t>/hour)</w:t>
            </w:r>
          </w:p>
        </w:tc>
      </w:tr>
      <w:tr>
        <w:trPr>
          <w:cantSplit/>
        </w:trPr>
        <w:tc>
          <w:tcPr>
            <w:tcW w:w="1384" w:type="dxa"/>
            <w:shd w:val="pct15" w:color="auto" w:fill="FFFFFF"/>
          </w:tcPr>
          <w:p>
            <w:pPr>
              <w:pStyle w:val="yTable"/>
              <w:rPr>
                <w:sz w:val="18"/>
              </w:rPr>
            </w:pPr>
            <w:r>
              <w:rPr>
                <w:sz w:val="18"/>
              </w:rPr>
              <w:t>1.Preliminaries: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rPr>
                <w:sz w:val="18"/>
              </w:rPr>
            </w:pPr>
            <w:r>
              <w:rPr>
                <w:sz w:val="18"/>
              </w:rPr>
              <w:t>Preliminary discussions and application registration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2.Decision to initiate: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Information </w:t>
            </w:r>
            <w:r>
              <w:rPr>
                <w:sz w:val="18"/>
              </w:rPr>
              <w:tab/>
              <w:t xml:space="preserve">and site </w:t>
            </w:r>
            <w:r>
              <w:rPr>
                <w:sz w:val="18"/>
              </w:rPr>
              <w:tab/>
              <w:t>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Applicant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pacing w:val="-4"/>
                <w:sz w:val="18"/>
              </w:rPr>
              <w:t>(c)</w:t>
            </w:r>
            <w:r>
              <w:rPr>
                <w:sz w:val="18"/>
              </w:rPr>
              <w:t xml:space="preserve"> </w:t>
            </w:r>
            <w:r>
              <w:rPr>
                <w:spacing w:val="-4"/>
                <w:sz w:val="18"/>
              </w:rPr>
              <w:t xml:space="preserve">Development </w:t>
            </w:r>
            <w:r>
              <w:rPr>
                <w:spacing w:val="-4"/>
                <w:sz w:val="18"/>
              </w:rPr>
              <w:tab/>
              <w:t>C</w:t>
            </w:r>
            <w:r>
              <w:rPr>
                <w:sz w:val="18"/>
              </w:rPr>
              <w:t xml:space="preserve">ontrol </w:t>
            </w:r>
            <w:r>
              <w:rPr>
                <w:spacing w:val="-4"/>
                <w:sz w:val="18"/>
              </w:rPr>
              <w:tab/>
            </w:r>
            <w:r>
              <w:rPr>
                <w:sz w:val="18"/>
              </w:rPr>
              <w:t xml:space="preserve">Unit (DCU) </w:t>
            </w:r>
            <w:r>
              <w:rPr>
                <w:sz w:val="18"/>
              </w:rPr>
              <w:tab/>
              <w:t>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Action </w:t>
            </w:r>
            <w:r>
              <w:rPr>
                <w:sz w:val="18"/>
              </w:rPr>
              <w:tab/>
              <w:t xml:space="preserve">DCU </w:t>
            </w:r>
            <w:r>
              <w:rPr>
                <w:sz w:val="18"/>
              </w:rPr>
              <w:tab/>
            </w:r>
            <w:r>
              <w:rPr>
                <w:spacing w:val="-4"/>
                <w:sz w:val="18"/>
              </w:rPr>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(e) Assessment </w:t>
            </w:r>
            <w:r>
              <w:rPr>
                <w:sz w:val="18"/>
              </w:rPr>
              <w:tab/>
              <w:t xml:space="preserve">report and </w:t>
            </w:r>
            <w:r>
              <w:rPr>
                <w:sz w:val="18"/>
              </w:rPr>
              <w:tab/>
              <w:t xml:space="preserve">agenda </w:t>
            </w:r>
            <w:r>
              <w:rPr>
                <w:sz w:val="18"/>
              </w:rPr>
              <w:tab/>
              <w:t>preparation</w:t>
            </w:r>
          </w:p>
          <w:p>
            <w:pPr>
              <w:pStyle w:val="yTable"/>
              <w:tabs>
                <w:tab w:val="left" w:pos="284"/>
              </w:tabs>
              <w:rPr>
                <w:sz w:val="18"/>
              </w:rPr>
            </w:pPr>
            <w:r>
              <w:rPr>
                <w:sz w:val="18"/>
              </w:rPr>
              <w:t>MINOR</w:t>
            </w:r>
          </w:p>
          <w:p>
            <w:pPr>
              <w:pStyle w:val="yTable"/>
              <w:tabs>
                <w:tab w:val="left" w:pos="284"/>
              </w:tabs>
              <w:rPr>
                <w:sz w:val="18"/>
              </w:rPr>
            </w:pPr>
            <w:r>
              <w:rPr>
                <w:sz w:val="18"/>
              </w:rPr>
              <w:t>MAJOR</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Refer to </w:t>
            </w:r>
            <w:r>
              <w:rPr>
                <w:sz w:val="18"/>
              </w:rPr>
              <w:tab/>
              <w:t>Commiss-</w:t>
            </w:r>
            <w:r>
              <w:rPr>
                <w:sz w:val="18"/>
              </w:rPr>
              <w:tab/>
              <w:t xml:space="preserve">ion for </w:t>
            </w:r>
            <w:r>
              <w:rPr>
                <w:sz w:val="18"/>
              </w:rPr>
              <w:tab/>
              <w:t>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Advertising, </w:t>
            </w:r>
            <w:r>
              <w:rPr>
                <w:sz w:val="18"/>
              </w:rPr>
              <w:tab/>
              <w:t>notifica-</w:t>
            </w:r>
            <w:r>
              <w:rPr>
                <w:sz w:val="18"/>
              </w:rPr>
              <w:tab/>
              <w:t xml:space="preserve">tions, </w:t>
            </w:r>
            <w:r>
              <w:rPr>
                <w:sz w:val="18"/>
              </w:rPr>
              <w:tab/>
              <w:t>referrals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Deal with </w:t>
            </w:r>
            <w:r>
              <w:rPr>
                <w:sz w:val="18"/>
              </w:rPr>
              <w:tab/>
              <w:t>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(e) Assess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(f) Liaise with </w:t>
            </w:r>
            <w:r>
              <w:rPr>
                <w:sz w:val="18"/>
              </w:rPr>
              <w:tab/>
              <w:t xml:space="preserve">external </w:t>
            </w:r>
            <w:r>
              <w:rPr>
                <w:sz w:val="18"/>
              </w:rPr>
              <w:tab/>
              <w:t>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(g) Applicant </w:t>
            </w:r>
            <w:r>
              <w:rPr>
                <w:sz w:val="18"/>
              </w:rPr>
              <w:tab/>
              <w:t xml:space="preserve">discussion </w:t>
            </w:r>
            <w:r>
              <w:rPr>
                <w:sz w:val="18"/>
              </w:rPr>
              <w:tab/>
              <w:t>and liaison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4.Decision to adopt: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Finalise </w:t>
            </w:r>
            <w:r>
              <w:rPr>
                <w:sz w:val="18"/>
              </w:rPr>
              <w:tab/>
              <w:t>amend-</w:t>
            </w:r>
            <w:r>
              <w:rPr>
                <w:sz w:val="18"/>
              </w:rPr>
              <w:tab/>
              <w:t xml:space="preserve">ment/plan, </w:t>
            </w:r>
            <w:r>
              <w:rPr>
                <w:sz w:val="18"/>
              </w:rPr>
              <w:tab/>
              <w:t xml:space="preserve">report </w:t>
            </w:r>
            <w:r>
              <w:rPr>
                <w:sz w:val="18"/>
              </w:rPr>
              <w:tab/>
              <w:t xml:space="preserve">and agenda </w:t>
            </w:r>
            <w:r>
              <w:rPr>
                <w:sz w:val="18"/>
              </w:rPr>
              <w:tab/>
              <w:t>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Applicant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(c)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5.Amendment/</w:t>
            </w:r>
            <w:r>
              <w:rPr>
                <w:sz w:val="18"/>
              </w:rPr>
              <w:br/>
              <w:t>plan approved: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Report on </w:t>
            </w:r>
            <w:r>
              <w:rPr>
                <w:sz w:val="18"/>
              </w:rPr>
              <w:tab/>
              <w:t xml:space="preserve">Minister’s </w:t>
            </w:r>
            <w:r>
              <w:rPr>
                <w:sz w:val="18"/>
              </w:rPr>
              <w:tab/>
              <w:t>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Notify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Update text </w:t>
            </w:r>
            <w:r>
              <w:rPr>
                <w:sz w:val="18"/>
              </w:rPr>
              <w:tab/>
              <w:t>and maps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HOURS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COST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Scheme map and text 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Subsection"/>
        <w:tabs>
          <w:tab w:val="clear" w:pos="595"/>
          <w:tab w:val="clear" w:pos="879"/>
          <w:tab w:val="right" w:pos="142"/>
          <w:tab w:val="left" w:pos="1134"/>
        </w:tabs>
        <w:ind w:left="142" w:hanging="142"/>
        <w:rPr>
          <w:i/>
        </w:rPr>
      </w:pPr>
      <w:r>
        <w:rPr>
          <w:i/>
        </w:rPr>
        <w:tab/>
        <w:t>*</w:t>
      </w:r>
      <w:r>
        <w:rPr>
          <w:i/>
          <w:sz w:val="22"/>
        </w:rPr>
        <w:t>Where readvertising of substantial modifications is required, the fee is to be calculated in accordance with items 3, 4 and 5 of the Table for the staff time used in arranging the readvertising and reviewing the submissions and the direct costs incurred in readvertising the amendment.</w:t>
      </w:r>
    </w:p>
    <w:p>
      <w:pPr>
        <w:pStyle w:val="yFootnotesection"/>
      </w:pPr>
      <w:bookmarkStart w:id="149" w:name="_Toc132432309"/>
      <w:bookmarkStart w:id="150" w:name="_Toc132432363"/>
      <w:r>
        <w:tab/>
        <w:t>[Part 2 amended in Gazette 8 Jun 2007 p. 2634-5</w:t>
      </w:r>
      <w:ins w:id="151" w:author="Master Repository Process" w:date="2021-09-11T16:15:00Z">
        <w:r>
          <w:t>; 22 Jun 2007 p. 2861</w:t>
        </w:r>
      </w:ins>
      <w:r>
        <w:t>.]</w:t>
      </w:r>
    </w:p>
    <w:p>
      <w:pPr>
        <w:pStyle w:val="yHeading2"/>
        <w:keepNext w:val="0"/>
        <w:pageBreakBefore/>
        <w:spacing w:after="120"/>
        <w:rPr>
          <w:rStyle w:val="CharPartText"/>
        </w:rPr>
      </w:pPr>
      <w:bookmarkStart w:id="152" w:name="_Toc168988885"/>
      <w:bookmarkStart w:id="153" w:name="_Toc168988916"/>
      <w:bookmarkStart w:id="154" w:name="_Toc168988977"/>
      <w:bookmarkStart w:id="155" w:name="_Toc170620659"/>
      <w:bookmarkStart w:id="156" w:name="_Toc170802083"/>
      <w:r>
        <w:rPr>
          <w:rStyle w:val="CharSDivNo"/>
        </w:rPr>
        <w:t>Part 3</w:t>
      </w:r>
      <w:r>
        <w:rPr>
          <w:rStyle w:val="CharDivNo"/>
        </w:rPr>
        <w:t xml:space="preserve"> </w:t>
      </w:r>
      <w:r>
        <w:t>—</w:t>
      </w:r>
      <w:r>
        <w:rPr>
          <w:rStyle w:val="CharDivText"/>
        </w:rPr>
        <w:t xml:space="preserve"> </w:t>
      </w:r>
      <w:r>
        <w:rPr>
          <w:rStyle w:val="CharSDivText"/>
        </w:rPr>
        <w:t>Maximum fees: structure plans</w:t>
      </w:r>
      <w:r>
        <w:t>**</w:t>
      </w:r>
      <w:bookmarkEnd w:id="149"/>
      <w:bookmarkEnd w:id="150"/>
      <w:bookmarkEnd w:id="152"/>
      <w:bookmarkEnd w:id="153"/>
      <w:bookmarkEnd w:id="154"/>
      <w:bookmarkEnd w:id="155"/>
      <w:bookmarkEnd w:id="156"/>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w:t>
            </w:r>
            <w:del w:id="157" w:author="Master Repository Process" w:date="2021-09-11T16:15:00Z">
              <w:r>
                <w:rPr>
                  <w:b/>
                  <w:sz w:val="18"/>
                </w:rPr>
                <w:delText>70</w:delText>
              </w:r>
            </w:del>
            <w:ins w:id="158" w:author="Master Repository Process" w:date="2021-09-11T16:15:00Z">
              <w:r>
                <w:rPr>
                  <w:b/>
                  <w:sz w:val="18"/>
                </w:rPr>
                <w:t>74</w:t>
              </w:r>
            </w:ins>
            <w:r>
              <w:rPr>
                <w:b/>
                <w:sz w:val="18"/>
              </w:rPr>
              <w:t>/hour)</w:t>
            </w:r>
          </w:p>
        </w:tc>
        <w:tc>
          <w:tcPr>
            <w:tcW w:w="1134" w:type="dxa"/>
          </w:tcPr>
          <w:p>
            <w:pPr>
              <w:pStyle w:val="yTable"/>
              <w:jc w:val="center"/>
              <w:rPr>
                <w:b/>
                <w:sz w:val="18"/>
              </w:rPr>
            </w:pPr>
            <w:r>
              <w:rPr>
                <w:b/>
                <w:sz w:val="18"/>
              </w:rPr>
              <w:t>Manager/ Senior Planner ($</w:t>
            </w:r>
            <w:del w:id="159" w:author="Master Repository Process" w:date="2021-09-11T16:15:00Z">
              <w:r>
                <w:rPr>
                  <w:b/>
                  <w:sz w:val="18"/>
                </w:rPr>
                <w:delText>53</w:delText>
              </w:r>
            </w:del>
            <w:ins w:id="160" w:author="Master Repository Process" w:date="2021-09-11T16:15:00Z">
              <w:r>
                <w:rPr>
                  <w:b/>
                  <w:sz w:val="18"/>
                </w:rPr>
                <w:t>55</w:t>
              </w:r>
            </w:ins>
            <w:r>
              <w:rPr>
                <w:b/>
                <w:sz w:val="18"/>
              </w:rPr>
              <w:t>/hour)</w:t>
            </w:r>
          </w:p>
        </w:tc>
        <w:tc>
          <w:tcPr>
            <w:tcW w:w="992" w:type="dxa"/>
          </w:tcPr>
          <w:p>
            <w:pPr>
              <w:pStyle w:val="yTable"/>
              <w:jc w:val="center"/>
              <w:rPr>
                <w:b/>
                <w:sz w:val="18"/>
              </w:rPr>
            </w:pPr>
            <w:r>
              <w:rPr>
                <w:b/>
                <w:sz w:val="18"/>
              </w:rPr>
              <w:t xml:space="preserve">Planning Officer </w:t>
            </w:r>
            <w:r>
              <w:rPr>
                <w:b/>
                <w:spacing w:val="-4"/>
                <w:sz w:val="18"/>
              </w:rPr>
              <w:t>($</w:t>
            </w:r>
            <w:del w:id="161" w:author="Master Repository Process" w:date="2021-09-11T16:15:00Z">
              <w:r>
                <w:rPr>
                  <w:b/>
                  <w:spacing w:val="-4"/>
                  <w:sz w:val="18"/>
                </w:rPr>
                <w:delText>29</w:delText>
              </w:r>
            </w:del>
            <w:ins w:id="162" w:author="Master Repository Process" w:date="2021-09-11T16:15:00Z">
              <w:r>
                <w:rPr>
                  <w:b/>
                  <w:spacing w:val="-4"/>
                  <w:sz w:val="18"/>
                </w:rPr>
                <w:t>31</w:t>
              </w:r>
            </w:ins>
            <w:r>
              <w:rPr>
                <w:b/>
                <w:spacing w:val="-4"/>
                <w:sz w:val="18"/>
              </w:rPr>
              <w:t>/hour)</w:t>
            </w:r>
          </w:p>
        </w:tc>
        <w:tc>
          <w:tcPr>
            <w:tcW w:w="1560" w:type="dxa"/>
          </w:tcPr>
          <w:p>
            <w:pPr>
              <w:pStyle w:val="yTable"/>
              <w:jc w:val="center"/>
              <w:rPr>
                <w:b/>
                <w:sz w:val="18"/>
              </w:rPr>
            </w:pPr>
            <w:r>
              <w:rPr>
                <w:b/>
                <w:sz w:val="18"/>
              </w:rPr>
              <w:t xml:space="preserve">Other staff e.g. environmental health officer </w:t>
            </w:r>
            <w:r>
              <w:rPr>
                <w:b/>
                <w:sz w:val="18"/>
              </w:rPr>
              <w:br/>
              <w:t>(2 @ $</w:t>
            </w:r>
            <w:del w:id="163" w:author="Master Repository Process" w:date="2021-09-11T16:15:00Z">
              <w:r>
                <w:rPr>
                  <w:b/>
                  <w:sz w:val="18"/>
                </w:rPr>
                <w:delText>29</w:delText>
              </w:r>
            </w:del>
            <w:ins w:id="164" w:author="Master Repository Process" w:date="2021-09-11T16:15:00Z">
              <w:r>
                <w:rPr>
                  <w:b/>
                  <w:sz w:val="18"/>
                </w:rPr>
                <w:t>31</w:t>
              </w:r>
            </w:ins>
            <w:r>
              <w:rPr>
                <w:b/>
                <w:sz w:val="18"/>
              </w:rPr>
              <w:t>/hour)</w:t>
            </w:r>
          </w:p>
        </w:tc>
        <w:tc>
          <w:tcPr>
            <w:tcW w:w="1134" w:type="dxa"/>
          </w:tcPr>
          <w:p>
            <w:pPr>
              <w:pStyle w:val="yTable"/>
              <w:jc w:val="center"/>
              <w:rPr>
                <w:b/>
                <w:sz w:val="18"/>
              </w:rPr>
            </w:pPr>
            <w:r>
              <w:rPr>
                <w:b/>
                <w:sz w:val="18"/>
              </w:rPr>
              <w:t xml:space="preserve">Secretary/ </w:t>
            </w:r>
            <w:r>
              <w:rPr>
                <w:b/>
                <w:spacing w:val="-16"/>
                <w:sz w:val="18"/>
              </w:rPr>
              <w:t>administrative</w:t>
            </w:r>
            <w:r>
              <w:rPr>
                <w:b/>
                <w:sz w:val="18"/>
              </w:rPr>
              <w:t xml:space="preserve"> clerk ($</w:t>
            </w:r>
            <w:del w:id="165" w:author="Master Repository Process" w:date="2021-09-11T16:15:00Z">
              <w:r>
                <w:rPr>
                  <w:b/>
                  <w:sz w:val="18"/>
                </w:rPr>
                <w:delText>23</w:delText>
              </w:r>
            </w:del>
            <w:ins w:id="166" w:author="Master Repository Process" w:date="2021-09-11T16:15:00Z">
              <w:r>
                <w:rPr>
                  <w:b/>
                  <w:sz w:val="18"/>
                </w:rPr>
                <w:t>25</w:t>
              </w:r>
            </w:ins>
            <w:r>
              <w:rPr>
                <w:b/>
                <w:sz w:val="18"/>
              </w:rPr>
              <w:t>/hour)</w:t>
            </w:r>
          </w:p>
        </w:tc>
      </w:tr>
      <w:tr>
        <w:trPr>
          <w:cantSplit/>
        </w:trPr>
        <w:tc>
          <w:tcPr>
            <w:tcW w:w="1384" w:type="dxa"/>
            <w:shd w:val="pct15" w:color="auto" w:fill="FFFFFF"/>
          </w:tcPr>
          <w:p>
            <w:pPr>
              <w:pStyle w:val="yTable"/>
              <w:rPr>
                <w:sz w:val="18"/>
              </w:rPr>
            </w:pPr>
            <w:r>
              <w:rPr>
                <w:sz w:val="18"/>
              </w:rPr>
              <w:t>1.Preliminaries: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rPr>
                <w:sz w:val="18"/>
              </w:rPr>
            </w:pPr>
            <w:r>
              <w:rPr>
                <w:sz w:val="18"/>
              </w:rPr>
              <w:t>Preliminary discussions and registration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2.Decision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Information </w:t>
            </w:r>
            <w:r>
              <w:rPr>
                <w:sz w:val="18"/>
              </w:rPr>
              <w:tab/>
              <w:t xml:space="preserve">and site </w:t>
            </w:r>
            <w:r>
              <w:rPr>
                <w:sz w:val="18"/>
              </w:rPr>
              <w:tab/>
              <w:t>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Proponent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pacing w:val="-4"/>
                <w:sz w:val="18"/>
              </w:rPr>
              <w:t>(c)</w:t>
            </w:r>
            <w:r>
              <w:rPr>
                <w:sz w:val="18"/>
              </w:rPr>
              <w:t xml:space="preserve"> </w:t>
            </w:r>
            <w:r>
              <w:rPr>
                <w:spacing w:val="-4"/>
                <w:sz w:val="18"/>
              </w:rPr>
              <w:t xml:space="preserve">Development </w:t>
            </w:r>
            <w:r>
              <w:rPr>
                <w:spacing w:val="-4"/>
                <w:sz w:val="18"/>
              </w:rPr>
              <w:tab/>
              <w:t>C</w:t>
            </w:r>
            <w:r>
              <w:rPr>
                <w:sz w:val="18"/>
              </w:rPr>
              <w:t xml:space="preserve">ontrol </w:t>
            </w:r>
            <w:r>
              <w:rPr>
                <w:spacing w:val="-4"/>
                <w:sz w:val="18"/>
              </w:rPr>
              <w:tab/>
            </w:r>
            <w:r>
              <w:rPr>
                <w:sz w:val="18"/>
              </w:rPr>
              <w:t xml:space="preserve">Unit (DCU) </w:t>
            </w:r>
            <w:r>
              <w:rPr>
                <w:sz w:val="18"/>
              </w:rPr>
              <w:tab/>
              <w:t>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Action </w:t>
            </w:r>
            <w:r>
              <w:rPr>
                <w:sz w:val="18"/>
              </w:rPr>
              <w:tab/>
              <w:t xml:space="preserve">DCU </w:t>
            </w:r>
            <w:r>
              <w:rPr>
                <w:sz w:val="18"/>
              </w:rPr>
              <w:tab/>
            </w:r>
            <w:r>
              <w:rPr>
                <w:spacing w:val="-4"/>
                <w:sz w:val="18"/>
              </w:rPr>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(e) Assessment </w:t>
            </w:r>
            <w:r>
              <w:rPr>
                <w:sz w:val="18"/>
              </w:rPr>
              <w:tab/>
              <w:t xml:space="preserve">report and </w:t>
            </w:r>
            <w:r>
              <w:rPr>
                <w:sz w:val="18"/>
              </w:rPr>
              <w:tab/>
              <w:t xml:space="preserve">agenda </w:t>
            </w:r>
            <w:r>
              <w:rPr>
                <w:sz w:val="18"/>
              </w:rPr>
              <w:tab/>
              <w:t>preparation</w:t>
            </w:r>
          </w:p>
          <w:p>
            <w:pPr>
              <w:pStyle w:val="yTable"/>
              <w:rPr>
                <w:sz w:val="18"/>
              </w:rPr>
            </w:pP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Advertising, </w:t>
            </w:r>
            <w:r>
              <w:rPr>
                <w:sz w:val="18"/>
              </w:rPr>
              <w:tab/>
              <w:t>notifica-</w:t>
            </w:r>
            <w:r>
              <w:rPr>
                <w:sz w:val="18"/>
              </w:rPr>
              <w:tab/>
              <w:t xml:space="preserve">tions, </w:t>
            </w:r>
            <w:r>
              <w:rPr>
                <w:sz w:val="18"/>
              </w:rPr>
              <w:tab/>
              <w:t>referrals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Deal with </w:t>
            </w:r>
            <w:r>
              <w:rPr>
                <w:sz w:val="18"/>
              </w:rPr>
              <w:tab/>
              <w:t>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Assess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(e) Liaise with </w:t>
            </w:r>
            <w:r>
              <w:rPr>
                <w:sz w:val="18"/>
              </w:rPr>
              <w:tab/>
              <w:t xml:space="preserve">external </w:t>
            </w:r>
            <w:r>
              <w:rPr>
                <w:sz w:val="18"/>
              </w:rPr>
              <w:tab/>
              <w:t>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(f) Proponent </w:t>
            </w:r>
            <w:r>
              <w:rPr>
                <w:sz w:val="18"/>
              </w:rPr>
              <w:tab/>
              <w:t xml:space="preserve">discussion </w:t>
            </w:r>
            <w:r>
              <w:rPr>
                <w:sz w:val="18"/>
              </w:rPr>
              <w:tab/>
              <w:t>and liaison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4.Decision to adopt: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Finalise </w:t>
            </w:r>
            <w:r>
              <w:rPr>
                <w:sz w:val="18"/>
              </w:rPr>
              <w:tab/>
              <w:t xml:space="preserve">report </w:t>
            </w:r>
            <w:r>
              <w:rPr>
                <w:sz w:val="18"/>
              </w:rPr>
              <w:tab/>
              <w:t xml:space="preserve">and agenda </w:t>
            </w:r>
            <w:r>
              <w:rPr>
                <w:sz w:val="18"/>
              </w:rPr>
              <w:tab/>
              <w:t>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Proponent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(c)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rPr>
                <w:sz w:val="18"/>
              </w:rPr>
            </w:pPr>
            <w:r>
              <w:rPr>
                <w:sz w:val="18"/>
              </w:rPr>
              <w:t>5.Plan adopted: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Refer to </w:t>
            </w:r>
            <w:r>
              <w:rPr>
                <w:sz w:val="18"/>
              </w:rPr>
              <w:tab/>
              <w:t>Commiss-</w:t>
            </w:r>
            <w:r>
              <w:rPr>
                <w:sz w:val="18"/>
              </w:rPr>
              <w:tab/>
              <w:t xml:space="preserve">ion for end- </w:t>
            </w:r>
            <w:r>
              <w:rPr>
                <w:sz w:val="18"/>
              </w:rPr>
              <w:tab/>
              <w:t>orsement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(b)Notifications </w:t>
            </w:r>
            <w:r>
              <w:rPr>
                <w:sz w:val="18"/>
              </w:rPr>
              <w:tab/>
              <w:t xml:space="preserve">and deposit </w:t>
            </w:r>
            <w:r>
              <w:rPr>
                <w:sz w:val="18"/>
              </w:rPr>
              <w:tab/>
              <w:t>of plan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HOURS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COST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ByCommand"/>
        <w:ind w:left="284" w:hanging="284"/>
        <w:rPr>
          <w:i/>
          <w:sz w:val="22"/>
        </w:rPr>
      </w:pPr>
      <w:r>
        <w:rPr>
          <w:i/>
          <w:sz w:val="22"/>
        </w:rPr>
        <w:t>**This Table is based on the Western Australian Planning Commission’s draft model text provisions for structure plans. Where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ByCommand"/>
        <w:ind w:left="284" w:hanging="284"/>
        <w:rPr>
          <w:i/>
          <w:sz w:val="22"/>
        </w:rPr>
      </w:pPr>
      <w:r>
        <w:rPr>
          <w:i/>
          <w:sz w:val="22"/>
        </w:rPr>
        <w:t>Where readvertising of a proposed structure plan is required, the fee is to be calculated in accordance with items 3, 4 and 5 of the Table for the staff time used in arranging the readvertising and reviewing the submissions and the direct costs incurred in readvertising the structure plan.</w:t>
      </w:r>
    </w:p>
    <w:p>
      <w:pPr>
        <w:pStyle w:val="yFootnotesection"/>
      </w:pPr>
      <w:r>
        <w:tab/>
        <w:t>[Part 3 amended in Gazette 8 Jun 2007 p. 2634-5</w:t>
      </w:r>
      <w:ins w:id="167" w:author="Master Repository Process" w:date="2021-09-11T16:15:00Z">
        <w:r>
          <w:t>; 22 Jun 2007 p. 2861</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68" w:name="_Toc132432310"/>
      <w:bookmarkStart w:id="169" w:name="_Toc132432364"/>
      <w:bookmarkStart w:id="170" w:name="_Toc168988886"/>
      <w:bookmarkStart w:id="171" w:name="_Toc168988917"/>
      <w:bookmarkStart w:id="172" w:name="_Toc168988978"/>
      <w:bookmarkStart w:id="173" w:name="_Toc170620660"/>
      <w:bookmarkStart w:id="174" w:name="_Toc170802084"/>
      <w:r>
        <w:t>Notes</w:t>
      </w:r>
      <w:bookmarkEnd w:id="168"/>
      <w:bookmarkEnd w:id="169"/>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rPr>
        <w:t>Planning and Development (Local Government Planning Fees) Regulations 2000</w:t>
      </w:r>
      <w:r>
        <w:rPr>
          <w:snapToGrid w:val="0"/>
        </w:rPr>
        <w:t xml:space="preserve"> and includes the amendments made by the other written laws referred to in the following table.</w:t>
      </w:r>
    </w:p>
    <w:p>
      <w:pPr>
        <w:pStyle w:val="nHeading3"/>
      </w:pPr>
      <w:bookmarkStart w:id="175" w:name="_Toc170802085"/>
      <w:bookmarkStart w:id="176" w:name="_Toc168988979"/>
      <w:r>
        <w:t>Compilation table</w:t>
      </w:r>
      <w:bookmarkEnd w:id="175"/>
      <w:bookmarkEnd w:id="1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Town Planning (Local Government Planning Fees) Regulations 2000</w:t>
            </w:r>
            <w:r>
              <w:rPr>
                <w:iCs/>
                <w:sz w:val="19"/>
              </w:rPr>
              <w:t xml:space="preserve"> </w:t>
            </w:r>
            <w:r>
              <w:rPr>
                <w:iCs/>
                <w:sz w:val="19"/>
                <w:vertAlign w:val="superscript"/>
              </w:rPr>
              <w:t>3</w:t>
            </w:r>
          </w:p>
        </w:tc>
        <w:tc>
          <w:tcPr>
            <w:tcW w:w="1276" w:type="dxa"/>
            <w:tcBorders>
              <w:top w:val="single" w:sz="8" w:space="0" w:color="auto"/>
            </w:tcBorders>
          </w:tcPr>
          <w:p>
            <w:pPr>
              <w:pStyle w:val="nTable"/>
              <w:spacing w:after="40"/>
              <w:rPr>
                <w:sz w:val="19"/>
              </w:rPr>
            </w:pPr>
            <w:r>
              <w:rPr>
                <w:sz w:val="19"/>
              </w:rPr>
              <w:t>19 Dec 2000 p. 7245-59</w:t>
            </w:r>
          </w:p>
        </w:tc>
        <w:tc>
          <w:tcPr>
            <w:tcW w:w="2693" w:type="dxa"/>
            <w:tcBorders>
              <w:top w:val="single" w:sz="8" w:space="0" w:color="auto"/>
            </w:tcBorders>
          </w:tcPr>
          <w:p>
            <w:pPr>
              <w:pStyle w:val="nTable"/>
              <w:spacing w:after="40"/>
              <w:rPr>
                <w:sz w:val="19"/>
              </w:rPr>
            </w:pPr>
            <w:r>
              <w:rPr>
                <w:sz w:val="19"/>
              </w:rPr>
              <w:t xml:space="preserve">19 Dec 2000 (see r. 2 and </w:t>
            </w:r>
            <w:r>
              <w:rPr>
                <w:i/>
                <w:sz w:val="19"/>
              </w:rPr>
              <w:t>Gazette</w:t>
            </w:r>
            <w:r>
              <w:rPr>
                <w:sz w:val="19"/>
              </w:rPr>
              <w:t xml:space="preserve"> 19 Dec 2000 p.7273)</w:t>
            </w:r>
          </w:p>
        </w:tc>
      </w:tr>
      <w:tr>
        <w:tc>
          <w:tcPr>
            <w:tcW w:w="3118" w:type="dxa"/>
          </w:tcPr>
          <w:p>
            <w:pPr>
              <w:pStyle w:val="nTable"/>
              <w:spacing w:after="40"/>
              <w:rPr>
                <w:i/>
                <w:sz w:val="19"/>
              </w:rPr>
            </w:pPr>
            <w:r>
              <w:rPr>
                <w:i/>
                <w:sz w:val="19"/>
              </w:rPr>
              <w:t>Town Planning (Local Government Planning Fees) Amendment Regulations 2007</w:t>
            </w:r>
          </w:p>
        </w:tc>
        <w:tc>
          <w:tcPr>
            <w:tcW w:w="1276" w:type="dxa"/>
          </w:tcPr>
          <w:p>
            <w:pPr>
              <w:pStyle w:val="nTable"/>
              <w:spacing w:after="40"/>
              <w:rPr>
                <w:sz w:val="19"/>
              </w:rPr>
            </w:pPr>
            <w:r>
              <w:rPr>
                <w:sz w:val="19"/>
              </w:rPr>
              <w:t>8 Jun 2007 p. 2632-5</w:t>
            </w:r>
          </w:p>
        </w:tc>
        <w:tc>
          <w:tcPr>
            <w:tcW w:w="2693" w:type="dxa"/>
          </w:tcPr>
          <w:p>
            <w:pPr>
              <w:pStyle w:val="nTable"/>
              <w:spacing w:after="40"/>
              <w:rPr>
                <w:sz w:val="19"/>
              </w:rPr>
            </w:pPr>
            <w:r>
              <w:rPr>
                <w:sz w:val="19"/>
              </w:rPr>
              <w:t>8 Jun 2007</w:t>
            </w:r>
          </w:p>
        </w:tc>
      </w:tr>
      <w:tr>
        <w:trPr>
          <w:ins w:id="177" w:author="Master Repository Process" w:date="2021-09-11T16:15:00Z"/>
        </w:trPr>
        <w:tc>
          <w:tcPr>
            <w:tcW w:w="3118" w:type="dxa"/>
            <w:tcBorders>
              <w:bottom w:val="single" w:sz="8" w:space="0" w:color="auto"/>
            </w:tcBorders>
          </w:tcPr>
          <w:p>
            <w:pPr>
              <w:pStyle w:val="nTable"/>
              <w:spacing w:after="40"/>
              <w:rPr>
                <w:ins w:id="178" w:author="Master Repository Process" w:date="2021-09-11T16:15:00Z"/>
                <w:i/>
                <w:sz w:val="19"/>
              </w:rPr>
            </w:pPr>
            <w:ins w:id="179" w:author="Master Repository Process" w:date="2021-09-11T16:15:00Z">
              <w:r>
                <w:rPr>
                  <w:i/>
                  <w:sz w:val="19"/>
                </w:rPr>
                <w:t>Planning and Development (Local Government Planning Fees) Amendment Regulations (No. 2) 2007</w:t>
              </w:r>
            </w:ins>
          </w:p>
        </w:tc>
        <w:tc>
          <w:tcPr>
            <w:tcW w:w="1276" w:type="dxa"/>
            <w:tcBorders>
              <w:bottom w:val="single" w:sz="8" w:space="0" w:color="auto"/>
            </w:tcBorders>
          </w:tcPr>
          <w:p>
            <w:pPr>
              <w:pStyle w:val="nTable"/>
              <w:spacing w:after="40"/>
              <w:rPr>
                <w:ins w:id="180" w:author="Master Repository Process" w:date="2021-09-11T16:15:00Z"/>
                <w:sz w:val="19"/>
              </w:rPr>
            </w:pPr>
            <w:ins w:id="181" w:author="Master Repository Process" w:date="2021-09-11T16:15:00Z">
              <w:r>
                <w:rPr>
                  <w:sz w:val="19"/>
                </w:rPr>
                <w:t>22 Jun 2007 p. 2860</w:t>
              </w:r>
              <w:bookmarkStart w:id="182" w:name="UpToHere"/>
              <w:bookmarkEnd w:id="182"/>
              <w:r>
                <w:rPr>
                  <w:sz w:val="19"/>
                </w:rPr>
                <w:noBreakHyphen/>
                <w:t>1</w:t>
              </w:r>
            </w:ins>
          </w:p>
        </w:tc>
        <w:tc>
          <w:tcPr>
            <w:tcW w:w="2693" w:type="dxa"/>
            <w:tcBorders>
              <w:bottom w:val="single" w:sz="8" w:space="0" w:color="auto"/>
            </w:tcBorders>
          </w:tcPr>
          <w:p>
            <w:pPr>
              <w:pStyle w:val="nTable"/>
              <w:spacing w:after="40"/>
              <w:rPr>
                <w:ins w:id="183" w:author="Master Repository Process" w:date="2021-09-11T16:15:00Z"/>
                <w:sz w:val="19"/>
              </w:rPr>
            </w:pPr>
            <w:ins w:id="184" w:author="Master Repository Process" w:date="2021-09-11T16:15:00Z">
              <w:r>
                <w:rPr>
                  <w:snapToGrid w:val="0"/>
                  <w:sz w:val="19"/>
                  <w:lang w:val="en-US"/>
                </w:rPr>
                <w:t>r. 1 and 2: 22 Jun 2007 (see r. 2(a));</w:t>
              </w:r>
              <w:r>
                <w:rPr>
                  <w:snapToGrid w:val="0"/>
                  <w:sz w:val="19"/>
                  <w:lang w:val="en-US"/>
                </w:rPr>
                <w:br/>
                <w:t>Regulations other than r. 1 and 2: 1 Jul 2007 (see r. 2(b))</w:t>
              </w:r>
            </w:ins>
          </w:p>
        </w:tc>
      </w:tr>
    </w:tbl>
    <w:p>
      <w:pPr>
        <w:pStyle w:val="nSubsection"/>
      </w:pPr>
      <w:r>
        <w:rPr>
          <w:vertAlign w:val="superscript"/>
        </w:rPr>
        <w:t>2</w:t>
      </w:r>
      <w:r>
        <w:tab/>
        <w:t xml:space="preserve">Formerly made under s. 33B of the </w:t>
      </w:r>
      <w:r>
        <w:rPr>
          <w:i/>
          <w:iCs/>
        </w:rPr>
        <w:t>Town Planning and Development Act 1928</w:t>
      </w:r>
      <w:r>
        <w:t xml:space="preserve">, continued under s. 261 of the </w:t>
      </w:r>
      <w:r>
        <w:rPr>
          <w:i/>
          <w:iCs/>
        </w:rPr>
        <w:t>Planning and Development Act 2005</w:t>
      </w:r>
      <w:r>
        <w:t>.</w:t>
      </w:r>
    </w:p>
    <w:p>
      <w:pPr>
        <w:pStyle w:val="nSubsection"/>
      </w:pPr>
      <w:r>
        <w:rPr>
          <w:vertAlign w:val="superscript"/>
        </w:rPr>
        <w:t>3</w:t>
      </w:r>
      <w:r>
        <w:tab/>
        <w:t xml:space="preserve">Now known as the </w:t>
      </w:r>
      <w:r>
        <w:rPr>
          <w:i/>
          <w:iCs/>
        </w:rPr>
        <w:t>Planning and Development (Local Government Planning Fees) Regulations 2000</w:t>
      </w:r>
      <w:r>
        <w:t>; citation changed (see note under r. 1).</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(Local Government Planning Fees)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(Local Government Planning Fees)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CE8C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E4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51A52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B2B4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83A0A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445A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409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24AD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7AE7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1AAF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B0183D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D3FC18A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137"/>
    <w:docVar w:name="WAFER_20151208160137" w:val="RemoveTrackChanges"/>
    <w:docVar w:name="WAFER_20151208160137_GUID" w:val="83dfe435-d593-4626-8f60-db4bb95840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3A19A3-3252-43A5-B29B-5E9F7CFF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3052</Words>
  <Characters>15081</Characters>
  <Application>Microsoft Office Word</Application>
  <DocSecurity>0</DocSecurity>
  <Lines>1005</Lines>
  <Paragraphs>329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Fees for planning services</vt:lpstr>
      <vt:lpstr>    Notes</vt:lpstr>
    </vt:vector>
  </TitlesOfParts>
  <Manager/>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Government Planning Fees) Regulations 2000 00-c0-04 - 00-d0-04</dc:title>
  <dc:subject/>
  <dc:creator/>
  <cp:keywords/>
  <dc:description/>
  <cp:lastModifiedBy>Master Repository Process</cp:lastModifiedBy>
  <cp:revision>2</cp:revision>
  <cp:lastPrinted>2000-12-19T08:37:00Z</cp:lastPrinted>
  <dcterms:created xsi:type="dcterms:W3CDTF">2021-09-11T08:15:00Z</dcterms:created>
  <dcterms:modified xsi:type="dcterms:W3CDTF">2021-09-11T08:15:00Z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2000 pp.7245-59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1146</vt:i4>
  </property>
  <property fmtid="{D5CDD505-2E9C-101B-9397-08002B2CF9AE}" pid="6" name="Formerly">
    <vt:lpwstr>Town Planning (Local Government Planning Fees) Regulations 2000</vt:lpwstr>
  </property>
  <property fmtid="{D5CDD505-2E9C-101B-9397-08002B2CF9AE}" pid="7" name="FromSuffix">
    <vt:lpwstr>00-c0-04</vt:lpwstr>
  </property>
  <property fmtid="{D5CDD505-2E9C-101B-9397-08002B2CF9AE}" pid="8" name="FromAsAtDate">
    <vt:lpwstr>08 Jun 2007</vt:lpwstr>
  </property>
  <property fmtid="{D5CDD505-2E9C-101B-9397-08002B2CF9AE}" pid="9" name="ToSuffix">
    <vt:lpwstr>00-d0-04</vt:lpwstr>
  </property>
  <property fmtid="{D5CDD505-2E9C-101B-9397-08002B2CF9AE}" pid="10" name="ToAsAtDate">
    <vt:lpwstr>01 Jul 2007</vt:lpwstr>
  </property>
</Properties>
</file>