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Trading Stamp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01-d0-09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Trading Stamp Act 1981 </w:t>
      </w:r>
    </w:p>
    <w:p>
      <w:pPr>
        <w:pStyle w:val="LongTitle"/>
        <w:rPr>
          <w:snapToGrid w:val="0"/>
        </w:rPr>
      </w:pPr>
      <w:r>
        <w:rPr>
          <w:snapToGrid w:val="0"/>
        </w:rPr>
        <w:t>A</w:t>
      </w:r>
      <w:bookmarkStart w:id="1" w:name="_GoBack"/>
      <w:bookmarkEnd w:id="1"/>
      <w:r>
        <w:rPr>
          <w:snapToGrid w:val="0"/>
        </w:rPr>
        <w:t>n Act to prohibit third</w:t>
      </w:r>
      <w:r>
        <w:rPr>
          <w:snapToGrid w:val="0"/>
        </w:rPr>
        <w:noBreakHyphen/>
        <w:t xml:space="preserve">party trading stamps, to repeal the </w:t>
      </w:r>
      <w:r>
        <w:rPr>
          <w:i/>
          <w:snapToGrid w:val="0"/>
        </w:rPr>
        <w:t>Trading Stamp Act 1948 </w:t>
      </w:r>
      <w:r>
        <w:rPr>
          <w:snapToGrid w:val="0"/>
          <w:vertAlign w:val="superscript"/>
        </w:rPr>
        <w:t>2</w:t>
      </w:r>
      <w:r>
        <w:rPr>
          <w:snapToGrid w:val="0"/>
        </w:rPr>
        <w:t xml:space="preserve">, and for connected purposes. </w:t>
      </w:r>
    </w:p>
    <w:p>
      <w:pPr>
        <w:pStyle w:val="Heading5"/>
        <w:rPr>
          <w:snapToGrid w:val="0"/>
        </w:rPr>
      </w:pPr>
      <w:bookmarkStart w:id="2" w:name="_Toc379286647"/>
      <w:bookmarkStart w:id="3" w:name="_Toc426034066"/>
      <w:bookmarkStart w:id="4" w:name="_Toc411819489"/>
      <w:bookmarkStart w:id="5" w:name="_Toc103073203"/>
      <w:bookmarkStart w:id="6" w:name="_Toc15419865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Trading Stamp Act 1981</w:t>
      </w:r>
      <w:r>
        <w:rPr>
          <w:snapToGrid w:val="0"/>
          <w:vertAlign w:val="superscript"/>
        </w:rPr>
        <w:t> 1</w:t>
      </w:r>
      <w:r>
        <w:rPr>
          <w:snapToGrid w:val="0"/>
        </w:rPr>
        <w:t>.</w:t>
      </w:r>
    </w:p>
    <w:p>
      <w:pPr>
        <w:pStyle w:val="Heading5"/>
        <w:rPr>
          <w:snapToGrid w:val="0"/>
        </w:rPr>
      </w:pPr>
      <w:bookmarkStart w:id="7" w:name="_Toc379286648"/>
      <w:bookmarkStart w:id="8" w:name="_Toc426034067"/>
      <w:bookmarkStart w:id="9" w:name="_Toc411819490"/>
      <w:bookmarkStart w:id="10" w:name="_Toc103073204"/>
      <w:bookmarkStart w:id="11" w:name="_Toc154198660"/>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2" w:name="_Toc379286649"/>
      <w:bookmarkStart w:id="13" w:name="_Toc426034068"/>
      <w:bookmarkStart w:id="14" w:name="_Toc411819491"/>
      <w:bookmarkStart w:id="15" w:name="_Toc103073205"/>
      <w:bookmarkStart w:id="16" w:name="_Toc154198661"/>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redeem</w:t>
      </w:r>
      <w:r>
        <w:rPr>
          <w:b/>
        </w:rPr>
        <w:t>”</w:t>
      </w:r>
      <w:r>
        <w:t xml:space="preserve">, in relation to a trading stamp, means to give any form of prize, gift, or other benefit in return for, on production of, or otherwise in respect of, a trading stamp; and </w:t>
      </w:r>
      <w:r>
        <w:rPr>
          <w:b/>
        </w:rPr>
        <w:t>“</w:t>
      </w:r>
      <w:r>
        <w:rPr>
          <w:rStyle w:val="CharDefText"/>
        </w:rPr>
        <w:t>redeemable</w:t>
      </w:r>
      <w:r>
        <w:rPr>
          <w:b/>
        </w:rPr>
        <w:t>”</w:t>
      </w:r>
      <w:r>
        <w:t xml:space="preserve"> has a corresponding meaning;</w:t>
      </w:r>
    </w:p>
    <w:p>
      <w:pPr>
        <w:pStyle w:val="Defstart"/>
      </w:pPr>
      <w:r>
        <w:rPr>
          <w:b/>
        </w:rPr>
        <w:tab/>
        <w:t>“</w:t>
      </w:r>
      <w:r>
        <w:rPr>
          <w:rStyle w:val="CharDefText"/>
        </w:rPr>
        <w:t>sale</w:t>
      </w:r>
      <w:r>
        <w:rPr>
          <w:b/>
        </w:rPr>
        <w:t>”</w:t>
      </w:r>
      <w:r>
        <w:t xml:space="preserve">, in relation to services, means the making of a contract under which one party (in this Act referred to as </w:t>
      </w:r>
      <w:r>
        <w:rPr>
          <w:b/>
        </w:rPr>
        <w:t>“</w:t>
      </w:r>
      <w:r>
        <w:rPr>
          <w:rStyle w:val="CharDefText"/>
        </w:rPr>
        <w:t>the vendor</w:t>
      </w:r>
      <w:r>
        <w:rPr>
          <w:b/>
        </w:rPr>
        <w:t>”</w:t>
      </w:r>
      <w:r>
        <w:t xml:space="preserve"> of the services) agrees to provide services for another party (in this Act referred to as </w:t>
      </w:r>
      <w:r>
        <w:rPr>
          <w:b/>
        </w:rPr>
        <w:t>“</w:t>
      </w:r>
      <w:r>
        <w:rPr>
          <w:rStyle w:val="CharDefText"/>
        </w:rPr>
        <w:t>the purchaser</w:t>
      </w:r>
      <w:r>
        <w:rPr>
          <w:b/>
        </w:rPr>
        <w:t>”</w:t>
      </w:r>
      <w:r>
        <w:t xml:space="preserve"> of the services);</w:t>
      </w:r>
    </w:p>
    <w:p>
      <w:pPr>
        <w:pStyle w:val="Defstart"/>
        <w:keepNext/>
        <w:keepLines/>
      </w:pPr>
      <w:r>
        <w:rPr>
          <w:b/>
        </w:rPr>
        <w:tab/>
        <w:t>“</w:t>
      </w:r>
      <w:r>
        <w:rPr>
          <w:rStyle w:val="CharDefText"/>
        </w:rPr>
        <w:t>third</w:t>
      </w:r>
      <w:r>
        <w:rPr>
          <w:rStyle w:val="CharDefText"/>
        </w:rPr>
        <w:noBreakHyphen/>
        <w:t>party trading stamp</w:t>
      </w:r>
      <w:r>
        <w:rPr>
          <w:b/>
        </w:rPr>
        <w:t>”</w:t>
      </w:r>
      <w:r>
        <w:t xml:space="preserve"> means a trading stamp that is redeemable by a person other than — </w:t>
      </w:r>
    </w:p>
    <w:p>
      <w:pPr>
        <w:pStyle w:val="Defpara"/>
      </w:pPr>
      <w:r>
        <w:tab/>
        <w:t>(a)</w:t>
      </w:r>
      <w:r>
        <w:tab/>
        <w:t>the manufacturer or a vendor of the goods; or</w:t>
      </w:r>
    </w:p>
    <w:p>
      <w:pPr>
        <w:pStyle w:val="Defpara"/>
      </w:pPr>
      <w:r>
        <w:tab/>
        <w:t>(b)</w:t>
      </w:r>
      <w:r>
        <w:tab/>
        <w:t>the vendor of the services,</w:t>
      </w:r>
    </w:p>
    <w:p>
      <w:pPr>
        <w:pStyle w:val="Defstart"/>
      </w:pPr>
      <w:r>
        <w:tab/>
      </w:r>
      <w:r>
        <w:tab/>
        <w:t>in connection with the sale of which, or for the purpose of promoting the sale of which, the trading stamp is, or is intended to be, supplied;</w:t>
      </w:r>
    </w:p>
    <w:p>
      <w:pPr>
        <w:pStyle w:val="Defstart"/>
      </w:pPr>
      <w:r>
        <w:rPr>
          <w:b/>
        </w:rPr>
        <w:tab/>
        <w:t>“</w:t>
      </w:r>
      <w:r>
        <w:rPr>
          <w:rStyle w:val="CharDefText"/>
        </w:rPr>
        <w:t>trading stamp</w:t>
      </w:r>
      <w:r>
        <w:rPr>
          <w:b/>
        </w:rPr>
        <w:t>”</w:t>
      </w:r>
      <w:r>
        <w:t xml:space="preserve"> means a stamp, coupon, token, voucher, ticket, or other thing — </w:t>
      </w:r>
    </w:p>
    <w:p>
      <w:pPr>
        <w:pStyle w:val="Defpara"/>
      </w:pPr>
      <w:r>
        <w:tab/>
        <w:t>(a)</w:t>
      </w:r>
      <w:r>
        <w:tab/>
        <w:t>that is, or is intended to be, supplied — </w:t>
      </w:r>
    </w:p>
    <w:p>
      <w:pPr>
        <w:pStyle w:val="Defsubpara"/>
      </w:pPr>
      <w:r>
        <w:tab/>
        <w:t>(i)</w:t>
      </w:r>
      <w:r>
        <w:tab/>
        <w:t>in connection with the sale of goods or services; or</w:t>
      </w:r>
    </w:p>
    <w:p>
      <w:pPr>
        <w:pStyle w:val="Defsubpara"/>
      </w:pPr>
      <w:r>
        <w:tab/>
        <w:t>(ii)</w:t>
      </w:r>
      <w:r>
        <w:tab/>
        <w:t xml:space="preserve">for the purpose of promoting the sale of goods or services; </w:t>
      </w:r>
    </w:p>
    <w:p>
      <w:pPr>
        <w:pStyle w:val="Defpara"/>
      </w:pPr>
      <w:r>
        <w:tab/>
      </w:r>
      <w:r>
        <w:tab/>
        <w:t>and</w:t>
      </w:r>
    </w:p>
    <w:p>
      <w:pPr>
        <w:pStyle w:val="Defpara"/>
      </w:pPr>
      <w:r>
        <w:tab/>
        <w:t>(b)</w:t>
      </w:r>
      <w:r>
        <w:tab/>
        <w:t>by virtue of which the purchaser of the goods or services, or any other person, may become entitled to, or may qualify for, a prize, gift, or other benefit (whether the trading stamp constitutes an absolute or conditional entitlement or qualification).</w:t>
      </w:r>
    </w:p>
    <w:p>
      <w:pPr>
        <w:pStyle w:val="Heading5"/>
        <w:rPr>
          <w:snapToGrid w:val="0"/>
        </w:rPr>
      </w:pPr>
      <w:bookmarkStart w:id="17" w:name="_Toc379286650"/>
      <w:bookmarkStart w:id="18" w:name="_Toc426034069"/>
      <w:bookmarkStart w:id="19" w:name="_Toc411819492"/>
      <w:bookmarkStart w:id="20" w:name="_Toc103073206"/>
      <w:bookmarkStart w:id="21" w:name="_Toc154198662"/>
      <w:r>
        <w:rPr>
          <w:rStyle w:val="CharSectno"/>
        </w:rPr>
        <w:t>4</w:t>
      </w:r>
      <w:r>
        <w:rPr>
          <w:snapToGrid w:val="0"/>
        </w:rPr>
        <w:t>.</w:t>
      </w:r>
      <w:r>
        <w:rPr>
          <w:snapToGrid w:val="0"/>
        </w:rPr>
        <w:tab/>
        <w:t>Offences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person shall not supply or offer to supply a third</w:t>
      </w:r>
      <w:r>
        <w:rPr>
          <w:snapToGrid w:val="0"/>
        </w:rPr>
        <w:noBreakHyphen/>
        <w:t>party trading stamp in connection with the sale of goods or services or for the purpose of promoting the sale of goods or services.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redeem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publish or cause to be published an advertisement relating to a third</w:t>
      </w:r>
      <w:r>
        <w:rPr>
          <w:snapToGrid w:val="0"/>
        </w:rPr>
        <w:noBreakHyphen/>
        <w:t>party trading stamp.</w:t>
      </w:r>
    </w:p>
    <w:p>
      <w:pPr>
        <w:pStyle w:val="Penstart"/>
        <w:rPr>
          <w:snapToGrid w:val="0"/>
        </w:rPr>
      </w:pPr>
      <w:r>
        <w:rPr>
          <w:snapToGrid w:val="0"/>
        </w:rPr>
        <w:tab/>
        <w:t>Penalty: $500.</w:t>
      </w:r>
    </w:p>
    <w:p>
      <w:pPr>
        <w:pStyle w:val="Subsection"/>
        <w:rPr>
          <w:snapToGrid w:val="0"/>
        </w:rPr>
      </w:pPr>
      <w:r>
        <w:rPr>
          <w:snapToGrid w:val="0"/>
        </w:rPr>
        <w:tab/>
        <w:t>(4)</w:t>
      </w:r>
      <w:r>
        <w:rPr>
          <w:snapToGrid w:val="0"/>
        </w:rPr>
        <w:tab/>
        <w:t>It is a defence to a charge of an offence against subsection (3) for the accused to prove that he did not know, and could not reasonably be expected to have known, that the trading stamps to which the advertisement related were third</w:t>
      </w:r>
      <w:r>
        <w:rPr>
          <w:snapToGrid w:val="0"/>
        </w:rPr>
        <w:noBreakHyphen/>
        <w:t>party trading stamps.</w:t>
      </w:r>
    </w:p>
    <w:p>
      <w:pPr>
        <w:pStyle w:val="Footnotesection"/>
      </w:pPr>
      <w:r>
        <w:tab/>
        <w:t xml:space="preserve">[Section 4 amended by No. 84 of 2004 s. 82.] </w:t>
      </w:r>
    </w:p>
    <w:p>
      <w:pPr>
        <w:pStyle w:val="Heading5"/>
        <w:rPr>
          <w:snapToGrid w:val="0"/>
        </w:rPr>
      </w:pPr>
      <w:bookmarkStart w:id="22" w:name="_Toc379286651"/>
      <w:bookmarkStart w:id="23" w:name="_Toc426034070"/>
      <w:bookmarkStart w:id="24" w:name="_Toc411819493"/>
      <w:bookmarkStart w:id="25" w:name="_Toc103073207"/>
      <w:bookmarkStart w:id="26" w:name="_Toc154198663"/>
      <w:r>
        <w:rPr>
          <w:rStyle w:val="CharSectno"/>
        </w:rPr>
        <w:t>5</w:t>
      </w:r>
      <w:r>
        <w:rPr>
          <w:snapToGrid w:val="0"/>
        </w:rPr>
        <w:t>.</w:t>
      </w:r>
      <w:r>
        <w:rPr>
          <w:snapToGrid w:val="0"/>
        </w:rPr>
        <w:tab/>
        <w:t>Liability where offence committed by body corporate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Where a person by whom an offence against this Act is committed is a body corporate, every director or other officer concerned in any capacity in the management of the body corporate is guilty of the like offence unless he proves that the offence was committed without his consent or connivance and that he exercised all such due diligence to prevent the commission of the offence as he ought to have exercised having regard to the nature of his functions in that capacity and to all the circumstances.</w:t>
      </w:r>
    </w:p>
    <w:p>
      <w:pPr>
        <w:pStyle w:val="Heading5"/>
        <w:rPr>
          <w:snapToGrid w:val="0"/>
        </w:rPr>
      </w:pPr>
      <w:bookmarkStart w:id="27" w:name="_Toc379286652"/>
      <w:bookmarkStart w:id="28" w:name="_Toc426034071"/>
      <w:bookmarkStart w:id="29" w:name="_Toc411819494"/>
      <w:bookmarkStart w:id="30" w:name="_Toc103073208"/>
      <w:bookmarkStart w:id="31" w:name="_Toc154198664"/>
      <w:r>
        <w:rPr>
          <w:rStyle w:val="CharSectno"/>
        </w:rPr>
        <w:t>6</w:t>
      </w:r>
      <w:r>
        <w:rPr>
          <w:snapToGrid w:val="0"/>
        </w:rPr>
        <w:t>.</w:t>
      </w:r>
      <w:r>
        <w:rPr>
          <w:snapToGrid w:val="0"/>
        </w:rPr>
        <w:tab/>
        <w:t>Consent of Attorney General to prosecutions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consent in writing of the Attorney General.</w:t>
      </w:r>
    </w:p>
    <w:p>
      <w:pPr>
        <w:pStyle w:val="Subsection"/>
        <w:rPr>
          <w:snapToGrid w:val="0"/>
        </w:rPr>
      </w:pPr>
      <w:r>
        <w:rPr>
          <w:snapToGrid w:val="0"/>
        </w:rPr>
        <w:tab/>
        <w:t>(2)</w:t>
      </w:r>
      <w:r>
        <w:rPr>
          <w:snapToGrid w:val="0"/>
        </w:rPr>
        <w:tab/>
        <w:t>A document purporting to be the consent of the Attorney General to the institution of a prosecution for an offence against this Act shall, for the purposes of this section, be taken to be such consent unless the contrary is proved.</w:t>
      </w:r>
    </w:p>
    <w:p>
      <w:pPr>
        <w:pStyle w:val="Ednotesection"/>
      </w:pPr>
      <w:r>
        <w:t>[</w:t>
      </w:r>
      <w:r>
        <w:rPr>
          <w:b/>
        </w:rPr>
        <w:t>7.</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2" w:name="_Toc379286653"/>
      <w:bookmarkStart w:id="33" w:name="_Toc426034072"/>
      <w:bookmarkStart w:id="34" w:name="_Toc95902596"/>
      <w:bookmarkStart w:id="35" w:name="_Toc95902739"/>
      <w:bookmarkStart w:id="36" w:name="_Toc95903413"/>
      <w:bookmarkStart w:id="37" w:name="_Toc96918724"/>
      <w:bookmarkStart w:id="38" w:name="_Toc103073209"/>
      <w:bookmarkStart w:id="39" w:name="_Toc154198665"/>
      <w:r>
        <w:t>Notes</w:t>
      </w:r>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Trading Stamp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 w:name="_Toc379286654"/>
      <w:bookmarkStart w:id="41" w:name="_Toc426034073"/>
      <w:bookmarkStart w:id="42" w:name="_Toc103073210"/>
      <w:bookmarkStart w:id="43" w:name="_Toc154198666"/>
      <w:r>
        <w:rPr>
          <w:snapToGrid w:val="0"/>
        </w:rPr>
        <w:t>Compilation table</w:t>
      </w:r>
      <w:bookmarkEnd w:id="40"/>
      <w:bookmarkEnd w:id="41"/>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155"/>
        <w:gridCol w:w="1134"/>
        <w:gridCol w:w="1247"/>
        <w:gridCol w:w="28"/>
        <w:gridCol w:w="2556"/>
      </w:tblGrid>
      <w:tr>
        <w:trPr>
          <w:tblHeader/>
        </w:trPr>
        <w:tc>
          <w:tcPr>
            <w:tcW w:w="2155"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247" w:type="dxa"/>
            <w:tcBorders>
              <w:top w:val="single" w:sz="8" w:space="0" w:color="auto"/>
              <w:bottom w:val="single" w:sz="8" w:space="0" w:color="auto"/>
            </w:tcBorders>
          </w:tcPr>
          <w:p>
            <w:pPr>
              <w:pStyle w:val="nTable"/>
              <w:spacing w:after="40"/>
              <w:rPr>
                <w:b/>
              </w:rPr>
            </w:pPr>
            <w:r>
              <w:rPr>
                <w:b/>
              </w:rPr>
              <w:t>Assent</w:t>
            </w:r>
          </w:p>
        </w:tc>
        <w:tc>
          <w:tcPr>
            <w:tcW w:w="2584" w:type="dxa"/>
            <w:gridSpan w:val="2"/>
            <w:tcBorders>
              <w:top w:val="single" w:sz="8" w:space="0" w:color="auto"/>
              <w:bottom w:val="single" w:sz="8" w:space="0" w:color="auto"/>
            </w:tcBorders>
          </w:tcPr>
          <w:p>
            <w:pPr>
              <w:pStyle w:val="nTable"/>
              <w:spacing w:after="40"/>
              <w:rPr>
                <w:b/>
              </w:rPr>
            </w:pPr>
            <w:r>
              <w:rPr>
                <w:b/>
              </w:rPr>
              <w:t>Commencement</w:t>
            </w:r>
          </w:p>
        </w:tc>
      </w:tr>
      <w:tr>
        <w:tc>
          <w:tcPr>
            <w:tcW w:w="2155" w:type="dxa"/>
          </w:tcPr>
          <w:p>
            <w:pPr>
              <w:pStyle w:val="nTable"/>
              <w:spacing w:after="40"/>
            </w:pPr>
            <w:r>
              <w:rPr>
                <w:i/>
              </w:rPr>
              <w:t>Trading Stamp Act 1981</w:t>
            </w:r>
          </w:p>
        </w:tc>
        <w:tc>
          <w:tcPr>
            <w:tcW w:w="1134" w:type="dxa"/>
          </w:tcPr>
          <w:p>
            <w:pPr>
              <w:pStyle w:val="nTable"/>
              <w:spacing w:after="40"/>
            </w:pPr>
            <w:r>
              <w:t>46 of 1981</w:t>
            </w:r>
          </w:p>
        </w:tc>
        <w:tc>
          <w:tcPr>
            <w:tcW w:w="1247" w:type="dxa"/>
          </w:tcPr>
          <w:p>
            <w:pPr>
              <w:pStyle w:val="nTable"/>
              <w:spacing w:after="40"/>
            </w:pPr>
            <w:r>
              <w:t>16 Sep 1981</w:t>
            </w:r>
          </w:p>
        </w:tc>
        <w:tc>
          <w:tcPr>
            <w:tcW w:w="2584" w:type="dxa"/>
            <w:gridSpan w:val="2"/>
          </w:tcPr>
          <w:p>
            <w:pPr>
              <w:pStyle w:val="nTable"/>
              <w:spacing w:after="40"/>
            </w:pPr>
            <w:r>
              <w:t xml:space="preserve">1 Nov 1981 (see s. 2 and </w:t>
            </w:r>
            <w:r>
              <w:rPr>
                <w:i/>
              </w:rPr>
              <w:t>Gazette</w:t>
            </w:r>
            <w:r>
              <w:t xml:space="preserve"> 23 Oct 1981 p. 4360)</w:t>
            </w:r>
          </w:p>
        </w:tc>
      </w:tr>
      <w:tr>
        <w:trPr>
          <w:cantSplit/>
        </w:trPr>
        <w:tc>
          <w:tcPr>
            <w:tcW w:w="7120" w:type="dxa"/>
            <w:gridSpan w:val="5"/>
          </w:tcPr>
          <w:p>
            <w:pPr>
              <w:pStyle w:val="nTable"/>
              <w:spacing w:after="40"/>
              <w:rPr>
                <w:b/>
              </w:rPr>
            </w:pPr>
            <w:r>
              <w:rPr>
                <w:b/>
              </w:rPr>
              <w:t xml:space="preserve">Reprint 1: The </w:t>
            </w:r>
            <w:r>
              <w:rPr>
                <w:b/>
                <w:i/>
                <w:noProof/>
                <w:snapToGrid w:val="0"/>
              </w:rPr>
              <w:t>Trading Stamp Act 1981</w:t>
            </w:r>
            <w:r>
              <w:rPr>
                <w:i/>
                <w:snapToGrid w:val="0"/>
              </w:rPr>
              <w:t xml:space="preserve"> </w:t>
            </w:r>
            <w:r>
              <w:rPr>
                <w:b/>
              </w:rPr>
              <w:t>as at 9 May 2003</w:t>
            </w:r>
          </w:p>
        </w:tc>
      </w:tr>
      <w:tr>
        <w:tc>
          <w:tcPr>
            <w:tcW w:w="2155" w:type="dxa"/>
          </w:tcPr>
          <w:p>
            <w:pPr>
              <w:pStyle w:val="nTable"/>
              <w:spacing w:after="40"/>
            </w:pPr>
            <w:r>
              <w:rPr>
                <w:i/>
                <w:iCs/>
                <w:snapToGrid w:val="0"/>
              </w:rPr>
              <w:t>Criminal Procedure and Appeals (Consequential and Other Provisions) Act 2004</w:t>
            </w:r>
            <w:r>
              <w:rPr>
                <w:snapToGrid w:val="0"/>
              </w:rPr>
              <w:t xml:space="preserve"> s. 82</w:t>
            </w:r>
          </w:p>
        </w:tc>
        <w:tc>
          <w:tcPr>
            <w:tcW w:w="1134" w:type="dxa"/>
          </w:tcPr>
          <w:p>
            <w:pPr>
              <w:pStyle w:val="nTable"/>
              <w:spacing w:after="40"/>
            </w:pPr>
            <w:r>
              <w:rPr>
                <w:snapToGrid w:val="0"/>
              </w:rPr>
              <w:t>84 of 2004</w:t>
            </w:r>
          </w:p>
        </w:tc>
        <w:tc>
          <w:tcPr>
            <w:tcW w:w="1275" w:type="dxa"/>
            <w:gridSpan w:val="2"/>
          </w:tcPr>
          <w:p>
            <w:pPr>
              <w:pStyle w:val="nTable"/>
              <w:spacing w:after="40"/>
            </w:pPr>
            <w:r>
              <w:t>16 Dec 2004</w:t>
            </w:r>
          </w:p>
        </w:tc>
        <w:tc>
          <w:tcPr>
            <w:tcW w:w="255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44" w:author="svcMRProcess" w:date="2017-02-23T15:03:00Z"/>
        </w:trPr>
        <w:tc>
          <w:tcPr>
            <w:tcW w:w="7120" w:type="dxa"/>
            <w:gridSpan w:val="5"/>
            <w:tcBorders>
              <w:bottom w:val="single" w:sz="4" w:space="0" w:color="auto"/>
            </w:tcBorders>
          </w:tcPr>
          <w:p>
            <w:pPr>
              <w:pStyle w:val="nTable"/>
              <w:spacing w:after="40"/>
              <w:rPr>
                <w:ins w:id="45" w:author="svcMRProcess" w:date="2017-02-23T15:03:00Z"/>
                <w:b/>
                <w:bCs/>
                <w:snapToGrid w:val="0"/>
                <w:color w:val="FF0000"/>
              </w:rPr>
            </w:pPr>
            <w:ins w:id="46" w:author="svcMRProcess" w:date="2017-02-23T15:03:00Z">
              <w:r>
                <w:rPr>
                  <w:b/>
                  <w:bCs/>
                  <w:snapToGrid w:val="0"/>
                  <w:color w:val="FF0000"/>
                </w:rPr>
                <w:t xml:space="preserve">This Act was repealed by the </w:t>
              </w:r>
              <w:r>
                <w:rPr>
                  <w:b/>
                  <w:bCs/>
                  <w:i/>
                  <w:iCs/>
                  <w:snapToGrid w:val="0"/>
                  <w:color w:val="FF0000"/>
                </w:rPr>
                <w:t xml:space="preserve">Consumer Protection Legislation Amendment and Repeal Act 2006 </w:t>
              </w:r>
              <w:r>
                <w:rPr>
                  <w:b/>
                  <w:bCs/>
                  <w:snapToGrid w:val="0"/>
                  <w:color w:val="FF0000"/>
                </w:rPr>
                <w:t xml:space="preserve">(No. 69 of 2006) s. 37 as at 14 Jul 2007 (see s. 2 and </w:t>
              </w:r>
              <w:r>
                <w:rPr>
                  <w:b/>
                  <w:bCs/>
                  <w:i/>
                  <w:iCs/>
                  <w:snapToGrid w:val="0"/>
                  <w:color w:val="FF0000"/>
                </w:rPr>
                <w:t>Gazette</w:t>
              </w:r>
              <w:r>
                <w:rPr>
                  <w:b/>
                  <w:bCs/>
                  <w:snapToGrid w:val="0"/>
                  <w:color w:val="FF0000"/>
                </w:rPr>
                <w:t xml:space="preserve"> 13 Jul 2007 p. 3453)</w:t>
              </w:r>
            </w:ins>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47" w:name="_Toc379286655"/>
      <w:bookmarkStart w:id="48" w:name="_Toc426034074"/>
      <w:bookmarkStart w:id="49" w:name="_Toc511102521"/>
      <w:bookmarkStart w:id="50" w:name="_Toc102796713"/>
      <w:bookmarkStart w:id="51" w:name="_Toc153879397"/>
      <w:r>
        <w:t>Provisions that have not come into operation</w:t>
      </w:r>
      <w:bookmarkEnd w:id="47"/>
      <w:bookmarkEnd w:id="48"/>
      <w:bookmarkEnd w:id="49"/>
      <w:bookmarkEnd w:id="50"/>
      <w:bookmarkEnd w:id="51"/>
    </w:p>
    <w:tbl>
      <w:tblPr>
        <w:tblW w:w="0" w:type="auto"/>
        <w:tblInd w:w="28" w:type="dxa"/>
        <w:tblBorders>
          <w:top w:val="single" w:sz="8"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Pr>
          <w:p>
            <w:pPr>
              <w:pStyle w:val="nTable"/>
              <w:keepNext/>
              <w:spacing w:before="60" w:after="60"/>
              <w:ind w:right="113"/>
              <w:rPr>
                <w:b/>
              </w:rPr>
            </w:pPr>
            <w:r>
              <w:rPr>
                <w:b/>
              </w:rPr>
              <w:t>Short title</w:t>
            </w:r>
          </w:p>
        </w:tc>
        <w:tc>
          <w:tcPr>
            <w:tcW w:w="1134" w:type="dxa"/>
          </w:tcPr>
          <w:p>
            <w:pPr>
              <w:pStyle w:val="nTable"/>
              <w:keepNext/>
              <w:spacing w:before="60" w:after="60"/>
              <w:rPr>
                <w:b/>
              </w:rPr>
            </w:pPr>
            <w:r>
              <w:rPr>
                <w:b/>
              </w:rPr>
              <w:t>Number and year</w:t>
            </w:r>
          </w:p>
        </w:tc>
        <w:tc>
          <w:tcPr>
            <w:tcW w:w="1134" w:type="dxa"/>
          </w:tcPr>
          <w:p>
            <w:pPr>
              <w:pStyle w:val="nTable"/>
              <w:keepNext/>
              <w:spacing w:before="60" w:after="60"/>
              <w:rPr>
                <w:b/>
              </w:rPr>
            </w:pPr>
            <w:r>
              <w:rPr>
                <w:b/>
              </w:rPr>
              <w:t>Assent</w:t>
            </w:r>
          </w:p>
        </w:tc>
        <w:tc>
          <w:tcPr>
            <w:tcW w:w="2580" w:type="dxa"/>
            <w:gridSpan w:val="2"/>
          </w:tcPr>
          <w:p>
            <w:pPr>
              <w:pStyle w:val="nTable"/>
              <w:keepNext/>
              <w:spacing w:before="60" w:after="60"/>
              <w:rPr>
                <w:b/>
              </w:rPr>
            </w:pPr>
            <w:r>
              <w:rPr>
                <w:b/>
              </w:rPr>
              <w:t>Commencement</w:t>
            </w:r>
          </w:p>
        </w:tc>
      </w:tr>
      <w:tr>
        <w:tblPrEx>
          <w:tblCellMar>
            <w:left w:w="56" w:type="dxa"/>
            <w:right w:w="56" w:type="dxa"/>
          </w:tblCellMar>
        </w:tblPrEx>
        <w:trPr>
          <w:gridAfter w:val="1"/>
          <w:wAfter w:w="28" w:type="dxa"/>
        </w:trPr>
        <w:tc>
          <w:tcPr>
            <w:tcW w:w="2268" w:type="dxa"/>
          </w:tcPr>
          <w:p>
            <w:pPr>
              <w:pStyle w:val="nTable"/>
              <w:spacing w:after="40"/>
              <w:rPr>
                <w:snapToGrid w:val="0"/>
              </w:rPr>
            </w:pPr>
            <w:r>
              <w:rPr>
                <w:i/>
                <w:iCs/>
                <w:snapToGrid w:val="0"/>
              </w:rPr>
              <w:t>Consumer Protection Legislation Amendment and Repeal Act 2006</w:t>
            </w:r>
            <w:r>
              <w:rPr>
                <w:snapToGrid w:val="0"/>
              </w:rPr>
              <w:t xml:space="preserve"> Pt. 12</w:t>
            </w:r>
            <w:r>
              <w:rPr>
                <w:snapToGrid w:val="0"/>
                <w:vertAlign w:val="superscript"/>
              </w:rPr>
              <w:t> 3</w:t>
            </w:r>
          </w:p>
        </w:tc>
        <w:tc>
          <w:tcPr>
            <w:tcW w:w="1134" w:type="dxa"/>
          </w:tcPr>
          <w:p>
            <w:pPr>
              <w:pStyle w:val="nTable"/>
              <w:spacing w:after="40"/>
              <w:rPr>
                <w:snapToGrid w:val="0"/>
              </w:rPr>
            </w:pPr>
            <w:r>
              <w:rPr>
                <w:snapToGrid w:val="0"/>
              </w:rPr>
              <w:t>69 of 2006</w:t>
            </w:r>
          </w:p>
        </w:tc>
        <w:tc>
          <w:tcPr>
            <w:tcW w:w="1134" w:type="dxa"/>
          </w:tcPr>
          <w:p>
            <w:pPr>
              <w:pStyle w:val="nTable"/>
              <w:spacing w:after="40"/>
              <w:rPr>
                <w:snapToGrid w:val="0"/>
              </w:rPr>
            </w:pPr>
            <w:r>
              <w:rPr>
                <w:snapToGrid w:val="0"/>
              </w:rPr>
              <w:t>13 Dec 2006</w:t>
            </w:r>
          </w:p>
        </w:tc>
        <w:tc>
          <w:tcPr>
            <w:tcW w:w="2552" w:type="dxa"/>
          </w:tcPr>
          <w:p>
            <w:pPr>
              <w:pStyle w:val="nTable"/>
              <w:spacing w:after="40"/>
              <w:rPr>
                <w:snapToGrid w:val="0"/>
              </w:rPr>
            </w:pPr>
            <w:r>
              <w:rPr>
                <w:snapToGrid w:val="0"/>
              </w:rPr>
              <w:t>To be proclaimed (see s. 2)</w:t>
            </w:r>
          </w:p>
        </w:tc>
      </w:tr>
    </w:tbl>
    <w:p>
      <w:pPr>
        <w:pStyle w:val="nSubsection"/>
        <w:keepNext/>
        <w:keepLines/>
        <w:rPr>
          <w:vertAlign w:val="superscript"/>
        </w:rPr>
      </w:pPr>
    </w:p>
    <w:p>
      <w:pPr>
        <w:pStyle w:val="nSubsection"/>
      </w:pPr>
      <w:r>
        <w:rPr>
          <w:vertAlign w:val="superscript"/>
        </w:rPr>
        <w:t>2</w:t>
      </w:r>
      <w:r>
        <w:tab/>
        <w:t xml:space="preserve">The provision in this Act repealing that Act has been omitted under s. 7(4)(f) of the </w:t>
      </w:r>
      <w:r>
        <w:rPr>
          <w:i/>
        </w:rPr>
        <w:t>Reprints Act 1984</w:t>
      </w:r>
      <w:r>
        <w:t xml:space="preserve"> from this compilation</w:t>
      </w:r>
      <w:r>
        <w:rPr>
          <w:i/>
        </w:rPr>
        <w:t>.</w:t>
      </w: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iCs/>
        </w:rPr>
        <w:t>Consumer Protection Legislation Amendment and Repeal Act 2006</w:t>
      </w:r>
      <w:r>
        <w:t xml:space="preserve"> Pt. 12 </w:t>
      </w:r>
      <w:r>
        <w:rPr>
          <w:snapToGrid w:val="0"/>
        </w:rPr>
        <w:t>had not come into operation.  It reads as follows:</w:t>
      </w:r>
    </w:p>
    <w:p>
      <w:pPr>
        <w:pStyle w:val="MiscOpen"/>
        <w:rPr>
          <w:snapToGrid w:val="0"/>
        </w:rPr>
      </w:pPr>
      <w:r>
        <w:rPr>
          <w:snapToGrid w:val="0"/>
        </w:rPr>
        <w:t>“</w:t>
      </w:r>
    </w:p>
    <w:p>
      <w:pPr>
        <w:pStyle w:val="nzHeading2"/>
      </w:pPr>
      <w:bookmarkStart w:id="52" w:name="_Toc72723017"/>
      <w:bookmarkStart w:id="53" w:name="_Toc72738127"/>
      <w:bookmarkStart w:id="54" w:name="_Toc72742971"/>
      <w:bookmarkStart w:id="55" w:name="_Toc72802948"/>
      <w:bookmarkStart w:id="56" w:name="_Toc72805362"/>
      <w:bookmarkStart w:id="57" w:name="_Toc73340493"/>
      <w:bookmarkStart w:id="58" w:name="_Toc75574786"/>
      <w:bookmarkStart w:id="59" w:name="_Toc75574831"/>
      <w:bookmarkStart w:id="60" w:name="_Toc75597084"/>
      <w:bookmarkStart w:id="61" w:name="_Toc75597129"/>
      <w:bookmarkStart w:id="62" w:name="_Toc75657853"/>
      <w:bookmarkStart w:id="63" w:name="_Toc75658861"/>
      <w:bookmarkStart w:id="64" w:name="_Toc75659006"/>
      <w:bookmarkStart w:id="65" w:name="_Toc75659195"/>
      <w:bookmarkStart w:id="66" w:name="_Toc75659282"/>
      <w:bookmarkStart w:id="67" w:name="_Toc75659506"/>
      <w:bookmarkStart w:id="68" w:name="_Toc78767705"/>
      <w:bookmarkStart w:id="69" w:name="_Toc78945696"/>
      <w:bookmarkStart w:id="70" w:name="_Toc78945780"/>
      <w:bookmarkStart w:id="71" w:name="_Toc78951279"/>
      <w:bookmarkStart w:id="72" w:name="_Toc79207236"/>
      <w:bookmarkStart w:id="73" w:name="_Toc79213903"/>
      <w:bookmarkStart w:id="74" w:name="_Toc79306824"/>
      <w:bookmarkStart w:id="75" w:name="_Toc80602137"/>
      <w:bookmarkStart w:id="76" w:name="_Toc81111839"/>
      <w:bookmarkStart w:id="77" w:name="_Toc104859500"/>
      <w:bookmarkStart w:id="78" w:name="_Toc104863365"/>
      <w:bookmarkStart w:id="79" w:name="_Toc104864001"/>
      <w:bookmarkStart w:id="80" w:name="_Toc104864052"/>
      <w:bookmarkStart w:id="81" w:name="_Toc104865516"/>
      <w:bookmarkStart w:id="82" w:name="_Toc104875454"/>
      <w:bookmarkStart w:id="83" w:name="_Toc104877771"/>
      <w:bookmarkStart w:id="84" w:name="_Toc104963844"/>
      <w:bookmarkStart w:id="85" w:name="_Toc105215211"/>
      <w:bookmarkStart w:id="86" w:name="_Toc105217225"/>
      <w:bookmarkStart w:id="87" w:name="_Toc105226564"/>
      <w:bookmarkStart w:id="88" w:name="_Toc105231758"/>
      <w:bookmarkStart w:id="89" w:name="_Toc105233902"/>
      <w:bookmarkStart w:id="90" w:name="_Toc105306841"/>
      <w:bookmarkStart w:id="91" w:name="_Toc105306895"/>
      <w:bookmarkStart w:id="92" w:name="_Toc105374109"/>
      <w:bookmarkStart w:id="93" w:name="_Toc105465131"/>
      <w:bookmarkStart w:id="94" w:name="_Toc105895980"/>
      <w:bookmarkStart w:id="95" w:name="_Toc105896412"/>
      <w:bookmarkStart w:id="96" w:name="_Toc106080882"/>
      <w:bookmarkStart w:id="97" w:name="_Toc106081607"/>
      <w:bookmarkStart w:id="98" w:name="_Toc106087923"/>
      <w:bookmarkStart w:id="99" w:name="_Toc106090045"/>
      <w:bookmarkStart w:id="100" w:name="_Toc106589714"/>
      <w:bookmarkStart w:id="101" w:name="_Toc106591399"/>
      <w:bookmarkStart w:id="102" w:name="_Toc106592069"/>
      <w:bookmarkStart w:id="103" w:name="_Toc106676911"/>
      <w:bookmarkStart w:id="104" w:name="_Toc106685623"/>
      <w:bookmarkStart w:id="105" w:name="_Toc106686352"/>
      <w:bookmarkStart w:id="106" w:name="_Toc111271774"/>
      <w:bookmarkStart w:id="107" w:name="_Toc111277639"/>
      <w:bookmarkStart w:id="108" w:name="_Toc111338109"/>
      <w:bookmarkStart w:id="109" w:name="_Toc111345617"/>
      <w:bookmarkStart w:id="110" w:name="_Toc111345668"/>
      <w:bookmarkStart w:id="111" w:name="_Toc111345847"/>
      <w:bookmarkStart w:id="112" w:name="_Toc111345979"/>
      <w:bookmarkStart w:id="113" w:name="_Toc111608454"/>
      <w:bookmarkStart w:id="114" w:name="_Toc111608517"/>
      <w:bookmarkStart w:id="115" w:name="_Toc111609119"/>
      <w:bookmarkStart w:id="116" w:name="_Toc111613033"/>
      <w:bookmarkStart w:id="117" w:name="_Toc111614327"/>
      <w:bookmarkStart w:id="118" w:name="_Toc114979731"/>
      <w:bookmarkStart w:id="119" w:name="_Toc153356720"/>
      <w:bookmarkStart w:id="120" w:name="_Toc153852216"/>
      <w:r>
        <w:rPr>
          <w:rStyle w:val="CharPartNo"/>
        </w:rPr>
        <w:t>Part 12</w:t>
      </w:r>
      <w:r>
        <w:rPr>
          <w:rStyle w:val="CharDivNo"/>
        </w:rPr>
        <w:t xml:space="preserve"> </w:t>
      </w:r>
      <w:r>
        <w:t>—</w:t>
      </w:r>
      <w:r>
        <w:rPr>
          <w:rStyle w:val="CharDivText"/>
        </w:rPr>
        <w:t xml:space="preserve"> </w:t>
      </w:r>
      <w:r>
        <w:rPr>
          <w:rStyle w:val="CharPartText"/>
          <w:i/>
        </w:rPr>
        <w:t>Trading Stamp Act 1981</w:t>
      </w:r>
      <w:r>
        <w:rPr>
          <w:rStyle w:val="CharPartText"/>
        </w:rPr>
        <w:t xml:space="preserve"> repealed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nzHeading5"/>
      </w:pPr>
      <w:bookmarkStart w:id="121" w:name="_Toc24853924"/>
      <w:bookmarkStart w:id="122" w:name="_Toc105217226"/>
      <w:bookmarkStart w:id="123" w:name="_Toc111345980"/>
      <w:bookmarkStart w:id="124" w:name="_Toc153356721"/>
      <w:bookmarkStart w:id="125" w:name="_Toc153852217"/>
      <w:r>
        <w:rPr>
          <w:rStyle w:val="CharSectno"/>
        </w:rPr>
        <w:t>37</w:t>
      </w:r>
      <w:r>
        <w:t>.</w:t>
      </w:r>
      <w:r>
        <w:tab/>
      </w:r>
      <w:r>
        <w:rPr>
          <w:i/>
        </w:rPr>
        <w:t>Trading Stamp Act 1981</w:t>
      </w:r>
      <w:r>
        <w:t xml:space="preserve"> repealed</w:t>
      </w:r>
      <w:bookmarkEnd w:id="121"/>
      <w:bookmarkEnd w:id="122"/>
      <w:bookmarkEnd w:id="123"/>
      <w:bookmarkEnd w:id="124"/>
      <w:bookmarkEnd w:id="125"/>
    </w:p>
    <w:p>
      <w:pPr>
        <w:pStyle w:val="nzSubsection"/>
      </w:pPr>
      <w:r>
        <w:tab/>
      </w:r>
      <w:r>
        <w:tab/>
        <w:t xml:space="preserve">The </w:t>
      </w:r>
      <w:r>
        <w:rPr>
          <w:i/>
        </w:rPr>
        <w:t>Trading Stamp Act 1981</w:t>
      </w:r>
      <w:r>
        <w:t xml:space="preserve"> is repealed.</w:t>
      </w:r>
    </w:p>
    <w:p>
      <w:pPr>
        <w:pStyle w:val="MiscClose"/>
        <w:rPr>
          <w:snapToGrid w:val="0"/>
        </w:rPr>
      </w:pPr>
      <w:r>
        <w:rPr>
          <w:snapToGrid w:val="0"/>
        </w:rP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Trading Stamp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7C19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D4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604B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76B9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9A8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90B7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FCE5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3ADE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A0820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366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5FC09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45"/>
    <w:docVar w:name="WAFER_20140204133442" w:val="RemoveTocBookmarks,RemoveUnusedBookmarks,RemoveLanguageTags,UsedStyles,ResetPageSize,UpdateArrangement"/>
    <w:docVar w:name="WAFER_20140204133442_GUID" w:val="12d31a5e-5c64-483f-b3ae-c592210efebb"/>
    <w:docVar w:name="WAFER_20140204135043" w:val="RemoveTocBookmarks,RunningHeaders"/>
    <w:docVar w:name="WAFER_20140204135043_GUID" w:val="00539baa-1783-4465-b16b-1abcc8ec946b"/>
    <w:docVar w:name="WAFER_20150730150339" w:val="ResetPageSize,UpdateArrangement,UpdateNTable"/>
    <w:docVar w:name="WAFER_20150730150339_GUID" w:val="5a85339b-d7f2-4070-b265-eb9ac190d1e0"/>
    <w:docVar w:name="WAFER_20151116145136" w:val="UpdateStyles,UsedStyles"/>
    <w:docVar w:name="WAFER_20151116145136_GUID" w:val="59cd8ac5-5bfc-4bb9-9711-94c205668107"/>
    <w:docVar w:name="WAFER_20151201140145" w:val="RemoveTrackChanges"/>
    <w:docVar w:name="WAFER_20151201140145_GUID" w:val="78de63fd-46f5-4a91-8185-df8b52b354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4502</Characters>
  <Application>Microsoft Office Word</Application>
  <DocSecurity>0</DocSecurity>
  <Lines>145</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Stamp Act 1981 01-c0-04 - 01-d0-09</dc:title>
  <dc:subject/>
  <dc:creator/>
  <cp:keywords/>
  <dc:description/>
  <cp:lastModifiedBy>svcMRProcess</cp:lastModifiedBy>
  <cp:revision>2</cp:revision>
  <cp:lastPrinted>2003-05-22T07:23:00Z</cp:lastPrinted>
  <dcterms:created xsi:type="dcterms:W3CDTF">2017-02-23T07:03:00Z</dcterms:created>
  <dcterms:modified xsi:type="dcterms:W3CDTF">2017-02-23T07:03:00Z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1981</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826</vt:i4>
  </property>
  <property fmtid="{D5CDD505-2E9C-101B-9397-08002B2CF9AE}" pid="6" name="Status">
    <vt:lpwstr>NIF</vt:lpwstr>
  </property>
  <property fmtid="{D5CDD505-2E9C-101B-9397-08002B2CF9AE}" pid="7" name="FromSuffix">
    <vt:lpwstr>01-c0-04</vt:lpwstr>
  </property>
  <property fmtid="{D5CDD505-2E9C-101B-9397-08002B2CF9AE}" pid="8" name="FromAsAtDate">
    <vt:lpwstr>13 Dec 2006</vt:lpwstr>
  </property>
  <property fmtid="{D5CDD505-2E9C-101B-9397-08002B2CF9AE}" pid="9" name="ToSuffix">
    <vt:lpwstr>01-d0-09</vt:lpwstr>
  </property>
  <property fmtid="{D5CDD505-2E9C-101B-9397-08002B2CF9AE}" pid="10" name="ToAsAtDate">
    <vt:lpwstr>14 Jul 2007</vt:lpwstr>
  </property>
</Properties>
</file>