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Fluoridation of Public Water Supplies Act 1966 </w:t>
      </w:r>
    </w:p>
    <w:p>
      <w:pPr>
        <w:pStyle w:val="LongTitle"/>
        <w:rPr>
          <w:snapToGrid w:val="0"/>
        </w:rPr>
      </w:pPr>
      <w:r>
        <w:rPr>
          <w:snapToGrid w:val="0"/>
        </w:rPr>
        <w:t>A</w:t>
      </w:r>
      <w:bookmarkStart w:id="0" w:name="_GoBack"/>
      <w:bookmarkEnd w:id="0"/>
      <w:r>
        <w:rPr>
          <w:snapToGrid w:val="0"/>
        </w:rPr>
        <w:t xml:space="preserve">n Act relating to the Fluoridation of Public Water Supplies. </w:t>
      </w:r>
    </w:p>
    <w:p>
      <w:pPr>
        <w:pStyle w:val="Heading5"/>
        <w:rPr>
          <w:snapToGrid w:val="0"/>
        </w:rPr>
      </w:pPr>
      <w:bookmarkStart w:id="1" w:name="_Toc399737243"/>
      <w:bookmarkStart w:id="2" w:name="_Toc411142776"/>
      <w:bookmarkStart w:id="3" w:name="_Toc521828157"/>
      <w:bookmarkStart w:id="4" w:name="_Toc521828194"/>
      <w:bookmarkStart w:id="5" w:name="_Toc171228474"/>
      <w:bookmarkStart w:id="6" w:name="_Toc173228120"/>
      <w:bookmarkStart w:id="7" w:name="_Toc171228612"/>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8" w:name="_Toc399737244"/>
      <w:bookmarkStart w:id="9" w:name="_Toc411142777"/>
      <w:bookmarkStart w:id="10" w:name="_Toc521828158"/>
      <w:bookmarkStart w:id="11" w:name="_Toc521828195"/>
      <w:bookmarkStart w:id="12" w:name="_Toc171228475"/>
      <w:bookmarkStart w:id="13" w:name="_Toc173228121"/>
      <w:bookmarkStart w:id="14" w:name="_Toc171228613"/>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399737245"/>
      <w:bookmarkStart w:id="16" w:name="_Toc411142778"/>
      <w:bookmarkStart w:id="17" w:name="_Toc521828159"/>
      <w:bookmarkStart w:id="18" w:name="_Toc521828196"/>
      <w:bookmarkStart w:id="19" w:name="_Toc171228476"/>
      <w:bookmarkStart w:id="20" w:name="_Toc173228122"/>
      <w:bookmarkStart w:id="21" w:name="_Toc171228614"/>
      <w:r>
        <w:rPr>
          <w:rStyle w:val="CharSectno"/>
        </w:rPr>
        <w:t>3</w:t>
      </w:r>
      <w:r>
        <w:rPr>
          <w:snapToGrid w:val="0"/>
        </w:rPr>
        <w:t>.</w:t>
      </w:r>
      <w:r>
        <w:rPr>
          <w:snapToGrid w:val="0"/>
        </w:rPr>
        <w:tab/>
        <w:t>Application of Act to Crown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399737246"/>
      <w:bookmarkStart w:id="23" w:name="_Toc411142779"/>
      <w:bookmarkStart w:id="24" w:name="_Toc521828160"/>
      <w:bookmarkStart w:id="25" w:name="_Toc521828197"/>
      <w:bookmarkStart w:id="26" w:name="_Toc171228477"/>
      <w:bookmarkStart w:id="27" w:name="_Toc173228123"/>
      <w:bookmarkStart w:id="28" w:name="_Toc171228615"/>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9" w:author="svcMRProcess" w:date="2015-10-29T21:58:00Z">
        <w:r>
          <w:rPr>
            <w:b/>
          </w:rPr>
          <w:delText>“</w:delText>
        </w:r>
      </w:del>
      <w:r>
        <w:rPr>
          <w:rStyle w:val="CharDefText"/>
        </w:rPr>
        <w:t>Committee</w:t>
      </w:r>
      <w:del w:id="30" w:author="svcMRProcess" w:date="2015-10-29T21:58:00Z">
        <w:r>
          <w:rPr>
            <w:b/>
          </w:rPr>
          <w:delText>”</w:delText>
        </w:r>
      </w:del>
      <w:r>
        <w:t xml:space="preserve"> means the Fluoridation of Public Water Supplies Advisory Committee established under this Act;</w:t>
      </w:r>
    </w:p>
    <w:p>
      <w:pPr>
        <w:pStyle w:val="Defstart"/>
      </w:pPr>
      <w:r>
        <w:rPr>
          <w:b/>
        </w:rPr>
        <w:tab/>
      </w:r>
      <w:del w:id="31" w:author="svcMRProcess" w:date="2015-10-29T21:58:00Z">
        <w:r>
          <w:rPr>
            <w:b/>
          </w:rPr>
          <w:delText>“</w:delText>
        </w:r>
      </w:del>
      <w:r>
        <w:rPr>
          <w:rStyle w:val="CharDefText"/>
        </w:rPr>
        <w:t>Executive Director</w:t>
      </w:r>
      <w:del w:id="32" w:author="svcMRProcess" w:date="2015-10-29T21:58:00Z">
        <w:r>
          <w:rPr>
            <w:b/>
          </w:rPr>
          <w:delText>”</w:delText>
        </w:r>
      </w:del>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del w:id="33" w:author="svcMRProcess" w:date="2015-10-29T21:58:00Z">
        <w:r>
          <w:rPr>
            <w:b/>
          </w:rPr>
          <w:delText>“</w:delText>
        </w:r>
      </w:del>
      <w:r>
        <w:rPr>
          <w:rStyle w:val="CharDefText"/>
        </w:rPr>
        <w:t>fluorine</w:t>
      </w:r>
      <w:del w:id="34" w:author="svcMRProcess" w:date="2015-10-29T21:58:00Z">
        <w:r>
          <w:rPr>
            <w:b/>
          </w:rPr>
          <w:delText>”</w:delText>
        </w:r>
      </w:del>
      <w:r>
        <w:t xml:space="preserve"> includes any compound of fluorine;</w:t>
      </w:r>
    </w:p>
    <w:p>
      <w:pPr>
        <w:pStyle w:val="Defstart"/>
      </w:pPr>
      <w:r>
        <w:rPr>
          <w:b/>
        </w:rPr>
        <w:tab/>
      </w:r>
      <w:del w:id="35" w:author="svcMRProcess" w:date="2015-10-29T21:58:00Z">
        <w:r>
          <w:rPr>
            <w:b/>
          </w:rPr>
          <w:delText>“</w:delText>
        </w:r>
      </w:del>
      <w:r>
        <w:rPr>
          <w:rStyle w:val="CharDefText"/>
        </w:rPr>
        <w:t>member</w:t>
      </w:r>
      <w:del w:id="36" w:author="svcMRProcess" w:date="2015-10-29T21:58:00Z">
        <w:r>
          <w:rPr>
            <w:b/>
          </w:rPr>
          <w:delText>”</w:delText>
        </w:r>
      </w:del>
      <w:r>
        <w:t xml:space="preserve"> means member of the Committee and includes a duly appointed acting member of the Committee;</w:t>
      </w:r>
    </w:p>
    <w:p>
      <w:pPr>
        <w:pStyle w:val="Defstart"/>
      </w:pPr>
      <w:r>
        <w:rPr>
          <w:b/>
        </w:rPr>
        <w:tab/>
      </w:r>
      <w:del w:id="37" w:author="svcMRProcess" w:date="2015-10-29T21:58:00Z">
        <w:r>
          <w:rPr>
            <w:b/>
          </w:rPr>
          <w:delText>“</w:delText>
        </w:r>
      </w:del>
      <w:r>
        <w:rPr>
          <w:rStyle w:val="CharDefText"/>
        </w:rPr>
        <w:t>public water supply</w:t>
      </w:r>
      <w:del w:id="38" w:author="svcMRProcess" w:date="2015-10-29T21:58:00Z">
        <w:r>
          <w:rPr>
            <w:b/>
          </w:rPr>
          <w:delText>”</w:delText>
        </w:r>
      </w:del>
      <w:r>
        <w:t xml:space="preserve"> means a water supply used for supplying water to the public;</w:t>
      </w:r>
    </w:p>
    <w:p>
      <w:pPr>
        <w:pStyle w:val="Defstart"/>
      </w:pPr>
      <w:r>
        <w:rPr>
          <w:b/>
        </w:rPr>
        <w:tab/>
      </w:r>
      <w:del w:id="39" w:author="svcMRProcess" w:date="2015-10-29T21:58:00Z">
        <w:r>
          <w:rPr>
            <w:b/>
          </w:rPr>
          <w:delText>“</w:delText>
        </w:r>
      </w:del>
      <w:r>
        <w:rPr>
          <w:rStyle w:val="CharDefText"/>
        </w:rPr>
        <w:t>water supply authority</w:t>
      </w:r>
      <w:del w:id="40" w:author="svcMRProcess" w:date="2015-10-29T21:58:00Z">
        <w:r>
          <w:rPr>
            <w:b/>
          </w:rPr>
          <w:delText>”</w:delText>
        </w:r>
      </w:del>
      <w:r>
        <w:t xml:space="preserve"> means any party who or which supplies water to the public.</w:t>
      </w:r>
    </w:p>
    <w:p>
      <w:pPr>
        <w:pStyle w:val="Footnotesection"/>
      </w:pPr>
      <w:r>
        <w:tab/>
        <w:t xml:space="preserve">[Section 4 amended by No. 63 of 1981 s. 4; No. 28 of 1984 s. 21.] </w:t>
      </w:r>
    </w:p>
    <w:p>
      <w:pPr>
        <w:pStyle w:val="Heading5"/>
      </w:pPr>
      <w:bookmarkStart w:id="41" w:name="_Toc399737247"/>
      <w:bookmarkStart w:id="42" w:name="_Toc411142780"/>
      <w:bookmarkStart w:id="43" w:name="_Toc521828161"/>
      <w:bookmarkStart w:id="44" w:name="_Toc521828198"/>
      <w:bookmarkStart w:id="45" w:name="_Toc171228478"/>
      <w:bookmarkStart w:id="46" w:name="_Toc173228124"/>
      <w:bookmarkStart w:id="47" w:name="_Toc171228616"/>
      <w:r>
        <w:rPr>
          <w:rStyle w:val="CharSectno"/>
        </w:rPr>
        <w:t>5</w:t>
      </w:r>
      <w:r>
        <w:t>.</w:t>
      </w:r>
      <w:r>
        <w:tab/>
        <w:t>Establishment of Committee</w:t>
      </w:r>
      <w:bookmarkEnd w:id="41"/>
      <w:bookmarkEnd w:id="42"/>
      <w:bookmarkEnd w:id="43"/>
      <w:bookmarkEnd w:id="44"/>
      <w:bookmarkEnd w:id="45"/>
      <w:bookmarkEnd w:id="46"/>
      <w:bookmarkEnd w:id="47"/>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del w:id="48" w:author="svcMRProcess" w:date="2015-10-29T21:58:00Z">
        <w:r>
          <w:rPr>
            <w:snapToGrid w:val="0"/>
          </w:rPr>
          <w:delText>Director</w:delText>
        </w:r>
      </w:del>
      <w:ins w:id="49" w:author="svcMRProcess" w:date="2015-10-29T21:58:00Z">
        <w:r>
          <w:t>chief executive officer</w:t>
        </w:r>
      </w:ins>
      <w:r>
        <w:rPr>
          <w:snapToGrid w:val="0"/>
        </w:rPr>
        <w:t xml:space="preserve"> of the Chemistry Centre (WA) or an analyst from the Chemistry Centre (WA) nominated by the </w:t>
      </w:r>
      <w:del w:id="50" w:author="svcMRProcess" w:date="2015-10-29T21:58:00Z">
        <w:r>
          <w:rPr>
            <w:snapToGrid w:val="0"/>
          </w:rPr>
          <w:delText>Director</w:delText>
        </w:r>
      </w:del>
      <w:ins w:id="51" w:author="svcMRProcess" w:date="2015-10-29T21:58:00Z">
        <w:r>
          <w:t>chief executive officer</w:t>
        </w:r>
      </w:ins>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Indenta"/>
        <w:rPr>
          <w:snapToGrid w:val="0"/>
        </w:rPr>
      </w:pPr>
      <w:r>
        <w:rPr>
          <w:snapToGrid w:val="0"/>
        </w:rPr>
        <w:tab/>
        <w:t>(b)</w:t>
      </w:r>
      <w:r>
        <w:rPr>
          <w:snapToGrid w:val="0"/>
        </w:rPr>
        <w:tab/>
        <w:t>The Minister may at any time terminate the appointment of an acting member.</w:t>
      </w:r>
    </w:p>
    <w:p>
      <w:pPr>
        <w:pStyle w:val="Indenta"/>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[Section 5 amended by No. 63 of 1981 s. 4; No. 28 of 1984 s. 22; No. 25 of 1985 s. 365; No. 19 of 1990 s. 4; No. 73 of 1994 s. 4; No. 73 of 1995 s. 188; No. 49 of 2004 s. </w:t>
      </w:r>
      <w:del w:id="52" w:author="svcMRProcess" w:date="2015-10-29T21:58:00Z">
        <w:r>
          <w:delText>13</w:delText>
        </w:r>
      </w:del>
      <w:ins w:id="53" w:author="svcMRProcess" w:date="2015-10-29T21:58:00Z">
        <w:r>
          <w:t>13; No. 10 of 2007 s. 43</w:t>
        </w:r>
      </w:ins>
      <w:r>
        <w:t xml:space="preserve">.] </w:t>
      </w:r>
    </w:p>
    <w:p>
      <w:pPr>
        <w:pStyle w:val="Heading5"/>
        <w:rPr>
          <w:snapToGrid w:val="0"/>
        </w:rPr>
      </w:pPr>
      <w:bookmarkStart w:id="54" w:name="_Toc399737248"/>
      <w:bookmarkStart w:id="55" w:name="_Toc411142781"/>
      <w:bookmarkStart w:id="56" w:name="_Toc521828162"/>
      <w:bookmarkStart w:id="57" w:name="_Toc521828199"/>
      <w:bookmarkStart w:id="58" w:name="_Toc171228479"/>
      <w:bookmarkStart w:id="59" w:name="_Toc173228125"/>
      <w:bookmarkStart w:id="60" w:name="_Toc171228617"/>
      <w:r>
        <w:rPr>
          <w:rStyle w:val="CharSectno"/>
        </w:rPr>
        <w:t>6</w:t>
      </w:r>
      <w:r>
        <w:rPr>
          <w:snapToGrid w:val="0"/>
        </w:rPr>
        <w:t>.</w:t>
      </w:r>
      <w:r>
        <w:rPr>
          <w:snapToGrid w:val="0"/>
        </w:rPr>
        <w:tab/>
        <w:t>Meetings of Committee</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rPr>
          <w:snapToGrid w:val="0"/>
        </w:rPr>
      </w:pPr>
      <w:bookmarkStart w:id="61" w:name="_Toc399737249"/>
      <w:bookmarkStart w:id="62" w:name="_Toc411142782"/>
      <w:bookmarkStart w:id="63" w:name="_Toc521828163"/>
      <w:bookmarkStart w:id="64" w:name="_Toc521828200"/>
      <w:bookmarkStart w:id="65" w:name="_Toc171228480"/>
      <w:bookmarkStart w:id="66" w:name="_Toc173228126"/>
      <w:bookmarkStart w:id="67" w:name="_Toc171228618"/>
      <w:r>
        <w:rPr>
          <w:rStyle w:val="CharSectno"/>
        </w:rPr>
        <w:t>7</w:t>
      </w:r>
      <w:r>
        <w:rPr>
          <w:snapToGrid w:val="0"/>
        </w:rPr>
        <w:t>.</w:t>
      </w:r>
      <w:r>
        <w:rPr>
          <w:snapToGrid w:val="0"/>
        </w:rPr>
        <w:tab/>
        <w:t>Functions of Committee</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68" w:name="_Toc399737250"/>
      <w:bookmarkStart w:id="69" w:name="_Toc411142783"/>
      <w:bookmarkStart w:id="70" w:name="_Toc521828164"/>
      <w:bookmarkStart w:id="71" w:name="_Toc521828201"/>
      <w:bookmarkStart w:id="72" w:name="_Toc171228481"/>
      <w:bookmarkStart w:id="73" w:name="_Toc173228127"/>
      <w:bookmarkStart w:id="74" w:name="_Toc171228619"/>
      <w:r>
        <w:rPr>
          <w:rStyle w:val="CharSectno"/>
        </w:rPr>
        <w:t>8</w:t>
      </w:r>
      <w:r>
        <w:rPr>
          <w:snapToGrid w:val="0"/>
        </w:rPr>
        <w:t>.</w:t>
      </w:r>
      <w:r>
        <w:rPr>
          <w:snapToGrid w:val="0"/>
        </w:rPr>
        <w:tab/>
        <w:t>Exemption from personal liability</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75" w:name="_Toc399737251"/>
      <w:bookmarkStart w:id="76" w:name="_Toc411142784"/>
      <w:bookmarkStart w:id="77" w:name="_Toc521828165"/>
      <w:bookmarkStart w:id="78" w:name="_Toc521828202"/>
      <w:bookmarkStart w:id="79" w:name="_Toc171228482"/>
      <w:bookmarkStart w:id="80" w:name="_Toc173228128"/>
      <w:bookmarkStart w:id="81" w:name="_Toc171228620"/>
      <w:r>
        <w:rPr>
          <w:rStyle w:val="CharSectno"/>
        </w:rPr>
        <w:t>9</w:t>
      </w:r>
      <w:r>
        <w:rPr>
          <w:snapToGrid w:val="0"/>
        </w:rPr>
        <w:t>.</w:t>
      </w:r>
      <w:r>
        <w:rPr>
          <w:snapToGrid w:val="0"/>
        </w:rPr>
        <w:tab/>
        <w:t>Fluoridation of public water supplies</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Indenta"/>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keepNext/>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120"/>
        <w:rPr>
          <w:snapToGrid w:val="0"/>
        </w:rPr>
      </w:pPr>
      <w:bookmarkStart w:id="82" w:name="_Toc399737252"/>
      <w:bookmarkStart w:id="83" w:name="_Toc411142785"/>
      <w:bookmarkStart w:id="84" w:name="_Toc521828166"/>
      <w:bookmarkStart w:id="85" w:name="_Toc521828203"/>
      <w:bookmarkStart w:id="86" w:name="_Toc171228483"/>
      <w:bookmarkStart w:id="87" w:name="_Toc173228129"/>
      <w:bookmarkStart w:id="88" w:name="_Toc171228621"/>
      <w:r>
        <w:rPr>
          <w:rStyle w:val="CharSectno"/>
        </w:rPr>
        <w:t>10</w:t>
      </w:r>
      <w:r>
        <w:rPr>
          <w:snapToGrid w:val="0"/>
        </w:rPr>
        <w:t>.</w:t>
      </w:r>
      <w:r>
        <w:rPr>
          <w:snapToGrid w:val="0"/>
        </w:rPr>
        <w:tab/>
        <w:t>Power of Committee to add fluorine to public water supply if water supply authority defaults</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120"/>
        <w:rPr>
          <w:snapToGrid w:val="0"/>
        </w:rPr>
      </w:pPr>
      <w:bookmarkStart w:id="89" w:name="_Toc399737253"/>
      <w:bookmarkStart w:id="90" w:name="_Toc411142786"/>
      <w:bookmarkStart w:id="91" w:name="_Toc521828167"/>
      <w:bookmarkStart w:id="92" w:name="_Toc521828204"/>
      <w:bookmarkStart w:id="93" w:name="_Toc171228484"/>
      <w:bookmarkStart w:id="94" w:name="_Toc173228130"/>
      <w:bookmarkStart w:id="95" w:name="_Toc171228622"/>
      <w:r>
        <w:rPr>
          <w:rStyle w:val="CharSectno"/>
        </w:rPr>
        <w:t>11</w:t>
      </w:r>
      <w:r>
        <w:rPr>
          <w:snapToGrid w:val="0"/>
        </w:rPr>
        <w:t>.</w:t>
      </w:r>
      <w:r>
        <w:rPr>
          <w:snapToGrid w:val="0"/>
        </w:rPr>
        <w:tab/>
        <w:t>Power of Committee to require information and enter land</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96" w:name="_Toc399737254"/>
      <w:bookmarkStart w:id="97" w:name="_Toc411142787"/>
      <w:bookmarkStart w:id="98" w:name="_Toc521828168"/>
      <w:bookmarkStart w:id="99" w:name="_Toc521828205"/>
      <w:bookmarkStart w:id="100" w:name="_Toc171228485"/>
      <w:bookmarkStart w:id="101" w:name="_Toc173228131"/>
      <w:bookmarkStart w:id="102" w:name="_Toc171228623"/>
      <w:r>
        <w:rPr>
          <w:rStyle w:val="CharSectno"/>
        </w:rPr>
        <w:t>12</w:t>
      </w:r>
      <w:r>
        <w:rPr>
          <w:snapToGrid w:val="0"/>
        </w:rPr>
        <w:t>.</w:t>
      </w:r>
      <w:r>
        <w:rPr>
          <w:snapToGrid w:val="0"/>
        </w:rPr>
        <w:tab/>
        <w:t>Maximum and minimum concentration of fluorine in water</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120"/>
        <w:rPr>
          <w:snapToGrid w:val="0"/>
        </w:rPr>
      </w:pPr>
      <w:bookmarkStart w:id="103" w:name="_Toc399737255"/>
      <w:bookmarkStart w:id="104" w:name="_Toc411142788"/>
      <w:bookmarkStart w:id="105" w:name="_Toc521828169"/>
      <w:bookmarkStart w:id="106" w:name="_Toc521828206"/>
      <w:bookmarkStart w:id="107" w:name="_Toc171228486"/>
      <w:bookmarkStart w:id="108" w:name="_Toc173228132"/>
      <w:bookmarkStart w:id="109" w:name="_Toc171228624"/>
      <w:r>
        <w:rPr>
          <w:rStyle w:val="CharSectno"/>
        </w:rPr>
        <w:t>13</w:t>
      </w:r>
      <w:r>
        <w:rPr>
          <w:snapToGrid w:val="0"/>
        </w:rPr>
        <w:t>.</w:t>
      </w:r>
      <w:r>
        <w:rPr>
          <w:snapToGrid w:val="0"/>
        </w:rPr>
        <w:tab/>
        <w:t>Power of Committee to rescind or vary any recommendation</w:t>
      </w:r>
      <w:bookmarkEnd w:id="103"/>
      <w:bookmarkEnd w:id="104"/>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Indenta"/>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Arbitration Act 1895</w:t>
      </w:r>
      <w:r>
        <w:rPr>
          <w:vertAlign w:val="superscript"/>
        </w:rPr>
        <w:t> 2</w:t>
      </w:r>
      <w:r>
        <w:t>, unless the Minister and the water supply authority agree on some other method of determination.</w:t>
      </w:r>
    </w:p>
    <w:p>
      <w:pPr>
        <w:pStyle w:val="Heading5"/>
        <w:spacing w:before="120"/>
        <w:rPr>
          <w:snapToGrid w:val="0"/>
        </w:rPr>
      </w:pPr>
      <w:bookmarkStart w:id="110" w:name="_Toc399737256"/>
      <w:bookmarkStart w:id="111" w:name="_Toc411142789"/>
      <w:bookmarkStart w:id="112" w:name="_Toc521828170"/>
      <w:bookmarkStart w:id="113" w:name="_Toc521828207"/>
      <w:bookmarkStart w:id="114" w:name="_Toc171228487"/>
      <w:bookmarkStart w:id="115" w:name="_Toc173228133"/>
      <w:bookmarkStart w:id="116" w:name="_Toc171228625"/>
      <w:r>
        <w:rPr>
          <w:rStyle w:val="CharSectno"/>
        </w:rPr>
        <w:t>14</w:t>
      </w:r>
      <w:r>
        <w:rPr>
          <w:snapToGrid w:val="0"/>
        </w:rPr>
        <w:t>.</w:t>
      </w:r>
      <w:r>
        <w:rPr>
          <w:snapToGrid w:val="0"/>
        </w:rPr>
        <w:tab/>
        <w:t>Certificate to be evidence</w:t>
      </w:r>
      <w:bookmarkEnd w:id="110"/>
      <w:bookmarkEnd w:id="111"/>
      <w:bookmarkEnd w:id="112"/>
      <w:bookmarkEnd w:id="113"/>
      <w:bookmarkEnd w:id="114"/>
      <w:bookmarkEnd w:id="115"/>
      <w:bookmarkEnd w:id="116"/>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117" w:name="_Toc399737257"/>
      <w:bookmarkStart w:id="118" w:name="_Toc411142790"/>
      <w:bookmarkStart w:id="119" w:name="_Toc521828171"/>
      <w:bookmarkStart w:id="120" w:name="_Toc521828208"/>
      <w:bookmarkStart w:id="121" w:name="_Toc171228488"/>
      <w:bookmarkStart w:id="122" w:name="_Toc173228134"/>
      <w:bookmarkStart w:id="123" w:name="_Toc171228626"/>
      <w:r>
        <w:rPr>
          <w:rStyle w:val="CharSectno"/>
        </w:rPr>
        <w:t>15</w:t>
      </w:r>
      <w:r>
        <w:rPr>
          <w:snapToGrid w:val="0"/>
        </w:rPr>
        <w:t>.</w:t>
      </w:r>
      <w:r>
        <w:rPr>
          <w:snapToGrid w:val="0"/>
        </w:rPr>
        <w:tab/>
        <w:t>Proof of certificate of analyst</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keepNext/>
        <w:rPr>
          <w:snapToGrid w:val="0"/>
        </w:rPr>
      </w:pPr>
      <w:r>
        <w:rPr>
          <w:snapToGrid w:val="0"/>
        </w:rPr>
        <w:tab/>
        <w:t>(3)</w:t>
      </w:r>
      <w:r>
        <w:rPr>
          <w:snapToGrid w:val="0"/>
        </w:rPr>
        <w:tab/>
        <w:t xml:space="preserve">In this section </w:t>
      </w:r>
      <w:del w:id="124" w:author="svcMRProcess" w:date="2015-10-29T21:58:00Z">
        <w:r>
          <w:rPr>
            <w:b/>
            <w:snapToGrid w:val="0"/>
          </w:rPr>
          <w:delText>“</w:delText>
        </w:r>
      </w:del>
      <w:r>
        <w:rPr>
          <w:rStyle w:val="CharDefText"/>
        </w:rPr>
        <w:t>analyst</w:t>
      </w:r>
      <w:del w:id="125" w:author="svcMRProcess" w:date="2015-10-29T21:58:00Z">
        <w:r>
          <w:rPr>
            <w:b/>
            <w:snapToGrid w:val="0"/>
          </w:rPr>
          <w:delText>”</w:delText>
        </w:r>
      </w:del>
      <w:r>
        <w:rPr>
          <w:snapToGrid w:val="0"/>
        </w:rPr>
        <w:t xml:space="preserve"> means the </w:t>
      </w:r>
      <w:del w:id="126" w:author="svcMRProcess" w:date="2015-10-29T21:58:00Z">
        <w:r>
          <w:rPr>
            <w:snapToGrid w:val="0"/>
          </w:rPr>
          <w:delText>Director</w:delText>
        </w:r>
      </w:del>
      <w:ins w:id="127" w:author="svcMRProcess" w:date="2015-10-29T21:58:00Z">
        <w:r>
          <w:t>chief executive officer</w:t>
        </w:r>
      </w:ins>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[Section 15 amended by No. 19 of 1990 s. </w:t>
      </w:r>
      <w:del w:id="128" w:author="svcMRProcess" w:date="2015-10-29T21:58:00Z">
        <w:r>
          <w:delText>5</w:delText>
        </w:r>
      </w:del>
      <w:ins w:id="129" w:author="svcMRProcess" w:date="2015-10-29T21:58:00Z">
        <w:r>
          <w:t>5; No. 10 of 2007 s. 43</w:t>
        </w:r>
      </w:ins>
      <w:r>
        <w:t xml:space="preserve">.] </w:t>
      </w:r>
    </w:p>
    <w:p>
      <w:pPr>
        <w:pStyle w:val="Heading5"/>
        <w:rPr>
          <w:snapToGrid w:val="0"/>
        </w:rPr>
      </w:pPr>
      <w:bookmarkStart w:id="130" w:name="_Toc399737258"/>
      <w:bookmarkStart w:id="131" w:name="_Toc411142791"/>
      <w:bookmarkStart w:id="132" w:name="_Toc521828172"/>
      <w:bookmarkStart w:id="133" w:name="_Toc521828209"/>
      <w:bookmarkStart w:id="134" w:name="_Toc171228489"/>
      <w:bookmarkStart w:id="135" w:name="_Toc173228135"/>
      <w:bookmarkStart w:id="136" w:name="_Toc171228627"/>
      <w:r>
        <w:rPr>
          <w:rStyle w:val="CharSectno"/>
        </w:rPr>
        <w:t>16</w:t>
      </w:r>
      <w:r>
        <w:rPr>
          <w:snapToGrid w:val="0"/>
        </w:rPr>
        <w:t>.</w:t>
      </w:r>
      <w:r>
        <w:rPr>
          <w:snapToGrid w:val="0"/>
        </w:rPr>
        <w:tab/>
        <w:t>Regulations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37" w:name="_Toc89053158"/>
      <w:bookmarkStart w:id="138" w:name="_Toc100397679"/>
      <w:bookmarkStart w:id="139" w:name="_Toc100561307"/>
      <w:bookmarkStart w:id="140" w:name="_Toc171157546"/>
      <w:bookmarkStart w:id="141" w:name="_Toc171228490"/>
      <w:bookmarkStart w:id="142" w:name="_Toc171228628"/>
      <w:bookmarkStart w:id="143" w:name="_Toc173228136"/>
      <w:r>
        <w:t>Notes</w:t>
      </w:r>
      <w:bookmarkEnd w:id="137"/>
      <w:bookmarkEnd w:id="138"/>
      <w:bookmarkEnd w:id="139"/>
      <w:bookmarkEnd w:id="140"/>
      <w:bookmarkEnd w:id="141"/>
      <w:bookmarkEnd w:id="142"/>
      <w:bookmarkEnd w:id="143"/>
    </w:p>
    <w:p>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w:t>
      </w:r>
      <w:del w:id="144" w:author="svcMRProcess" w:date="2015-10-29T21:58: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20"/>
        <w:rPr>
          <w:snapToGrid w:val="0"/>
        </w:rPr>
      </w:pPr>
      <w:bookmarkStart w:id="145" w:name="_Toc521828210"/>
      <w:bookmarkStart w:id="146" w:name="_Toc171228491"/>
      <w:bookmarkStart w:id="147" w:name="_Toc173228137"/>
      <w:bookmarkStart w:id="148" w:name="_Toc171228629"/>
      <w:r>
        <w:rPr>
          <w:snapToGrid w:val="0"/>
        </w:rPr>
        <w:t>Compilation table</w:t>
      </w:r>
      <w:bookmarkEnd w:id="145"/>
      <w:bookmarkEnd w:id="146"/>
      <w:bookmarkEnd w:id="147"/>
      <w:bookmarkEnd w:id="148"/>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pPr>
              <w:pStyle w:val="nTable"/>
              <w:spacing w:before="60" w:after="60"/>
              <w:ind w:left="57" w:right="114"/>
              <w:rPr>
                <w:b/>
                <w:sz w:val="19"/>
              </w:rPr>
            </w:pPr>
            <w:r>
              <w:rPr>
                <w:b/>
                <w:sz w:val="19"/>
              </w:rPr>
              <w:t>Commencement</w:t>
            </w:r>
          </w:p>
        </w:tc>
      </w:tr>
      <w:tr>
        <w:trPr>
          <w:cantSplit/>
        </w:trPr>
        <w:tc>
          <w:tcPr>
            <w:tcW w:w="2268" w:type="dxa"/>
          </w:tcPr>
          <w:p>
            <w:pPr>
              <w:pStyle w:val="nTable"/>
              <w:spacing w:before="120"/>
              <w:ind w:right="113"/>
              <w:rPr>
                <w:sz w:val="19"/>
              </w:rPr>
            </w:pPr>
            <w:r>
              <w:rPr>
                <w:i/>
                <w:sz w:val="19"/>
              </w:rPr>
              <w:t>Fluoridation of Public Water Supplies Act 1966</w:t>
            </w:r>
          </w:p>
        </w:tc>
        <w:tc>
          <w:tcPr>
            <w:tcW w:w="1134" w:type="dxa"/>
            <w:gridSpan w:val="2"/>
          </w:tcPr>
          <w:p>
            <w:pPr>
              <w:pStyle w:val="nTable"/>
              <w:spacing w:before="120"/>
              <w:ind w:left="57"/>
              <w:rPr>
                <w:sz w:val="19"/>
              </w:rPr>
            </w:pPr>
            <w:r>
              <w:rPr>
                <w:sz w:val="19"/>
              </w:rPr>
              <w:t>47 of 1966</w:t>
            </w:r>
          </w:p>
        </w:tc>
        <w:tc>
          <w:tcPr>
            <w:tcW w:w="1134" w:type="dxa"/>
          </w:tcPr>
          <w:p>
            <w:pPr>
              <w:pStyle w:val="nTable"/>
              <w:spacing w:before="120"/>
              <w:ind w:left="57"/>
              <w:rPr>
                <w:sz w:val="19"/>
              </w:rPr>
            </w:pPr>
            <w:r>
              <w:rPr>
                <w:sz w:val="19"/>
              </w:rPr>
              <w:t>18 Nov 1966</w:t>
            </w:r>
          </w:p>
        </w:tc>
        <w:tc>
          <w:tcPr>
            <w:tcW w:w="2552" w:type="dxa"/>
          </w:tcPr>
          <w:p>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trPr>
          <w:cantSplit/>
        </w:trPr>
        <w:tc>
          <w:tcPr>
            <w:tcW w:w="2268" w:type="dxa"/>
          </w:tcPr>
          <w:p>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before="100"/>
              <w:ind w:left="57"/>
              <w:rPr>
                <w:sz w:val="19"/>
              </w:rPr>
            </w:pPr>
            <w:r>
              <w:rPr>
                <w:sz w:val="19"/>
              </w:rPr>
              <w:t>63 of 1981</w:t>
            </w:r>
          </w:p>
        </w:tc>
        <w:tc>
          <w:tcPr>
            <w:tcW w:w="1134" w:type="dxa"/>
          </w:tcPr>
          <w:p>
            <w:pPr>
              <w:pStyle w:val="nTable"/>
              <w:spacing w:before="100"/>
              <w:ind w:left="57"/>
              <w:rPr>
                <w:sz w:val="19"/>
              </w:rPr>
            </w:pPr>
            <w:r>
              <w:rPr>
                <w:sz w:val="19"/>
              </w:rPr>
              <w:t>13 Oct 1981</w:t>
            </w:r>
          </w:p>
        </w:tc>
        <w:tc>
          <w:tcPr>
            <w:tcW w:w="2552" w:type="dxa"/>
          </w:tcPr>
          <w:p>
            <w:pPr>
              <w:pStyle w:val="nTable"/>
              <w:spacing w:before="100"/>
              <w:ind w:left="57" w:right="114"/>
              <w:rPr>
                <w:sz w:val="19"/>
              </w:rPr>
            </w:pPr>
            <w:r>
              <w:rPr>
                <w:sz w:val="19"/>
              </w:rPr>
              <w:t>13 Oct 1981</w:t>
            </w:r>
          </w:p>
        </w:tc>
      </w:tr>
      <w:tr>
        <w:trPr>
          <w:cantSplit/>
        </w:trPr>
        <w:tc>
          <w:tcPr>
            <w:tcW w:w="2268" w:type="dxa"/>
          </w:tcPr>
          <w:p>
            <w:pPr>
              <w:pStyle w:val="nTable"/>
              <w:spacing w:before="100"/>
              <w:ind w:right="115"/>
              <w:rPr>
                <w:sz w:val="19"/>
              </w:rPr>
            </w:pPr>
            <w:r>
              <w:rPr>
                <w:i/>
                <w:sz w:val="19"/>
              </w:rPr>
              <w:t>Health Legislation Amendment Act 1984</w:t>
            </w:r>
            <w:r>
              <w:rPr>
                <w:sz w:val="19"/>
              </w:rPr>
              <w:t xml:space="preserve"> Pt. VII</w:t>
            </w:r>
          </w:p>
        </w:tc>
        <w:tc>
          <w:tcPr>
            <w:tcW w:w="1134" w:type="dxa"/>
            <w:gridSpan w:val="2"/>
          </w:tcPr>
          <w:p>
            <w:pPr>
              <w:pStyle w:val="nTable"/>
              <w:spacing w:before="120"/>
              <w:ind w:left="57"/>
              <w:rPr>
                <w:sz w:val="19"/>
              </w:rPr>
            </w:pPr>
            <w:r>
              <w:rPr>
                <w:sz w:val="19"/>
              </w:rPr>
              <w:t>28 of 1984</w:t>
            </w:r>
          </w:p>
        </w:tc>
        <w:tc>
          <w:tcPr>
            <w:tcW w:w="1134" w:type="dxa"/>
          </w:tcPr>
          <w:p>
            <w:pPr>
              <w:pStyle w:val="nTable"/>
              <w:spacing w:before="120"/>
              <w:ind w:left="57"/>
              <w:rPr>
                <w:sz w:val="19"/>
              </w:rPr>
            </w:pPr>
            <w:r>
              <w:rPr>
                <w:sz w:val="19"/>
              </w:rPr>
              <w:t>31 May 1984</w:t>
            </w:r>
          </w:p>
        </w:tc>
        <w:tc>
          <w:tcPr>
            <w:tcW w:w="2552" w:type="dxa"/>
          </w:tcPr>
          <w:p>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pPr>
              <w:pStyle w:val="nTable"/>
              <w:spacing w:before="100"/>
              <w:ind w:left="57"/>
              <w:rPr>
                <w:sz w:val="19"/>
              </w:rPr>
            </w:pPr>
            <w:r>
              <w:rPr>
                <w:sz w:val="19"/>
              </w:rPr>
              <w:t>25 of 1985</w:t>
            </w:r>
          </w:p>
        </w:tc>
        <w:tc>
          <w:tcPr>
            <w:tcW w:w="1134" w:type="dxa"/>
          </w:tcPr>
          <w:p>
            <w:pPr>
              <w:pStyle w:val="nTable"/>
              <w:spacing w:before="100"/>
              <w:ind w:left="57"/>
              <w:rPr>
                <w:sz w:val="19"/>
              </w:rPr>
            </w:pPr>
            <w:r>
              <w:rPr>
                <w:sz w:val="19"/>
              </w:rPr>
              <w:t>6 May 1985</w:t>
            </w:r>
          </w:p>
        </w:tc>
        <w:tc>
          <w:tcPr>
            <w:tcW w:w="2552" w:type="dxa"/>
          </w:tcPr>
          <w:p>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pPr>
              <w:pStyle w:val="nTable"/>
              <w:spacing w:before="100"/>
              <w:ind w:left="57"/>
              <w:rPr>
                <w:sz w:val="19"/>
              </w:rPr>
            </w:pPr>
            <w:r>
              <w:rPr>
                <w:sz w:val="19"/>
              </w:rPr>
              <w:t>19 of 1990</w:t>
            </w:r>
          </w:p>
        </w:tc>
        <w:tc>
          <w:tcPr>
            <w:tcW w:w="1134" w:type="dxa"/>
          </w:tcPr>
          <w:p>
            <w:pPr>
              <w:pStyle w:val="nTable"/>
              <w:spacing w:before="100"/>
              <w:ind w:left="57"/>
              <w:rPr>
                <w:sz w:val="19"/>
              </w:rPr>
            </w:pPr>
            <w:r>
              <w:rPr>
                <w:sz w:val="19"/>
              </w:rPr>
              <w:t>24 Jul 1990</w:t>
            </w:r>
          </w:p>
        </w:tc>
        <w:tc>
          <w:tcPr>
            <w:tcW w:w="2552" w:type="dxa"/>
          </w:tcPr>
          <w:p>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00"/>
              <w:ind w:left="57"/>
              <w:rPr>
                <w:sz w:val="19"/>
              </w:rPr>
            </w:pPr>
            <w:r>
              <w:rPr>
                <w:sz w:val="19"/>
              </w:rPr>
              <w:t>73 of 1994</w:t>
            </w:r>
          </w:p>
        </w:tc>
        <w:tc>
          <w:tcPr>
            <w:tcW w:w="1134" w:type="dxa"/>
          </w:tcPr>
          <w:p>
            <w:pPr>
              <w:pStyle w:val="nTable"/>
              <w:spacing w:before="100"/>
              <w:ind w:left="57"/>
              <w:rPr>
                <w:sz w:val="19"/>
              </w:rPr>
            </w:pPr>
            <w:r>
              <w:rPr>
                <w:sz w:val="19"/>
              </w:rPr>
              <w:t>9 Dec 1994</w:t>
            </w:r>
          </w:p>
        </w:tc>
        <w:tc>
          <w:tcPr>
            <w:tcW w:w="2552" w:type="dxa"/>
          </w:tcPr>
          <w:p>
            <w:pPr>
              <w:pStyle w:val="nTable"/>
              <w:spacing w:before="100"/>
              <w:ind w:left="57" w:right="114"/>
              <w:rPr>
                <w:sz w:val="19"/>
              </w:rPr>
            </w:pPr>
            <w:r>
              <w:rPr>
                <w:sz w:val="19"/>
              </w:rPr>
              <w:t>9 Dec 1994 (see s. 2)</w:t>
            </w:r>
          </w:p>
        </w:tc>
      </w:tr>
      <w:tr>
        <w:trPr>
          <w:cantSplit/>
        </w:trPr>
        <w:tc>
          <w:tcPr>
            <w:tcW w:w="2268" w:type="dxa"/>
          </w:tcPr>
          <w:p>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before="100"/>
              <w:ind w:left="57"/>
              <w:rPr>
                <w:sz w:val="19"/>
              </w:rPr>
            </w:pPr>
            <w:r>
              <w:rPr>
                <w:sz w:val="19"/>
              </w:rPr>
              <w:t>73 of 1995</w:t>
            </w:r>
          </w:p>
        </w:tc>
        <w:tc>
          <w:tcPr>
            <w:tcW w:w="1134" w:type="dxa"/>
          </w:tcPr>
          <w:p>
            <w:pPr>
              <w:pStyle w:val="nTable"/>
              <w:spacing w:before="100"/>
              <w:ind w:left="57"/>
              <w:rPr>
                <w:sz w:val="19"/>
              </w:rPr>
            </w:pPr>
            <w:r>
              <w:rPr>
                <w:sz w:val="19"/>
              </w:rPr>
              <w:t>27 Dec 1995</w:t>
            </w:r>
          </w:p>
        </w:tc>
        <w:tc>
          <w:tcPr>
            <w:tcW w:w="2552" w:type="dxa"/>
          </w:tcPr>
          <w:p>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trPr>
          <w:cantSplit/>
        </w:trPr>
        <w:tc>
          <w:tcPr>
            <w:tcW w:w="7088" w:type="dxa"/>
            <w:gridSpan w:val="5"/>
          </w:tcPr>
          <w:p>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trPr>
          <w:cantSplit/>
        </w:trPr>
        <w:tc>
          <w:tcPr>
            <w:tcW w:w="2268" w:type="dxa"/>
          </w:tcPr>
          <w:p>
            <w:pPr>
              <w:pStyle w:val="nTable"/>
              <w:spacing w:before="100"/>
              <w:rPr>
                <w:i/>
                <w:sz w:val="19"/>
              </w:rPr>
            </w:pPr>
            <w:r>
              <w:rPr>
                <w:i/>
                <w:sz w:val="19"/>
              </w:rPr>
              <w:t xml:space="preserve">Local Government Amendment Act 2004 </w:t>
            </w:r>
            <w:r>
              <w:rPr>
                <w:iCs/>
                <w:sz w:val="19"/>
              </w:rPr>
              <w:t>s. 13</w:t>
            </w:r>
          </w:p>
        </w:tc>
        <w:tc>
          <w:tcPr>
            <w:tcW w:w="993" w:type="dxa"/>
          </w:tcPr>
          <w:p>
            <w:pPr>
              <w:pStyle w:val="nTable"/>
              <w:spacing w:before="100"/>
              <w:rPr>
                <w:sz w:val="19"/>
              </w:rPr>
            </w:pPr>
            <w:r>
              <w:rPr>
                <w:snapToGrid w:val="0"/>
                <w:sz w:val="19"/>
              </w:rPr>
              <w:t>49 of 2004</w:t>
            </w:r>
          </w:p>
        </w:tc>
        <w:tc>
          <w:tcPr>
            <w:tcW w:w="1275" w:type="dxa"/>
            <w:gridSpan w:val="2"/>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bl>
    <w:p>
      <w:pPr>
        <w:pStyle w:val="nSubsection"/>
        <w:tabs>
          <w:tab w:val="clear" w:pos="454"/>
          <w:tab w:val="left" w:pos="567"/>
        </w:tabs>
        <w:spacing w:before="120"/>
        <w:ind w:left="567" w:hanging="567"/>
        <w:rPr>
          <w:del w:id="149" w:author="svcMRProcess" w:date="2015-10-29T21:58:00Z"/>
          <w:snapToGrid w:val="0"/>
        </w:rPr>
      </w:pPr>
      <w:bookmarkStart w:id="150" w:name="UpToHere"/>
      <w:del w:id="151" w:author="svcMRProcess" w:date="2015-10-29T21: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2" w:author="svcMRProcess" w:date="2015-10-29T21:58:00Z"/>
        </w:rPr>
      </w:pPr>
      <w:bookmarkStart w:id="153" w:name="_Toc7405065"/>
      <w:bookmarkStart w:id="154" w:name="_Toc171228492"/>
      <w:bookmarkStart w:id="155" w:name="_Toc171228630"/>
      <w:del w:id="156" w:author="svcMRProcess" w:date="2015-10-29T21:58:00Z">
        <w:r>
          <w:delText>Provisions that have not come into operation</w:delText>
        </w:r>
        <w:bookmarkEnd w:id="153"/>
        <w:bookmarkEnd w:id="154"/>
        <w:bookmarkEnd w:id="15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275"/>
        <w:gridCol w:w="2552"/>
      </w:tblGrid>
      <w:tr>
        <w:trPr>
          <w:del w:id="157" w:author="svcMRProcess" w:date="2015-10-29T21:58:00Z"/>
        </w:trPr>
        <w:tc>
          <w:tcPr>
            <w:tcW w:w="2268" w:type="dxa"/>
          </w:tcPr>
          <w:p>
            <w:pPr>
              <w:pStyle w:val="nTable"/>
              <w:spacing w:after="40"/>
              <w:rPr>
                <w:del w:id="158" w:author="svcMRProcess" w:date="2015-10-29T21:58:00Z"/>
                <w:b/>
                <w:snapToGrid w:val="0"/>
                <w:sz w:val="19"/>
                <w:lang w:val="en-US"/>
              </w:rPr>
            </w:pPr>
            <w:del w:id="159" w:author="svcMRProcess" w:date="2015-10-29T21:58:00Z">
              <w:r>
                <w:rPr>
                  <w:b/>
                  <w:snapToGrid w:val="0"/>
                  <w:sz w:val="19"/>
                  <w:lang w:val="en-US"/>
                </w:rPr>
                <w:delText>Short title</w:delText>
              </w:r>
            </w:del>
          </w:p>
        </w:tc>
        <w:tc>
          <w:tcPr>
            <w:tcW w:w="1118" w:type="dxa"/>
          </w:tcPr>
          <w:p>
            <w:pPr>
              <w:pStyle w:val="nTable"/>
              <w:spacing w:after="40"/>
              <w:rPr>
                <w:del w:id="160" w:author="svcMRProcess" w:date="2015-10-29T21:58:00Z"/>
                <w:b/>
                <w:snapToGrid w:val="0"/>
                <w:sz w:val="19"/>
                <w:lang w:val="en-US"/>
              </w:rPr>
            </w:pPr>
            <w:del w:id="161" w:author="svcMRProcess" w:date="2015-10-29T21:58:00Z">
              <w:r>
                <w:rPr>
                  <w:b/>
                  <w:snapToGrid w:val="0"/>
                  <w:sz w:val="19"/>
                  <w:lang w:val="en-US"/>
                </w:rPr>
                <w:delText>Number and year</w:delText>
              </w:r>
            </w:del>
          </w:p>
        </w:tc>
        <w:tc>
          <w:tcPr>
            <w:tcW w:w="1134" w:type="dxa"/>
          </w:tcPr>
          <w:p>
            <w:pPr>
              <w:pStyle w:val="nTable"/>
              <w:spacing w:after="40"/>
              <w:rPr>
                <w:del w:id="162" w:author="svcMRProcess" w:date="2015-10-29T21:58:00Z"/>
                <w:b/>
                <w:snapToGrid w:val="0"/>
                <w:sz w:val="19"/>
                <w:lang w:val="en-US"/>
              </w:rPr>
            </w:pPr>
            <w:del w:id="163" w:author="svcMRProcess" w:date="2015-10-29T21:58:00Z">
              <w:r>
                <w:rPr>
                  <w:b/>
                  <w:snapToGrid w:val="0"/>
                  <w:sz w:val="19"/>
                  <w:lang w:val="en-US"/>
                </w:rPr>
                <w:delText>Assent</w:delText>
              </w:r>
            </w:del>
          </w:p>
        </w:tc>
        <w:tc>
          <w:tcPr>
            <w:tcW w:w="2552" w:type="dxa"/>
          </w:tcPr>
          <w:p>
            <w:pPr>
              <w:pStyle w:val="nTable"/>
              <w:spacing w:after="40"/>
              <w:rPr>
                <w:del w:id="164" w:author="svcMRProcess" w:date="2015-10-29T21:58:00Z"/>
                <w:b/>
                <w:snapToGrid w:val="0"/>
                <w:sz w:val="19"/>
                <w:lang w:val="en-US"/>
              </w:rPr>
            </w:pPr>
            <w:del w:id="165" w:author="svcMRProcess" w:date="2015-10-29T21:5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tcBorders>
              <w:bottom w:val="single" w:sz="4" w:space="0" w:color="auto"/>
            </w:tcBorders>
          </w:tcPr>
          <w:p>
            <w:pPr>
              <w:pStyle w:val="nTable"/>
              <w:spacing w:before="100"/>
              <w:rPr>
                <w:i/>
                <w:sz w:val="19"/>
              </w:rPr>
            </w:pPr>
            <w:r>
              <w:rPr>
                <w:i/>
                <w:sz w:val="19"/>
              </w:rPr>
              <w:t>Chemistry Centre (WA) Act 2007</w:t>
            </w:r>
            <w:r>
              <w:rPr>
                <w:iCs/>
                <w:sz w:val="19"/>
              </w:rPr>
              <w:t> s. 43</w:t>
            </w:r>
            <w:del w:id="166" w:author="svcMRProcess" w:date="2015-10-29T21:58:00Z">
              <w:r>
                <w:rPr>
                  <w:iCs/>
                  <w:sz w:val="19"/>
                </w:rPr>
                <w:delText xml:space="preserve"> </w:delText>
              </w:r>
              <w:r>
                <w:rPr>
                  <w:iCs/>
                  <w:sz w:val="19"/>
                  <w:vertAlign w:val="superscript"/>
                </w:rPr>
                <w:delText>4</w:delText>
              </w:r>
            </w:del>
          </w:p>
        </w:tc>
        <w:tc>
          <w:tcPr>
            <w:tcW w:w="993" w:type="dxa"/>
            <w:tcBorders>
              <w:bottom w:val="single" w:sz="4" w:space="0" w:color="auto"/>
            </w:tcBorders>
          </w:tcPr>
          <w:p>
            <w:pPr>
              <w:pStyle w:val="nTable"/>
              <w:spacing w:before="100"/>
              <w:rPr>
                <w:snapToGrid w:val="0"/>
                <w:sz w:val="19"/>
              </w:rPr>
            </w:pPr>
            <w:r>
              <w:rPr>
                <w:sz w:val="19"/>
              </w:rPr>
              <w:t>10 of 2007</w:t>
            </w:r>
          </w:p>
        </w:tc>
        <w:tc>
          <w:tcPr>
            <w:tcW w:w="1275" w:type="dxa"/>
            <w:tcBorders>
              <w:bottom w:val="single" w:sz="4" w:space="0" w:color="auto"/>
            </w:tcBorders>
          </w:tcPr>
          <w:p>
            <w:pPr>
              <w:pStyle w:val="nTable"/>
              <w:spacing w:before="100"/>
              <w:rPr>
                <w:sz w:val="19"/>
              </w:rPr>
            </w:pPr>
            <w:r>
              <w:rPr>
                <w:sz w:val="19"/>
              </w:rPr>
              <w:t>29 Jun 2007</w:t>
            </w:r>
          </w:p>
        </w:tc>
        <w:tc>
          <w:tcPr>
            <w:tcW w:w="2552" w:type="dxa"/>
            <w:tcBorders>
              <w:bottom w:val="single" w:sz="4" w:space="0" w:color="auto"/>
            </w:tcBorders>
          </w:tcPr>
          <w:p>
            <w:pPr>
              <w:pStyle w:val="nTable"/>
              <w:spacing w:before="100"/>
              <w:rPr>
                <w:sz w:val="19"/>
              </w:rPr>
            </w:pPr>
            <w:del w:id="167" w:author="svcMRProcess" w:date="2015-10-29T21:58:00Z">
              <w:r>
                <w:rPr>
                  <w:snapToGrid w:val="0"/>
                  <w:sz w:val="19"/>
                  <w:lang w:val="en-US"/>
                </w:rPr>
                <w:delText>To be proclaimed</w:delText>
              </w:r>
            </w:del>
            <w:ins w:id="168" w:author="svcMRProcess" w:date="2015-10-29T21:58:00Z">
              <w:r>
                <w:rPr>
                  <w:sz w:val="19"/>
                </w:rPr>
                <w:t>1 Aug 2007</w:t>
              </w:r>
            </w:ins>
            <w:r>
              <w:rPr>
                <w:sz w:val="19"/>
              </w:rPr>
              <w:t xml:space="preserve"> (see s.</w:t>
            </w:r>
            <w:del w:id="169" w:author="svcMRProcess" w:date="2015-10-29T21:58:00Z">
              <w:r>
                <w:rPr>
                  <w:snapToGrid w:val="0"/>
                  <w:sz w:val="19"/>
                  <w:lang w:val="en-US"/>
                </w:rPr>
                <w:delText xml:space="preserve"> </w:delText>
              </w:r>
            </w:del>
            <w:ins w:id="170" w:author="svcMRProcess" w:date="2015-10-29T21:58:00Z">
              <w:r>
                <w:rPr>
                  <w:sz w:val="19"/>
                </w:rPr>
                <w:t> </w:t>
              </w:r>
            </w:ins>
            <w:r>
              <w:rPr>
                <w:sz w:val="19"/>
              </w:rPr>
              <w:t>2</w:t>
            </w:r>
            <w:del w:id="171" w:author="svcMRProcess" w:date="2015-10-29T21:58:00Z">
              <w:r>
                <w:rPr>
                  <w:snapToGrid w:val="0"/>
                  <w:sz w:val="19"/>
                  <w:lang w:val="en-US"/>
                </w:rPr>
                <w:delText>(1))</w:delText>
              </w:r>
            </w:del>
            <w:ins w:id="172" w:author="svcMRProcess" w:date="2015-10-29T21:58:00Z">
              <w:r>
                <w:rPr>
                  <w:sz w:val="19"/>
                </w:rPr>
                <w:t xml:space="preserve"> and </w:t>
              </w:r>
              <w:r>
                <w:rPr>
                  <w:i/>
                  <w:iCs/>
                  <w:sz w:val="19"/>
                </w:rPr>
                <w:t>Gazette</w:t>
              </w:r>
              <w:r>
                <w:rPr>
                  <w:sz w:val="19"/>
                </w:rPr>
                <w:t xml:space="preserve"> 27 Jul 2007 p. 3735)</w:t>
              </w:r>
            </w:ins>
          </w:p>
        </w:tc>
      </w:tr>
    </w:tbl>
    <w:bookmarkEnd w:id="150"/>
    <w:p>
      <w:pPr>
        <w:pStyle w:val="nSubsection"/>
        <w:ind w:left="0" w:firstLine="0"/>
        <w:rPr>
          <w:snapToGrid w:val="0"/>
        </w:rPr>
      </w:pPr>
      <w:r>
        <w:rPr>
          <w:snapToGrid w:val="0"/>
          <w:vertAlign w:val="superscript"/>
        </w:rPr>
        <w:t>2</w:t>
      </w:r>
      <w:r>
        <w:rPr>
          <w:snapToGrid w:val="0"/>
        </w:rPr>
        <w:tab/>
        <w:t xml:space="preserve">Repealed by the </w:t>
      </w:r>
      <w:r>
        <w:rPr>
          <w:i/>
          <w:snapToGrid w:val="0"/>
        </w:rPr>
        <w:t>Commercial Arbitration Act 1985</w:t>
      </w:r>
      <w:r>
        <w:rPr>
          <w:snapToGrid w:val="0"/>
        </w:rPr>
        <w:t>.</w:t>
      </w:r>
    </w:p>
    <w:p>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pPr>
        <w:pStyle w:val="MiscOpen"/>
        <w:spacing w:before="0"/>
        <w:rPr>
          <w:snapToGrid w:val="0"/>
          <w:sz w:val="20"/>
        </w:rPr>
      </w:pPr>
      <w:r>
        <w:rPr>
          <w:snapToGrid w:val="0"/>
        </w:rPr>
        <w:t>“</w:t>
      </w: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MiscClose"/>
        <w:keepNext/>
        <w:rPr>
          <w:snapToGrid w:val="0"/>
          <w:sz w:val="20"/>
        </w:rPr>
      </w:pPr>
      <w:r>
        <w:rPr>
          <w:snapToGrid w:val="0"/>
        </w:rPr>
        <w:t>”.</w:t>
      </w:r>
    </w:p>
    <w:p>
      <w:pPr>
        <w:pStyle w:val="nSubsection"/>
        <w:keepLines/>
        <w:spacing w:before="0"/>
        <w:rPr>
          <w:del w:id="173" w:author="svcMRProcess" w:date="2015-10-29T21:58:00Z"/>
          <w:snapToGrid w:val="0"/>
        </w:rPr>
      </w:pPr>
      <w:del w:id="174" w:author="svcMRProcess" w:date="2015-10-29T21:5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Chemistry Centre (WA) Act 2007 </w:delText>
        </w:r>
        <w:r>
          <w:rPr>
            <w:iCs/>
            <w:snapToGrid w:val="0"/>
          </w:rPr>
          <w:delText>s. 43, which gives effect to Sch. 3,</w:delText>
        </w:r>
        <w:r>
          <w:rPr>
            <w:i/>
            <w:snapToGrid w:val="0"/>
          </w:rPr>
          <w:delText xml:space="preserve"> </w:delText>
        </w:r>
        <w:r>
          <w:rPr>
            <w:snapToGrid w:val="0"/>
          </w:rPr>
          <w:delText>had not come into operation.  It  reads as follows:</w:delText>
        </w:r>
      </w:del>
    </w:p>
    <w:p>
      <w:pPr>
        <w:pStyle w:val="MiscOpen"/>
        <w:keepNext w:val="0"/>
        <w:spacing w:before="60"/>
        <w:rPr>
          <w:del w:id="175" w:author="svcMRProcess" w:date="2015-10-29T21:58:00Z"/>
          <w:sz w:val="20"/>
        </w:rPr>
      </w:pPr>
      <w:del w:id="176" w:author="svcMRProcess" w:date="2015-10-29T21:58:00Z">
        <w:r>
          <w:rPr>
            <w:sz w:val="20"/>
          </w:rPr>
          <w:delText>“</w:delText>
        </w:r>
      </w:del>
    </w:p>
    <w:p>
      <w:pPr>
        <w:pStyle w:val="nzHeading5"/>
        <w:rPr>
          <w:del w:id="177" w:author="svcMRProcess" w:date="2015-10-29T21:58:00Z"/>
        </w:rPr>
      </w:pPr>
      <w:bookmarkStart w:id="178" w:name="_Toc111603003"/>
      <w:bookmarkStart w:id="179" w:name="_Toc117318912"/>
      <w:bookmarkStart w:id="180" w:name="_Toc170879653"/>
      <w:del w:id="181" w:author="svcMRProcess" w:date="2015-10-29T21:58:00Z">
        <w:r>
          <w:rPr>
            <w:rStyle w:val="CharSectno"/>
          </w:rPr>
          <w:delText>43</w:delText>
        </w:r>
        <w:r>
          <w:delText>.</w:delText>
        </w:r>
        <w:r>
          <w:tab/>
          <w:delText>Amendments to other Acts</w:delText>
        </w:r>
        <w:bookmarkEnd w:id="178"/>
        <w:bookmarkEnd w:id="179"/>
        <w:bookmarkEnd w:id="180"/>
      </w:del>
    </w:p>
    <w:p>
      <w:pPr>
        <w:pStyle w:val="nzSubsection"/>
        <w:rPr>
          <w:del w:id="182" w:author="svcMRProcess" w:date="2015-10-29T21:58:00Z"/>
        </w:rPr>
      </w:pPr>
      <w:del w:id="183" w:author="svcMRProcess" w:date="2015-10-29T21:58:00Z">
        <w:r>
          <w:tab/>
        </w:r>
        <w:r>
          <w:tab/>
          <w:delText>Schedule 3 has effect.</w:delText>
        </w:r>
      </w:del>
    </w:p>
    <w:p>
      <w:pPr>
        <w:pStyle w:val="MiscClose"/>
        <w:rPr>
          <w:del w:id="184" w:author="svcMRProcess" w:date="2015-10-29T21:58:00Z"/>
        </w:rPr>
      </w:pPr>
      <w:del w:id="185" w:author="svcMRProcess" w:date="2015-10-29T21:58:00Z">
        <w:r>
          <w:delText>”.</w:delText>
        </w:r>
      </w:del>
    </w:p>
    <w:p>
      <w:pPr>
        <w:pStyle w:val="nzSubsection"/>
        <w:rPr>
          <w:del w:id="186" w:author="svcMRProcess" w:date="2015-10-29T21:58:00Z"/>
        </w:rPr>
      </w:pPr>
      <w:bookmarkStart w:id="187" w:name="_Toc117333140"/>
      <w:bookmarkStart w:id="188" w:name="_Toc117394305"/>
      <w:bookmarkStart w:id="189" w:name="_Toc117394746"/>
      <w:bookmarkStart w:id="190" w:name="_Toc117394881"/>
      <w:bookmarkStart w:id="191" w:name="_Toc117501750"/>
      <w:bookmarkStart w:id="192" w:name="_Toc117507236"/>
      <w:bookmarkStart w:id="193" w:name="_Toc117564383"/>
      <w:bookmarkStart w:id="194" w:name="_Toc117568531"/>
      <w:bookmarkStart w:id="195" w:name="_Toc117655596"/>
      <w:bookmarkStart w:id="196" w:name="_Toc117935873"/>
      <w:bookmarkStart w:id="197" w:name="_Toc118602931"/>
      <w:bookmarkStart w:id="198" w:name="_Toc118617844"/>
      <w:bookmarkStart w:id="199" w:name="_Toc118617943"/>
      <w:bookmarkStart w:id="200" w:name="_Toc118618318"/>
      <w:bookmarkStart w:id="201" w:name="_Toc118618740"/>
      <w:bookmarkStart w:id="202" w:name="_Toc118619295"/>
      <w:bookmarkStart w:id="203" w:name="_Toc118801300"/>
      <w:bookmarkStart w:id="204" w:name="_Toc126747066"/>
      <w:bookmarkStart w:id="205" w:name="_Toc126749474"/>
      <w:bookmarkStart w:id="206" w:name="_Toc126982834"/>
      <w:bookmarkStart w:id="207" w:name="_Toc126984273"/>
      <w:bookmarkStart w:id="208" w:name="_Toc127171496"/>
      <w:bookmarkStart w:id="209" w:name="_Toc128279410"/>
      <w:bookmarkStart w:id="210" w:name="_Toc128280587"/>
      <w:bookmarkStart w:id="211" w:name="_Toc169443797"/>
      <w:bookmarkStart w:id="212" w:name="_Toc170541899"/>
      <w:bookmarkStart w:id="213" w:name="_Toc170879695"/>
      <w:del w:id="214" w:author="svcMRProcess" w:date="2015-10-29T21:58:00Z">
        <w:r>
          <w:tab/>
          <w:delText>Schedule 3 cl. 5 reads as follows:</w:delText>
        </w:r>
      </w:del>
    </w:p>
    <w:p>
      <w:pPr>
        <w:pStyle w:val="MiscOpen"/>
        <w:rPr>
          <w:del w:id="215" w:author="svcMRProcess" w:date="2015-10-29T21:58:00Z"/>
          <w:rStyle w:val="CharSchNo"/>
        </w:rPr>
      </w:pPr>
      <w:del w:id="216" w:author="svcMRProcess" w:date="2015-10-29T21:58:00Z">
        <w:r>
          <w:delText>“</w:delText>
        </w:r>
      </w:del>
    </w:p>
    <w:p>
      <w:pPr>
        <w:pStyle w:val="nzHeading2"/>
        <w:rPr>
          <w:del w:id="217" w:author="svcMRProcess" w:date="2015-10-29T21:58:00Z"/>
        </w:rPr>
      </w:pPr>
      <w:del w:id="218" w:author="svcMRProcess" w:date="2015-10-29T21:58:00Z">
        <w:r>
          <w:rPr>
            <w:rStyle w:val="CharSchNo"/>
          </w:rPr>
          <w:delText>Schedule 3</w:delText>
        </w:r>
        <w:r>
          <w:rPr>
            <w:rStyle w:val="CharSDivNo"/>
          </w:rPr>
          <w:delText> </w:delText>
        </w:r>
        <w:r>
          <w:delText>—</w:delText>
        </w:r>
        <w:r>
          <w:rPr>
            <w:rStyle w:val="CharSDivText"/>
          </w:rPr>
          <w:delText> </w:delText>
        </w:r>
        <w:r>
          <w:rPr>
            <w:rStyle w:val="CharSchText"/>
          </w:rPr>
          <w:delText>Amendment of other written laws</w:delTex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del>
    </w:p>
    <w:p>
      <w:pPr>
        <w:pStyle w:val="nzMiscellaneousBody"/>
        <w:jc w:val="right"/>
        <w:rPr>
          <w:del w:id="219" w:author="svcMRProcess" w:date="2015-10-29T21:58:00Z"/>
        </w:rPr>
      </w:pPr>
      <w:del w:id="220" w:author="svcMRProcess" w:date="2015-10-29T21:58:00Z">
        <w:r>
          <w:delText>[s. 43]</w:delText>
        </w:r>
      </w:del>
    </w:p>
    <w:p>
      <w:pPr>
        <w:pStyle w:val="nzHeading5"/>
        <w:rPr>
          <w:del w:id="221" w:author="svcMRProcess" w:date="2015-10-29T21:58:00Z"/>
        </w:rPr>
      </w:pPr>
      <w:bookmarkStart w:id="222" w:name="_Toc117318959"/>
      <w:bookmarkStart w:id="223" w:name="_Toc170879700"/>
      <w:del w:id="224" w:author="svcMRProcess" w:date="2015-10-29T21:58:00Z">
        <w:r>
          <w:rPr>
            <w:rStyle w:val="CharSClsNo"/>
          </w:rPr>
          <w:delText>5</w:delText>
        </w:r>
        <w:r>
          <w:delText>.</w:delText>
        </w:r>
        <w:r>
          <w:tab/>
          <w:delText>Various references to Director of the Chemistry Centre changed to chief executive officer of the Chemistry Centre</w:delText>
        </w:r>
        <w:bookmarkEnd w:id="222"/>
        <w:bookmarkEnd w:id="223"/>
      </w:del>
    </w:p>
    <w:p>
      <w:pPr>
        <w:pStyle w:val="nzSubsection"/>
        <w:rPr>
          <w:del w:id="225" w:author="svcMRProcess" w:date="2015-10-29T21:58:00Z"/>
        </w:rPr>
      </w:pPr>
      <w:del w:id="226" w:author="svcMRProcess" w:date="2015-10-29T21:58:00Z">
        <w:r>
          <w:tab/>
        </w:r>
        <w:r>
          <w:tab/>
          <w:delText>Each provision listed in the Table to this clause is amended by deleting “Director” in each place where it occurs and inserting instead —</w:delText>
        </w:r>
      </w:del>
    </w:p>
    <w:p>
      <w:pPr>
        <w:pStyle w:val="nzSubsection"/>
        <w:rPr>
          <w:del w:id="227" w:author="svcMRProcess" w:date="2015-10-29T21:58:00Z"/>
        </w:rPr>
      </w:pPr>
      <w:del w:id="228" w:author="svcMRProcess" w:date="2015-10-29T21:58:00Z">
        <w:r>
          <w:tab/>
        </w:r>
        <w:r>
          <w:tab/>
          <w:delText>“    chief executive officer    ”.</w:delText>
        </w:r>
      </w:del>
    </w:p>
    <w:p>
      <w:pPr>
        <w:pStyle w:val="nzMiscellaneousHeading"/>
        <w:rPr>
          <w:del w:id="229" w:author="svcMRProcess" w:date="2015-10-29T21:58:00Z"/>
        </w:rPr>
      </w:pPr>
      <w:del w:id="230" w:author="svcMRProcess" w:date="2015-10-29T21:58:00Z">
        <w:r>
          <w:rPr>
            <w:b/>
          </w:rPr>
          <w:delText>Table</w:delText>
        </w:r>
      </w:del>
    </w:p>
    <w:tbl>
      <w:tblPr>
        <w:tblW w:w="0" w:type="auto"/>
        <w:tblInd w:w="959" w:type="dxa"/>
        <w:tblLayout w:type="fixed"/>
        <w:tblLook w:val="0000" w:firstRow="0" w:lastRow="0" w:firstColumn="0" w:lastColumn="0" w:noHBand="0" w:noVBand="0"/>
      </w:tblPr>
      <w:tblGrid>
        <w:gridCol w:w="2835"/>
        <w:gridCol w:w="3402"/>
      </w:tblGrid>
      <w:tr>
        <w:trPr>
          <w:cantSplit/>
          <w:del w:id="231" w:author="svcMRProcess" w:date="2015-10-29T21:58:00Z"/>
        </w:trPr>
        <w:tc>
          <w:tcPr>
            <w:tcW w:w="2835" w:type="dxa"/>
          </w:tcPr>
          <w:p>
            <w:pPr>
              <w:pStyle w:val="nzTable"/>
              <w:rPr>
                <w:del w:id="232" w:author="svcMRProcess" w:date="2015-10-29T21:58:00Z"/>
              </w:rPr>
            </w:pPr>
            <w:del w:id="233" w:author="svcMRProcess" w:date="2015-10-29T21:58:00Z">
              <w:r>
                <w:rPr>
                  <w:i/>
                </w:rPr>
                <w:delText>Fluoridation of Public Water</w:delText>
              </w:r>
            </w:del>
          </w:p>
        </w:tc>
        <w:tc>
          <w:tcPr>
            <w:tcW w:w="3402" w:type="dxa"/>
          </w:tcPr>
          <w:p>
            <w:pPr>
              <w:pStyle w:val="nzTable"/>
              <w:rPr>
                <w:del w:id="234" w:author="svcMRProcess" w:date="2015-10-29T21:58:00Z"/>
              </w:rPr>
            </w:pPr>
            <w:del w:id="235" w:author="svcMRProcess" w:date="2015-10-29T21:58:00Z">
              <w:r>
                <w:delText>s. 5(2)(d)</w:delText>
              </w:r>
            </w:del>
          </w:p>
        </w:tc>
      </w:tr>
      <w:tr>
        <w:trPr>
          <w:cantSplit/>
          <w:del w:id="236" w:author="svcMRProcess" w:date="2015-10-29T21:58:00Z"/>
        </w:trPr>
        <w:tc>
          <w:tcPr>
            <w:tcW w:w="2835" w:type="dxa"/>
          </w:tcPr>
          <w:p>
            <w:pPr>
              <w:pStyle w:val="nzTable"/>
              <w:rPr>
                <w:del w:id="237" w:author="svcMRProcess" w:date="2015-10-29T21:58:00Z"/>
              </w:rPr>
            </w:pPr>
            <w:del w:id="238" w:author="svcMRProcess" w:date="2015-10-29T21:58:00Z">
              <w:r>
                <w:rPr>
                  <w:i/>
                </w:rPr>
                <w:delText xml:space="preserve">  Supplies Act 1966</w:delText>
              </w:r>
            </w:del>
          </w:p>
        </w:tc>
        <w:tc>
          <w:tcPr>
            <w:tcW w:w="3402" w:type="dxa"/>
          </w:tcPr>
          <w:p>
            <w:pPr>
              <w:pStyle w:val="nzTable"/>
              <w:rPr>
                <w:del w:id="239" w:author="svcMRProcess" w:date="2015-10-29T21:58:00Z"/>
              </w:rPr>
            </w:pPr>
            <w:del w:id="240" w:author="svcMRProcess" w:date="2015-10-29T21:58:00Z">
              <w:r>
                <w:delText>s. 15(3)</w:delText>
              </w:r>
            </w:del>
          </w:p>
        </w:tc>
      </w:tr>
      <w:tr>
        <w:trPr>
          <w:cantSplit/>
          <w:del w:id="241" w:author="svcMRProcess" w:date="2015-10-29T21:58:00Z"/>
        </w:trPr>
        <w:tc>
          <w:tcPr>
            <w:tcW w:w="2835" w:type="dxa"/>
          </w:tcPr>
          <w:p>
            <w:pPr>
              <w:pStyle w:val="nzTable"/>
              <w:rPr>
                <w:del w:id="242" w:author="svcMRProcess" w:date="2015-10-29T21:58:00Z"/>
              </w:rPr>
            </w:pPr>
            <w:del w:id="243" w:author="svcMRProcess" w:date="2015-10-29T21:58:00Z">
              <w:r>
                <w:delText>…..</w:delText>
              </w:r>
            </w:del>
          </w:p>
        </w:tc>
        <w:tc>
          <w:tcPr>
            <w:tcW w:w="3402" w:type="dxa"/>
          </w:tcPr>
          <w:p>
            <w:pPr>
              <w:pStyle w:val="nzTable"/>
              <w:rPr>
                <w:del w:id="244" w:author="svcMRProcess" w:date="2015-10-29T21:58:00Z"/>
              </w:rPr>
            </w:pPr>
          </w:p>
        </w:tc>
      </w:tr>
    </w:tbl>
    <w:p>
      <w:pPr>
        <w:pStyle w:val="MiscClose"/>
        <w:rPr>
          <w:del w:id="245" w:author="svcMRProcess" w:date="2015-10-29T21:58:00Z"/>
        </w:rPr>
      </w:pPr>
      <w:del w:id="246" w:author="svcMRProcess" w:date="2015-10-29T21:58:00Z">
        <w: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3801</Words>
  <Characters>17980</Characters>
  <Application>Microsoft Office Word</Application>
  <DocSecurity>0</DocSecurity>
  <Lines>513</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01-c0-01 - 01-d0-03</dc:title>
  <dc:subject/>
  <dc:creator/>
  <cp:keywords/>
  <dc:description/>
  <cp:lastModifiedBy>svcMRProcess</cp:lastModifiedBy>
  <cp:revision>2</cp:revision>
  <cp:lastPrinted>2001-08-14T06:27:00Z</cp:lastPrinted>
  <dcterms:created xsi:type="dcterms:W3CDTF">2015-10-29T13:58:00Z</dcterms:created>
  <dcterms:modified xsi:type="dcterms:W3CDTF">2015-10-29T13:58:00Z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286</vt:i4>
  </property>
  <property fmtid="{D5CDD505-2E9C-101B-9397-08002B2CF9AE}" pid="6" name="FromSuffix">
    <vt:lpwstr>01-c0-01</vt:lpwstr>
  </property>
  <property fmtid="{D5CDD505-2E9C-101B-9397-08002B2CF9AE}" pid="7" name="FromAsAtDate">
    <vt:lpwstr>29 Jun 2007</vt:lpwstr>
  </property>
  <property fmtid="{D5CDD505-2E9C-101B-9397-08002B2CF9AE}" pid="8" name="ToSuffix">
    <vt:lpwstr>01-d0-03</vt:lpwstr>
  </property>
  <property fmtid="{D5CDD505-2E9C-101B-9397-08002B2CF9AE}" pid="9" name="ToAsAtDate">
    <vt:lpwstr>01 Aug 2007</vt:lpwstr>
  </property>
</Properties>
</file>